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9CA0" w14:textId="77777777" w:rsidR="00E247F1" w:rsidRDefault="00E247F1" w:rsidP="00EB17FB">
      <w:pPr>
        <w:pStyle w:val="Author"/>
        <w:spacing w:line="240" w:lineRule="auto"/>
        <w:rPr>
          <w:rFonts w:ascii="Arial" w:hAnsi="Arial" w:cs="Arial"/>
          <w:bCs/>
          <w:sz w:val="36"/>
          <w:szCs w:val="36"/>
        </w:rPr>
      </w:pPr>
      <w:bookmarkStart w:id="0" w:name="_Hlk202760666"/>
    </w:p>
    <w:p w14:paraId="5613AFAF" w14:textId="021FFB92" w:rsidR="00A258C3" w:rsidRPr="003445F3" w:rsidRDefault="00DF431C" w:rsidP="00EB17FB">
      <w:pPr>
        <w:pStyle w:val="Author"/>
        <w:spacing w:line="240" w:lineRule="auto"/>
        <w:rPr>
          <w:rFonts w:ascii="Arial" w:hAnsi="Arial" w:cs="Arial"/>
          <w:bCs/>
          <w:sz w:val="36"/>
          <w:szCs w:val="36"/>
        </w:rPr>
      </w:pPr>
      <w:proofErr w:type="spellStart"/>
      <w:r>
        <w:rPr>
          <w:rFonts w:ascii="Arial" w:hAnsi="Arial" w:cs="Arial"/>
          <w:bCs/>
          <w:sz w:val="36"/>
          <w:szCs w:val="36"/>
        </w:rPr>
        <w:t>Csr</w:t>
      </w:r>
      <w:proofErr w:type="spellEnd"/>
      <w:r>
        <w:rPr>
          <w:rFonts w:ascii="Arial" w:hAnsi="Arial" w:cs="Arial"/>
          <w:bCs/>
          <w:sz w:val="36"/>
          <w:szCs w:val="36"/>
        </w:rPr>
        <w:t xml:space="preserve"> disclosure and financial performance in Indonesia Islamic banks: the moderating role of board governance characteristics </w:t>
      </w:r>
      <w:bookmarkStart w:id="1" w:name="_GoBack"/>
      <w:bookmarkEnd w:id="1"/>
    </w:p>
    <w:p w14:paraId="4309BBC4" w14:textId="77777777" w:rsidR="00EB17FB" w:rsidRPr="003445F3" w:rsidRDefault="00EB17FB" w:rsidP="00EB17FB">
      <w:pPr>
        <w:pStyle w:val="Author"/>
        <w:spacing w:line="240" w:lineRule="auto"/>
        <w:rPr>
          <w:rFonts w:ascii="Arial" w:hAnsi="Arial" w:cs="Arial"/>
          <w:sz w:val="36"/>
        </w:rPr>
      </w:pPr>
    </w:p>
    <w:p w14:paraId="0708D281" w14:textId="781CA283" w:rsidR="00633614" w:rsidRPr="003445F3" w:rsidRDefault="00633614" w:rsidP="00441B6F">
      <w:pPr>
        <w:pStyle w:val="Affiliation"/>
        <w:spacing w:after="0" w:line="240" w:lineRule="auto"/>
        <w:rPr>
          <w:rFonts w:ascii="Arial" w:hAnsi="Arial" w:cs="Arial"/>
          <w:i/>
        </w:rPr>
      </w:pPr>
    </w:p>
    <w:p w14:paraId="31A30A18" w14:textId="6640EADA" w:rsidR="00B01FCD" w:rsidRPr="003445F3" w:rsidRDefault="00B943C0" w:rsidP="00441B6F">
      <w:pPr>
        <w:pStyle w:val="Copyright"/>
        <w:spacing w:after="0" w:line="240" w:lineRule="auto"/>
        <w:jc w:val="both"/>
        <w:rPr>
          <w:rFonts w:ascii="Arial" w:hAnsi="Arial" w:cs="Arial"/>
        </w:rPr>
        <w:sectPr w:rsidR="00B01FCD" w:rsidRPr="003445F3" w:rsidSect="00B44B66">
          <w:headerReference w:type="even" r:id="rId8"/>
          <w:headerReference w:type="default" r:id="rId9"/>
          <w:headerReference w:type="first" r:id="rId10"/>
          <w:footerReference w:type="first" r:id="rId11"/>
          <w:pgSz w:w="11907" w:h="16839" w:code="9"/>
          <w:pgMar w:top="1440" w:right="2016" w:bottom="2016" w:left="2016" w:header="720" w:footer="1296" w:gutter="0"/>
          <w:cols w:space="720"/>
          <w:docGrid w:linePitch="272"/>
        </w:sectPr>
      </w:pPr>
      <w:r w:rsidRPr="003445F3">
        <w:rPr>
          <w:rFonts w:ascii="Arial" w:hAnsi="Arial" w:cs="Arial"/>
          <w:noProof/>
          <w:lang w:val="id-ID" w:eastAsia="id-ID"/>
        </w:rPr>
        <mc:AlternateContent>
          <mc:Choice Requires="wps">
            <w:drawing>
              <wp:inline distT="0" distB="0" distL="0" distR="0" wp14:anchorId="7DFB49A4" wp14:editId="1AB1BF4B">
                <wp:extent cx="4974336" cy="0"/>
                <wp:effectExtent l="0" t="0" r="17145" b="1905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433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B93DC5" id="_x0000_t32" coordsize="21600,21600" o:spt="32" o:oned="t" path="m,l21600,21600e" filled="f">
                <v:path arrowok="t" fillok="f" o:connecttype="none"/>
                <o:lock v:ext="edit" shapetype="t"/>
              </v:shapetype>
              <v:shape id="AutoShape 2" o:spid="_x0000_s1026" type="#_x0000_t32" style="width:39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T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" strokeweight="1.5pt">
                <w10:anchorlock/>
              </v:shape>
            </w:pict>
          </mc:Fallback>
        </mc:AlternateContent>
      </w:r>
      <w:r w:rsidR="00FB3A86" w:rsidRPr="003445F3">
        <w:rPr>
          <w:rFonts w:ascii="Arial" w:hAnsi="Arial" w:cs="Arial"/>
        </w:rPr>
        <w:t>.</w:t>
      </w:r>
    </w:p>
    <w:p w14:paraId="56C6FE61" w14:textId="3305BC2B" w:rsidR="00B01FCD" w:rsidRPr="003445F3" w:rsidRDefault="00B01FCD" w:rsidP="00441B6F">
      <w:pPr>
        <w:pStyle w:val="AbstHead"/>
        <w:spacing w:after="0"/>
        <w:jc w:val="both"/>
        <w:rPr>
          <w:rFonts w:ascii="Arial" w:hAnsi="Arial" w:cs="Arial"/>
        </w:rPr>
      </w:pPr>
      <w:r w:rsidRPr="003445F3">
        <w:rPr>
          <w:rFonts w:ascii="Arial" w:hAnsi="Arial" w:cs="Arial"/>
        </w:rPr>
        <w:t>ABSTRACT</w:t>
      </w:r>
      <w:r w:rsidR="0066510A" w:rsidRPr="003445F3">
        <w:rPr>
          <w:rFonts w:ascii="Arial" w:hAnsi="Arial" w:cs="Arial"/>
        </w:rPr>
        <w:t xml:space="preserve"> </w:t>
      </w:r>
    </w:p>
    <w:p w14:paraId="2B19A9E7" w14:textId="77777777" w:rsidR="00790ADA" w:rsidRPr="003445F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1"/>
      </w:tblGrid>
      <w:tr w:rsidR="00296529" w:rsidRPr="003445F3" w14:paraId="00CAA535" w14:textId="77777777" w:rsidTr="001E44FE">
        <w:tc>
          <w:tcPr>
            <w:tcW w:w="9576" w:type="dxa"/>
            <w:shd w:val="clear" w:color="auto" w:fill="F2F2F2"/>
          </w:tcPr>
          <w:p w14:paraId="6E752C86" w14:textId="77777777" w:rsidR="00EB17FB" w:rsidRPr="003445F3" w:rsidRDefault="00EB17FB" w:rsidP="00EB17FB">
            <w:pPr>
              <w:jc w:val="both"/>
              <w:rPr>
                <w:rFonts w:ascii="Arial" w:hAnsi="Arial" w:cs="Arial"/>
                <w:b/>
                <w:bCs/>
                <w:sz w:val="18"/>
                <w:szCs w:val="18"/>
              </w:rPr>
            </w:pPr>
            <w:r w:rsidRPr="003445F3">
              <w:rPr>
                <w:rFonts w:ascii="Arial" w:hAnsi="Arial" w:cs="Arial"/>
                <w:b/>
                <w:bCs/>
                <w:lang w:eastAsia="en-ID"/>
              </w:rPr>
              <w:t>Aims:</w:t>
            </w:r>
            <w:r w:rsidRPr="003445F3">
              <w:rPr>
                <w:rFonts w:ascii="Arial" w:hAnsi="Arial" w:cs="Arial"/>
                <w:lang w:eastAsia="en-ID"/>
              </w:rPr>
              <w:t xml:space="preserve"> This study aims to analyze the effect of Corporate Social Responsibility (CSR) on the financial performance of Islamic commercial banks in Indonesia and to examine whether Good Corporate Governance (GCG), as measured by board size and board gender diversity, moderates this relationship.</w:t>
            </w:r>
          </w:p>
          <w:p w14:paraId="13449AA9" w14:textId="77777777" w:rsidR="00245382" w:rsidRDefault="00EB17FB" w:rsidP="00EB17FB">
            <w:pPr>
              <w:jc w:val="both"/>
            </w:pPr>
            <w:r w:rsidRPr="003445F3">
              <w:rPr>
                <w:rFonts w:ascii="Arial" w:hAnsi="Arial" w:cs="Arial"/>
                <w:b/>
                <w:bCs/>
                <w:lang w:eastAsia="en-ID"/>
              </w:rPr>
              <w:t>Study Design:</w:t>
            </w:r>
            <w:r w:rsidRPr="003445F3">
              <w:rPr>
                <w:rFonts w:ascii="Arial" w:hAnsi="Arial" w:cs="Arial"/>
                <w:lang w:eastAsia="en-ID"/>
              </w:rPr>
              <w:t xml:space="preserve"> </w:t>
            </w:r>
            <w:r w:rsidR="00245382">
              <w:t>Quantitative approach using panel data regression.</w:t>
            </w:r>
          </w:p>
          <w:p w14:paraId="6CD4D4CC" w14:textId="60E423C0" w:rsidR="00EB17FB" w:rsidRPr="003445F3" w:rsidRDefault="00EB17FB" w:rsidP="00EB17FB">
            <w:pPr>
              <w:jc w:val="both"/>
              <w:rPr>
                <w:rFonts w:ascii="Arial" w:hAnsi="Arial" w:cs="Arial"/>
                <w:lang w:eastAsia="en-ID"/>
              </w:rPr>
            </w:pPr>
            <w:r w:rsidRPr="003445F3">
              <w:rPr>
                <w:rFonts w:ascii="Arial" w:hAnsi="Arial" w:cs="Arial"/>
                <w:b/>
                <w:bCs/>
                <w:lang w:eastAsia="en-ID"/>
              </w:rPr>
              <w:t>Place and Duration of Study:</w:t>
            </w:r>
            <w:r w:rsidRPr="003445F3">
              <w:rPr>
                <w:rFonts w:ascii="Arial" w:hAnsi="Arial" w:cs="Arial"/>
                <w:lang w:eastAsia="en-ID"/>
              </w:rPr>
              <w:t xml:space="preserve"> </w:t>
            </w:r>
            <w:r w:rsidR="00245382">
              <w:t>The study focuses on 13 Islamic commercial banks in Indonesia during the period of 2018–2023, with a total of 66 bank</w:t>
            </w:r>
            <w:r w:rsidR="00A67D94">
              <w:t xml:space="preserve"> </w:t>
            </w:r>
            <w:r w:rsidR="00245382">
              <w:t xml:space="preserve">year </w:t>
            </w:r>
            <w:proofErr w:type="gramStart"/>
            <w:r w:rsidR="00245382">
              <w:t>observations.</w:t>
            </w:r>
            <w:r w:rsidRPr="003445F3">
              <w:rPr>
                <w:rFonts w:ascii="Arial" w:hAnsi="Arial" w:cs="Arial"/>
                <w:lang w:eastAsia="en-ID"/>
              </w:rPr>
              <w:t>.</w:t>
            </w:r>
            <w:proofErr w:type="gramEnd"/>
          </w:p>
          <w:p w14:paraId="3BF485E7" w14:textId="7684D076" w:rsidR="00EB17FB" w:rsidRPr="003445F3" w:rsidRDefault="00EB17FB" w:rsidP="00EB17FB">
            <w:pPr>
              <w:jc w:val="both"/>
              <w:rPr>
                <w:rFonts w:ascii="Arial" w:hAnsi="Arial" w:cs="Arial"/>
                <w:lang w:eastAsia="en-ID"/>
              </w:rPr>
            </w:pPr>
            <w:r w:rsidRPr="003445F3">
              <w:rPr>
                <w:rFonts w:ascii="Arial" w:hAnsi="Arial" w:cs="Arial"/>
                <w:b/>
                <w:bCs/>
                <w:lang w:eastAsia="en-ID"/>
              </w:rPr>
              <w:t>Methodology:</w:t>
            </w:r>
            <w:r w:rsidRPr="003445F3">
              <w:rPr>
                <w:rFonts w:ascii="Arial" w:hAnsi="Arial" w:cs="Arial"/>
                <w:lang w:eastAsia="en-ID"/>
              </w:rPr>
              <w:t xml:space="preserve"> CSR was measured using a disclosure index based on sustainability reports. GCG was assessed through board size and gender diversity ratio. Financial performance was proxied using Return on Assets (ROA). Data were analyzed using Random Effect Model (REM) regression with robust standard errors. Moderation analysis was performed using interaction terms between CSR and the two GCG indicators.</w:t>
            </w:r>
          </w:p>
          <w:p w14:paraId="267DB2BD" w14:textId="77777777" w:rsidR="00245382" w:rsidRDefault="00EB17FB" w:rsidP="00441B6F">
            <w:pPr>
              <w:pStyle w:val="Body"/>
              <w:spacing w:after="0"/>
            </w:pPr>
            <w:r w:rsidRPr="003445F3">
              <w:rPr>
                <w:rFonts w:ascii="Arial" w:hAnsi="Arial" w:cs="Arial"/>
                <w:b/>
                <w:bCs/>
                <w:lang w:eastAsia="en-ID"/>
              </w:rPr>
              <w:t>Results:</w:t>
            </w:r>
            <w:r w:rsidRPr="003445F3">
              <w:rPr>
                <w:rFonts w:ascii="Arial" w:hAnsi="Arial" w:cs="Arial"/>
                <w:lang w:eastAsia="en-ID"/>
              </w:rPr>
              <w:t xml:space="preserve"> </w:t>
            </w:r>
            <w:r w:rsidR="00245382">
              <w:t>The study finds that CSR disclosure has a positive effect on ROA. The direct effects of board size and gender diversity are insignificant. Moderating effects are weak: gender diversity shows marginal interaction, while board size has no meaningful moderating influence.</w:t>
            </w:r>
          </w:p>
          <w:p w14:paraId="55C850A5" w14:textId="42F004AB" w:rsidR="00505F06" w:rsidRPr="003445F3" w:rsidRDefault="00EB17FB" w:rsidP="00441B6F">
            <w:pPr>
              <w:pStyle w:val="Body"/>
              <w:spacing w:after="0"/>
              <w:rPr>
                <w:rFonts w:ascii="Arial" w:eastAsia="Calibri" w:hAnsi="Arial" w:cs="Arial"/>
                <w:szCs w:val="22"/>
              </w:rPr>
            </w:pPr>
            <w:r w:rsidRPr="003445F3">
              <w:rPr>
                <w:rFonts w:ascii="Arial" w:hAnsi="Arial" w:cs="Arial"/>
                <w:b/>
                <w:bCs/>
                <w:lang w:eastAsia="en-ID"/>
              </w:rPr>
              <w:t>Conclusion:</w:t>
            </w:r>
            <w:r w:rsidRPr="003445F3">
              <w:rPr>
                <w:rFonts w:ascii="Arial" w:hAnsi="Arial" w:cs="Arial"/>
                <w:lang w:eastAsia="en-ID"/>
              </w:rPr>
              <w:t xml:space="preserve"> </w:t>
            </w:r>
            <w:r w:rsidR="00245382">
              <w:t>The study highlights the importance of CSR disclosure in enhancing the financial performance of Islamic banks. Although GCG indicators do not show strong moderation, the findings suggest that meaningful female board participation and robust CSR reporting may contribute to performance alignment with Sharia principles. This study contributes by integrating CSR–GCG interaction within the context of Sharia-based banking and offers practical insights for policymakers and financial institutions.</w:t>
            </w:r>
          </w:p>
        </w:tc>
      </w:tr>
    </w:tbl>
    <w:p w14:paraId="79309EDE" w14:textId="77777777" w:rsidR="00636EB2" w:rsidRPr="003445F3" w:rsidRDefault="00636EB2" w:rsidP="00441B6F">
      <w:pPr>
        <w:pStyle w:val="Body"/>
        <w:spacing w:after="0"/>
        <w:rPr>
          <w:rFonts w:ascii="Arial" w:hAnsi="Arial" w:cs="Arial"/>
          <w:i/>
        </w:rPr>
      </w:pPr>
    </w:p>
    <w:p w14:paraId="1C2387BF" w14:textId="77777777" w:rsidR="00EB17FB" w:rsidRPr="003445F3" w:rsidRDefault="00A24E7E" w:rsidP="00EB17FB">
      <w:pPr>
        <w:rPr>
          <w:rFonts w:ascii="Arial" w:hAnsi="Arial" w:cs="Arial"/>
          <w:i/>
          <w:iCs/>
          <w:sz w:val="18"/>
          <w:szCs w:val="18"/>
          <w:lang w:eastAsia="en-ID"/>
        </w:rPr>
      </w:pPr>
      <w:r w:rsidRPr="003445F3">
        <w:rPr>
          <w:rFonts w:ascii="Arial" w:hAnsi="Arial" w:cs="Arial"/>
          <w:i/>
        </w:rPr>
        <w:t xml:space="preserve">Keywords: </w:t>
      </w:r>
      <w:r w:rsidR="00EB17FB" w:rsidRPr="003445F3">
        <w:rPr>
          <w:rFonts w:ascii="Arial" w:hAnsi="Arial" w:cs="Arial"/>
          <w:i/>
          <w:iCs/>
        </w:rPr>
        <w:t>Corporate Social Responsibility (CSR), Financial Performance, Good Corporate Governance (GCG), Board Size, Gender Diversity, Return on Assets (ROA), Islamic Banks</w:t>
      </w:r>
    </w:p>
    <w:bookmarkEnd w:id="0"/>
    <w:p w14:paraId="7C913E00" w14:textId="48DEA2E9" w:rsidR="00B44B66" w:rsidRPr="003445F3" w:rsidRDefault="00B44B66">
      <w:pPr>
        <w:rPr>
          <w:rFonts w:ascii="Arial" w:hAnsi="Arial" w:cs="Arial"/>
          <w:b/>
          <w:caps/>
          <w:sz w:val="22"/>
        </w:rPr>
      </w:pPr>
    </w:p>
    <w:p w14:paraId="5AB6FC2C" w14:textId="77777777" w:rsidR="00251C10" w:rsidRPr="003445F3" w:rsidRDefault="00251C10" w:rsidP="00482CC9">
      <w:pPr>
        <w:pStyle w:val="AbstHead"/>
        <w:numPr>
          <w:ilvl w:val="0"/>
          <w:numId w:val="31"/>
        </w:numPr>
        <w:spacing w:after="0"/>
        <w:jc w:val="both"/>
        <w:rPr>
          <w:rFonts w:ascii="Arial" w:hAnsi="Arial" w:cs="Arial"/>
        </w:rPr>
        <w:sectPr w:rsidR="00251C10" w:rsidRPr="003445F3" w:rsidSect="00B44B66">
          <w:headerReference w:type="even" r:id="rId12"/>
          <w:headerReference w:type="default" r:id="rId13"/>
          <w:footerReference w:type="default" r:id="rId14"/>
          <w:headerReference w:type="first" r:id="rId15"/>
          <w:type w:val="continuous"/>
          <w:pgSz w:w="11907" w:h="16839" w:code="9"/>
          <w:pgMar w:top="1440" w:right="2016" w:bottom="2016" w:left="2016" w:header="720" w:footer="1123" w:gutter="0"/>
          <w:cols w:space="720"/>
          <w:docGrid w:linePitch="272"/>
        </w:sectPr>
      </w:pPr>
    </w:p>
    <w:p w14:paraId="7DB5B218" w14:textId="0160E080" w:rsidR="007F7B32" w:rsidRPr="003445F3" w:rsidRDefault="00B01FCD" w:rsidP="005C2D2B">
      <w:pPr>
        <w:pStyle w:val="AbstHead"/>
        <w:numPr>
          <w:ilvl w:val="0"/>
          <w:numId w:val="31"/>
        </w:numPr>
        <w:spacing w:after="0"/>
        <w:jc w:val="both"/>
        <w:rPr>
          <w:rFonts w:ascii="Arial" w:hAnsi="Arial" w:cs="Arial"/>
        </w:rPr>
      </w:pPr>
      <w:r w:rsidRPr="003445F3">
        <w:rPr>
          <w:rFonts w:ascii="Arial" w:hAnsi="Arial" w:cs="Arial"/>
        </w:rPr>
        <w:t>INTRODUCTION</w:t>
      </w:r>
      <w:r w:rsidR="007F7B32" w:rsidRPr="003445F3">
        <w:rPr>
          <w:rFonts w:ascii="Arial" w:hAnsi="Arial" w:cs="Arial"/>
        </w:rPr>
        <w:t xml:space="preserve"> </w:t>
      </w:r>
    </w:p>
    <w:p w14:paraId="69D74C24" w14:textId="77777777" w:rsidR="00160B07" w:rsidRPr="003445F3" w:rsidRDefault="00160B07" w:rsidP="005C2D2B">
      <w:pPr>
        <w:jc w:val="both"/>
        <w:rPr>
          <w:rFonts w:ascii="Arial" w:hAnsi="Arial" w:cs="Arial"/>
        </w:rPr>
      </w:pPr>
      <w:r w:rsidRPr="003445F3">
        <w:rPr>
          <w:rFonts w:ascii="Arial" w:hAnsi="Arial" w:cs="Arial"/>
        </w:rPr>
        <w:tab/>
      </w:r>
    </w:p>
    <w:p w14:paraId="77EBBA00" w14:textId="00E6D7FD" w:rsidR="00482CC9" w:rsidRPr="003445F3" w:rsidRDefault="00B44B66" w:rsidP="005C2D2B">
      <w:pPr>
        <w:ind w:firstLine="720"/>
        <w:jc w:val="both"/>
        <w:rPr>
          <w:rFonts w:ascii="Arial" w:hAnsi="Arial" w:cs="Arial"/>
          <w:lang w:val="id-ID"/>
        </w:rPr>
      </w:pPr>
      <w:r w:rsidRPr="003445F3">
        <w:rPr>
          <w:rFonts w:ascii="Arial" w:hAnsi="Arial" w:cs="Arial"/>
        </w:rPr>
        <w:t xml:space="preserve">The Islamic banking sector in Indonesia has experienced significant </w:t>
      </w:r>
      <w:r w:rsidRPr="003445F3">
        <w:rPr>
          <w:rFonts w:ascii="Arial" w:hAnsi="Arial" w:cs="Arial"/>
          <w:lang w:val="id-ID"/>
        </w:rPr>
        <w:t xml:space="preserve">  </w:t>
      </w:r>
      <w:r w:rsidR="00482CC9" w:rsidRPr="003445F3">
        <w:rPr>
          <w:rFonts w:ascii="Arial" w:hAnsi="Arial" w:cs="Arial"/>
        </w:rPr>
        <w:t>advancement over the last ten years. As an integral component of the national financial framework, Islamic banks are expected to foster financial inclusivity while adhering to Sharia principles that underscore fairness, openness, and equilibrium. This positive development is reflected in the growing number of Islamic financial institutions and the consistent rise in total assets over the past three years. However, this accelerated expansion has also heightened the intensity of competition—both among Islamic banks themselves and between them and their conventional counterparts. In such a competitive environment, each Islamic bank is compelled to exhibit superior performance to maintain its position in Indonesia’s banking industry (</w:t>
      </w:r>
      <w:proofErr w:type="spellStart"/>
      <w:r w:rsidR="00482CC9" w:rsidRPr="003445F3">
        <w:rPr>
          <w:rFonts w:ascii="Arial" w:hAnsi="Arial" w:cs="Arial"/>
        </w:rPr>
        <w:t>Dewi</w:t>
      </w:r>
      <w:proofErr w:type="spellEnd"/>
      <w:r w:rsidR="00482CC9" w:rsidRPr="003445F3">
        <w:rPr>
          <w:rFonts w:ascii="Arial" w:hAnsi="Arial" w:cs="Arial"/>
        </w:rPr>
        <w:t xml:space="preserve"> et al., 2024; </w:t>
      </w:r>
      <w:proofErr w:type="spellStart"/>
      <w:r w:rsidR="00482CC9" w:rsidRPr="003445F3">
        <w:rPr>
          <w:rFonts w:ascii="Arial" w:hAnsi="Arial" w:cs="Arial"/>
        </w:rPr>
        <w:t>Juniwati</w:t>
      </w:r>
      <w:proofErr w:type="spellEnd"/>
      <w:r w:rsidR="00482CC9" w:rsidRPr="003445F3">
        <w:rPr>
          <w:rFonts w:ascii="Arial" w:hAnsi="Arial" w:cs="Arial"/>
        </w:rPr>
        <w:t xml:space="preserve"> &amp; </w:t>
      </w:r>
      <w:proofErr w:type="spellStart"/>
      <w:r w:rsidR="00482CC9" w:rsidRPr="003445F3">
        <w:rPr>
          <w:rFonts w:ascii="Arial" w:hAnsi="Arial" w:cs="Arial"/>
        </w:rPr>
        <w:t>Rivanda</w:t>
      </w:r>
      <w:proofErr w:type="spellEnd"/>
      <w:r w:rsidR="00482CC9" w:rsidRPr="003445F3">
        <w:rPr>
          <w:rFonts w:ascii="Arial" w:hAnsi="Arial" w:cs="Arial"/>
        </w:rPr>
        <w:t xml:space="preserve">, 2023; </w:t>
      </w:r>
      <w:proofErr w:type="spellStart"/>
      <w:r w:rsidR="00482CC9" w:rsidRPr="003445F3">
        <w:rPr>
          <w:rFonts w:ascii="Arial" w:hAnsi="Arial" w:cs="Arial"/>
        </w:rPr>
        <w:t>Purbayati</w:t>
      </w:r>
      <w:proofErr w:type="spellEnd"/>
      <w:r w:rsidR="00482CC9" w:rsidRPr="003445F3">
        <w:rPr>
          <w:rFonts w:ascii="Arial" w:hAnsi="Arial" w:cs="Arial"/>
        </w:rPr>
        <w:t xml:space="preserve"> et al., 2021, 2023). Despite the increasing asset base and broader service reach, Islamic banks still confront several critical issues in terms of financial performance. Data from the Financial Services Authority (OJK) and several scholarly investigations highlight that fluctuations in financial outcomes are closely associated with the quality of management and external pressures, such as economic </w:t>
      </w:r>
      <w:r w:rsidR="00482CC9" w:rsidRPr="003445F3">
        <w:rPr>
          <w:rFonts w:ascii="Arial" w:hAnsi="Arial" w:cs="Arial"/>
        </w:rPr>
        <w:lastRenderedPageBreak/>
        <w:t>downturns, uneven adoption of digital technologies, and limited innovation in banking products. Financial performance reflects the fiscal health and prosperity level of a firm within a given time frame. A commonly used metric is the profitability ratio, particularly Return on Assets (ROA), which assesses overall profitability while gauging the finance department's efficiency in leveraging assets over a set duration. Evaluating financial performance is essential as it reveals how effectively an institution utilizes its resources to produce earnings (</w:t>
      </w:r>
      <w:proofErr w:type="spellStart"/>
      <w:r w:rsidR="00482CC9" w:rsidRPr="003445F3">
        <w:rPr>
          <w:rFonts w:ascii="Arial" w:hAnsi="Arial" w:cs="Arial"/>
        </w:rPr>
        <w:t>Afgani</w:t>
      </w:r>
      <w:proofErr w:type="spellEnd"/>
      <w:r w:rsidR="00482CC9" w:rsidRPr="003445F3">
        <w:rPr>
          <w:rFonts w:ascii="Arial" w:hAnsi="Arial" w:cs="Arial"/>
        </w:rPr>
        <w:t xml:space="preserve"> et al., 2023; </w:t>
      </w:r>
      <w:proofErr w:type="spellStart"/>
      <w:r w:rsidR="00482CC9" w:rsidRPr="003445F3">
        <w:rPr>
          <w:rFonts w:ascii="Arial" w:hAnsi="Arial" w:cs="Arial"/>
        </w:rPr>
        <w:t>Rivanda</w:t>
      </w:r>
      <w:proofErr w:type="spellEnd"/>
      <w:r w:rsidR="00482CC9" w:rsidRPr="003445F3">
        <w:rPr>
          <w:rFonts w:ascii="Arial" w:hAnsi="Arial" w:cs="Arial"/>
        </w:rPr>
        <w:t xml:space="preserve"> &amp; Muslim, 2021). </w:t>
      </w:r>
      <w:r w:rsidR="009B2ACC" w:rsidRPr="003445F3">
        <w:rPr>
          <w:rFonts w:ascii="Arial" w:hAnsi="Arial" w:cs="Arial"/>
        </w:rPr>
        <w:t>In fact, Putri et al. (2023) observed that the ROA of Islamic banks in Indonesia tends to be unstable due to internal and external structural factors, including inefficient asset utilization and weak governance monitoring mechanisms, particularly in relation to social and ethical obligations.</w:t>
      </w:r>
    </w:p>
    <w:p w14:paraId="294B9786" w14:textId="41F6608A" w:rsidR="00482CC9" w:rsidRPr="003445F3" w:rsidRDefault="00482CC9" w:rsidP="005C2D2B">
      <w:pPr>
        <w:ind w:firstLine="720"/>
        <w:jc w:val="both"/>
        <w:rPr>
          <w:rFonts w:ascii="Arial" w:hAnsi="Arial" w:cs="Arial"/>
          <w:lang w:val="id-ID"/>
        </w:rPr>
      </w:pPr>
      <w:r w:rsidRPr="003445F3">
        <w:rPr>
          <w:rFonts w:ascii="Arial" w:hAnsi="Arial" w:cs="Arial"/>
        </w:rPr>
        <w:t>The elevated profits derived from Islamic banking’s financing products play a central role in shaping financial performance. To enhance profitability, Islamic banks must ensure optimal use of their productive assets. Additionally, profitability has emerged as a key determinant in the growth of the Islamic banking sector during the 2019–2023 period, as illustrated in Figure 1.</w:t>
      </w:r>
    </w:p>
    <w:p w14:paraId="3DDA1814" w14:textId="77777777" w:rsidR="00B44B66" w:rsidRPr="003445F3" w:rsidRDefault="00B44B66" w:rsidP="005C2D2B">
      <w:pPr>
        <w:jc w:val="both"/>
        <w:rPr>
          <w:rFonts w:ascii="Arial" w:hAnsi="Arial" w:cs="Arial"/>
          <w:lang w:val="id-ID"/>
        </w:rPr>
      </w:pPr>
    </w:p>
    <w:p w14:paraId="5400BD87" w14:textId="764DEE59" w:rsidR="00482CC9" w:rsidRPr="003445F3" w:rsidRDefault="009813C4" w:rsidP="005C2D2B">
      <w:pPr>
        <w:jc w:val="center"/>
        <w:rPr>
          <w:rFonts w:ascii="Arial" w:hAnsi="Arial" w:cs="Arial"/>
          <w:lang w:eastAsia="en-ID"/>
        </w:rPr>
      </w:pPr>
      <w:r w:rsidRPr="003445F3">
        <w:rPr>
          <w:rFonts w:ascii="Arial" w:hAnsi="Arial" w:cs="Arial"/>
          <w:noProof/>
          <w:lang w:val="id-ID" w:eastAsia="id-ID"/>
        </w:rPr>
        <w:drawing>
          <wp:inline distT="0" distB="0" distL="0" distR="0" wp14:anchorId="6CA7DB44" wp14:editId="6A204F6F">
            <wp:extent cx="3105807" cy="1954925"/>
            <wp:effectExtent l="0" t="0" r="0" b="762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6172" cy="1955155"/>
                    </a:xfrm>
                    <a:prstGeom prst="rect">
                      <a:avLst/>
                    </a:prstGeom>
                  </pic:spPr>
                </pic:pic>
              </a:graphicData>
            </a:graphic>
          </wp:inline>
        </w:drawing>
      </w:r>
    </w:p>
    <w:p w14:paraId="56EF9E95" w14:textId="4A7D67B5" w:rsidR="009813C4" w:rsidRPr="003445F3" w:rsidRDefault="009813C4" w:rsidP="005C2D2B">
      <w:pPr>
        <w:jc w:val="center"/>
        <w:rPr>
          <w:rFonts w:ascii="Arial" w:hAnsi="Arial" w:cs="Arial"/>
          <w:lang w:eastAsia="en-ID"/>
        </w:rPr>
      </w:pPr>
    </w:p>
    <w:p w14:paraId="3B73D9AE" w14:textId="3A7A7A71" w:rsidR="00482CC9" w:rsidRPr="003445F3" w:rsidRDefault="00482CC9" w:rsidP="005C2D2B">
      <w:pPr>
        <w:jc w:val="center"/>
        <w:rPr>
          <w:rFonts w:ascii="Arial" w:hAnsi="Arial" w:cs="Arial"/>
        </w:rPr>
      </w:pPr>
      <w:r w:rsidRPr="003445F3">
        <w:rPr>
          <w:rFonts w:ascii="Arial" w:hAnsi="Arial" w:cs="Arial"/>
          <w:b/>
          <w:bCs/>
        </w:rPr>
        <w:t>Figure 1. Profitability Trends of Indonesian Sharia Commercial Banks in 2019-2023</w:t>
      </w:r>
    </w:p>
    <w:p w14:paraId="6672C8CB" w14:textId="12FB2CDC" w:rsidR="00482CC9" w:rsidRPr="003445F3" w:rsidRDefault="00482CC9" w:rsidP="005C2D2B">
      <w:pPr>
        <w:jc w:val="center"/>
        <w:rPr>
          <w:rFonts w:ascii="Arial" w:hAnsi="Arial" w:cs="Arial"/>
        </w:rPr>
      </w:pPr>
      <w:r w:rsidRPr="003445F3">
        <w:rPr>
          <w:rFonts w:ascii="Arial" w:hAnsi="Arial" w:cs="Arial"/>
        </w:rPr>
        <w:t>Source: processed from Sharia Banking Statistics (2023)</w:t>
      </w:r>
    </w:p>
    <w:p w14:paraId="5C8DF2C1" w14:textId="66867817" w:rsidR="00482CC9" w:rsidRPr="003445F3" w:rsidRDefault="00482CC9" w:rsidP="005C2D2B">
      <w:pPr>
        <w:jc w:val="center"/>
        <w:rPr>
          <w:rFonts w:ascii="Arial" w:hAnsi="Arial" w:cs="Arial"/>
        </w:rPr>
      </w:pPr>
      <w:r w:rsidRPr="003445F3">
        <w:rPr>
          <w:rStyle w:val="w-fit"/>
          <w:rFonts w:ascii="Arial" w:hAnsi="Arial" w:cs="Arial"/>
          <w:bdr w:val="single" w:sz="2" w:space="0" w:color="DEE0E3" w:frame="1"/>
        </w:rPr>
        <w:t xml:space="preserve">Processed </w:t>
      </w:r>
      <w:proofErr w:type="gramStart"/>
      <w:r w:rsidRPr="003445F3">
        <w:rPr>
          <w:rStyle w:val="w-fit"/>
          <w:rFonts w:ascii="Arial" w:hAnsi="Arial" w:cs="Arial"/>
          <w:bdr w:val="single" w:sz="2" w:space="0" w:color="DEE0E3" w:frame="1"/>
        </w:rPr>
        <w:t>by :</w:t>
      </w:r>
      <w:proofErr w:type="gramEnd"/>
      <w:r w:rsidRPr="003445F3">
        <w:rPr>
          <w:rStyle w:val="w-fit"/>
          <w:rFonts w:ascii="Arial" w:hAnsi="Arial" w:cs="Arial"/>
          <w:bdr w:val="single" w:sz="2" w:space="0" w:color="DEE0E3" w:frame="1"/>
        </w:rPr>
        <w:t xml:space="preserve"> </w:t>
      </w:r>
      <w:proofErr w:type="spellStart"/>
      <w:r w:rsidRPr="003445F3">
        <w:rPr>
          <w:rStyle w:val="w-fit"/>
          <w:rFonts w:ascii="Arial" w:hAnsi="Arial" w:cs="Arial"/>
          <w:bdr w:val="single" w:sz="2" w:space="0" w:color="DEE0E3" w:frame="1"/>
        </w:rPr>
        <w:t>Asril</w:t>
      </w:r>
      <w:proofErr w:type="spellEnd"/>
      <w:r w:rsidRPr="003445F3">
        <w:rPr>
          <w:rStyle w:val="w-fit"/>
          <w:rFonts w:ascii="Arial" w:hAnsi="Arial" w:cs="Arial"/>
          <w:bdr w:val="single" w:sz="2" w:space="0" w:color="DEE0E3" w:frame="1"/>
        </w:rPr>
        <w:t xml:space="preserve"> Maulana et al., (2025)</w:t>
      </w:r>
      <w:r w:rsidRPr="003445F3">
        <w:rPr>
          <w:rFonts w:ascii="Arial" w:hAnsi="Arial" w:cs="Arial"/>
        </w:rPr>
        <w:t>.</w:t>
      </w:r>
    </w:p>
    <w:p w14:paraId="649DDB18" w14:textId="505E66EB" w:rsidR="00482CC9" w:rsidRPr="003445F3" w:rsidRDefault="00482CC9" w:rsidP="005C2D2B">
      <w:pPr>
        <w:jc w:val="center"/>
        <w:rPr>
          <w:rFonts w:ascii="Arial" w:hAnsi="Arial" w:cs="Arial"/>
        </w:rPr>
      </w:pPr>
    </w:p>
    <w:p w14:paraId="470EC241" w14:textId="1C3F20E4" w:rsidR="00A67D94" w:rsidRPr="003445F3" w:rsidRDefault="00482CC9" w:rsidP="005C2D2B">
      <w:pPr>
        <w:ind w:firstLine="720"/>
        <w:jc w:val="both"/>
        <w:rPr>
          <w:rFonts w:ascii="Arial" w:hAnsi="Arial" w:cs="Arial"/>
        </w:rPr>
      </w:pPr>
      <w:r w:rsidRPr="003445F3">
        <w:rPr>
          <w:rFonts w:ascii="Arial" w:hAnsi="Arial" w:cs="Arial"/>
        </w:rPr>
        <w:t>According to Figure 1, the Return on Assets (ROA) of Islamic Commercial Banks in 2019 stood at 1.73%. However, this figure declined to 1.40% in 2020, primarily as a result of the global economic turmoil caused by the pandemic. Throughout the 2019–2023 period, the financial performance of Islamic Commercial Banks showed noticeable fluctuations. Despite the economic challenges, ROA improved to 1.55% in 2021, reflecting the sector’s resilience amidst widespread downturns in other industries. The Islamic finance sector succeeded in sustaining its presence, as indicated by the rise in ROA to 2.00% in 2022. However, this figure declined again to 1.88% in 2023. The continued fluctuations in ROA over the past five years reflect that the overall expansion of Islamic banking has yet to establish a consistently solid and upward trajectory.</w:t>
      </w:r>
      <w:r w:rsidR="009B2ACC" w:rsidRPr="003445F3">
        <w:rPr>
          <w:rFonts w:ascii="Arial" w:hAnsi="Arial" w:cs="Arial"/>
        </w:rPr>
        <w:t xml:space="preserve"> </w:t>
      </w:r>
    </w:p>
    <w:p w14:paraId="3390601B" w14:textId="05A0A751" w:rsidR="00482CC9" w:rsidRPr="003445F3" w:rsidRDefault="00482CC9" w:rsidP="005C2D2B">
      <w:pPr>
        <w:ind w:firstLine="720"/>
        <w:jc w:val="both"/>
        <w:rPr>
          <w:rFonts w:ascii="Arial" w:hAnsi="Arial" w:cs="Arial"/>
          <w:lang w:eastAsia="en-ID"/>
        </w:rPr>
      </w:pPr>
      <w:r w:rsidRPr="003445F3">
        <w:rPr>
          <w:rFonts w:ascii="Arial" w:hAnsi="Arial" w:cs="Arial"/>
          <w:lang w:eastAsia="en-ID"/>
        </w:rPr>
        <w:t xml:space="preserve">The financial performance of Islamic banking in Indonesia still shows volatility and has yet to reach its full potential, which calls for strategies that can enhance </w:t>
      </w:r>
      <w:r w:rsidRPr="003445F3">
        <w:rPr>
          <w:rFonts w:ascii="Arial" w:hAnsi="Arial" w:cs="Arial"/>
        </w:rPr>
        <w:t>performance</w:t>
      </w:r>
      <w:r w:rsidRPr="003445F3">
        <w:rPr>
          <w:rFonts w:ascii="Arial" w:hAnsi="Arial" w:cs="Arial"/>
          <w:lang w:eastAsia="en-ID"/>
        </w:rPr>
        <w:t xml:space="preserve"> in a sustainable manner—one of which is through the effective implementation of CSR and GCG (Maulana et al., 2025; </w:t>
      </w:r>
      <w:proofErr w:type="spellStart"/>
      <w:r w:rsidRPr="003445F3">
        <w:rPr>
          <w:rFonts w:ascii="Arial" w:hAnsi="Arial" w:cs="Arial"/>
          <w:lang w:eastAsia="en-ID"/>
        </w:rPr>
        <w:t>Suci</w:t>
      </w:r>
      <w:proofErr w:type="spellEnd"/>
      <w:r w:rsidRPr="003445F3">
        <w:rPr>
          <w:rFonts w:ascii="Arial" w:hAnsi="Arial" w:cs="Arial"/>
          <w:lang w:eastAsia="en-ID"/>
        </w:rPr>
        <w:t xml:space="preserve"> &amp; </w:t>
      </w:r>
      <w:proofErr w:type="spellStart"/>
      <w:r w:rsidRPr="003445F3">
        <w:rPr>
          <w:rFonts w:ascii="Arial" w:hAnsi="Arial" w:cs="Arial"/>
          <w:lang w:eastAsia="en-ID"/>
        </w:rPr>
        <w:t>Muflih</w:t>
      </w:r>
      <w:proofErr w:type="spellEnd"/>
      <w:r w:rsidRPr="003445F3">
        <w:rPr>
          <w:rFonts w:ascii="Arial" w:hAnsi="Arial" w:cs="Arial"/>
          <w:lang w:eastAsia="en-ID"/>
        </w:rPr>
        <w:t>, 2024). According to the World Business Council for Sustainable Development (WBCSD), CSR refers to business commitments that contribute to sustainable economic development by working with employees and local communities to improve quality of life in ways that are beneficial for both the business and societal development. CSR is believed to strengthen reputation, customer loyalty, and public trust, which ultimately has a positive impact on financial performance (</w:t>
      </w:r>
      <w:proofErr w:type="spellStart"/>
      <w:r w:rsidRPr="003445F3">
        <w:rPr>
          <w:rFonts w:ascii="Arial" w:hAnsi="Arial" w:cs="Arial"/>
          <w:lang w:eastAsia="en-ID"/>
        </w:rPr>
        <w:t>Handayani</w:t>
      </w:r>
      <w:proofErr w:type="spellEnd"/>
      <w:r w:rsidRPr="003445F3">
        <w:rPr>
          <w:rFonts w:ascii="Arial" w:hAnsi="Arial" w:cs="Arial"/>
          <w:lang w:eastAsia="en-ID"/>
        </w:rPr>
        <w:t xml:space="preserve">, </w:t>
      </w:r>
      <w:proofErr w:type="spellStart"/>
      <w:r w:rsidRPr="003445F3">
        <w:rPr>
          <w:rFonts w:ascii="Arial" w:hAnsi="Arial" w:cs="Arial"/>
          <w:lang w:eastAsia="en-ID"/>
        </w:rPr>
        <w:t>Wahyudi</w:t>
      </w:r>
      <w:proofErr w:type="spellEnd"/>
      <w:r w:rsidRPr="003445F3">
        <w:rPr>
          <w:rFonts w:ascii="Arial" w:hAnsi="Arial" w:cs="Arial"/>
          <w:lang w:eastAsia="en-ID"/>
        </w:rPr>
        <w:t xml:space="preserve">, &amp; </w:t>
      </w:r>
      <w:proofErr w:type="spellStart"/>
      <w:r w:rsidRPr="003445F3">
        <w:rPr>
          <w:rFonts w:ascii="Arial" w:hAnsi="Arial" w:cs="Arial"/>
          <w:lang w:eastAsia="en-ID"/>
        </w:rPr>
        <w:t>Suharnomo</w:t>
      </w:r>
      <w:proofErr w:type="spellEnd"/>
      <w:r w:rsidRPr="003445F3">
        <w:rPr>
          <w:rFonts w:ascii="Arial" w:hAnsi="Arial" w:cs="Arial"/>
          <w:lang w:eastAsia="en-ID"/>
        </w:rPr>
        <w:t xml:space="preserve">, 2017; </w:t>
      </w:r>
      <w:proofErr w:type="spellStart"/>
      <w:r w:rsidRPr="003445F3">
        <w:rPr>
          <w:rFonts w:ascii="Arial" w:hAnsi="Arial" w:cs="Arial"/>
          <w:lang w:eastAsia="en-ID"/>
        </w:rPr>
        <w:t>Haryono</w:t>
      </w:r>
      <w:proofErr w:type="spellEnd"/>
      <w:r w:rsidRPr="003445F3">
        <w:rPr>
          <w:rFonts w:ascii="Arial" w:hAnsi="Arial" w:cs="Arial"/>
          <w:lang w:eastAsia="en-ID"/>
        </w:rPr>
        <w:t xml:space="preserve"> &amp; Iskandar, 2015). The implementation of CSR has been proven to have a positive effect on financial performance (</w:t>
      </w:r>
      <w:proofErr w:type="spellStart"/>
      <w:r w:rsidRPr="003445F3">
        <w:rPr>
          <w:rFonts w:ascii="Arial" w:hAnsi="Arial" w:cs="Arial"/>
          <w:lang w:eastAsia="en-ID"/>
        </w:rPr>
        <w:t>Yeni</w:t>
      </w:r>
      <w:proofErr w:type="spellEnd"/>
      <w:r w:rsidRPr="003445F3">
        <w:rPr>
          <w:rFonts w:ascii="Arial" w:hAnsi="Arial" w:cs="Arial"/>
          <w:lang w:eastAsia="en-ID"/>
        </w:rPr>
        <w:t xml:space="preserve"> et al., 2024). Thus, CSR plays a crucial role in enhancing firm value </w:t>
      </w:r>
      <w:r w:rsidRPr="003445F3">
        <w:rPr>
          <w:rFonts w:ascii="Arial" w:hAnsi="Arial" w:cs="Arial"/>
          <w:lang w:eastAsia="en-ID"/>
        </w:rPr>
        <w:lastRenderedPageBreak/>
        <w:t xml:space="preserve">through increased sales generated by various social initiatives. However, prior studies have shown inconsistent findings. For instance, </w:t>
      </w:r>
      <w:proofErr w:type="spellStart"/>
      <w:r w:rsidRPr="003445F3">
        <w:rPr>
          <w:rFonts w:ascii="Arial" w:hAnsi="Arial" w:cs="Arial"/>
          <w:lang w:eastAsia="en-ID"/>
        </w:rPr>
        <w:t>Cahyaningrum</w:t>
      </w:r>
      <w:proofErr w:type="spellEnd"/>
      <w:r w:rsidRPr="003445F3">
        <w:rPr>
          <w:rFonts w:ascii="Arial" w:hAnsi="Arial" w:cs="Arial"/>
          <w:lang w:eastAsia="en-ID"/>
        </w:rPr>
        <w:t xml:space="preserve"> et al. (2022) found that corporate social responsibility had no significant effect on a company’s financial performance. These inconsistencies indicate a research gap that warrants further investigation into the direct and indirect effects of CSR on financial outcomes (Putri &amp; </w:t>
      </w:r>
      <w:proofErr w:type="spellStart"/>
      <w:r w:rsidRPr="003445F3">
        <w:rPr>
          <w:rFonts w:ascii="Arial" w:hAnsi="Arial" w:cs="Arial"/>
          <w:lang w:eastAsia="en-ID"/>
        </w:rPr>
        <w:t>Yuliansyah</w:t>
      </w:r>
      <w:proofErr w:type="spellEnd"/>
      <w:r w:rsidRPr="003445F3">
        <w:rPr>
          <w:rFonts w:ascii="Arial" w:hAnsi="Arial" w:cs="Arial"/>
          <w:lang w:eastAsia="en-ID"/>
        </w:rPr>
        <w:t>, 2021).</w:t>
      </w:r>
      <w:r w:rsidR="009B2ACC" w:rsidRPr="003445F3">
        <w:rPr>
          <w:rFonts w:ascii="Arial" w:hAnsi="Arial" w:cs="Arial"/>
          <w:lang w:eastAsia="en-ID"/>
        </w:rPr>
        <w:t xml:space="preserve"> </w:t>
      </w:r>
      <w:r w:rsidR="009B2ACC" w:rsidRPr="003445F3">
        <w:rPr>
          <w:rFonts w:ascii="Arial" w:hAnsi="Arial" w:cs="Arial"/>
        </w:rPr>
        <w:t>Such instability underscores the need for internal mechanisms that can balance financial objectives with ethical mandates, particularly through initiatives such as Corporate Social Responsibility (CSR) and Good Corporate Governance (GCG), which are essential in aligning the banks' financial goals with their Sharia-based identity (</w:t>
      </w:r>
      <w:proofErr w:type="spellStart"/>
      <w:r w:rsidR="009B2ACC" w:rsidRPr="003445F3">
        <w:rPr>
          <w:rFonts w:ascii="Arial" w:hAnsi="Arial" w:cs="Arial"/>
        </w:rPr>
        <w:t>Hafidz</w:t>
      </w:r>
      <w:proofErr w:type="spellEnd"/>
      <w:r w:rsidR="009B2ACC" w:rsidRPr="003445F3">
        <w:rPr>
          <w:rFonts w:ascii="Arial" w:hAnsi="Arial" w:cs="Arial"/>
        </w:rPr>
        <w:t xml:space="preserve"> et al., 2025). </w:t>
      </w:r>
      <w:proofErr w:type="spellStart"/>
      <w:r w:rsidR="009B2ACC" w:rsidRPr="003445F3">
        <w:rPr>
          <w:rFonts w:ascii="Arial" w:hAnsi="Arial" w:cs="Arial"/>
        </w:rPr>
        <w:t>Hafidz</w:t>
      </w:r>
      <w:proofErr w:type="spellEnd"/>
      <w:r w:rsidR="009B2ACC" w:rsidRPr="003445F3">
        <w:rPr>
          <w:rFonts w:ascii="Arial" w:hAnsi="Arial" w:cs="Arial"/>
        </w:rPr>
        <w:t xml:space="preserve"> et al. (2025) support this view by showing that CSR, when aligned with Islamic values and embedded into the corporate structure, can serve not only as a social instrument but also as a competitive advantage in enhancing financial outcomes in Islamic banks.</w:t>
      </w:r>
    </w:p>
    <w:p w14:paraId="44C3AD85" w14:textId="7F3F772F" w:rsidR="00482CC9" w:rsidRPr="003445F3" w:rsidRDefault="00482CC9" w:rsidP="005C2D2B">
      <w:pPr>
        <w:ind w:firstLine="720"/>
        <w:jc w:val="both"/>
        <w:rPr>
          <w:rFonts w:ascii="Arial" w:hAnsi="Arial" w:cs="Arial"/>
          <w:lang w:eastAsia="en-ID"/>
        </w:rPr>
      </w:pPr>
      <w:r w:rsidRPr="003445F3">
        <w:rPr>
          <w:rFonts w:ascii="Arial" w:hAnsi="Arial" w:cs="Arial"/>
          <w:lang w:eastAsia="en-ID"/>
        </w:rPr>
        <w:t xml:space="preserve">Implementation of GCG has proven to be vital in improving financial performance and managing risk, though some studies suggest its influence is not always significant or may be moderated by other variables such as Non-Performing Financing (NPF) (Sari et al., 2025). This study explicitly emphasizes the need for deeper analysis of the moderating role of GCG, particularly as measured by board structure and gender diversity, in the relationship between CSR and financial performance—especially in the context of Islamic banking in Indonesia, which has its own distinct characteristics. Here, the role of Good Corporate Governance (GCG) becomes particularly important, especially in terms of board size of director and board gender diversity. An optimal board size is believed to influence the effectiveness of decision-making, risk oversight, and strategic efficiency. A board that is too small may lack competence and diversity of thought, while a board that is too large can hinder decision-making efficiency. Research by </w:t>
      </w:r>
      <w:proofErr w:type="spellStart"/>
      <w:r w:rsidRPr="003445F3">
        <w:rPr>
          <w:rFonts w:ascii="Arial" w:hAnsi="Arial" w:cs="Arial"/>
          <w:lang w:eastAsia="en-ID"/>
        </w:rPr>
        <w:t>Fauzi</w:t>
      </w:r>
      <w:proofErr w:type="spellEnd"/>
      <w:r w:rsidRPr="003445F3">
        <w:rPr>
          <w:rFonts w:ascii="Arial" w:hAnsi="Arial" w:cs="Arial"/>
          <w:lang w:eastAsia="en-ID"/>
        </w:rPr>
        <w:t xml:space="preserve"> and Idris (2022) showed that board size is significantly associated with improved CSR oversight and accountability of social programs. Their study underscores that the size and competence of the board determine how strategically CSR is implemented to support financial performance.</w:t>
      </w:r>
      <w:r w:rsidR="009B2ACC" w:rsidRPr="003445F3">
        <w:rPr>
          <w:rFonts w:ascii="Arial" w:hAnsi="Arial" w:cs="Arial"/>
          <w:lang w:eastAsia="en-ID"/>
        </w:rPr>
        <w:t xml:space="preserve"> </w:t>
      </w:r>
      <w:proofErr w:type="spellStart"/>
      <w:r w:rsidR="009B2ACC" w:rsidRPr="003445F3">
        <w:rPr>
          <w:rFonts w:ascii="Arial" w:hAnsi="Arial" w:cs="Arial"/>
        </w:rPr>
        <w:t>Dwitarani</w:t>
      </w:r>
      <w:proofErr w:type="spellEnd"/>
      <w:r w:rsidR="009B2ACC" w:rsidRPr="003445F3">
        <w:rPr>
          <w:rFonts w:ascii="Arial" w:hAnsi="Arial" w:cs="Arial"/>
        </w:rPr>
        <w:t xml:space="preserve"> et al. (2023) also highlight that board size can strengthen social disclosure but does not necessarily lead to better financial outcomes unless supported by governance effectiveness.</w:t>
      </w:r>
    </w:p>
    <w:p w14:paraId="7E96CBE0" w14:textId="40CC3F15" w:rsidR="009B2ACC" w:rsidRPr="003445F3" w:rsidRDefault="00482CC9" w:rsidP="005C2D2B">
      <w:pPr>
        <w:ind w:firstLine="720"/>
        <w:jc w:val="both"/>
        <w:rPr>
          <w:rFonts w:ascii="Arial" w:hAnsi="Arial" w:cs="Arial"/>
          <w:lang w:eastAsia="en-ID"/>
        </w:rPr>
      </w:pPr>
      <w:r w:rsidRPr="003445F3">
        <w:rPr>
          <w:rFonts w:ascii="Arial" w:hAnsi="Arial" w:cs="Arial"/>
          <w:lang w:eastAsia="en-ID"/>
        </w:rPr>
        <w:t xml:space="preserve">Previous studies also indicate that board attributes may serve as moderating variables, either strengthening or weakening the impact of CSR on financial </w:t>
      </w:r>
      <w:r w:rsidRPr="003445F3">
        <w:rPr>
          <w:rFonts w:ascii="Arial" w:hAnsi="Arial" w:cs="Arial"/>
        </w:rPr>
        <w:t>performance</w:t>
      </w:r>
      <w:r w:rsidRPr="003445F3">
        <w:rPr>
          <w:rFonts w:ascii="Arial" w:hAnsi="Arial" w:cs="Arial"/>
          <w:lang w:eastAsia="en-ID"/>
        </w:rPr>
        <w:t xml:space="preserve">, depending on the quality of board engagement (El </w:t>
      </w:r>
      <w:proofErr w:type="spellStart"/>
      <w:r w:rsidRPr="003445F3">
        <w:rPr>
          <w:rFonts w:ascii="Arial" w:hAnsi="Arial" w:cs="Arial"/>
          <w:lang w:eastAsia="en-ID"/>
        </w:rPr>
        <w:t>Gammal</w:t>
      </w:r>
      <w:proofErr w:type="spellEnd"/>
      <w:r w:rsidRPr="003445F3">
        <w:rPr>
          <w:rFonts w:ascii="Arial" w:hAnsi="Arial" w:cs="Arial"/>
          <w:lang w:eastAsia="en-ID"/>
        </w:rPr>
        <w:t xml:space="preserve">, Yassine, &amp; Fakih, 2020). A board gender diversity may offer broader perspectives and enhance social awareness in CSR initiatives. However, Abu Alia et al. (2024) emphasize that these positive effects materialize only when female board members hold substantive, rather than symbolic, roles. The involvement of women in strategic positions has been shown to broaden decision-making perspectives, improve a company’s social sensitivity, and lead to more inclusive policy innovations. In the generally conservative landscape of Islamic banking, the presence of women in board roles can become a distinguishing factor that increases public trust in values-based financial institutions. Arifin and </w:t>
      </w:r>
      <w:proofErr w:type="spellStart"/>
      <w:r w:rsidRPr="003445F3">
        <w:rPr>
          <w:rFonts w:ascii="Arial" w:hAnsi="Arial" w:cs="Arial"/>
          <w:lang w:eastAsia="en-ID"/>
        </w:rPr>
        <w:t>Nurhayati</w:t>
      </w:r>
      <w:proofErr w:type="spellEnd"/>
      <w:r w:rsidRPr="003445F3">
        <w:rPr>
          <w:rFonts w:ascii="Arial" w:hAnsi="Arial" w:cs="Arial"/>
          <w:lang w:eastAsia="en-ID"/>
        </w:rPr>
        <w:t xml:space="preserve"> (2020) stated that Islamic banks with more gender-diverse boards tend to have more structured and impactful CSR programs. Additionally, a study by </w:t>
      </w:r>
      <w:proofErr w:type="spellStart"/>
      <w:r w:rsidRPr="003445F3">
        <w:rPr>
          <w:rFonts w:ascii="Arial" w:hAnsi="Arial" w:cs="Arial"/>
          <w:lang w:eastAsia="en-ID"/>
        </w:rPr>
        <w:t>Amri</w:t>
      </w:r>
      <w:proofErr w:type="spellEnd"/>
      <w:r w:rsidRPr="003445F3">
        <w:rPr>
          <w:rFonts w:ascii="Arial" w:hAnsi="Arial" w:cs="Arial"/>
          <w:lang w:eastAsia="en-ID"/>
        </w:rPr>
        <w:t xml:space="preserve"> and </w:t>
      </w:r>
      <w:proofErr w:type="spellStart"/>
      <w:r w:rsidRPr="003445F3">
        <w:rPr>
          <w:rFonts w:ascii="Arial" w:hAnsi="Arial" w:cs="Arial"/>
          <w:lang w:eastAsia="en-ID"/>
        </w:rPr>
        <w:t>Prasetya</w:t>
      </w:r>
      <w:proofErr w:type="spellEnd"/>
      <w:r w:rsidRPr="003445F3">
        <w:rPr>
          <w:rFonts w:ascii="Arial" w:hAnsi="Arial" w:cs="Arial"/>
          <w:lang w:eastAsia="en-ID"/>
        </w:rPr>
        <w:t xml:space="preserve"> (2023) demonstrated that gender diversity within the board of commissioners correlates positively with a firm’s social efficiency and investor trust. </w:t>
      </w:r>
      <w:proofErr w:type="spellStart"/>
      <w:r w:rsidR="009B2ACC" w:rsidRPr="003445F3">
        <w:rPr>
          <w:rFonts w:ascii="Arial" w:hAnsi="Arial" w:cs="Arial"/>
        </w:rPr>
        <w:t>Pratama</w:t>
      </w:r>
      <w:proofErr w:type="spellEnd"/>
      <w:r w:rsidR="009B2ACC" w:rsidRPr="003445F3">
        <w:rPr>
          <w:rFonts w:ascii="Arial" w:hAnsi="Arial" w:cs="Arial"/>
        </w:rPr>
        <w:t xml:space="preserve"> et al. (2020) further emphasize that gender diversity within boards not only encourages CSR transparency but also facilitates more ethical and stakeholder-oriented strategies, aligning with the Islamic banking ethos. </w:t>
      </w:r>
      <w:r w:rsidRPr="003445F3">
        <w:rPr>
          <w:rFonts w:ascii="Arial" w:hAnsi="Arial" w:cs="Arial"/>
          <w:lang w:eastAsia="en-ID"/>
        </w:rPr>
        <w:t xml:space="preserve">Given that CSR in Islamic banking is based on </w:t>
      </w:r>
      <w:proofErr w:type="spellStart"/>
      <w:r w:rsidRPr="003445F3">
        <w:rPr>
          <w:rFonts w:ascii="Arial" w:hAnsi="Arial" w:cs="Arial"/>
          <w:i/>
          <w:iCs/>
          <w:lang w:eastAsia="en-ID"/>
        </w:rPr>
        <w:t>maqashid</w:t>
      </w:r>
      <w:proofErr w:type="spellEnd"/>
      <w:r w:rsidRPr="003445F3">
        <w:rPr>
          <w:rFonts w:ascii="Arial" w:hAnsi="Arial" w:cs="Arial"/>
          <w:lang w:eastAsia="en-ID"/>
        </w:rPr>
        <w:t xml:space="preserve"> Sharia principles—which integrate ethical, social, and economic objectives—examining how GCG mechanisms, especially board size and gender diversity, moderate the relationship between CSR and financial performance is essential in assessing the strategic governance role in value creation.</w:t>
      </w:r>
    </w:p>
    <w:p w14:paraId="2AA58162" w14:textId="208388BB" w:rsidR="00285617" w:rsidRDefault="00482CC9" w:rsidP="005C2D2B">
      <w:pPr>
        <w:ind w:firstLine="720"/>
        <w:jc w:val="both"/>
        <w:rPr>
          <w:rFonts w:ascii="Arial" w:hAnsi="Arial" w:cs="Arial"/>
        </w:rPr>
      </w:pPr>
      <w:r w:rsidRPr="003445F3">
        <w:rPr>
          <w:rFonts w:ascii="Arial" w:hAnsi="Arial" w:cs="Arial"/>
        </w:rPr>
        <w:t xml:space="preserve">This study aims to examine the impact of Corporate Social Responsibility (CSR) on the financial performance of Indonesian Islamic commercial banks, as reflected by Return on Assets (ROA) over the 2018–2023 period. Additionally, it seeks to explore the moderating role of Good Corporate Governance (GCG), represented by board size and board gender diversity, in the relationship between CSR and financial performance. </w:t>
      </w:r>
      <w:r w:rsidRPr="003445F3">
        <w:rPr>
          <w:rFonts w:ascii="Arial" w:hAnsi="Arial" w:cs="Arial"/>
        </w:rPr>
        <w:lastRenderedPageBreak/>
        <w:t>Through these objectives, the study aspires to offer a more in-depth understanding of the factors that affect the financial performance of Islamic banks in Indonesia, and to provide strategic recommendations for enhancing performance through more effective implementation of CSR and GCG.</w:t>
      </w:r>
      <w:r w:rsidR="00A67D94">
        <w:rPr>
          <w:rFonts w:ascii="Arial" w:hAnsi="Arial" w:cs="Arial"/>
        </w:rPr>
        <w:t xml:space="preserve"> </w:t>
      </w:r>
      <w:r w:rsidR="00A67D94" w:rsidRPr="00A67D94">
        <w:rPr>
          <w:rFonts w:ascii="Arial" w:hAnsi="Arial" w:cs="Arial"/>
        </w:rPr>
        <w:t>In Islamic finance, CSR and GCG are not merely regulatory requirements but are deeply rooted in the ethical and moral values embedded in Sharia principles. Concepts such as justice (‘</w:t>
      </w:r>
      <w:proofErr w:type="spellStart"/>
      <w:r w:rsidR="00A67D94" w:rsidRPr="00A67D94">
        <w:rPr>
          <w:rFonts w:ascii="Arial" w:hAnsi="Arial" w:cs="Arial"/>
        </w:rPr>
        <w:t>adl</w:t>
      </w:r>
      <w:proofErr w:type="spellEnd"/>
      <w:r w:rsidR="00A67D94" w:rsidRPr="00A67D94">
        <w:rPr>
          <w:rFonts w:ascii="Arial" w:hAnsi="Arial" w:cs="Arial"/>
        </w:rPr>
        <w:t>), accountability (</w:t>
      </w:r>
      <w:proofErr w:type="spellStart"/>
      <w:r w:rsidR="00A67D94" w:rsidRPr="00A67D94">
        <w:rPr>
          <w:rFonts w:ascii="Arial" w:hAnsi="Arial" w:cs="Arial"/>
        </w:rPr>
        <w:t>mas’uliyyah</w:t>
      </w:r>
      <w:proofErr w:type="spellEnd"/>
      <w:r w:rsidR="00A67D94" w:rsidRPr="00A67D94">
        <w:rPr>
          <w:rFonts w:ascii="Arial" w:hAnsi="Arial" w:cs="Arial"/>
        </w:rPr>
        <w:t>), and public welfare (</w:t>
      </w:r>
      <w:proofErr w:type="spellStart"/>
      <w:r w:rsidR="00A67D94" w:rsidRPr="00A67D94">
        <w:rPr>
          <w:rFonts w:ascii="Arial" w:hAnsi="Arial" w:cs="Arial"/>
        </w:rPr>
        <w:t>maslahah</w:t>
      </w:r>
      <w:proofErr w:type="spellEnd"/>
      <w:r w:rsidR="00A67D94" w:rsidRPr="00A67D94">
        <w:rPr>
          <w:rFonts w:ascii="Arial" w:hAnsi="Arial" w:cs="Arial"/>
        </w:rPr>
        <w:t>) form the foundation for how Islamic banks operate and engage with their stakeholders. These principles encourage organizations to go beyond profit maximization by fostering transparency, social equity, and sustainability in business conduct (</w:t>
      </w:r>
      <w:proofErr w:type="spellStart"/>
      <w:r w:rsidR="00A67D94" w:rsidRPr="00A67D94">
        <w:rPr>
          <w:rFonts w:ascii="Arial" w:hAnsi="Arial" w:cs="Arial"/>
        </w:rPr>
        <w:t>Dusuki</w:t>
      </w:r>
      <w:proofErr w:type="spellEnd"/>
      <w:r w:rsidR="00A67D94" w:rsidRPr="00A67D94">
        <w:rPr>
          <w:rFonts w:ascii="Arial" w:hAnsi="Arial" w:cs="Arial"/>
        </w:rPr>
        <w:t xml:space="preserve"> &amp; Abdullah, 2007; </w:t>
      </w:r>
      <w:proofErr w:type="spellStart"/>
      <w:r w:rsidR="00A67D94" w:rsidRPr="00A67D94">
        <w:rPr>
          <w:rFonts w:ascii="Arial" w:hAnsi="Arial" w:cs="Arial"/>
        </w:rPr>
        <w:t>Sehen</w:t>
      </w:r>
      <w:proofErr w:type="spellEnd"/>
      <w:r w:rsidR="00A67D94" w:rsidRPr="00A67D94">
        <w:rPr>
          <w:rFonts w:ascii="Arial" w:hAnsi="Arial" w:cs="Arial"/>
        </w:rPr>
        <w:t xml:space="preserve"> Issa et al., 2022; </w:t>
      </w:r>
      <w:proofErr w:type="spellStart"/>
      <w:r w:rsidR="00A67D94" w:rsidRPr="00A67D94">
        <w:rPr>
          <w:rFonts w:ascii="Arial" w:hAnsi="Arial" w:cs="Arial"/>
        </w:rPr>
        <w:t>Harahap</w:t>
      </w:r>
      <w:proofErr w:type="spellEnd"/>
      <w:r w:rsidR="00A67D94" w:rsidRPr="00A67D94">
        <w:rPr>
          <w:rFonts w:ascii="Arial" w:hAnsi="Arial" w:cs="Arial"/>
        </w:rPr>
        <w:t>, 2023).</w:t>
      </w:r>
    </w:p>
    <w:p w14:paraId="3795B34A" w14:textId="3A8364EE" w:rsidR="00A32FEE" w:rsidRPr="003445F3" w:rsidRDefault="00A32FEE" w:rsidP="005C2D2B">
      <w:pPr>
        <w:ind w:firstLine="720"/>
        <w:jc w:val="both"/>
        <w:rPr>
          <w:rFonts w:ascii="Arial" w:hAnsi="Arial" w:cs="Arial"/>
          <w:lang w:val="id-ID"/>
        </w:rPr>
      </w:pPr>
      <w:r w:rsidRPr="00A32FEE">
        <w:rPr>
          <w:rFonts w:ascii="Arial" w:hAnsi="Arial" w:cs="Arial"/>
          <w:lang w:val="id-ID"/>
        </w:rPr>
        <w:t>In Indonesia’s rapidly growing Islamic banking sector—founded on ethical accountability and Sharia compliance—the role of Corporate Social Responsibility (CSR) and Good Corporate Governance (GCG) is increasingly critical to achieving sustainable financial performance. Despite the growing literature on CSR and GCG as separate constructs, their combined or interactive effect on financial outcomes remains underexplored, particularly in Sharia-compliant institutions. Given the dual imperative of profit and ethical integrity in Islamic finance, this study is timely and significant in addressing this empirical gap and informing governance practices tailored to the unique demands of Islamic banking.</w:t>
      </w:r>
    </w:p>
    <w:p w14:paraId="1E7A1011" w14:textId="77777777" w:rsidR="005C2D2B" w:rsidRPr="003445F3" w:rsidRDefault="005C2D2B" w:rsidP="005C2D2B">
      <w:pPr>
        <w:ind w:firstLine="720"/>
        <w:jc w:val="both"/>
        <w:rPr>
          <w:rFonts w:ascii="Arial" w:hAnsi="Arial" w:cs="Arial"/>
          <w:lang w:val="id-ID" w:eastAsia="en-ID"/>
        </w:rPr>
      </w:pPr>
    </w:p>
    <w:p w14:paraId="24CDCB50" w14:textId="2D43E0AD" w:rsidR="00285617" w:rsidRPr="003445F3" w:rsidRDefault="00285617" w:rsidP="005C2D2B">
      <w:pPr>
        <w:pStyle w:val="ListParagraph"/>
        <w:numPr>
          <w:ilvl w:val="0"/>
          <w:numId w:val="31"/>
        </w:numPr>
        <w:spacing w:before="0" w:beforeAutospacing="0" w:afterAutospacing="0"/>
        <w:contextualSpacing w:val="0"/>
        <w:rPr>
          <w:rFonts w:ascii="Arial" w:hAnsi="Arial" w:cs="Arial"/>
        </w:rPr>
      </w:pPr>
      <w:r w:rsidRPr="003445F3">
        <w:rPr>
          <w:rFonts w:ascii="Arial" w:hAnsi="Arial" w:cs="Arial"/>
          <w:b/>
          <w:bCs/>
          <w:sz w:val="22"/>
          <w:szCs w:val="22"/>
        </w:rPr>
        <w:t>LITERATURE REVIEW AND HYPOTHESIS DEVELOPMENT</w:t>
      </w:r>
    </w:p>
    <w:p w14:paraId="7EA2C8BA" w14:textId="60054691" w:rsidR="00285617" w:rsidRPr="003445F3" w:rsidRDefault="00285617" w:rsidP="005C2D2B">
      <w:pPr>
        <w:pStyle w:val="ListParagraph"/>
        <w:numPr>
          <w:ilvl w:val="0"/>
          <w:numId w:val="42"/>
        </w:numPr>
        <w:spacing w:before="0" w:beforeAutospacing="0" w:afterAutospacing="0"/>
        <w:ind w:left="360"/>
        <w:contextualSpacing w:val="0"/>
        <w:rPr>
          <w:rFonts w:ascii="Arial" w:hAnsi="Arial" w:cs="Arial"/>
        </w:rPr>
      </w:pPr>
      <w:r w:rsidRPr="003445F3">
        <w:rPr>
          <w:rFonts w:ascii="Arial" w:hAnsi="Arial" w:cs="Arial"/>
          <w:b/>
          <w:bCs/>
        </w:rPr>
        <w:t>Literature Review</w:t>
      </w:r>
    </w:p>
    <w:p w14:paraId="4BC71113" w14:textId="77777777" w:rsidR="005C2D2B" w:rsidRPr="003445F3" w:rsidRDefault="005C2D2B" w:rsidP="005C2D2B">
      <w:pPr>
        <w:pStyle w:val="ListParagraph"/>
        <w:spacing w:before="0" w:beforeAutospacing="0" w:afterAutospacing="0"/>
        <w:ind w:left="360"/>
        <w:contextualSpacing w:val="0"/>
        <w:rPr>
          <w:rFonts w:ascii="Arial" w:hAnsi="Arial" w:cs="Arial"/>
        </w:rPr>
      </w:pPr>
    </w:p>
    <w:p w14:paraId="569B5FFD" w14:textId="77777777" w:rsidR="00766C29" w:rsidRPr="00766C29" w:rsidRDefault="00766C29" w:rsidP="00766C29">
      <w:pPr>
        <w:pStyle w:val="ListParagraph"/>
        <w:ind w:left="357" w:firstLine="720"/>
        <w:rPr>
          <w:rFonts w:ascii="Arial" w:hAnsi="Arial" w:cs="Arial"/>
        </w:rPr>
      </w:pPr>
      <w:r w:rsidRPr="00766C29">
        <w:rPr>
          <w:rFonts w:ascii="Arial" w:hAnsi="Arial" w:cs="Arial"/>
        </w:rPr>
        <w:t>Corporate Social Responsibility (CSR) has gained increasing attention in the financial sector as a strategic mechanism to align business objectives with broader social and ethical considerations. In the context of Islamic banking, where ethical compliance is not merely voluntary but mandated by Sharia principles, CSR assumes an even more central role. While the extant literature provides substantial evidence linking CSR to improved financial performance, the results across regions and institutions remain mixed.</w:t>
      </w:r>
    </w:p>
    <w:p w14:paraId="1B7F077E" w14:textId="1E624D32" w:rsidR="00766C29" w:rsidRPr="00766C29" w:rsidRDefault="00766C29" w:rsidP="00766C29">
      <w:pPr>
        <w:pStyle w:val="ListParagraph"/>
        <w:ind w:left="357" w:firstLine="720"/>
        <w:rPr>
          <w:rFonts w:ascii="Arial" w:hAnsi="Arial" w:cs="Arial"/>
        </w:rPr>
      </w:pPr>
      <w:r w:rsidRPr="00766C29">
        <w:rPr>
          <w:rFonts w:ascii="Arial" w:hAnsi="Arial" w:cs="Arial"/>
        </w:rPr>
        <w:t xml:space="preserve">A recent meta-analysis by Li et al. (2025), synthesizing over 200 empirical studies, confirms that CSR generally has a positive and significant effect on firm financial performance, particularly in developing markets where regulatory frameworks and stakeholder pressures are intensifying. However, the strength and consistency of this relationship are often influenced by institutional, social, and cultural factors. </w:t>
      </w:r>
      <w:proofErr w:type="spellStart"/>
      <w:r w:rsidRPr="00766C29">
        <w:rPr>
          <w:rFonts w:ascii="Arial" w:hAnsi="Arial" w:cs="Arial"/>
        </w:rPr>
        <w:t>Vishwanathan</w:t>
      </w:r>
      <w:proofErr w:type="spellEnd"/>
      <w:r w:rsidRPr="00766C29">
        <w:rPr>
          <w:rFonts w:ascii="Arial" w:hAnsi="Arial" w:cs="Arial"/>
        </w:rPr>
        <w:t xml:space="preserve"> (2020) further emphasizes that CSR outcomes are shaped by stakeholder salience, institutional norms, and the degree to which CSR is embedded in governance structures</w:t>
      </w:r>
      <w:r w:rsidR="00580E07">
        <w:rPr>
          <w:rFonts w:ascii="Arial" w:hAnsi="Arial" w:cs="Arial"/>
        </w:rPr>
        <w:t xml:space="preserve">, </w:t>
      </w:r>
      <w:r w:rsidRPr="00766C29">
        <w:rPr>
          <w:rFonts w:ascii="Arial" w:hAnsi="Arial" w:cs="Arial"/>
        </w:rPr>
        <w:t>highlighting the necessity for localized empirical studies in ethically-driven sectors such as Islamic banking.</w:t>
      </w:r>
    </w:p>
    <w:p w14:paraId="41A59A1B" w14:textId="77777777" w:rsidR="00766C29" w:rsidRPr="00766C29" w:rsidRDefault="00766C29" w:rsidP="00766C29">
      <w:pPr>
        <w:pStyle w:val="ListParagraph"/>
        <w:ind w:left="357" w:firstLine="720"/>
        <w:rPr>
          <w:rFonts w:ascii="Arial" w:hAnsi="Arial" w:cs="Arial"/>
        </w:rPr>
      </w:pPr>
      <w:r w:rsidRPr="00766C29">
        <w:rPr>
          <w:rFonts w:ascii="Arial" w:hAnsi="Arial" w:cs="Arial"/>
        </w:rPr>
        <w:t>The theoretical foundation of this study lies in stakeholder theory (Freeman, 1984), which posits that corporations are accountable not only to shareholders but also to a broad spectrum of stakeholders, including employees, customers, suppliers, regulators, and the wider community. The concept of “stakeholder” refers to individuals and groups, both internal and external, who can affect or be affected by the achievement of an organization’s objectives. Stakeholder theory asserts that executives must consider the interests of these groups to ensure long-term sustainability in dynamic business environments (</w:t>
      </w:r>
      <w:proofErr w:type="spellStart"/>
      <w:r w:rsidRPr="00766C29">
        <w:rPr>
          <w:rFonts w:ascii="Arial" w:hAnsi="Arial" w:cs="Arial"/>
        </w:rPr>
        <w:t>Essel</w:t>
      </w:r>
      <w:proofErr w:type="spellEnd"/>
      <w:r w:rsidRPr="00766C29">
        <w:rPr>
          <w:rFonts w:ascii="Arial" w:hAnsi="Arial" w:cs="Arial"/>
        </w:rPr>
        <w:t xml:space="preserve">, 2023; </w:t>
      </w:r>
      <w:proofErr w:type="spellStart"/>
      <w:r w:rsidRPr="00766C29">
        <w:rPr>
          <w:rFonts w:ascii="Arial" w:hAnsi="Arial" w:cs="Arial"/>
        </w:rPr>
        <w:t>Harjoto</w:t>
      </w:r>
      <w:proofErr w:type="spellEnd"/>
      <w:r w:rsidRPr="00766C29">
        <w:rPr>
          <w:rFonts w:ascii="Arial" w:hAnsi="Arial" w:cs="Arial"/>
        </w:rPr>
        <w:t xml:space="preserve"> et al., 2014).</w:t>
      </w:r>
    </w:p>
    <w:p w14:paraId="26944641" w14:textId="77777777" w:rsidR="00766C29" w:rsidRPr="00766C29" w:rsidRDefault="00766C29" w:rsidP="00766C29">
      <w:pPr>
        <w:pStyle w:val="ListParagraph"/>
        <w:ind w:left="357" w:firstLine="720"/>
        <w:rPr>
          <w:rFonts w:ascii="Arial" w:hAnsi="Arial" w:cs="Arial"/>
        </w:rPr>
      </w:pPr>
      <w:r w:rsidRPr="00766C29">
        <w:rPr>
          <w:rFonts w:ascii="Arial" w:hAnsi="Arial" w:cs="Arial"/>
        </w:rPr>
        <w:t>In recent years, stakeholders have increasingly demanded greater transparency and accountability, particularly regarding social and governance dimensions in business practices. By addressing these expectations through CSR initiatives, companies can reduce reputational risk, build stakeholder trust, and ultimately improve financial performance. In this context, CSR is not merely a philanthropic obligation but a strategic signal of organizational commitment to sustainability and stakeholder alignment (</w:t>
      </w:r>
      <w:proofErr w:type="spellStart"/>
      <w:r w:rsidRPr="00766C29">
        <w:rPr>
          <w:rFonts w:ascii="Arial" w:hAnsi="Arial" w:cs="Arial"/>
        </w:rPr>
        <w:t>Widayanti</w:t>
      </w:r>
      <w:proofErr w:type="spellEnd"/>
      <w:r w:rsidRPr="00766C29">
        <w:rPr>
          <w:rFonts w:ascii="Arial" w:hAnsi="Arial" w:cs="Arial"/>
        </w:rPr>
        <w:t xml:space="preserve">, </w:t>
      </w:r>
      <w:proofErr w:type="spellStart"/>
      <w:r w:rsidRPr="00766C29">
        <w:rPr>
          <w:rFonts w:ascii="Arial" w:hAnsi="Arial" w:cs="Arial"/>
        </w:rPr>
        <w:t>Inayati</w:t>
      </w:r>
      <w:proofErr w:type="spellEnd"/>
      <w:r w:rsidRPr="00766C29">
        <w:rPr>
          <w:rFonts w:ascii="Arial" w:hAnsi="Arial" w:cs="Arial"/>
        </w:rPr>
        <w:t xml:space="preserve">, &amp; </w:t>
      </w:r>
      <w:proofErr w:type="spellStart"/>
      <w:r w:rsidRPr="00766C29">
        <w:rPr>
          <w:rFonts w:ascii="Arial" w:hAnsi="Arial" w:cs="Arial"/>
        </w:rPr>
        <w:t>Pramono</w:t>
      </w:r>
      <w:proofErr w:type="spellEnd"/>
      <w:r w:rsidRPr="00766C29">
        <w:rPr>
          <w:rFonts w:ascii="Arial" w:hAnsi="Arial" w:cs="Arial"/>
        </w:rPr>
        <w:t>, 2023).</w:t>
      </w:r>
    </w:p>
    <w:p w14:paraId="45666C63" w14:textId="44DD00B5" w:rsidR="00766C29" w:rsidRPr="00766C29" w:rsidRDefault="00766C29" w:rsidP="00766C29">
      <w:pPr>
        <w:pStyle w:val="ListParagraph"/>
        <w:ind w:left="357" w:firstLine="720"/>
        <w:rPr>
          <w:rFonts w:ascii="Arial" w:hAnsi="Arial" w:cs="Arial"/>
        </w:rPr>
      </w:pPr>
      <w:r w:rsidRPr="00766C29">
        <w:rPr>
          <w:rFonts w:ascii="Arial" w:hAnsi="Arial" w:cs="Arial"/>
        </w:rPr>
        <w:t xml:space="preserve">Moreover, stakeholder theory supports the integration of Good Corporate Governance (GCG) as a moderating force in the CSR–performance nexus. Board characteristics such as board size and gender diversity play crucial roles in mediating stakeholder interests. Larger boards are typically associated with a </w:t>
      </w:r>
      <w:r w:rsidRPr="00766C29">
        <w:rPr>
          <w:rFonts w:ascii="Arial" w:hAnsi="Arial" w:cs="Arial"/>
        </w:rPr>
        <w:lastRenderedPageBreak/>
        <w:t>broader range of expertise and perspectives, which enhance oversight and strategic decision-making in CSR-related matters (</w:t>
      </w:r>
      <w:proofErr w:type="spellStart"/>
      <w:r w:rsidRPr="00766C29">
        <w:rPr>
          <w:rFonts w:ascii="Arial" w:hAnsi="Arial" w:cs="Arial"/>
        </w:rPr>
        <w:t>Essel</w:t>
      </w:r>
      <w:proofErr w:type="spellEnd"/>
      <w:r w:rsidRPr="00766C29">
        <w:rPr>
          <w:rFonts w:ascii="Arial" w:hAnsi="Arial" w:cs="Arial"/>
        </w:rPr>
        <w:t>, 2023). Concurrently, gender-diverse boards are found to be more responsive to stakeholder concerns and more inclined toward robust CSR performance, thereby contributing positively to financial outcomes (</w:t>
      </w:r>
      <w:proofErr w:type="spellStart"/>
      <w:r w:rsidRPr="00766C29">
        <w:rPr>
          <w:rFonts w:ascii="Arial" w:hAnsi="Arial" w:cs="Arial"/>
        </w:rPr>
        <w:t>Kahloul</w:t>
      </w:r>
      <w:proofErr w:type="spellEnd"/>
      <w:r w:rsidRPr="00766C29">
        <w:rPr>
          <w:rFonts w:ascii="Arial" w:hAnsi="Arial" w:cs="Arial"/>
        </w:rPr>
        <w:t xml:space="preserve"> et al., 2022; Wu et al., 2021; Galbreath, 2018).</w:t>
      </w:r>
      <w:r w:rsidR="00D67ABC">
        <w:rPr>
          <w:rFonts w:ascii="Arial" w:hAnsi="Arial" w:cs="Arial"/>
        </w:rPr>
        <w:t xml:space="preserve"> </w:t>
      </w:r>
      <w:r w:rsidR="00D67ABC">
        <w:t>This study focuses on two key indicators of Good Corporate Governance (GCG)—board size and gender diversity—as moderators in the CSR–financial performance relationship. These proxies are selected based on their empirical relevance and measurability in the Indonesian Islamic banking context. Prior studies suggest that board size reflects organizational capacity for oversight and strategic CSR alignment, while gender diversity is linked to inclusive decision-making and stakeholder responsiveness (Wu et al., 2021; Galbreath, 2018). Other governance indicators, such as board independence or audit quality, were not included due to limitations in data availability and consistency across the sample. Therefore, the selected proxies offer a parsimonious yet theoretically grounded approach to capturing the governance dimensions most pertinent to CSR implementation.</w:t>
      </w:r>
    </w:p>
    <w:p w14:paraId="3E8C18D2" w14:textId="43F33E15" w:rsidR="00766C29" w:rsidRPr="00766C29" w:rsidRDefault="00766C29" w:rsidP="00766C29">
      <w:pPr>
        <w:pStyle w:val="ListParagraph"/>
        <w:ind w:left="357" w:firstLine="720"/>
        <w:rPr>
          <w:rFonts w:ascii="Arial" w:hAnsi="Arial" w:cs="Arial"/>
        </w:rPr>
      </w:pPr>
      <w:r w:rsidRPr="00766C29">
        <w:rPr>
          <w:rFonts w:ascii="Arial" w:hAnsi="Arial" w:cs="Arial"/>
        </w:rPr>
        <w:t xml:space="preserve">Empirical studies echo this theoretical lens. </w:t>
      </w:r>
      <w:proofErr w:type="spellStart"/>
      <w:r w:rsidRPr="00766C29">
        <w:rPr>
          <w:rFonts w:ascii="Arial" w:hAnsi="Arial" w:cs="Arial"/>
        </w:rPr>
        <w:t>Hossan</w:t>
      </w:r>
      <w:proofErr w:type="spellEnd"/>
      <w:r w:rsidRPr="00766C29">
        <w:rPr>
          <w:rFonts w:ascii="Arial" w:hAnsi="Arial" w:cs="Arial"/>
        </w:rPr>
        <w:t xml:space="preserve"> (202</w:t>
      </w:r>
      <w:r w:rsidR="00BE6117">
        <w:rPr>
          <w:rFonts w:ascii="Arial" w:hAnsi="Arial" w:cs="Arial"/>
        </w:rPr>
        <w:t>1</w:t>
      </w:r>
      <w:r w:rsidRPr="00766C29">
        <w:rPr>
          <w:rFonts w:ascii="Arial" w:hAnsi="Arial" w:cs="Arial"/>
        </w:rPr>
        <w:t xml:space="preserve">) demonstrates that both board size and female representation significantly enhance CSR transparency and financial outcomes in South Asian banking. In Islamic banking, </w:t>
      </w:r>
      <w:proofErr w:type="spellStart"/>
      <w:r w:rsidRPr="00766C29">
        <w:rPr>
          <w:rFonts w:ascii="Arial" w:hAnsi="Arial" w:cs="Arial"/>
        </w:rPr>
        <w:t>Tumewang</w:t>
      </w:r>
      <w:proofErr w:type="spellEnd"/>
      <w:r w:rsidRPr="00766C29">
        <w:rPr>
          <w:rFonts w:ascii="Arial" w:hAnsi="Arial" w:cs="Arial"/>
        </w:rPr>
        <w:t xml:space="preserve"> et al. (2024) reveal that banks with stronger internal governance—particularly those emphasizing inclusivity and human capital development—perform better on social and environmental dimensions, though the direct impact on governance indicators remains limited. Rabbani et al. (2024) find that gender diversity in boards modestly moderates the CSR–performance relationship in Islamic banks, albeit with a lower magnitude compared to conventional financial institutions.</w:t>
      </w:r>
      <w:r w:rsidR="009745BE" w:rsidRPr="009745BE">
        <w:t xml:space="preserve"> </w:t>
      </w:r>
      <w:r w:rsidR="009745BE" w:rsidRPr="009745BE">
        <w:rPr>
          <w:rFonts w:ascii="Arial" w:hAnsi="Arial" w:cs="Arial"/>
        </w:rPr>
        <w:t>This study focuses on two GCG indicators: board size and gender diversity. These were selected due to their theoretical relevance and empirical measurability, particularly in emerging markets and Islamic banking contexts. Board size reflects oversight capacity, while gender diversity signals inclusiveness and stakeholder orientation—both critical under stakeholder theory (</w:t>
      </w:r>
      <w:proofErr w:type="spellStart"/>
      <w:r w:rsidR="009745BE" w:rsidRPr="009745BE">
        <w:rPr>
          <w:rFonts w:ascii="Arial" w:hAnsi="Arial" w:cs="Arial"/>
        </w:rPr>
        <w:t>Harjoto</w:t>
      </w:r>
      <w:proofErr w:type="spellEnd"/>
      <w:r w:rsidR="009745BE" w:rsidRPr="009745BE">
        <w:rPr>
          <w:rFonts w:ascii="Arial" w:hAnsi="Arial" w:cs="Arial"/>
        </w:rPr>
        <w:t xml:space="preserve"> et al., 2014; </w:t>
      </w:r>
      <w:proofErr w:type="spellStart"/>
      <w:r w:rsidR="009745BE" w:rsidRPr="009745BE">
        <w:rPr>
          <w:rFonts w:ascii="Arial" w:hAnsi="Arial" w:cs="Arial"/>
        </w:rPr>
        <w:t>Essel</w:t>
      </w:r>
      <w:proofErr w:type="spellEnd"/>
      <w:r w:rsidR="009745BE" w:rsidRPr="009745BE">
        <w:rPr>
          <w:rFonts w:ascii="Arial" w:hAnsi="Arial" w:cs="Arial"/>
        </w:rPr>
        <w:t>, 2023). Compared to less observable governance metrics (e.g., ownership or audit structure), these indicators are more consistently reported and directly linked to CSR and financial outcomes (Rabbani et al., 2020).</w:t>
      </w:r>
    </w:p>
    <w:p w14:paraId="097E929C" w14:textId="74DEF602" w:rsidR="000168D5" w:rsidRPr="001D63A9" w:rsidRDefault="00482CC9" w:rsidP="005C2D2B">
      <w:pPr>
        <w:pStyle w:val="Body"/>
        <w:numPr>
          <w:ilvl w:val="1"/>
          <w:numId w:val="36"/>
        </w:numPr>
        <w:spacing w:after="0"/>
        <w:ind w:left="360"/>
        <w:rPr>
          <w:rFonts w:ascii="Arial" w:hAnsi="Arial" w:cs="Arial"/>
        </w:rPr>
      </w:pPr>
      <w:proofErr w:type="spellStart"/>
      <w:r w:rsidRPr="003445F3">
        <w:rPr>
          <w:rFonts w:ascii="Arial" w:hAnsi="Arial" w:cs="Arial"/>
          <w:b/>
          <w:sz w:val="22"/>
        </w:rPr>
        <w:t>Hypothese</w:t>
      </w:r>
      <w:proofErr w:type="spellEnd"/>
      <w:r w:rsidRPr="003445F3">
        <w:rPr>
          <w:rFonts w:ascii="Arial" w:hAnsi="Arial" w:cs="Arial"/>
          <w:b/>
          <w:sz w:val="22"/>
        </w:rPr>
        <w:t xml:space="preserve"> Development </w:t>
      </w:r>
    </w:p>
    <w:p w14:paraId="289096C6" w14:textId="77777777" w:rsidR="001D63A9" w:rsidRPr="003445F3" w:rsidRDefault="001D63A9" w:rsidP="001D63A9">
      <w:pPr>
        <w:pStyle w:val="Body"/>
        <w:spacing w:after="0"/>
        <w:ind w:left="360"/>
        <w:rPr>
          <w:rFonts w:ascii="Arial" w:hAnsi="Arial" w:cs="Arial"/>
        </w:rPr>
      </w:pPr>
    </w:p>
    <w:p w14:paraId="6AABDDF5" w14:textId="77777777" w:rsidR="00482CC9" w:rsidRPr="003445F3" w:rsidRDefault="00482CC9" w:rsidP="005C2D2B">
      <w:pPr>
        <w:pStyle w:val="Body"/>
        <w:numPr>
          <w:ilvl w:val="0"/>
          <w:numId w:val="35"/>
        </w:numPr>
        <w:spacing w:after="0"/>
        <w:rPr>
          <w:rFonts w:ascii="Arial" w:hAnsi="Arial" w:cs="Arial"/>
          <w:b/>
          <w:bCs/>
        </w:rPr>
      </w:pPr>
      <w:r w:rsidRPr="003445F3">
        <w:rPr>
          <w:rFonts w:ascii="Arial" w:hAnsi="Arial" w:cs="Arial"/>
          <w:b/>
          <w:bCs/>
        </w:rPr>
        <w:t>The effect of CSR disclosure on financial performance.</w:t>
      </w:r>
    </w:p>
    <w:p w14:paraId="4E99F5B7" w14:textId="77777777" w:rsidR="005C2D2B" w:rsidRPr="003445F3" w:rsidRDefault="005C2D2B" w:rsidP="005C2D2B">
      <w:pPr>
        <w:pStyle w:val="Body"/>
        <w:spacing w:after="0"/>
        <w:ind w:left="360"/>
        <w:rPr>
          <w:rFonts w:ascii="Arial" w:hAnsi="Arial" w:cs="Arial"/>
          <w:b/>
          <w:bCs/>
        </w:rPr>
      </w:pPr>
    </w:p>
    <w:p w14:paraId="5E6F00CE" w14:textId="7CC5482C" w:rsidR="00482CC9" w:rsidRPr="003445F3" w:rsidRDefault="00482CC9" w:rsidP="005C2D2B">
      <w:pPr>
        <w:pStyle w:val="ListParagraph"/>
        <w:spacing w:before="0" w:beforeAutospacing="0" w:afterAutospacing="0"/>
        <w:ind w:left="357" w:firstLine="720"/>
        <w:contextualSpacing w:val="0"/>
        <w:rPr>
          <w:rFonts w:ascii="Arial" w:hAnsi="Arial" w:cs="Arial"/>
          <w:b/>
          <w:bCs/>
        </w:rPr>
      </w:pPr>
      <w:r w:rsidRPr="003445F3">
        <w:rPr>
          <w:rFonts w:ascii="Arial" w:hAnsi="Arial" w:cs="Arial"/>
          <w:lang w:eastAsia="en-ID"/>
        </w:rPr>
        <w:t xml:space="preserve">Stakeholder theory argues that firms are accountable not only to shareholders but </w:t>
      </w:r>
      <w:r w:rsidRPr="003445F3">
        <w:rPr>
          <w:rFonts w:ascii="Arial" w:hAnsi="Arial" w:cs="Arial"/>
        </w:rPr>
        <w:t>also</w:t>
      </w:r>
      <w:r w:rsidRPr="003445F3">
        <w:rPr>
          <w:rFonts w:ascii="Arial" w:hAnsi="Arial" w:cs="Arial"/>
          <w:lang w:eastAsia="en-ID"/>
        </w:rPr>
        <w:t xml:space="preserve"> to broader stakeholders, including employees, customers, and communities. In this regard, Corporate Social Responsibility (CSR) serves as a strategic tool to fulfill those obligations and enhance corporate legitimacy and reputation. Empirical evidence supports a positive link between CSR disclosure and financial performance (</w:t>
      </w:r>
      <w:proofErr w:type="spellStart"/>
      <w:r w:rsidRPr="003445F3">
        <w:rPr>
          <w:rFonts w:ascii="Arial" w:hAnsi="Arial" w:cs="Arial"/>
          <w:lang w:eastAsia="en-ID"/>
        </w:rPr>
        <w:t>Hasmi</w:t>
      </w:r>
      <w:proofErr w:type="spellEnd"/>
      <w:r w:rsidRPr="003445F3">
        <w:rPr>
          <w:rFonts w:ascii="Arial" w:hAnsi="Arial" w:cs="Arial"/>
          <w:lang w:eastAsia="en-ID"/>
        </w:rPr>
        <w:t xml:space="preserve"> &amp; </w:t>
      </w:r>
      <w:proofErr w:type="spellStart"/>
      <w:r w:rsidRPr="003445F3">
        <w:rPr>
          <w:rFonts w:ascii="Arial" w:hAnsi="Arial" w:cs="Arial"/>
          <w:lang w:eastAsia="en-ID"/>
        </w:rPr>
        <w:t>Rukmana</w:t>
      </w:r>
      <w:proofErr w:type="spellEnd"/>
      <w:r w:rsidRPr="003445F3">
        <w:rPr>
          <w:rFonts w:ascii="Arial" w:hAnsi="Arial" w:cs="Arial"/>
          <w:lang w:eastAsia="en-ID"/>
        </w:rPr>
        <w:t xml:space="preserve">, 2018; </w:t>
      </w:r>
      <w:proofErr w:type="spellStart"/>
      <w:r w:rsidRPr="003445F3">
        <w:rPr>
          <w:rFonts w:ascii="Arial" w:hAnsi="Arial" w:cs="Arial"/>
          <w:lang w:eastAsia="en-ID"/>
        </w:rPr>
        <w:t>Dewi</w:t>
      </w:r>
      <w:proofErr w:type="spellEnd"/>
      <w:r w:rsidRPr="003445F3">
        <w:rPr>
          <w:rFonts w:ascii="Arial" w:hAnsi="Arial" w:cs="Arial"/>
          <w:lang w:eastAsia="en-ID"/>
        </w:rPr>
        <w:t xml:space="preserve"> &amp; </w:t>
      </w:r>
      <w:proofErr w:type="spellStart"/>
      <w:r w:rsidRPr="003445F3">
        <w:rPr>
          <w:rFonts w:ascii="Arial" w:hAnsi="Arial" w:cs="Arial"/>
          <w:lang w:eastAsia="en-ID"/>
        </w:rPr>
        <w:t>Gustyana</w:t>
      </w:r>
      <w:proofErr w:type="spellEnd"/>
      <w:r w:rsidRPr="003445F3">
        <w:rPr>
          <w:rFonts w:ascii="Arial" w:hAnsi="Arial" w:cs="Arial"/>
          <w:lang w:eastAsia="en-ID"/>
        </w:rPr>
        <w:t xml:space="preserve">, 2020; </w:t>
      </w:r>
      <w:proofErr w:type="spellStart"/>
      <w:r w:rsidRPr="003445F3">
        <w:rPr>
          <w:rFonts w:ascii="Arial" w:hAnsi="Arial" w:cs="Arial"/>
          <w:lang w:eastAsia="en-ID"/>
        </w:rPr>
        <w:t>Maryanti</w:t>
      </w:r>
      <w:proofErr w:type="spellEnd"/>
      <w:r w:rsidRPr="003445F3">
        <w:rPr>
          <w:rFonts w:ascii="Arial" w:hAnsi="Arial" w:cs="Arial"/>
          <w:lang w:eastAsia="en-ID"/>
        </w:rPr>
        <w:t xml:space="preserve"> &amp; </w:t>
      </w:r>
      <w:proofErr w:type="spellStart"/>
      <w:r w:rsidRPr="003445F3">
        <w:rPr>
          <w:rFonts w:ascii="Arial" w:hAnsi="Arial" w:cs="Arial"/>
          <w:lang w:eastAsia="en-ID"/>
        </w:rPr>
        <w:t>Fithri</w:t>
      </w:r>
      <w:proofErr w:type="spellEnd"/>
      <w:r w:rsidRPr="003445F3">
        <w:rPr>
          <w:rFonts w:ascii="Arial" w:hAnsi="Arial" w:cs="Arial"/>
          <w:lang w:eastAsia="en-ID"/>
        </w:rPr>
        <w:t xml:space="preserve">, 2017), as CSR strengthens stakeholder trust and contributes to long-term profitability. </w:t>
      </w:r>
      <w:r w:rsidRPr="003445F3">
        <w:rPr>
          <w:rFonts w:ascii="Arial" w:hAnsi="Arial" w:cs="Arial"/>
        </w:rPr>
        <w:t xml:space="preserve">This relationship is also supported by </w:t>
      </w:r>
      <w:proofErr w:type="spellStart"/>
      <w:r w:rsidRPr="003445F3">
        <w:rPr>
          <w:rFonts w:ascii="Arial" w:hAnsi="Arial" w:cs="Arial"/>
        </w:rPr>
        <w:t>Mariyantini</w:t>
      </w:r>
      <w:proofErr w:type="spellEnd"/>
      <w:r w:rsidRPr="003445F3">
        <w:rPr>
          <w:rFonts w:ascii="Arial" w:hAnsi="Arial" w:cs="Arial"/>
        </w:rPr>
        <w:t xml:space="preserve"> &amp; Putri (2018) and </w:t>
      </w:r>
      <w:proofErr w:type="spellStart"/>
      <w:r w:rsidRPr="003445F3">
        <w:rPr>
          <w:rFonts w:ascii="Arial" w:hAnsi="Arial" w:cs="Arial"/>
        </w:rPr>
        <w:t>Wijayanti</w:t>
      </w:r>
      <w:proofErr w:type="spellEnd"/>
      <w:r w:rsidRPr="003445F3">
        <w:rPr>
          <w:rFonts w:ascii="Arial" w:hAnsi="Arial" w:cs="Arial"/>
        </w:rPr>
        <w:t xml:space="preserve"> (2017), who concluded that CSR initiatives play a positive role in enhancing firm outcomes.</w:t>
      </w:r>
    </w:p>
    <w:p w14:paraId="637EC1E4" w14:textId="2A82F387" w:rsidR="00482CC9" w:rsidRPr="003445F3" w:rsidRDefault="00482CC9" w:rsidP="005C2D2B">
      <w:pPr>
        <w:pStyle w:val="ListParagraph"/>
        <w:spacing w:before="0" w:beforeAutospacing="0" w:afterAutospacing="0"/>
        <w:ind w:left="357" w:firstLine="720"/>
        <w:contextualSpacing w:val="0"/>
        <w:rPr>
          <w:rFonts w:ascii="Arial" w:hAnsi="Arial" w:cs="Arial"/>
          <w:lang w:val="id-ID" w:eastAsia="en-ID"/>
        </w:rPr>
      </w:pPr>
      <w:r w:rsidRPr="003445F3">
        <w:rPr>
          <w:rFonts w:ascii="Arial" w:hAnsi="Arial" w:cs="Arial"/>
          <w:lang w:eastAsia="en-ID"/>
        </w:rPr>
        <w:t xml:space="preserve">In the context of Islamic banking, CSR aligns closely with the principles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 which emphasize justice, transparency, and social welfare. Thus, CSR initiatives in Islamic banks are not only business strategies but also reflect religious </w:t>
      </w:r>
      <w:r w:rsidRPr="003445F3">
        <w:rPr>
          <w:rFonts w:ascii="Arial" w:hAnsi="Arial" w:cs="Arial"/>
        </w:rPr>
        <w:t>and</w:t>
      </w:r>
      <w:r w:rsidRPr="003445F3">
        <w:rPr>
          <w:rFonts w:ascii="Arial" w:hAnsi="Arial" w:cs="Arial"/>
          <w:lang w:eastAsia="en-ID"/>
        </w:rPr>
        <w:t xml:space="preserve"> ethical obligations, potentially leading to enhanced financial outcomes. However, limited studies have explored this relationship in Indonesian Islamic banks, where CSR is expected to comply with both commercial and shariah mandates. Furthermore, prior findings remain inconsistent. For instance, a study by I. Made and </w:t>
      </w:r>
      <w:proofErr w:type="spellStart"/>
      <w:r w:rsidRPr="003445F3">
        <w:rPr>
          <w:rFonts w:ascii="Arial" w:hAnsi="Arial" w:cs="Arial"/>
          <w:lang w:eastAsia="en-ID"/>
        </w:rPr>
        <w:t>Pradna</w:t>
      </w:r>
      <w:proofErr w:type="spellEnd"/>
      <w:r w:rsidRPr="003445F3">
        <w:rPr>
          <w:rFonts w:ascii="Arial" w:hAnsi="Arial" w:cs="Arial"/>
          <w:lang w:eastAsia="en-ID"/>
        </w:rPr>
        <w:t xml:space="preserve"> </w:t>
      </w:r>
      <w:proofErr w:type="spellStart"/>
      <w:r w:rsidRPr="003445F3">
        <w:rPr>
          <w:rFonts w:ascii="Arial" w:hAnsi="Arial" w:cs="Arial"/>
          <w:lang w:eastAsia="en-ID"/>
        </w:rPr>
        <w:t>Wirakanada</w:t>
      </w:r>
      <w:proofErr w:type="spellEnd"/>
      <w:r w:rsidRPr="003445F3">
        <w:rPr>
          <w:rFonts w:ascii="Arial" w:hAnsi="Arial" w:cs="Arial"/>
          <w:lang w:eastAsia="en-ID"/>
        </w:rPr>
        <w:t xml:space="preserve"> (2024) revealed that in Indonesia’s banking sector, CSR implementation significantly influences financial inclusion and firm value, but not the </w:t>
      </w:r>
      <w:r w:rsidRPr="003445F3">
        <w:rPr>
          <w:rFonts w:ascii="Arial" w:hAnsi="Arial" w:cs="Arial"/>
          <w:lang w:eastAsia="en-ID"/>
        </w:rPr>
        <w:lastRenderedPageBreak/>
        <w:t>bank’s own financial performance. This inconsistency highlights a research gap. Therefore, this study tests whether CSR disclosure, rooted in Islamic ethical values, significantly improves financial performance in the context of Islamic banks in Indonesia.</w:t>
      </w:r>
    </w:p>
    <w:p w14:paraId="4AB9115D" w14:textId="77777777" w:rsidR="005C2D2B" w:rsidRPr="003445F3" w:rsidRDefault="005C2D2B" w:rsidP="005C2D2B">
      <w:pPr>
        <w:pStyle w:val="ListParagraph"/>
        <w:spacing w:before="0" w:beforeAutospacing="0" w:afterAutospacing="0"/>
        <w:ind w:left="357" w:firstLine="720"/>
        <w:contextualSpacing w:val="0"/>
        <w:rPr>
          <w:rFonts w:ascii="Arial" w:hAnsi="Arial" w:cs="Arial"/>
          <w:lang w:val="id-ID" w:eastAsia="en-ID"/>
        </w:rPr>
      </w:pPr>
    </w:p>
    <w:p w14:paraId="10E1269E" w14:textId="77777777" w:rsidR="00482CC9" w:rsidRPr="003445F3" w:rsidRDefault="00482CC9" w:rsidP="005C2D2B">
      <w:pPr>
        <w:pStyle w:val="Body"/>
        <w:spacing w:after="0"/>
        <w:ind w:left="360"/>
        <w:rPr>
          <w:rFonts w:ascii="Arial" w:hAnsi="Arial" w:cs="Arial"/>
          <w:lang w:val="id-ID"/>
        </w:rPr>
      </w:pPr>
      <w:r w:rsidRPr="003445F3">
        <w:rPr>
          <w:rFonts w:ascii="Arial" w:hAnsi="Arial" w:cs="Arial"/>
          <w:b/>
          <w:bCs/>
        </w:rPr>
        <w:t>H1</w:t>
      </w:r>
      <w:r w:rsidRPr="003445F3">
        <w:rPr>
          <w:rFonts w:ascii="Arial" w:hAnsi="Arial" w:cs="Arial"/>
        </w:rPr>
        <w:t>: CSR disclosure has a significant positive effect on financial performance.</w:t>
      </w:r>
    </w:p>
    <w:p w14:paraId="03744321" w14:textId="77777777" w:rsidR="005C2D2B" w:rsidRPr="003445F3" w:rsidRDefault="005C2D2B" w:rsidP="005C2D2B">
      <w:pPr>
        <w:pStyle w:val="Body"/>
        <w:spacing w:after="0"/>
        <w:ind w:left="360"/>
        <w:rPr>
          <w:rFonts w:ascii="Arial" w:hAnsi="Arial" w:cs="Arial"/>
          <w:b/>
          <w:bCs/>
          <w:lang w:val="id-ID"/>
        </w:rPr>
      </w:pPr>
    </w:p>
    <w:p w14:paraId="28932642" w14:textId="77777777" w:rsidR="00482CC9" w:rsidRPr="003445F3" w:rsidRDefault="00482CC9" w:rsidP="005C2D2B">
      <w:pPr>
        <w:pStyle w:val="Body"/>
        <w:numPr>
          <w:ilvl w:val="0"/>
          <w:numId w:val="35"/>
        </w:numPr>
        <w:spacing w:after="0"/>
        <w:rPr>
          <w:rFonts w:ascii="Arial" w:hAnsi="Arial" w:cs="Arial"/>
        </w:rPr>
      </w:pPr>
      <w:r w:rsidRPr="003445F3">
        <w:rPr>
          <w:rFonts w:ascii="Arial" w:hAnsi="Arial" w:cs="Arial"/>
          <w:b/>
          <w:bCs/>
        </w:rPr>
        <w:t>The effect of board size on financial performance</w:t>
      </w:r>
    </w:p>
    <w:p w14:paraId="4633948D" w14:textId="77777777" w:rsidR="005C2D2B" w:rsidRPr="003445F3" w:rsidRDefault="005C2D2B" w:rsidP="005C2D2B">
      <w:pPr>
        <w:pStyle w:val="Body"/>
        <w:spacing w:after="0"/>
        <w:ind w:left="360"/>
        <w:rPr>
          <w:rFonts w:ascii="Arial" w:hAnsi="Arial" w:cs="Arial"/>
        </w:rPr>
      </w:pPr>
    </w:p>
    <w:p w14:paraId="302F87EC" w14:textId="376EC0C9" w:rsidR="00482CC9" w:rsidRPr="003445F3" w:rsidRDefault="00482CC9" w:rsidP="005C2D2B">
      <w:pPr>
        <w:pStyle w:val="ListParagraph"/>
        <w:spacing w:before="0" w:beforeAutospacing="0" w:afterAutospacing="0"/>
        <w:ind w:left="357" w:firstLine="720"/>
        <w:contextualSpacing w:val="0"/>
        <w:rPr>
          <w:rFonts w:ascii="Arial" w:hAnsi="Arial" w:cs="Arial"/>
          <w:b/>
          <w:bCs/>
          <w:sz w:val="24"/>
          <w:szCs w:val="24"/>
          <w:lang w:val="id-ID" w:eastAsia="en-ID"/>
        </w:rPr>
      </w:pPr>
      <w:r w:rsidRPr="003445F3">
        <w:rPr>
          <w:rFonts w:ascii="Arial" w:hAnsi="Arial" w:cs="Arial"/>
          <w:lang w:eastAsia="en-ID"/>
        </w:rPr>
        <w:t xml:space="preserve">Board size reflects a firm’s governance structure and its capacity for strategic decision-making. According to stakeholder theory, the board plays a vital role in </w:t>
      </w:r>
      <w:r w:rsidRPr="003445F3">
        <w:rPr>
          <w:rFonts w:ascii="Arial" w:hAnsi="Arial" w:cs="Arial"/>
        </w:rPr>
        <w:t>safeguarding</w:t>
      </w:r>
      <w:r w:rsidRPr="003445F3">
        <w:rPr>
          <w:rFonts w:ascii="Arial" w:hAnsi="Arial" w:cs="Arial"/>
          <w:lang w:eastAsia="en-ID"/>
        </w:rPr>
        <w:t xml:space="preserve"> the interests of diverse stakeholders. In Islamic banking, an effective board structure is essential to uphold the objectives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shariah—particularly justice, transparency, and balance in decision-making. Prior studies report mixed findings. </w:t>
      </w:r>
      <w:proofErr w:type="spellStart"/>
      <w:r w:rsidRPr="003445F3">
        <w:rPr>
          <w:rFonts w:ascii="Arial" w:hAnsi="Arial" w:cs="Arial"/>
          <w:lang w:eastAsia="en-ID"/>
        </w:rPr>
        <w:t>Musah</w:t>
      </w:r>
      <w:proofErr w:type="spellEnd"/>
      <w:r w:rsidRPr="003445F3">
        <w:rPr>
          <w:rFonts w:ascii="Arial" w:hAnsi="Arial" w:cs="Arial"/>
          <w:lang w:eastAsia="en-ID"/>
        </w:rPr>
        <w:t xml:space="preserve"> &amp; </w:t>
      </w:r>
      <w:proofErr w:type="spellStart"/>
      <w:r w:rsidRPr="003445F3">
        <w:rPr>
          <w:rFonts w:ascii="Arial" w:hAnsi="Arial" w:cs="Arial"/>
          <w:lang w:eastAsia="en-ID"/>
        </w:rPr>
        <w:t>Adutwumwaa</w:t>
      </w:r>
      <w:proofErr w:type="spellEnd"/>
      <w:r w:rsidRPr="003445F3">
        <w:rPr>
          <w:rFonts w:ascii="Arial" w:hAnsi="Arial" w:cs="Arial"/>
          <w:lang w:eastAsia="en-ID"/>
        </w:rPr>
        <w:t xml:space="preserve"> (2021) and Al </w:t>
      </w:r>
      <w:proofErr w:type="spellStart"/>
      <w:r w:rsidRPr="003445F3">
        <w:rPr>
          <w:rFonts w:ascii="Arial" w:hAnsi="Arial" w:cs="Arial"/>
          <w:lang w:eastAsia="en-ID"/>
        </w:rPr>
        <w:t>Farooque</w:t>
      </w:r>
      <w:proofErr w:type="spellEnd"/>
      <w:r w:rsidRPr="003445F3">
        <w:rPr>
          <w:rFonts w:ascii="Arial" w:hAnsi="Arial" w:cs="Arial"/>
          <w:lang w:eastAsia="en-ID"/>
        </w:rPr>
        <w:t xml:space="preserve"> et al. (2020) found that larger boards improve financial performance through broader expertise and oversight. Conversely, </w:t>
      </w:r>
      <w:proofErr w:type="spellStart"/>
      <w:r w:rsidRPr="003445F3">
        <w:rPr>
          <w:rFonts w:ascii="Arial" w:hAnsi="Arial" w:cs="Arial"/>
          <w:lang w:eastAsia="en-ID"/>
        </w:rPr>
        <w:t>Isik</w:t>
      </w:r>
      <w:proofErr w:type="spellEnd"/>
      <w:r w:rsidRPr="003445F3">
        <w:rPr>
          <w:rFonts w:ascii="Arial" w:hAnsi="Arial" w:cs="Arial"/>
          <w:lang w:eastAsia="en-ID"/>
        </w:rPr>
        <w:t xml:space="preserve"> &amp; Ince (2016) and Zelalem et al. (2022) argue that smaller boards are more efficient due to faster coordination and accountability. These inconsistencies may arise from differences in governance quality, organizational complexity, and regulatory environments across regions. Given these contradictions, further investigation is necessary in the context of Indonesian Islamic banks, where governance structures are shaped by both corporate and shariah principles</w:t>
      </w:r>
      <w:r w:rsidRPr="003445F3">
        <w:rPr>
          <w:rFonts w:ascii="Arial" w:hAnsi="Arial" w:cs="Arial"/>
          <w:b/>
          <w:bCs/>
          <w:sz w:val="24"/>
          <w:szCs w:val="24"/>
          <w:lang w:eastAsia="en-ID"/>
        </w:rPr>
        <w:t>.</w:t>
      </w:r>
    </w:p>
    <w:p w14:paraId="38DC08AF" w14:textId="77777777" w:rsidR="005C2D2B" w:rsidRPr="003445F3" w:rsidRDefault="005C2D2B" w:rsidP="005C2D2B">
      <w:pPr>
        <w:pStyle w:val="ListParagraph"/>
        <w:spacing w:before="0" w:beforeAutospacing="0" w:afterAutospacing="0"/>
        <w:ind w:left="357" w:firstLine="720"/>
        <w:contextualSpacing w:val="0"/>
        <w:rPr>
          <w:rFonts w:ascii="Arial" w:hAnsi="Arial" w:cs="Arial"/>
          <w:b/>
          <w:bCs/>
          <w:sz w:val="24"/>
          <w:szCs w:val="24"/>
          <w:lang w:val="id-ID" w:eastAsia="en-ID"/>
        </w:rPr>
      </w:pPr>
    </w:p>
    <w:p w14:paraId="2A7E2953" w14:textId="77777777" w:rsidR="00482CC9" w:rsidRPr="003445F3" w:rsidRDefault="00482CC9" w:rsidP="005C2D2B">
      <w:pPr>
        <w:pStyle w:val="Body"/>
        <w:spacing w:after="0"/>
        <w:ind w:left="360"/>
        <w:rPr>
          <w:rFonts w:ascii="Arial" w:hAnsi="Arial" w:cs="Arial"/>
          <w:lang w:val="id-ID"/>
        </w:rPr>
      </w:pPr>
      <w:r w:rsidRPr="003445F3">
        <w:rPr>
          <w:rFonts w:ascii="Arial" w:hAnsi="Arial" w:cs="Arial"/>
          <w:b/>
          <w:bCs/>
        </w:rPr>
        <w:t>H2:</w:t>
      </w:r>
      <w:r w:rsidRPr="003445F3">
        <w:rPr>
          <w:rFonts w:ascii="Arial" w:hAnsi="Arial" w:cs="Arial"/>
        </w:rPr>
        <w:t xml:space="preserve"> Board size has a significant positive effect on financial performance.</w:t>
      </w:r>
    </w:p>
    <w:p w14:paraId="1E3FEDB5" w14:textId="77777777" w:rsidR="005C2D2B" w:rsidRPr="003445F3" w:rsidRDefault="005C2D2B" w:rsidP="005C2D2B">
      <w:pPr>
        <w:pStyle w:val="Body"/>
        <w:spacing w:after="0"/>
        <w:ind w:left="360"/>
        <w:rPr>
          <w:rFonts w:ascii="Arial" w:hAnsi="Arial" w:cs="Arial"/>
          <w:lang w:val="id-ID"/>
        </w:rPr>
      </w:pPr>
    </w:p>
    <w:p w14:paraId="45041EA8" w14:textId="77777777" w:rsidR="00482CC9" w:rsidRPr="003445F3" w:rsidRDefault="00482CC9" w:rsidP="005C2D2B">
      <w:pPr>
        <w:pStyle w:val="Body"/>
        <w:numPr>
          <w:ilvl w:val="0"/>
          <w:numId w:val="35"/>
        </w:numPr>
        <w:spacing w:after="0"/>
        <w:rPr>
          <w:rFonts w:ascii="Arial" w:hAnsi="Arial" w:cs="Arial"/>
          <w:b/>
          <w:bCs/>
        </w:rPr>
      </w:pPr>
      <w:r w:rsidRPr="003445F3">
        <w:rPr>
          <w:rFonts w:ascii="Arial" w:hAnsi="Arial" w:cs="Arial"/>
          <w:b/>
          <w:bCs/>
        </w:rPr>
        <w:t xml:space="preserve">The effect of board gender diversity on financial performance </w:t>
      </w:r>
    </w:p>
    <w:p w14:paraId="43D6ADFA" w14:textId="77777777" w:rsidR="005C2D2B" w:rsidRPr="003445F3" w:rsidRDefault="005C2D2B" w:rsidP="005C2D2B">
      <w:pPr>
        <w:pStyle w:val="Body"/>
        <w:spacing w:after="0"/>
        <w:ind w:left="360"/>
        <w:rPr>
          <w:rFonts w:ascii="Arial" w:hAnsi="Arial" w:cs="Arial"/>
          <w:b/>
          <w:bCs/>
        </w:rPr>
      </w:pPr>
    </w:p>
    <w:p w14:paraId="4A18F423" w14:textId="0B0569FC" w:rsidR="00482CC9" w:rsidRPr="003445F3" w:rsidRDefault="00482CC9" w:rsidP="005C2D2B">
      <w:pPr>
        <w:pStyle w:val="ListParagraph"/>
        <w:spacing w:before="0" w:beforeAutospacing="0" w:afterAutospacing="0"/>
        <w:ind w:left="357" w:firstLine="720"/>
        <w:contextualSpacing w:val="0"/>
        <w:rPr>
          <w:rFonts w:ascii="Arial" w:hAnsi="Arial" w:cs="Arial"/>
          <w:lang w:eastAsia="en-ID"/>
        </w:rPr>
      </w:pPr>
      <w:r w:rsidRPr="003445F3">
        <w:rPr>
          <w:rFonts w:ascii="Arial" w:hAnsi="Arial" w:cs="Arial"/>
          <w:lang w:eastAsia="en-ID"/>
        </w:rPr>
        <w:t xml:space="preserve">Board gender diversity reflects a firm's commitment to inclusivity, fairness, and ethical decision-making, aligning with the stakeholder theory, which emphasizes responsiveness to all affected parties. In the context of Islamic banking, gender diversity also resonates with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 principles, particularly in promoting justice and ethical governance. Empirical studies present mixed results. For instance, </w:t>
      </w:r>
      <w:proofErr w:type="spellStart"/>
      <w:r w:rsidRPr="003445F3">
        <w:rPr>
          <w:rFonts w:ascii="Arial" w:hAnsi="Arial" w:cs="Arial"/>
          <w:lang w:eastAsia="en-ID"/>
        </w:rPr>
        <w:t>Usamah</w:t>
      </w:r>
      <w:proofErr w:type="spellEnd"/>
      <w:r w:rsidRPr="003445F3">
        <w:rPr>
          <w:rFonts w:ascii="Arial" w:hAnsi="Arial" w:cs="Arial"/>
          <w:lang w:eastAsia="en-ID"/>
        </w:rPr>
        <w:t xml:space="preserve"> (2022) and Inayah et al. (2021) found that female directors contribute positively to firm performance through enhanced monitoring and ethical oversight. In contrast, studies from Sudan and Pakistan (</w:t>
      </w:r>
      <w:proofErr w:type="spellStart"/>
      <w:r w:rsidRPr="003445F3">
        <w:rPr>
          <w:rFonts w:ascii="Arial" w:hAnsi="Arial" w:cs="Arial"/>
          <w:lang w:eastAsia="en-ID"/>
        </w:rPr>
        <w:t>Elgadi</w:t>
      </w:r>
      <w:proofErr w:type="spellEnd"/>
      <w:r w:rsidRPr="003445F3">
        <w:rPr>
          <w:rFonts w:ascii="Arial" w:hAnsi="Arial" w:cs="Arial"/>
          <w:lang w:eastAsia="en-ID"/>
        </w:rPr>
        <w:t xml:space="preserve"> &amp; </w:t>
      </w:r>
      <w:proofErr w:type="spellStart"/>
      <w:r w:rsidRPr="003445F3">
        <w:rPr>
          <w:rFonts w:ascii="Arial" w:hAnsi="Arial" w:cs="Arial"/>
          <w:lang w:eastAsia="en-ID"/>
        </w:rPr>
        <w:t>Ghardallou</w:t>
      </w:r>
      <w:proofErr w:type="spellEnd"/>
      <w:r w:rsidRPr="003445F3">
        <w:rPr>
          <w:rFonts w:ascii="Arial" w:hAnsi="Arial" w:cs="Arial"/>
          <w:lang w:eastAsia="en-ID"/>
        </w:rPr>
        <w:t xml:space="preserve">, 2021; </w:t>
      </w:r>
      <w:proofErr w:type="spellStart"/>
      <w:r w:rsidRPr="003445F3">
        <w:rPr>
          <w:rFonts w:ascii="Arial" w:hAnsi="Arial" w:cs="Arial"/>
          <w:lang w:eastAsia="en-ID"/>
        </w:rPr>
        <w:t>Shehar</w:t>
      </w:r>
      <w:proofErr w:type="spellEnd"/>
      <w:r w:rsidRPr="003445F3">
        <w:rPr>
          <w:rFonts w:ascii="Arial" w:hAnsi="Arial" w:cs="Arial"/>
          <w:lang w:eastAsia="en-ID"/>
        </w:rPr>
        <w:t xml:space="preserve"> </w:t>
      </w:r>
      <w:proofErr w:type="spellStart"/>
      <w:r w:rsidRPr="003445F3">
        <w:rPr>
          <w:rFonts w:ascii="Arial" w:hAnsi="Arial" w:cs="Arial"/>
          <w:lang w:eastAsia="en-ID"/>
        </w:rPr>
        <w:t>Yar</w:t>
      </w:r>
      <w:proofErr w:type="spellEnd"/>
      <w:r w:rsidRPr="003445F3">
        <w:rPr>
          <w:rFonts w:ascii="Arial" w:hAnsi="Arial" w:cs="Arial"/>
          <w:lang w:eastAsia="en-ID"/>
        </w:rPr>
        <w:t xml:space="preserve"> &amp; Ahmed, 2020) report no significant or even negative impacts, potentially due to socio-cultural and institutional factors.</w:t>
      </w:r>
    </w:p>
    <w:p w14:paraId="3A5ACC24" w14:textId="7C288A5C" w:rsidR="00482CC9" w:rsidRPr="003445F3" w:rsidRDefault="00482CC9" w:rsidP="005C2D2B">
      <w:pPr>
        <w:pStyle w:val="Body"/>
        <w:spacing w:after="0"/>
        <w:ind w:left="360"/>
        <w:rPr>
          <w:rFonts w:ascii="Arial" w:hAnsi="Arial" w:cs="Arial"/>
          <w:lang w:val="id-ID" w:eastAsia="en-ID"/>
        </w:rPr>
      </w:pPr>
      <w:r w:rsidRPr="003445F3">
        <w:rPr>
          <w:rFonts w:ascii="Arial" w:hAnsi="Arial" w:cs="Arial"/>
          <w:lang w:eastAsia="en-ID"/>
        </w:rPr>
        <w:tab/>
        <w:t xml:space="preserve">In Indonesia, </w:t>
      </w:r>
      <w:proofErr w:type="spellStart"/>
      <w:r w:rsidRPr="003445F3">
        <w:rPr>
          <w:rFonts w:ascii="Arial" w:hAnsi="Arial" w:cs="Arial"/>
          <w:lang w:eastAsia="en-ID"/>
        </w:rPr>
        <w:t>Auwala</w:t>
      </w:r>
      <w:proofErr w:type="spellEnd"/>
      <w:r w:rsidRPr="003445F3">
        <w:rPr>
          <w:rFonts w:ascii="Arial" w:hAnsi="Arial" w:cs="Arial"/>
          <w:lang w:eastAsia="en-ID"/>
        </w:rPr>
        <w:t xml:space="preserve"> et al. (2024) observed that while female board members can strengthen risk management in Islamic banks, overly cautious behavior may inadvertently increase financial distress. These contradictory findings suggest that the impact of gender diversity on financial performance is not universal and may vary across cultural, religious, and institutional contexts. Specifically, within the Indonesian Islamic banking sector—where governance is shaped by both shariah principles and local values—further investigation is needed to clarify this relationship.</w:t>
      </w:r>
    </w:p>
    <w:p w14:paraId="6C45EAA0" w14:textId="77777777" w:rsidR="005C2D2B" w:rsidRPr="003445F3" w:rsidRDefault="005C2D2B" w:rsidP="005C2D2B">
      <w:pPr>
        <w:pStyle w:val="Body"/>
        <w:spacing w:after="0"/>
        <w:ind w:left="360"/>
        <w:rPr>
          <w:rFonts w:ascii="Arial" w:hAnsi="Arial" w:cs="Arial"/>
          <w:lang w:val="id-ID" w:eastAsia="en-ID"/>
        </w:rPr>
      </w:pPr>
    </w:p>
    <w:p w14:paraId="48564A5C" w14:textId="4DF50112" w:rsidR="00482CC9" w:rsidRDefault="00482CC9" w:rsidP="005C2D2B">
      <w:pPr>
        <w:pStyle w:val="Body"/>
        <w:spacing w:after="0"/>
        <w:ind w:left="360"/>
        <w:rPr>
          <w:rFonts w:ascii="Arial" w:hAnsi="Arial" w:cs="Arial"/>
        </w:rPr>
      </w:pPr>
      <w:r w:rsidRPr="003445F3">
        <w:rPr>
          <w:rFonts w:ascii="Arial" w:hAnsi="Arial" w:cs="Arial"/>
          <w:b/>
          <w:bCs/>
        </w:rPr>
        <w:t>H3:</w:t>
      </w:r>
      <w:r w:rsidRPr="003445F3">
        <w:rPr>
          <w:rFonts w:ascii="Arial" w:hAnsi="Arial" w:cs="Arial"/>
        </w:rPr>
        <w:t xml:space="preserve"> Board gender diversity has a significant positive effect on financial performance </w:t>
      </w:r>
    </w:p>
    <w:p w14:paraId="4B36F2E5" w14:textId="77777777" w:rsidR="001D63A9" w:rsidRPr="003445F3" w:rsidRDefault="001D63A9" w:rsidP="005C2D2B">
      <w:pPr>
        <w:pStyle w:val="Body"/>
        <w:spacing w:after="0"/>
        <w:ind w:left="360"/>
        <w:rPr>
          <w:rFonts w:ascii="Arial" w:hAnsi="Arial" w:cs="Arial"/>
          <w:lang w:val="id-ID"/>
        </w:rPr>
      </w:pPr>
    </w:p>
    <w:p w14:paraId="69BF9128" w14:textId="77777777" w:rsidR="005C2D2B" w:rsidRPr="003445F3" w:rsidRDefault="005C2D2B" w:rsidP="005C2D2B">
      <w:pPr>
        <w:pStyle w:val="Body"/>
        <w:spacing w:after="0"/>
        <w:ind w:left="360"/>
        <w:rPr>
          <w:rFonts w:ascii="Arial" w:hAnsi="Arial" w:cs="Arial"/>
          <w:sz w:val="16"/>
          <w:szCs w:val="16"/>
          <w:lang w:val="id-ID"/>
        </w:rPr>
      </w:pPr>
    </w:p>
    <w:p w14:paraId="316F77A0" w14:textId="77777777" w:rsidR="00482CC9" w:rsidRPr="003445F3" w:rsidRDefault="00482CC9" w:rsidP="005C2D2B">
      <w:pPr>
        <w:pStyle w:val="ListParagraph"/>
        <w:numPr>
          <w:ilvl w:val="0"/>
          <w:numId w:val="35"/>
        </w:numPr>
        <w:spacing w:before="0" w:beforeAutospacing="0" w:afterAutospacing="0"/>
        <w:ind w:left="720" w:hanging="720"/>
        <w:contextualSpacing w:val="0"/>
        <w:rPr>
          <w:rFonts w:ascii="Arial" w:hAnsi="Arial" w:cs="Arial"/>
          <w:b/>
          <w:bCs/>
        </w:rPr>
      </w:pPr>
      <w:r w:rsidRPr="003445F3">
        <w:rPr>
          <w:rFonts w:ascii="Arial" w:hAnsi="Arial" w:cs="Arial"/>
          <w:b/>
          <w:bCs/>
        </w:rPr>
        <w:t>The moderating effect of board size on the relationship between CSR and financial performance</w:t>
      </w:r>
    </w:p>
    <w:p w14:paraId="1DDD37F9" w14:textId="77777777" w:rsidR="005C2D2B" w:rsidRPr="003445F3" w:rsidRDefault="005C2D2B" w:rsidP="005C2D2B">
      <w:pPr>
        <w:pStyle w:val="ListParagraph"/>
        <w:spacing w:before="0" w:beforeAutospacing="0" w:afterAutospacing="0"/>
        <w:contextualSpacing w:val="0"/>
        <w:rPr>
          <w:rFonts w:ascii="Arial" w:hAnsi="Arial" w:cs="Arial"/>
          <w:b/>
          <w:bCs/>
        </w:rPr>
      </w:pPr>
    </w:p>
    <w:p w14:paraId="51B45D61" w14:textId="7530969A"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b/>
          <w:bCs/>
        </w:rPr>
        <w:tab/>
      </w:r>
      <w:r w:rsidRPr="003445F3">
        <w:rPr>
          <w:rFonts w:ascii="Arial" w:hAnsi="Arial" w:cs="Arial"/>
          <w:b/>
          <w:bCs/>
        </w:rPr>
        <w:tab/>
      </w:r>
      <w:r w:rsidRPr="003445F3">
        <w:rPr>
          <w:rFonts w:ascii="Arial" w:hAnsi="Arial" w:cs="Arial"/>
          <w:lang w:eastAsia="en-ID"/>
        </w:rPr>
        <w:t xml:space="preserve">Board size is a fundamental component of corporate governance that shapes the effectiveness of strategic oversight, including in the implementation of Corporate Social Responsibility (CSR) initiatives. Within the framework of stakeholder theory, a larger board can represent a broader spectrum of stakeholder interests, potentially enhancing the planning and execution of socially responsible </w:t>
      </w:r>
      <w:r w:rsidRPr="003445F3">
        <w:rPr>
          <w:rFonts w:ascii="Arial" w:hAnsi="Arial" w:cs="Arial"/>
          <w:lang w:eastAsia="en-ID"/>
        </w:rPr>
        <w:lastRenderedPageBreak/>
        <w:t xml:space="preserve">activities. In the context of Islamic banking, CSR holds a strategic role not only in reputation-building but also in fulfilling the objectives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shariah—particularly the preservation of wealth, justice, and social welfare. Thus, an effective board structure is essential to ensure that CSR initiatives align with Islamic values and contribute meaningfully to both financial and social outcomes.</w:t>
      </w:r>
    </w:p>
    <w:p w14:paraId="0F6F2902"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Theoretically, a larger board can enhance CSR effectiveness through diverse expertise and broader stakeholder representation. However, studies have also found that excessively large boards may pose coordination challenges and slow decision-making processes, ultimately reducing the efficiency and impact of CSR programs (</w:t>
      </w:r>
      <w:proofErr w:type="spellStart"/>
      <w:r w:rsidRPr="003445F3">
        <w:rPr>
          <w:rFonts w:ascii="Arial" w:hAnsi="Arial" w:cs="Arial"/>
          <w:lang w:eastAsia="en-ID"/>
        </w:rPr>
        <w:t>Hudan</w:t>
      </w:r>
      <w:proofErr w:type="spellEnd"/>
      <w:r w:rsidRPr="003445F3">
        <w:rPr>
          <w:rFonts w:ascii="Arial" w:hAnsi="Arial" w:cs="Arial"/>
          <w:lang w:eastAsia="en-ID"/>
        </w:rPr>
        <w:t xml:space="preserve"> </w:t>
      </w:r>
      <w:proofErr w:type="spellStart"/>
      <w:r w:rsidRPr="003445F3">
        <w:rPr>
          <w:rFonts w:ascii="Arial" w:hAnsi="Arial" w:cs="Arial"/>
          <w:lang w:eastAsia="en-ID"/>
        </w:rPr>
        <w:t>Baihaqi</w:t>
      </w:r>
      <w:proofErr w:type="spellEnd"/>
      <w:r w:rsidRPr="003445F3">
        <w:rPr>
          <w:rFonts w:ascii="Arial" w:hAnsi="Arial" w:cs="Arial"/>
          <w:lang w:eastAsia="en-ID"/>
        </w:rPr>
        <w:t xml:space="preserve"> Malik et al., 2024; Mendonca &amp; Haque, 2020). The moderating effect of board size on the CSR–financial performance link is often nonlinear and highly contextual, depending on the quality of governance and transparency in Shariah implementation (</w:t>
      </w:r>
      <w:proofErr w:type="spellStart"/>
      <w:r w:rsidRPr="003445F3">
        <w:rPr>
          <w:rFonts w:ascii="Arial" w:hAnsi="Arial" w:cs="Arial"/>
          <w:lang w:eastAsia="en-ID"/>
        </w:rPr>
        <w:t>Muhfiatun</w:t>
      </w:r>
      <w:proofErr w:type="spellEnd"/>
      <w:r w:rsidRPr="003445F3">
        <w:rPr>
          <w:rFonts w:ascii="Arial" w:hAnsi="Arial" w:cs="Arial"/>
          <w:lang w:eastAsia="en-ID"/>
        </w:rPr>
        <w:t xml:space="preserve"> et al., 2022). These findings emphasize the importance of an optimal board structure to ensure that CSR is not merely a compliance tool, but also delivers tangible financial and societal value in Islamic banks.</w:t>
      </w:r>
    </w:p>
    <w:p w14:paraId="3684F23E"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 xml:space="preserve">Empirical findings on this issue remain inconsistent. </w:t>
      </w:r>
      <w:proofErr w:type="spellStart"/>
      <w:r w:rsidRPr="003445F3">
        <w:rPr>
          <w:rFonts w:ascii="Arial" w:hAnsi="Arial" w:cs="Arial"/>
          <w:lang w:eastAsia="en-ID"/>
        </w:rPr>
        <w:t>Yulfiswandi</w:t>
      </w:r>
      <w:proofErr w:type="spellEnd"/>
      <w:r w:rsidRPr="003445F3">
        <w:rPr>
          <w:rFonts w:ascii="Arial" w:hAnsi="Arial" w:cs="Arial"/>
          <w:lang w:eastAsia="en-ID"/>
        </w:rPr>
        <w:t xml:space="preserve"> &amp; </w:t>
      </w:r>
      <w:proofErr w:type="spellStart"/>
      <w:r w:rsidRPr="003445F3">
        <w:rPr>
          <w:rFonts w:ascii="Arial" w:hAnsi="Arial" w:cs="Arial"/>
          <w:lang w:eastAsia="en-ID"/>
        </w:rPr>
        <w:t>Susanti</w:t>
      </w:r>
      <w:proofErr w:type="spellEnd"/>
      <w:r w:rsidRPr="003445F3">
        <w:rPr>
          <w:rFonts w:ascii="Arial" w:hAnsi="Arial" w:cs="Arial"/>
          <w:lang w:eastAsia="en-ID"/>
        </w:rPr>
        <w:t xml:space="preserve"> (2024) observed that board size does not always directly impact financial performance but plays a role in shaping the effectiveness of CSR strategies. Similarly, </w:t>
      </w:r>
      <w:proofErr w:type="spellStart"/>
      <w:r w:rsidRPr="003445F3">
        <w:rPr>
          <w:rFonts w:ascii="Arial" w:hAnsi="Arial" w:cs="Arial"/>
          <w:lang w:eastAsia="en-ID"/>
        </w:rPr>
        <w:t>Nomran</w:t>
      </w:r>
      <w:proofErr w:type="spellEnd"/>
      <w:r w:rsidRPr="003445F3">
        <w:rPr>
          <w:rFonts w:ascii="Arial" w:hAnsi="Arial" w:cs="Arial"/>
          <w:lang w:eastAsia="en-ID"/>
        </w:rPr>
        <w:t xml:space="preserve"> &amp; </w:t>
      </w:r>
      <w:proofErr w:type="spellStart"/>
      <w:r w:rsidRPr="003445F3">
        <w:rPr>
          <w:rFonts w:ascii="Arial" w:hAnsi="Arial" w:cs="Arial"/>
          <w:lang w:eastAsia="en-ID"/>
        </w:rPr>
        <w:t>Haron</w:t>
      </w:r>
      <w:proofErr w:type="spellEnd"/>
      <w:r w:rsidRPr="003445F3">
        <w:rPr>
          <w:rFonts w:ascii="Arial" w:hAnsi="Arial" w:cs="Arial"/>
          <w:lang w:eastAsia="en-ID"/>
        </w:rPr>
        <w:t xml:space="preserve"> (2020) found that an optimally sized board strengthens CSR contributions to profitability, while larger or smaller boards may have less impact.</w:t>
      </w:r>
    </w:p>
    <w:p w14:paraId="254DF710" w14:textId="2D21D94E" w:rsidR="00482CC9"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These contradictions highlight a research gap, particularly in Islamic banking institutions where CSR is expected to serve both financial and ethical objectives under Islamic governance. Therefore, this study examines whether board size in Indonesian Islamic banks moderates the CSR–financial performance relationship, strengthening the rationale for board optimization as a strategic governance tool.</w:t>
      </w:r>
    </w:p>
    <w:p w14:paraId="069A5058" w14:textId="77777777" w:rsidR="00BB6735" w:rsidRPr="003445F3" w:rsidRDefault="00BB6735" w:rsidP="005C2D2B">
      <w:pPr>
        <w:pStyle w:val="ListParagraph"/>
        <w:spacing w:before="0" w:beforeAutospacing="0" w:afterAutospacing="0"/>
        <w:ind w:left="360"/>
        <w:contextualSpacing w:val="0"/>
        <w:rPr>
          <w:rFonts w:ascii="Arial" w:hAnsi="Arial" w:cs="Arial"/>
          <w:sz w:val="16"/>
          <w:szCs w:val="16"/>
        </w:rPr>
      </w:pPr>
    </w:p>
    <w:p w14:paraId="5190D8E5" w14:textId="450AEAC5" w:rsidR="00482CC9" w:rsidRPr="003445F3" w:rsidRDefault="00482CC9" w:rsidP="005C2D2B">
      <w:pPr>
        <w:pStyle w:val="ListParagraph"/>
        <w:spacing w:before="0" w:beforeAutospacing="0" w:afterAutospacing="0"/>
        <w:ind w:left="360"/>
        <w:contextualSpacing w:val="0"/>
        <w:rPr>
          <w:rFonts w:ascii="Arial" w:hAnsi="Arial" w:cs="Arial"/>
        </w:rPr>
      </w:pPr>
      <w:r w:rsidRPr="003445F3">
        <w:rPr>
          <w:rFonts w:ascii="Arial" w:hAnsi="Arial" w:cs="Arial"/>
          <w:b/>
          <w:bCs/>
        </w:rPr>
        <w:t>H4</w:t>
      </w:r>
      <w:r w:rsidRPr="003445F3">
        <w:rPr>
          <w:rFonts w:ascii="Arial" w:hAnsi="Arial" w:cs="Arial"/>
        </w:rPr>
        <w:t>: Board size moderates the relationship between CSR and financial performance, such that a larger board strengthens the positive effect of CSR on financial performance.</w:t>
      </w:r>
    </w:p>
    <w:p w14:paraId="3CDDBC5B" w14:textId="77777777" w:rsidR="00482CC9" w:rsidRPr="003445F3" w:rsidRDefault="00482CC9" w:rsidP="005C2D2B">
      <w:pPr>
        <w:pStyle w:val="ListParagraph"/>
        <w:spacing w:before="0" w:beforeAutospacing="0" w:afterAutospacing="0"/>
        <w:ind w:left="360"/>
        <w:contextualSpacing w:val="0"/>
        <w:rPr>
          <w:rFonts w:ascii="Arial" w:hAnsi="Arial" w:cs="Arial"/>
          <w:b/>
          <w:bCs/>
        </w:rPr>
      </w:pPr>
    </w:p>
    <w:p w14:paraId="218FCFDE" w14:textId="16110F7D" w:rsidR="00482CC9" w:rsidRDefault="00482CC9" w:rsidP="005C2D2B">
      <w:pPr>
        <w:pStyle w:val="ListParagraph"/>
        <w:numPr>
          <w:ilvl w:val="0"/>
          <w:numId w:val="35"/>
        </w:numPr>
        <w:spacing w:before="0" w:beforeAutospacing="0" w:afterAutospacing="0"/>
        <w:contextualSpacing w:val="0"/>
        <w:rPr>
          <w:rFonts w:ascii="Arial" w:hAnsi="Arial" w:cs="Arial"/>
          <w:b/>
          <w:bCs/>
        </w:rPr>
      </w:pPr>
      <w:r w:rsidRPr="003445F3">
        <w:rPr>
          <w:rFonts w:ascii="Arial" w:hAnsi="Arial" w:cs="Arial"/>
          <w:b/>
          <w:bCs/>
        </w:rPr>
        <w:t>The moderating effect of board gender diversity on the relationship between CSR and financial performance</w:t>
      </w:r>
    </w:p>
    <w:p w14:paraId="278BEF26" w14:textId="77777777" w:rsidR="001D63A9" w:rsidRPr="003445F3" w:rsidRDefault="001D63A9" w:rsidP="001D63A9">
      <w:pPr>
        <w:pStyle w:val="ListParagraph"/>
        <w:spacing w:before="0" w:beforeAutospacing="0" w:afterAutospacing="0"/>
        <w:ind w:left="360"/>
        <w:contextualSpacing w:val="0"/>
        <w:rPr>
          <w:rFonts w:ascii="Arial" w:hAnsi="Arial" w:cs="Arial"/>
          <w:b/>
          <w:bCs/>
        </w:rPr>
      </w:pPr>
    </w:p>
    <w:p w14:paraId="48398F4B" w14:textId="56A83FAA"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b/>
          <w:bCs/>
        </w:rPr>
        <w:tab/>
      </w:r>
      <w:r w:rsidRPr="003445F3">
        <w:rPr>
          <w:rFonts w:ascii="Arial" w:hAnsi="Arial" w:cs="Arial"/>
          <w:lang w:eastAsia="en-ID"/>
        </w:rPr>
        <w:t>Board gender diversity represents a key dimension of inclusive corporate governance. From the stakeholder theory perspective, the presence of women on the board reflects a company’s commitment to representing diverse stakeholder interests, particularly in strategic decisions like Corporate Social Responsibility (CSR). Several studies indicate that female directors tend to bring higher social awareness, ethical sensitivity, and a stronger commitment to sustainability, making them instrumental in enhancing CSR effectiveness.</w:t>
      </w:r>
      <w:r w:rsidR="000168D5" w:rsidRPr="003445F3">
        <w:rPr>
          <w:rFonts w:ascii="Arial" w:hAnsi="Arial" w:cs="Arial"/>
          <w:lang w:eastAsia="en-ID"/>
        </w:rPr>
        <w:t xml:space="preserve"> </w:t>
      </w:r>
      <w:r w:rsidRPr="003445F3">
        <w:rPr>
          <w:rFonts w:ascii="Arial" w:hAnsi="Arial" w:cs="Arial"/>
          <w:lang w:eastAsia="en-ID"/>
        </w:rPr>
        <w:t xml:space="preserve">In the context of Islamic banking, these values align closely with the principles of </w:t>
      </w:r>
      <w:proofErr w:type="spellStart"/>
      <w:r w:rsidRPr="003445F3">
        <w:rPr>
          <w:rFonts w:ascii="Arial" w:hAnsi="Arial" w:cs="Arial"/>
          <w:lang w:eastAsia="en-ID"/>
        </w:rPr>
        <w:t>maqashid</w:t>
      </w:r>
      <w:proofErr w:type="spellEnd"/>
      <w:r w:rsidRPr="003445F3">
        <w:rPr>
          <w:rFonts w:ascii="Arial" w:hAnsi="Arial" w:cs="Arial"/>
          <w:lang w:eastAsia="en-ID"/>
        </w:rPr>
        <w:t xml:space="preserve"> sharia, especially in promoting justice, social welfare, and environmental responsibility. Thus, female board members may contribute to more ethically grounded and socially responsible CSR decisions, strengthening the positive relationship between CSR and financial performance. Their involvement can ensure that CSR implementation is not only a matter of compliance but also reflects Islamic ethical commitments.</w:t>
      </w:r>
    </w:p>
    <w:p w14:paraId="633AFAF3" w14:textId="77777777" w:rsidR="00482CC9" w:rsidRPr="003445F3" w:rsidRDefault="00482CC9" w:rsidP="005C2D2B">
      <w:pPr>
        <w:pStyle w:val="ListParagraph"/>
        <w:spacing w:before="0" w:beforeAutospacing="0" w:afterAutospacing="0"/>
        <w:ind w:left="360"/>
        <w:contextualSpacing w:val="0"/>
        <w:rPr>
          <w:rFonts w:ascii="Arial" w:hAnsi="Arial" w:cs="Arial"/>
          <w:lang w:eastAsia="en-ID"/>
        </w:rPr>
      </w:pPr>
      <w:r w:rsidRPr="003445F3">
        <w:rPr>
          <w:rFonts w:ascii="Arial" w:hAnsi="Arial" w:cs="Arial"/>
          <w:lang w:eastAsia="en-ID"/>
        </w:rPr>
        <w:tab/>
        <w:t xml:space="preserve">Empirical findings on the role of board gender diversity remain mixed. Research by </w:t>
      </w:r>
      <w:proofErr w:type="spellStart"/>
      <w:r w:rsidRPr="003445F3">
        <w:rPr>
          <w:rFonts w:ascii="Arial" w:hAnsi="Arial" w:cs="Arial"/>
          <w:lang w:eastAsia="en-ID"/>
        </w:rPr>
        <w:t>Usamah</w:t>
      </w:r>
      <w:proofErr w:type="spellEnd"/>
      <w:r w:rsidRPr="003445F3">
        <w:rPr>
          <w:rFonts w:ascii="Arial" w:hAnsi="Arial" w:cs="Arial"/>
          <w:lang w:eastAsia="en-ID"/>
        </w:rPr>
        <w:t xml:space="preserve"> (2022) and Inayah et al. (2021) found that gender-diverse boards positively affect financial performance through improved stakeholder engagement and more balanced decision-making. In contrast, studies in countries like Sudan and Pakistan (</w:t>
      </w:r>
      <w:proofErr w:type="spellStart"/>
      <w:r w:rsidRPr="003445F3">
        <w:rPr>
          <w:rFonts w:ascii="Arial" w:hAnsi="Arial" w:cs="Arial"/>
          <w:lang w:eastAsia="en-ID"/>
        </w:rPr>
        <w:t>Elgadi</w:t>
      </w:r>
      <w:proofErr w:type="spellEnd"/>
      <w:r w:rsidRPr="003445F3">
        <w:rPr>
          <w:rFonts w:ascii="Arial" w:hAnsi="Arial" w:cs="Arial"/>
          <w:lang w:eastAsia="en-ID"/>
        </w:rPr>
        <w:t xml:space="preserve"> &amp; </w:t>
      </w:r>
      <w:proofErr w:type="spellStart"/>
      <w:r w:rsidRPr="003445F3">
        <w:rPr>
          <w:rFonts w:ascii="Arial" w:hAnsi="Arial" w:cs="Arial"/>
          <w:lang w:eastAsia="en-ID"/>
        </w:rPr>
        <w:t>Ghardallou</w:t>
      </w:r>
      <w:proofErr w:type="spellEnd"/>
      <w:r w:rsidRPr="003445F3">
        <w:rPr>
          <w:rFonts w:ascii="Arial" w:hAnsi="Arial" w:cs="Arial"/>
          <w:lang w:eastAsia="en-ID"/>
        </w:rPr>
        <w:t xml:space="preserve">, 2021; </w:t>
      </w:r>
      <w:proofErr w:type="spellStart"/>
      <w:r w:rsidRPr="003445F3">
        <w:rPr>
          <w:rFonts w:ascii="Arial" w:hAnsi="Arial" w:cs="Arial"/>
          <w:lang w:eastAsia="en-ID"/>
        </w:rPr>
        <w:t>Shehar</w:t>
      </w:r>
      <w:proofErr w:type="spellEnd"/>
      <w:r w:rsidRPr="003445F3">
        <w:rPr>
          <w:rFonts w:ascii="Arial" w:hAnsi="Arial" w:cs="Arial"/>
          <w:lang w:eastAsia="en-ID"/>
        </w:rPr>
        <w:t xml:space="preserve"> </w:t>
      </w:r>
      <w:proofErr w:type="spellStart"/>
      <w:r w:rsidRPr="003445F3">
        <w:rPr>
          <w:rFonts w:ascii="Arial" w:hAnsi="Arial" w:cs="Arial"/>
          <w:lang w:eastAsia="en-ID"/>
        </w:rPr>
        <w:t>Yar</w:t>
      </w:r>
      <w:proofErr w:type="spellEnd"/>
      <w:r w:rsidRPr="003445F3">
        <w:rPr>
          <w:rFonts w:ascii="Arial" w:hAnsi="Arial" w:cs="Arial"/>
          <w:lang w:eastAsia="en-ID"/>
        </w:rPr>
        <w:t xml:space="preserve"> &amp; Ahmed, 2020) report that gender diversity does not always yield significant or positive effects, often due to cultural and structural constraints. In Indonesia, </w:t>
      </w:r>
      <w:proofErr w:type="spellStart"/>
      <w:r w:rsidRPr="003445F3">
        <w:rPr>
          <w:rFonts w:ascii="Arial" w:hAnsi="Arial" w:cs="Arial"/>
          <w:lang w:eastAsia="en-ID"/>
        </w:rPr>
        <w:t>Auwala</w:t>
      </w:r>
      <w:proofErr w:type="spellEnd"/>
      <w:r w:rsidRPr="003445F3">
        <w:rPr>
          <w:rFonts w:ascii="Arial" w:hAnsi="Arial" w:cs="Arial"/>
          <w:lang w:eastAsia="en-ID"/>
        </w:rPr>
        <w:t xml:space="preserve"> et al. (2024) highlighted that female directors can contribute to more prudent risk management; however, excessive caution may hinder banks from taking necessary strategic risks.</w:t>
      </w:r>
    </w:p>
    <w:p w14:paraId="68BA19C9" w14:textId="77777777" w:rsidR="00482CC9" w:rsidRPr="003445F3" w:rsidRDefault="00482CC9" w:rsidP="005C2D2B">
      <w:pPr>
        <w:pStyle w:val="ListParagraph"/>
        <w:spacing w:before="0" w:beforeAutospacing="0" w:afterAutospacing="0"/>
        <w:ind w:left="360"/>
        <w:contextualSpacing w:val="0"/>
        <w:rPr>
          <w:rFonts w:ascii="Arial" w:hAnsi="Arial" w:cs="Arial"/>
          <w:sz w:val="16"/>
          <w:szCs w:val="16"/>
        </w:rPr>
      </w:pPr>
      <w:r w:rsidRPr="003445F3">
        <w:rPr>
          <w:rFonts w:ascii="Arial" w:hAnsi="Arial" w:cs="Arial"/>
          <w:lang w:eastAsia="en-ID"/>
        </w:rPr>
        <w:tab/>
        <w:t xml:space="preserve">These contradictory findings suggest that the impact of board gender diversity is context-specific and influenced by cultural, religious, and institutional factors, </w:t>
      </w:r>
      <w:r w:rsidRPr="003445F3">
        <w:rPr>
          <w:rFonts w:ascii="Arial" w:hAnsi="Arial" w:cs="Arial"/>
          <w:lang w:eastAsia="en-ID"/>
        </w:rPr>
        <w:lastRenderedPageBreak/>
        <w:t>particularly in the Islamic banking sector in Indonesia. In such settings, Islamic governance structures and social norms provide a unique environment where gender diversity may either be an asset or a limitation depending on how inclusivity and ethical leadership are embraced. Therefore, this study examines whether gender diversity in the boards of Indonesian Islamic banks strengthens the CSR–financial performance relationship, based on the premise that Islamic values support ethical governance, social responsibility, and stakeholder fairness.</w:t>
      </w:r>
    </w:p>
    <w:p w14:paraId="467C283C" w14:textId="77777777" w:rsidR="00482CC9" w:rsidRPr="003445F3" w:rsidRDefault="00482CC9" w:rsidP="005C2D2B">
      <w:pPr>
        <w:pStyle w:val="ListParagraph"/>
        <w:spacing w:before="0" w:beforeAutospacing="0" w:afterAutospacing="0"/>
        <w:ind w:left="360"/>
        <w:contextualSpacing w:val="0"/>
        <w:rPr>
          <w:rFonts w:ascii="Arial" w:hAnsi="Arial" w:cs="Arial"/>
        </w:rPr>
      </w:pPr>
    </w:p>
    <w:p w14:paraId="0A7BE921" w14:textId="77777777" w:rsidR="005C2D2B" w:rsidRPr="003445F3" w:rsidRDefault="00482CC9" w:rsidP="005C2D2B">
      <w:pPr>
        <w:pStyle w:val="ListParagraph"/>
        <w:spacing w:before="0" w:beforeAutospacing="0" w:afterAutospacing="0"/>
        <w:ind w:left="360"/>
        <w:contextualSpacing w:val="0"/>
        <w:rPr>
          <w:rFonts w:ascii="Arial" w:hAnsi="Arial" w:cs="Arial"/>
          <w:lang w:val="id-ID"/>
        </w:rPr>
      </w:pPr>
      <w:r w:rsidRPr="003445F3">
        <w:rPr>
          <w:rFonts w:ascii="Arial" w:hAnsi="Arial" w:cs="Arial"/>
          <w:b/>
          <w:bCs/>
        </w:rPr>
        <w:t>H5:</w:t>
      </w:r>
      <w:r w:rsidRPr="003445F3">
        <w:rPr>
          <w:rFonts w:ascii="Arial" w:hAnsi="Arial" w:cs="Arial"/>
        </w:rPr>
        <w:t xml:space="preserve"> Board gender diversity moderates the relationship between CSR and financial performance, such that greater board gender diversity strengthens the positive effect of CSR on financial performance.</w:t>
      </w:r>
    </w:p>
    <w:p w14:paraId="02106CB0" w14:textId="1CECE20D" w:rsidR="00251C10" w:rsidRPr="003445F3" w:rsidRDefault="00251C10" w:rsidP="005C2D2B">
      <w:pPr>
        <w:pStyle w:val="ListParagraph"/>
        <w:spacing w:before="0" w:beforeAutospacing="0" w:afterAutospacing="0"/>
        <w:ind w:left="360"/>
        <w:contextualSpacing w:val="0"/>
        <w:rPr>
          <w:rFonts w:ascii="Arial" w:hAnsi="Arial" w:cs="Arial"/>
        </w:rPr>
      </w:pPr>
    </w:p>
    <w:p w14:paraId="6A17E41A" w14:textId="37A49FE5" w:rsidR="000168D5" w:rsidRPr="003445F3" w:rsidRDefault="00251C10" w:rsidP="00251C10">
      <w:pPr>
        <w:jc w:val="center"/>
        <w:rPr>
          <w:rFonts w:ascii="Arial" w:hAnsi="Arial" w:cs="Arial"/>
        </w:rPr>
      </w:pPr>
      <w:r w:rsidRPr="003445F3">
        <w:rPr>
          <w:rFonts w:ascii="Arial" w:hAnsi="Arial" w:cs="Arial"/>
          <w:noProof/>
          <w:lang w:val="id-ID" w:eastAsia="id-ID"/>
        </w:rPr>
        <w:drawing>
          <wp:inline distT="0" distB="0" distL="0" distR="0" wp14:anchorId="56BB1AAA" wp14:editId="602F1D17">
            <wp:extent cx="4991100" cy="289059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19).png"/>
                    <pic:cNvPicPr/>
                  </pic:nvPicPr>
                  <pic:blipFill>
                    <a:blip r:embed="rId17">
                      <a:extLst>
                        <a:ext uri="{28A0092B-C50C-407E-A947-70E740481C1C}">
                          <a14:useLocalDpi xmlns:a14="http://schemas.microsoft.com/office/drawing/2010/main" val="0"/>
                        </a:ext>
                      </a:extLst>
                    </a:blip>
                    <a:stretch>
                      <a:fillRect/>
                    </a:stretch>
                  </pic:blipFill>
                  <pic:spPr>
                    <a:xfrm>
                      <a:off x="0" y="0"/>
                      <a:ext cx="5092031" cy="2949052"/>
                    </a:xfrm>
                    <a:prstGeom prst="rect">
                      <a:avLst/>
                    </a:prstGeom>
                  </pic:spPr>
                </pic:pic>
              </a:graphicData>
            </a:graphic>
          </wp:inline>
        </w:drawing>
      </w:r>
      <w:r w:rsidR="000168D5" w:rsidRPr="003445F3">
        <w:rPr>
          <w:rFonts w:ascii="Arial" w:hAnsi="Arial" w:cs="Arial"/>
          <w:b/>
          <w:bCs/>
        </w:rPr>
        <w:t>Fig. 2. Conceptual framework</w:t>
      </w:r>
    </w:p>
    <w:p w14:paraId="6903F47D" w14:textId="5A8F450E" w:rsidR="000168D5" w:rsidRPr="00BB6735" w:rsidRDefault="000168D5" w:rsidP="00BB6735">
      <w:pPr>
        <w:pStyle w:val="ListParagraph"/>
        <w:numPr>
          <w:ilvl w:val="0"/>
          <w:numId w:val="31"/>
        </w:numPr>
        <w:rPr>
          <w:rFonts w:ascii="Arial" w:hAnsi="Arial" w:cs="Arial"/>
          <w:b/>
          <w:bCs/>
        </w:rPr>
      </w:pPr>
      <w:r w:rsidRPr="00BB6735">
        <w:rPr>
          <w:rFonts w:ascii="Arial" w:hAnsi="Arial" w:cs="Arial"/>
          <w:b/>
          <w:bCs/>
        </w:rPr>
        <w:t>METHODS</w:t>
      </w:r>
    </w:p>
    <w:p w14:paraId="155B8AD7" w14:textId="77777777" w:rsidR="000168D5" w:rsidRPr="003445F3" w:rsidRDefault="000168D5" w:rsidP="000168D5">
      <w:pPr>
        <w:pStyle w:val="ListParagraph"/>
        <w:ind w:left="360"/>
        <w:rPr>
          <w:rFonts w:ascii="Arial" w:hAnsi="Arial" w:cs="Arial"/>
          <w:b/>
          <w:bCs/>
        </w:rPr>
      </w:pPr>
    </w:p>
    <w:p w14:paraId="4E23113E" w14:textId="7817F3D1" w:rsidR="000168D5" w:rsidRPr="003445F3" w:rsidRDefault="000168D5" w:rsidP="005C2D2B">
      <w:pPr>
        <w:pStyle w:val="ListParagraph"/>
        <w:ind w:left="0"/>
        <w:rPr>
          <w:rFonts w:ascii="Arial" w:hAnsi="Arial" w:cs="Arial"/>
          <w:lang w:eastAsia="en-ID"/>
        </w:rPr>
      </w:pPr>
      <w:r w:rsidRPr="003445F3">
        <w:rPr>
          <w:rFonts w:ascii="Arial" w:hAnsi="Arial" w:cs="Arial"/>
          <w:b/>
          <w:bCs/>
        </w:rPr>
        <w:tab/>
      </w:r>
      <w:r w:rsidRPr="003445F3">
        <w:rPr>
          <w:rFonts w:ascii="Arial" w:hAnsi="Arial" w:cs="Arial"/>
          <w:lang w:eastAsia="en-ID"/>
        </w:rPr>
        <w:t xml:space="preserve">A quantitative method is used as the research methodology approach. Quantitative research is an approach that involves analysis based on numerical and statistical data. The type of data used in this study is obtained from external sources. The sampling technique applied is purposive sampling. Several criteria are required for this sampling method, namely Islamic commercial banks (Bank </w:t>
      </w:r>
      <w:proofErr w:type="spellStart"/>
      <w:r w:rsidRPr="003445F3">
        <w:rPr>
          <w:rFonts w:ascii="Arial" w:hAnsi="Arial" w:cs="Arial"/>
          <w:lang w:eastAsia="en-ID"/>
        </w:rPr>
        <w:t>Umum</w:t>
      </w:r>
      <w:proofErr w:type="spellEnd"/>
      <w:r w:rsidRPr="003445F3">
        <w:rPr>
          <w:rFonts w:ascii="Arial" w:hAnsi="Arial" w:cs="Arial"/>
          <w:lang w:eastAsia="en-ID"/>
        </w:rPr>
        <w:t xml:space="preserve"> Syariah) that are registered with the Financial Services Authority (OJK) and have published annual financial reports and sustainability reports from 2018 to 2023. This information is obtained from the official websites of Islamic banks operating in Indonesia.</w:t>
      </w:r>
      <w:r w:rsidRPr="003445F3">
        <w:rPr>
          <w:rFonts w:ascii="Arial" w:hAnsi="Arial" w:cs="Arial"/>
          <w:b/>
          <w:bCs/>
        </w:rPr>
        <w:t xml:space="preserve"> </w:t>
      </w:r>
      <w:r w:rsidRPr="003445F3">
        <w:rPr>
          <w:rFonts w:ascii="Arial" w:hAnsi="Arial" w:cs="Arial"/>
          <w:lang w:eastAsia="en-ID"/>
        </w:rPr>
        <w:t>Statistical regression tools are employed to analyze the existing financial report data using the Stata application. This study aims to examine the effect of Corporate Social Responsibility (CSR) on financial performance, with Good Corporate Governance (GCG) as a moderating variable in the banking sector.</w:t>
      </w:r>
      <w:r w:rsidRPr="003445F3">
        <w:rPr>
          <w:rFonts w:ascii="Arial" w:hAnsi="Arial" w:cs="Arial"/>
          <w:b/>
          <w:bCs/>
        </w:rPr>
        <w:t xml:space="preserve"> </w:t>
      </w:r>
      <w:r w:rsidRPr="003445F3">
        <w:rPr>
          <w:rFonts w:ascii="Arial" w:hAnsi="Arial" w:cs="Arial"/>
          <w:lang w:eastAsia="en-ID"/>
        </w:rPr>
        <w:t>The population selected for this research consists of Islamic commercial banks (BUS), with a sample of 13 banks registered as BUS. To ensure the research objectives are achieved, data from the financial reports of these 13 banks over the past six years (2018–2023) are required.</w:t>
      </w:r>
    </w:p>
    <w:p w14:paraId="28AAB5BA" w14:textId="703F8A0B" w:rsidR="000168D5" w:rsidRPr="003445F3" w:rsidRDefault="000168D5" w:rsidP="005C2D2B">
      <w:pPr>
        <w:pStyle w:val="ListParagraph"/>
        <w:ind w:left="0"/>
        <w:rPr>
          <w:rFonts w:ascii="Arial" w:hAnsi="Arial" w:cs="Arial"/>
          <w:lang w:eastAsia="en-ID"/>
        </w:rPr>
      </w:pPr>
      <w:r w:rsidRPr="003445F3">
        <w:rPr>
          <w:rFonts w:ascii="Arial" w:hAnsi="Arial" w:cs="Arial"/>
          <w:lang w:eastAsia="en-ID"/>
        </w:rPr>
        <w:tab/>
        <w:t xml:space="preserve">The measurement method for the Corporate Social Responsibility (CSR) variable generally uses a CSR disclosure index. One commonly used method is to identify a number of CSR disclosure indicators or items based on certain standards, such as the Global Reporting Initiative (GRI), and then calculate the score based on the number of items disclosed by the company compared to the total items that should be disclosed. </w:t>
      </w:r>
      <w:r w:rsidR="000A5E3E" w:rsidRPr="003445F3">
        <w:rPr>
          <w:rFonts w:ascii="Arial" w:hAnsi="Arial" w:cs="Arial"/>
          <w:lang w:eastAsia="en-ID"/>
        </w:rPr>
        <w:t xml:space="preserve">This study used a checklist based on the Global Reporting Initiative (GRI) 4th Generation (G4) guidelines as the basis for sustainability reporting, comprising 91 </w:t>
      </w:r>
      <w:r w:rsidR="000A5E3E" w:rsidRPr="003445F3">
        <w:rPr>
          <w:rFonts w:ascii="Arial" w:hAnsi="Arial" w:cs="Arial"/>
          <w:lang w:eastAsia="en-ID"/>
        </w:rPr>
        <w:lastRenderedPageBreak/>
        <w:t xml:space="preserve">disclosure </w:t>
      </w:r>
      <w:proofErr w:type="spellStart"/>
      <w:proofErr w:type="gramStart"/>
      <w:r w:rsidR="000A5E3E" w:rsidRPr="003445F3">
        <w:rPr>
          <w:rFonts w:ascii="Arial" w:hAnsi="Arial" w:cs="Arial"/>
          <w:lang w:eastAsia="en-ID"/>
        </w:rPr>
        <w:t>items.The</w:t>
      </w:r>
      <w:proofErr w:type="spellEnd"/>
      <w:proofErr w:type="gramEnd"/>
      <w:r w:rsidR="000A5E3E" w:rsidRPr="003445F3">
        <w:rPr>
          <w:rFonts w:ascii="Arial" w:hAnsi="Arial" w:cs="Arial"/>
          <w:lang w:eastAsia="en-ID"/>
        </w:rPr>
        <w:t xml:space="preserve"> measurement uses the following equation, modified from </w:t>
      </w:r>
      <w:proofErr w:type="spellStart"/>
      <w:r w:rsidR="000A5E3E" w:rsidRPr="003445F3">
        <w:rPr>
          <w:rFonts w:ascii="Arial" w:hAnsi="Arial" w:cs="Arial"/>
          <w:lang w:eastAsia="en-ID"/>
        </w:rPr>
        <w:t>Haniffa</w:t>
      </w:r>
      <w:proofErr w:type="spellEnd"/>
      <w:r w:rsidR="000A5E3E" w:rsidRPr="003445F3">
        <w:rPr>
          <w:rFonts w:ascii="Arial" w:hAnsi="Arial" w:cs="Arial"/>
          <w:lang w:eastAsia="en-ID"/>
        </w:rPr>
        <w:t xml:space="preserve"> &amp; Cooke (2005):</w:t>
      </w:r>
    </w:p>
    <w:p w14:paraId="1E87B11E" w14:textId="5E3D3E93" w:rsidR="000168D5" w:rsidRPr="003445F3" w:rsidRDefault="000168D5" w:rsidP="000168D5">
      <w:pPr>
        <w:ind w:firstLine="720"/>
        <w:jc w:val="both"/>
        <w:rPr>
          <w:rFonts w:ascii="Arial" w:hAnsi="Arial" w:cs="Arial"/>
          <w:b/>
          <w:bCs/>
          <w:lang w:eastAsia="en-ID"/>
        </w:rPr>
      </w:pPr>
      <m:oMathPara>
        <m:oMath>
          <m:r>
            <m:rPr>
              <m:sty m:val="bi"/>
            </m:rPr>
            <w:rPr>
              <w:rFonts w:ascii="Cambria Math" w:hAnsi="Cambria Math" w:cs="Arial"/>
              <w:lang w:eastAsia="en-ID"/>
            </w:rPr>
            <m:t xml:space="preserve">CSRDIj= </m:t>
          </m:r>
          <m:f>
            <m:fPr>
              <m:ctrlPr>
                <w:rPr>
                  <w:rFonts w:ascii="Cambria Math" w:hAnsi="Cambria Math" w:cs="Arial"/>
                  <w:b/>
                  <w:bCs/>
                  <w:i/>
                  <w:lang w:eastAsia="en-ID"/>
                </w:rPr>
              </m:ctrlPr>
            </m:fPr>
            <m:num>
              <m:nary>
                <m:naryPr>
                  <m:chr m:val="∑"/>
                  <m:limLoc m:val="undOvr"/>
                  <m:subHide m:val="1"/>
                  <m:supHide m:val="1"/>
                  <m:ctrlPr>
                    <w:rPr>
                      <w:rFonts w:ascii="Cambria Math" w:hAnsi="Cambria Math" w:cs="Arial"/>
                      <w:b/>
                      <w:bCs/>
                      <w:i/>
                      <w:lang w:eastAsia="en-ID"/>
                    </w:rPr>
                  </m:ctrlPr>
                </m:naryPr>
                <m:sub/>
                <m:sup/>
                <m:e>
                  <m:r>
                    <m:rPr>
                      <m:sty m:val="bi"/>
                    </m:rPr>
                    <w:rPr>
                      <w:rFonts w:ascii="Cambria Math" w:hAnsi="Cambria Math" w:cs="Arial"/>
                      <w:lang w:eastAsia="en-ID"/>
                    </w:rPr>
                    <m:t>Xij</m:t>
                  </m:r>
                </m:e>
              </m:nary>
            </m:num>
            <m:den>
              <m:r>
                <m:rPr>
                  <m:sty m:val="bi"/>
                </m:rPr>
                <w:rPr>
                  <w:rFonts w:ascii="Cambria Math" w:hAnsi="Cambria Math" w:cs="Arial"/>
                  <w:lang w:eastAsia="en-ID"/>
                </w:rPr>
                <m:t>nj</m:t>
              </m:r>
            </m:den>
          </m:f>
        </m:oMath>
      </m:oMathPara>
    </w:p>
    <w:p w14:paraId="56A29015" w14:textId="77777777" w:rsidR="000168D5" w:rsidRPr="003445F3" w:rsidRDefault="000168D5" w:rsidP="000168D5">
      <w:pPr>
        <w:shd w:val="clear" w:color="auto" w:fill="FFFFFF"/>
        <w:jc w:val="both"/>
        <w:rPr>
          <w:rFonts w:ascii="Arial" w:hAnsi="Arial" w:cs="Arial"/>
          <w:lang w:eastAsia="en-ID"/>
        </w:rPr>
      </w:pPr>
    </w:p>
    <w:p w14:paraId="357E5AB5" w14:textId="77777777" w:rsidR="000168D5" w:rsidRPr="003445F3" w:rsidRDefault="000168D5" w:rsidP="000168D5">
      <w:pPr>
        <w:shd w:val="clear" w:color="auto" w:fill="FFFFFF"/>
        <w:jc w:val="both"/>
        <w:rPr>
          <w:rFonts w:ascii="Arial" w:hAnsi="Arial" w:cs="Arial"/>
          <w:lang w:eastAsia="en-ID"/>
        </w:rPr>
      </w:pPr>
      <w:r w:rsidRPr="003445F3">
        <w:rPr>
          <w:rFonts w:ascii="Arial" w:hAnsi="Arial" w:cs="Arial"/>
          <w:lang w:eastAsia="en-ID"/>
        </w:rPr>
        <w:t>Information:</w:t>
      </w:r>
    </w:p>
    <w:p w14:paraId="4B6AACDE" w14:textId="34F3D2A0" w:rsidR="000168D5" w:rsidRPr="003445F3" w:rsidRDefault="000168D5" w:rsidP="000168D5">
      <w:pPr>
        <w:shd w:val="clear" w:color="auto" w:fill="FFFFFF"/>
        <w:jc w:val="both"/>
        <w:rPr>
          <w:rFonts w:ascii="Arial" w:hAnsi="Arial" w:cs="Arial"/>
          <w:lang w:eastAsia="en-ID"/>
        </w:rPr>
      </w:pPr>
      <w:proofErr w:type="spellStart"/>
      <w:r w:rsidRPr="003445F3">
        <w:rPr>
          <w:rFonts w:ascii="Arial" w:hAnsi="Arial" w:cs="Arial"/>
          <w:lang w:eastAsia="en-ID"/>
        </w:rPr>
        <w:t>CSR</w:t>
      </w:r>
      <w:r w:rsidR="000A5E3E" w:rsidRPr="003445F3">
        <w:rPr>
          <w:rFonts w:ascii="Arial" w:hAnsi="Arial" w:cs="Arial"/>
          <w:lang w:eastAsia="en-ID"/>
        </w:rPr>
        <w:t>DIj</w:t>
      </w:r>
      <w:proofErr w:type="spellEnd"/>
      <w:r w:rsidRPr="003445F3">
        <w:rPr>
          <w:rFonts w:ascii="Arial" w:hAnsi="Arial" w:cs="Arial"/>
          <w:lang w:eastAsia="en-ID"/>
        </w:rPr>
        <w:tab/>
        <w:t xml:space="preserve">: Index of disclosure of CSR implementation in companies </w:t>
      </w:r>
      <w:r w:rsidR="000A5E3E" w:rsidRPr="003445F3">
        <w:rPr>
          <w:rFonts w:ascii="Arial" w:hAnsi="Arial" w:cs="Arial"/>
          <w:lang w:eastAsia="en-ID"/>
        </w:rPr>
        <w:t>j</w:t>
      </w:r>
    </w:p>
    <w:p w14:paraId="567695B1" w14:textId="016B3A00" w:rsidR="000168D5" w:rsidRPr="003445F3" w:rsidRDefault="000168D5" w:rsidP="000168D5">
      <w:pPr>
        <w:shd w:val="clear" w:color="auto" w:fill="FFFFFF"/>
        <w:jc w:val="both"/>
        <w:rPr>
          <w:rFonts w:ascii="Arial" w:hAnsi="Arial" w:cs="Arial"/>
          <w:lang w:eastAsia="en-ID"/>
        </w:rPr>
      </w:pPr>
      <w:r w:rsidRPr="003445F3">
        <w:rPr>
          <w:rFonts w:ascii="Arial" w:hAnsi="Arial" w:cs="Arial"/>
          <w:lang w:eastAsia="en-ID"/>
        </w:rPr>
        <w:t>∑</w:t>
      </w:r>
      <w:proofErr w:type="spellStart"/>
      <w:r w:rsidRPr="003445F3">
        <w:rPr>
          <w:rFonts w:ascii="Arial" w:hAnsi="Arial" w:cs="Arial"/>
          <w:lang w:eastAsia="en-ID"/>
        </w:rPr>
        <w:t>Xi</w:t>
      </w:r>
      <w:r w:rsidR="000A5E3E" w:rsidRPr="003445F3">
        <w:rPr>
          <w:rFonts w:ascii="Arial" w:hAnsi="Arial" w:cs="Arial"/>
          <w:lang w:eastAsia="en-ID"/>
        </w:rPr>
        <w:t>j</w:t>
      </w:r>
      <w:proofErr w:type="spellEnd"/>
      <w:r w:rsidRPr="003445F3">
        <w:rPr>
          <w:rFonts w:ascii="Arial" w:hAnsi="Arial" w:cs="Arial"/>
          <w:lang w:eastAsia="en-ID"/>
        </w:rPr>
        <w:tab/>
        <w:t xml:space="preserve">: The total number of items disclosed by the company </w:t>
      </w:r>
      <w:r w:rsidR="000A5E3E" w:rsidRPr="003445F3">
        <w:rPr>
          <w:rFonts w:ascii="Arial" w:hAnsi="Arial" w:cs="Arial"/>
          <w:lang w:eastAsia="en-ID"/>
        </w:rPr>
        <w:t>j</w:t>
      </w:r>
    </w:p>
    <w:p w14:paraId="4FED4A4C" w14:textId="77777777" w:rsidR="003445F3" w:rsidRDefault="000168D5" w:rsidP="003445F3">
      <w:pPr>
        <w:shd w:val="clear" w:color="auto" w:fill="FFFFFF"/>
        <w:jc w:val="both"/>
        <w:rPr>
          <w:rFonts w:ascii="Arial" w:hAnsi="Arial" w:cs="Arial"/>
          <w:lang w:eastAsia="en-ID"/>
        </w:rPr>
      </w:pPr>
      <w:r w:rsidRPr="003445F3">
        <w:rPr>
          <w:rFonts w:ascii="Arial" w:hAnsi="Arial" w:cs="Arial"/>
          <w:lang w:eastAsia="en-ID"/>
        </w:rPr>
        <w:t>N</w:t>
      </w:r>
      <w:r w:rsidR="000A5E3E" w:rsidRPr="003445F3">
        <w:rPr>
          <w:rFonts w:ascii="Arial" w:hAnsi="Arial" w:cs="Arial"/>
          <w:lang w:eastAsia="en-ID"/>
        </w:rPr>
        <w:t>j</w:t>
      </w:r>
      <w:r w:rsidRPr="003445F3">
        <w:rPr>
          <w:rFonts w:ascii="Arial" w:hAnsi="Arial" w:cs="Arial"/>
          <w:lang w:eastAsia="en-ID"/>
        </w:rPr>
        <w:tab/>
        <w:t xml:space="preserve">: </w:t>
      </w:r>
      <w:r w:rsidR="000A5E3E" w:rsidRPr="003445F3">
        <w:rPr>
          <w:rFonts w:ascii="Arial" w:hAnsi="Arial" w:cs="Arial"/>
          <w:lang w:eastAsia="en-ID"/>
        </w:rPr>
        <w:t>91 CSR disclosure items according to GRI version 4.0</w:t>
      </w:r>
    </w:p>
    <w:p w14:paraId="3164620A" w14:textId="77777777" w:rsidR="003445F3" w:rsidRDefault="003445F3" w:rsidP="003445F3">
      <w:pPr>
        <w:shd w:val="clear" w:color="auto" w:fill="FFFFFF"/>
        <w:jc w:val="both"/>
        <w:rPr>
          <w:rFonts w:ascii="Arial" w:hAnsi="Arial" w:cs="Arial"/>
          <w:lang w:eastAsia="en-ID"/>
        </w:rPr>
      </w:pPr>
    </w:p>
    <w:p w14:paraId="374AD667" w14:textId="77777777" w:rsid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For the Good Corporate Governance (GCG) variable, two main indicators are used:</w:t>
      </w:r>
      <w:r>
        <w:rPr>
          <w:rFonts w:ascii="Arial" w:hAnsi="Arial" w:cs="Arial"/>
          <w:lang w:eastAsia="en-ID"/>
        </w:rPr>
        <w:t xml:space="preserve"> </w:t>
      </w:r>
    </w:p>
    <w:p w14:paraId="06BB614D" w14:textId="77777777" w:rsid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 xml:space="preserve">board size and gender diversity on the board of directors: </w:t>
      </w:r>
    </w:p>
    <w:p w14:paraId="436091BE" w14:textId="0B6E572D" w:rsidR="000168D5" w:rsidRPr="003445F3" w:rsidRDefault="003445F3" w:rsidP="003445F3">
      <w:pPr>
        <w:shd w:val="clear" w:color="auto" w:fill="FFFFFF"/>
        <w:jc w:val="both"/>
        <w:rPr>
          <w:rFonts w:ascii="Arial" w:hAnsi="Arial" w:cs="Arial"/>
          <w:lang w:eastAsia="en-ID"/>
        </w:rPr>
      </w:pPr>
      <w:r>
        <w:rPr>
          <w:rFonts w:ascii="Arial" w:hAnsi="Arial" w:cs="Arial"/>
          <w:lang w:eastAsia="en-ID"/>
        </w:rPr>
        <w:tab/>
      </w:r>
      <w:r w:rsidR="000168D5" w:rsidRPr="003445F3">
        <w:rPr>
          <w:rFonts w:ascii="Arial" w:hAnsi="Arial" w:cs="Arial"/>
          <w:lang w:eastAsia="en-ID"/>
        </w:rPr>
        <w:t xml:space="preserve">Board Size is measured by counting the number of board members active in one reporting period. This method is used in various studies, such as </w:t>
      </w:r>
      <w:r w:rsidR="000A5E3E" w:rsidRPr="003445F3">
        <w:rPr>
          <w:rFonts w:ascii="Arial" w:hAnsi="Arial" w:cs="Arial"/>
          <w:lang w:eastAsia="en-ID"/>
        </w:rPr>
        <w:t>by</w:t>
      </w:r>
      <w:r w:rsidR="00251C10" w:rsidRPr="003445F3">
        <w:rPr>
          <w:rFonts w:ascii="Arial" w:hAnsi="Arial" w:cs="Arial"/>
          <w:lang w:eastAsia="en-ID"/>
        </w:rPr>
        <w:t xml:space="preserve"> </w:t>
      </w:r>
      <w:r w:rsidR="000A5E3E" w:rsidRPr="003445F3">
        <w:rPr>
          <w:rFonts w:ascii="Arial" w:hAnsi="Arial" w:cs="Arial"/>
          <w:lang w:eastAsia="en-ID"/>
        </w:rPr>
        <w:fldChar w:fldCharType="begin" w:fldLock="1"/>
      </w:r>
      <w:r w:rsidR="000A5E3E" w:rsidRPr="003445F3">
        <w:rPr>
          <w:rFonts w:ascii="Arial" w:hAnsi="Arial" w:cs="Arial"/>
          <w:lang w:eastAsia="en-ID"/>
        </w:rPr>
        <w:instrText>ADDIN CSL_CITATION {"citationItems":[{"id":"ITEM-1","itemData":{"DOI":"10.31294/jeco.v4i2.8146","ISSN":"2355-0295","abstract":"ABSTRACTThis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Companies","author":[{"dropping-particle":"","family":"Itan","given":"Iskandar","non-dropping-particle":"","parse-names":false,"suffix":""}],"container-title":"Jurnal Ecodemica: Jurnal Ekonomi, Manajemen, dan Bisnis","id":"ITEM-1","issue":"2","issued":{"date-parts":[["2020"]]},"page":"318-329","title":"Peran Manajemen Laba Memediasi Hubungan Antara CSR, GCG Dan Kinerja Perusahaan Keluarga","type":"article-journal","volume":"4"},"uris":["http://www.mendeley.com/documents/?uuid=0035d4fd-8cbc-4ad6-8bc1-a3f0ce03beca"]}],"mendeley":{"formattedCitation":"(Itan, 2020)","plainTextFormattedCitation":"(Itan, 2020)","previouslyFormattedCitation":"(Itan, 2020)"},"properties":{"noteIndex":0},"schema":"https://github.com/citation-style-language/schema/raw/master/csl-citation.json"}</w:instrText>
      </w:r>
      <w:r w:rsidR="000A5E3E" w:rsidRPr="003445F3">
        <w:rPr>
          <w:rFonts w:ascii="Arial" w:hAnsi="Arial" w:cs="Arial"/>
          <w:lang w:eastAsia="en-ID"/>
        </w:rPr>
        <w:fldChar w:fldCharType="separate"/>
      </w:r>
      <w:r w:rsidR="000A5E3E" w:rsidRPr="003445F3">
        <w:rPr>
          <w:rFonts w:ascii="Arial" w:hAnsi="Arial" w:cs="Arial"/>
          <w:noProof/>
          <w:lang w:eastAsia="en-ID"/>
        </w:rPr>
        <w:t>(Itan, 2020)</w:t>
      </w:r>
      <w:r w:rsidR="000A5E3E" w:rsidRPr="003445F3">
        <w:rPr>
          <w:rFonts w:ascii="Arial" w:hAnsi="Arial" w:cs="Arial"/>
          <w:lang w:eastAsia="en-ID"/>
        </w:rPr>
        <w:fldChar w:fldCharType="end"/>
      </w:r>
      <w:r w:rsidR="000A5E3E" w:rsidRPr="003445F3">
        <w:rPr>
          <w:rFonts w:ascii="Arial" w:hAnsi="Arial" w:cs="Arial"/>
          <w:lang w:eastAsia="en-ID"/>
        </w:rPr>
        <w:t xml:space="preserve">. </w:t>
      </w:r>
      <w:r w:rsidR="000168D5" w:rsidRPr="003445F3">
        <w:rPr>
          <w:rFonts w:ascii="Arial" w:hAnsi="Arial" w:cs="Arial"/>
          <w:lang w:eastAsia="en-ID"/>
        </w:rPr>
        <w:t xml:space="preserve">The formula: </w:t>
      </w:r>
    </w:p>
    <w:p w14:paraId="0D22DB11" w14:textId="6AC3EBEE" w:rsidR="000168D5" w:rsidRPr="003445F3" w:rsidRDefault="000168D5" w:rsidP="00285617">
      <w:pPr>
        <w:ind w:firstLine="720"/>
        <w:jc w:val="center"/>
        <w:rPr>
          <w:rFonts w:ascii="Arial" w:hAnsi="Arial" w:cs="Arial"/>
          <w:b/>
          <w:bCs/>
          <w:i/>
          <w:iCs/>
          <w:lang w:eastAsia="en-ID"/>
        </w:rPr>
      </w:pPr>
      <w:r w:rsidRPr="003445F3">
        <w:rPr>
          <w:rFonts w:ascii="Arial" w:hAnsi="Arial" w:cs="Arial"/>
          <w:b/>
          <w:bCs/>
          <w:i/>
          <w:iCs/>
          <w:lang w:eastAsia="en-ID"/>
        </w:rPr>
        <w:t>Board Size = Number of board members</w:t>
      </w:r>
    </w:p>
    <w:p w14:paraId="793EF55B" w14:textId="77777777" w:rsidR="000168D5" w:rsidRPr="003445F3" w:rsidRDefault="000168D5" w:rsidP="000168D5">
      <w:pPr>
        <w:ind w:firstLine="720"/>
        <w:jc w:val="both"/>
        <w:rPr>
          <w:rFonts w:ascii="Arial" w:hAnsi="Arial" w:cs="Arial"/>
          <w:b/>
          <w:bCs/>
          <w:i/>
          <w:iCs/>
          <w:lang w:eastAsia="en-ID"/>
        </w:rPr>
      </w:pPr>
    </w:p>
    <w:p w14:paraId="5DC18D0E" w14:textId="2D8684D3" w:rsidR="000168D5" w:rsidRDefault="000168D5" w:rsidP="000168D5">
      <w:pPr>
        <w:ind w:firstLine="720"/>
        <w:jc w:val="both"/>
        <w:rPr>
          <w:rFonts w:ascii="Arial" w:hAnsi="Arial" w:cs="Arial"/>
          <w:lang w:eastAsia="en-ID"/>
        </w:rPr>
      </w:pPr>
      <w:r w:rsidRPr="003445F3">
        <w:rPr>
          <w:rFonts w:ascii="Arial" w:hAnsi="Arial" w:cs="Arial"/>
          <w:lang w:eastAsia="en-ID"/>
        </w:rPr>
        <w:t>Gender Diversity is measured by the ratio of female board members to the total number of board members.</w:t>
      </w:r>
      <w:r w:rsidR="000A5E3E" w:rsidRPr="003445F3">
        <w:rPr>
          <w:rFonts w:ascii="Arial" w:hAnsi="Arial" w:cs="Arial"/>
          <w:lang w:eastAsia="en-ID"/>
        </w:rPr>
        <w:t xml:space="preserve"> This method is used in various studies, such as by (</w:t>
      </w:r>
      <w:proofErr w:type="spellStart"/>
      <w:r w:rsidR="000A5E3E" w:rsidRPr="003445F3">
        <w:rPr>
          <w:rFonts w:ascii="Arial" w:hAnsi="Arial" w:cs="Arial"/>
          <w:lang w:eastAsia="en-ID"/>
        </w:rPr>
        <w:t>Fanesha</w:t>
      </w:r>
      <w:proofErr w:type="spellEnd"/>
      <w:r w:rsidR="000A5E3E" w:rsidRPr="003445F3">
        <w:rPr>
          <w:rFonts w:ascii="Arial" w:hAnsi="Arial" w:cs="Arial"/>
          <w:lang w:eastAsia="en-ID"/>
        </w:rPr>
        <w:t xml:space="preserve"> &amp; Sebrina, 2024) The formula: </w:t>
      </w:r>
      <w:r w:rsidRPr="003445F3">
        <w:rPr>
          <w:rFonts w:ascii="Arial" w:hAnsi="Arial" w:cs="Arial"/>
          <w:lang w:eastAsia="en-ID"/>
        </w:rPr>
        <w:t xml:space="preserve"> </w:t>
      </w:r>
    </w:p>
    <w:p w14:paraId="1CA26334" w14:textId="77777777" w:rsidR="003445F3" w:rsidRPr="003445F3" w:rsidRDefault="003445F3" w:rsidP="000168D5">
      <w:pPr>
        <w:ind w:firstLine="720"/>
        <w:jc w:val="both"/>
        <w:rPr>
          <w:rFonts w:ascii="Arial" w:hAnsi="Arial" w:cs="Arial"/>
          <w:lang w:eastAsia="en-ID"/>
        </w:rPr>
      </w:pPr>
    </w:p>
    <w:p w14:paraId="27020CB8" w14:textId="654D34EA" w:rsidR="000168D5" w:rsidRPr="003445F3" w:rsidRDefault="000168D5" w:rsidP="000168D5">
      <w:pPr>
        <w:jc w:val="both"/>
        <w:rPr>
          <w:rFonts w:ascii="Arial" w:hAnsi="Arial" w:cs="Arial"/>
          <w:b/>
          <w:bCs/>
          <w:lang w:eastAsia="en-ID"/>
        </w:rPr>
      </w:pPr>
      <m:oMathPara>
        <m:oMath>
          <m:r>
            <m:rPr>
              <m:sty m:val="bi"/>
            </m:rPr>
            <w:rPr>
              <w:rFonts w:ascii="Cambria Math" w:hAnsi="Cambria Math" w:cs="Arial"/>
              <w:lang w:eastAsia="en-ID"/>
            </w:rPr>
            <m:t>Gender diversity=</m:t>
          </m:r>
          <m:f>
            <m:fPr>
              <m:ctrlPr>
                <w:rPr>
                  <w:rFonts w:ascii="Cambria Math" w:hAnsi="Cambria Math" w:cs="Arial"/>
                  <w:b/>
                  <w:bCs/>
                  <w:i/>
                  <w:lang w:eastAsia="en-ID"/>
                </w:rPr>
              </m:ctrlPr>
            </m:fPr>
            <m:num>
              <m:r>
                <m:rPr>
                  <m:sty m:val="bi"/>
                </m:rPr>
                <w:rPr>
                  <w:rFonts w:ascii="Cambria Math" w:hAnsi="Cambria Math" w:cs="Arial"/>
                  <w:lang w:eastAsia="en-ID"/>
                </w:rPr>
                <m:t>Number of female board members</m:t>
              </m:r>
            </m:num>
            <m:den>
              <m:r>
                <m:rPr>
                  <m:sty m:val="bi"/>
                </m:rPr>
                <w:rPr>
                  <w:rFonts w:ascii="Cambria Math" w:hAnsi="Cambria Math" w:cs="Arial"/>
                  <w:lang w:eastAsia="en-ID"/>
                </w:rPr>
                <m:t>Total number of board members</m:t>
              </m:r>
            </m:den>
          </m:f>
        </m:oMath>
      </m:oMathPara>
    </w:p>
    <w:p w14:paraId="5DF3E540" w14:textId="77777777" w:rsidR="000168D5" w:rsidRPr="003445F3" w:rsidRDefault="000168D5" w:rsidP="000168D5">
      <w:pPr>
        <w:jc w:val="both"/>
        <w:rPr>
          <w:rFonts w:ascii="Arial" w:hAnsi="Arial" w:cs="Arial"/>
          <w:b/>
          <w:bCs/>
          <w:lang w:eastAsia="en-ID"/>
        </w:rPr>
      </w:pPr>
    </w:p>
    <w:p w14:paraId="14AEA492" w14:textId="5746B3F6" w:rsidR="000168D5" w:rsidRPr="003445F3" w:rsidRDefault="000168D5" w:rsidP="000168D5">
      <w:pPr>
        <w:ind w:firstLine="720"/>
        <w:jc w:val="both"/>
        <w:rPr>
          <w:rFonts w:ascii="Arial" w:hAnsi="Arial" w:cs="Arial"/>
          <w:lang w:eastAsia="en-ID"/>
        </w:rPr>
      </w:pPr>
      <w:r w:rsidRPr="003445F3">
        <w:rPr>
          <w:rFonts w:ascii="Arial" w:hAnsi="Arial" w:cs="Arial"/>
          <w:lang w:eastAsia="en-ID"/>
        </w:rPr>
        <w:t>Meanwhile, financial performance is measured using Return on Assets (ROA), which is the ratio of net income to total assets.</w:t>
      </w:r>
      <w:r w:rsidR="000A5E3E" w:rsidRPr="003445F3">
        <w:rPr>
          <w:rFonts w:ascii="Arial" w:hAnsi="Arial" w:cs="Arial"/>
          <w:lang w:eastAsia="en-ID"/>
        </w:rPr>
        <w:t xml:space="preserve"> This method is used in various studies, such as by</w:t>
      </w:r>
      <w:r w:rsidR="00251C10" w:rsidRPr="003445F3">
        <w:rPr>
          <w:rFonts w:ascii="Arial" w:hAnsi="Arial" w:cs="Arial"/>
          <w:lang w:eastAsia="en-ID"/>
        </w:rPr>
        <w:t xml:space="preserve"> </w:t>
      </w:r>
      <w:r w:rsidR="000A5E3E" w:rsidRPr="003445F3">
        <w:rPr>
          <w:rFonts w:ascii="Arial" w:hAnsi="Arial" w:cs="Arial"/>
          <w:lang w:eastAsia="en-ID"/>
        </w:rPr>
        <w:fldChar w:fldCharType="begin" w:fldLock="1"/>
      </w:r>
      <w:r w:rsidR="000A5E3E" w:rsidRPr="003445F3">
        <w:rPr>
          <w:rFonts w:ascii="Arial" w:hAnsi="Arial" w:cs="Arial"/>
          <w:lang w:eastAsia="en-ID"/>
        </w:rPr>
        <w:instrText>ADDIN CSL_CITATION {"citationItems":[{"id":"ITEM-1","itemData":{"DOI":"10.31294/jeco.v4i2.8146","ISSN":"2355-0295","abstract":"ABSTRACTThis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CompaniesABSTRACTThis study looks into the mediating role of earning management on the relationship between corporate social responsibility (CSR), good corporate governance (GCG) and family-owned companies’ performance. This study uses the panel data approach, and 116 family-owned companies on Indonesia Stock Exchange are included as the sample for the period 2014 to 2018 and data were analysed using SPSS and Smart PLS 3.0 software. In this study, CSR is measured using index of ISO 26000, good corporate governance is measured by board size, independent commissioners, board of commissioners and audit quality, while firm performance is measured by return on asset (ROA), Tobin’s Q and earning per share (EPS). Meanwhile, earning management is measured using discretionary accruals (DA) with the modified Jones model. The results show that CSR and GCG can build positive impact on firm performance. The findings also show that earning management mediates the relationship between GCG and firm performance, while it failed to mediate the relationship between CSR and firm performance. Keywords:  Corporate Social Responsibility, Corporate Governance, Earning Management, Firm Performance, Family-owned Companies","author":[{"dropping-particle":"","family":"Itan","given":"Iskandar","non-dropping-particle":"","parse-names":false,"suffix":""}],"container-title":"Jurnal Ecodemica: Jurnal Ekonomi, Manajemen, dan Bisnis","id":"ITEM-1","issue":"2","issued":{"date-parts":[["2020"]]},"page":"318-329","title":"Peran Manajemen Laba Memediasi Hubungan Antara CSR, GCG Dan Kinerja Perusahaan Keluarga","type":"article-journal","volume":"4"},"uris":["http://www.mendeley.com/documents/?uuid=0035d4fd-8cbc-4ad6-8bc1-a3f0ce03beca"]}],"mendeley":{"formattedCitation":"(Itan, 2020)","plainTextFormattedCitation":"(Itan, 2020)","previouslyFormattedCitation":"(Itan, 2020)"},"properties":{"noteIndex":0},"schema":"https://github.com/citation-style-language/schema/raw/master/csl-citation.json"}</w:instrText>
      </w:r>
      <w:r w:rsidR="000A5E3E" w:rsidRPr="003445F3">
        <w:rPr>
          <w:rFonts w:ascii="Arial" w:hAnsi="Arial" w:cs="Arial"/>
          <w:lang w:eastAsia="en-ID"/>
        </w:rPr>
        <w:fldChar w:fldCharType="separate"/>
      </w:r>
      <w:r w:rsidR="000A5E3E" w:rsidRPr="003445F3">
        <w:rPr>
          <w:rFonts w:ascii="Arial" w:hAnsi="Arial" w:cs="Arial"/>
          <w:noProof/>
          <w:lang w:eastAsia="en-ID"/>
        </w:rPr>
        <w:t>(Itan, 2020)</w:t>
      </w:r>
      <w:r w:rsidR="000A5E3E" w:rsidRPr="003445F3">
        <w:rPr>
          <w:rFonts w:ascii="Arial" w:hAnsi="Arial" w:cs="Arial"/>
          <w:lang w:eastAsia="en-ID"/>
        </w:rPr>
        <w:fldChar w:fldCharType="end"/>
      </w:r>
      <w:r w:rsidR="000A5E3E" w:rsidRPr="003445F3">
        <w:rPr>
          <w:rFonts w:ascii="Arial" w:hAnsi="Arial" w:cs="Arial"/>
          <w:lang w:eastAsia="en-ID"/>
        </w:rPr>
        <w:t>The formula:</w:t>
      </w:r>
      <w:r w:rsidRPr="003445F3">
        <w:rPr>
          <w:rFonts w:ascii="Arial" w:hAnsi="Arial" w:cs="Arial"/>
          <w:lang w:eastAsia="en-ID"/>
        </w:rPr>
        <w:t xml:space="preserve"> </w:t>
      </w:r>
    </w:p>
    <w:p w14:paraId="771CD78F" w14:textId="77777777" w:rsidR="000168D5" w:rsidRPr="003445F3" w:rsidRDefault="000168D5" w:rsidP="000168D5">
      <w:pPr>
        <w:ind w:firstLine="720"/>
        <w:jc w:val="both"/>
        <w:rPr>
          <w:rFonts w:ascii="Arial" w:hAnsi="Arial" w:cs="Arial"/>
          <w:lang w:eastAsia="en-ID"/>
        </w:rPr>
      </w:pPr>
    </w:p>
    <w:p w14:paraId="0AEC3196" w14:textId="28867A78" w:rsidR="000168D5" w:rsidRPr="003445F3" w:rsidRDefault="000168D5" w:rsidP="000168D5">
      <w:pPr>
        <w:ind w:firstLine="720"/>
        <w:jc w:val="both"/>
        <w:rPr>
          <w:rFonts w:ascii="Arial" w:hAnsi="Arial" w:cs="Arial"/>
          <w:b/>
          <w:bCs/>
          <w:lang w:eastAsia="en-ID"/>
        </w:rPr>
      </w:pPr>
      <m:oMathPara>
        <m:oMath>
          <m:r>
            <m:rPr>
              <m:sty m:val="bi"/>
            </m:rPr>
            <w:rPr>
              <w:rFonts w:ascii="Cambria Math" w:hAnsi="Cambria Math" w:cs="Arial"/>
              <w:lang w:eastAsia="en-ID"/>
            </w:rPr>
            <m:t xml:space="preserve">ROA= </m:t>
          </m:r>
          <m:f>
            <m:fPr>
              <m:ctrlPr>
                <w:rPr>
                  <w:rFonts w:ascii="Cambria Math" w:hAnsi="Cambria Math" w:cs="Arial"/>
                  <w:b/>
                  <w:bCs/>
                  <w:i/>
                  <w:lang w:eastAsia="en-ID"/>
                </w:rPr>
              </m:ctrlPr>
            </m:fPr>
            <m:num>
              <m:r>
                <m:rPr>
                  <m:sty m:val="bi"/>
                </m:rPr>
                <w:rPr>
                  <w:rFonts w:ascii="Cambria Math" w:hAnsi="Cambria Math" w:cs="Arial"/>
                  <w:lang w:eastAsia="en-ID"/>
                </w:rPr>
                <m:t>Net Income</m:t>
              </m:r>
            </m:num>
            <m:den>
              <m:r>
                <m:rPr>
                  <m:sty m:val="bi"/>
                </m:rPr>
                <w:rPr>
                  <w:rFonts w:ascii="Cambria Math" w:hAnsi="Cambria Math" w:cs="Arial"/>
                  <w:lang w:eastAsia="en-ID"/>
                </w:rPr>
                <m:t>Total Assets</m:t>
              </m:r>
            </m:den>
          </m:f>
        </m:oMath>
      </m:oMathPara>
    </w:p>
    <w:p w14:paraId="4A150843" w14:textId="77777777" w:rsidR="000168D5" w:rsidRPr="003445F3" w:rsidRDefault="000168D5" w:rsidP="000168D5">
      <w:pPr>
        <w:ind w:firstLine="720"/>
        <w:jc w:val="both"/>
        <w:rPr>
          <w:rFonts w:ascii="Arial" w:hAnsi="Arial" w:cs="Arial"/>
          <w:b/>
          <w:bCs/>
          <w:lang w:eastAsia="en-ID"/>
        </w:rPr>
      </w:pPr>
    </w:p>
    <w:p w14:paraId="2236F1FB" w14:textId="2C393587" w:rsidR="000168D5" w:rsidRPr="003445F3" w:rsidRDefault="000168D5" w:rsidP="000168D5">
      <w:pPr>
        <w:ind w:firstLine="720"/>
        <w:jc w:val="both"/>
        <w:rPr>
          <w:rFonts w:ascii="Arial" w:hAnsi="Arial" w:cs="Arial"/>
          <w:lang w:eastAsia="en-ID"/>
        </w:rPr>
      </w:pPr>
      <w:r w:rsidRPr="003445F3">
        <w:rPr>
          <w:rFonts w:ascii="Arial" w:hAnsi="Arial" w:cs="Arial"/>
          <w:lang w:eastAsia="en-ID"/>
        </w:rPr>
        <w:t>ROA is widely used as an indicator of a company’s efficiency in generating profits from its assets and has been used in many studies related to CSR, GCG, and financial performance.</w:t>
      </w:r>
    </w:p>
    <w:p w14:paraId="48A698C5" w14:textId="29538F5C" w:rsidR="005E6D68" w:rsidRDefault="0035465B" w:rsidP="000168D5">
      <w:pPr>
        <w:ind w:firstLine="720"/>
        <w:jc w:val="both"/>
        <w:rPr>
          <w:rFonts w:ascii="Arial" w:hAnsi="Arial" w:cs="Arial"/>
          <w:lang w:eastAsia="en-ID"/>
        </w:rPr>
      </w:pPr>
      <w:r w:rsidRPr="0035465B">
        <w:rPr>
          <w:rFonts w:ascii="Arial" w:hAnsi="Arial" w:cs="Arial"/>
          <w:lang w:eastAsia="en-ID"/>
        </w:rPr>
        <w:t>This study deliberately excludes control variables in the regression model to maintain parsimony and to focus on the core relationships between CSR, GCG indicators, and financial performance. This modeling approach is consistent with recent studies that prioritize interaction effects over extended specifications when testing moderation in CSR–performance frameworks (Rabbani et al., 2024).</w:t>
      </w:r>
    </w:p>
    <w:p w14:paraId="05AF8914" w14:textId="3E625C3F" w:rsidR="0035465B" w:rsidRDefault="0035465B" w:rsidP="000168D5">
      <w:pPr>
        <w:ind w:firstLine="720"/>
        <w:jc w:val="both"/>
        <w:rPr>
          <w:rFonts w:ascii="Arial" w:hAnsi="Arial" w:cs="Arial"/>
          <w:lang w:eastAsia="en-ID"/>
        </w:rPr>
      </w:pPr>
    </w:p>
    <w:p w14:paraId="5E79B5C0" w14:textId="7E3E70EB" w:rsidR="001D63A9" w:rsidRDefault="001D63A9" w:rsidP="000168D5">
      <w:pPr>
        <w:ind w:firstLine="720"/>
        <w:jc w:val="both"/>
        <w:rPr>
          <w:rFonts w:ascii="Arial" w:hAnsi="Arial" w:cs="Arial"/>
          <w:lang w:eastAsia="en-ID"/>
        </w:rPr>
      </w:pPr>
    </w:p>
    <w:p w14:paraId="3C7EF656" w14:textId="6DBD0A98" w:rsidR="001D63A9" w:rsidRDefault="001D63A9" w:rsidP="000168D5">
      <w:pPr>
        <w:ind w:firstLine="720"/>
        <w:jc w:val="both"/>
        <w:rPr>
          <w:rFonts w:ascii="Arial" w:hAnsi="Arial" w:cs="Arial"/>
          <w:lang w:eastAsia="en-ID"/>
        </w:rPr>
      </w:pPr>
    </w:p>
    <w:p w14:paraId="084C62C2" w14:textId="75755190" w:rsidR="001D63A9" w:rsidRDefault="001D63A9" w:rsidP="000168D5">
      <w:pPr>
        <w:ind w:firstLine="720"/>
        <w:jc w:val="both"/>
        <w:rPr>
          <w:rFonts w:ascii="Arial" w:hAnsi="Arial" w:cs="Arial"/>
          <w:lang w:eastAsia="en-ID"/>
        </w:rPr>
      </w:pPr>
    </w:p>
    <w:p w14:paraId="30C6FE25" w14:textId="5D109C98" w:rsidR="001D63A9" w:rsidRDefault="001D63A9" w:rsidP="000168D5">
      <w:pPr>
        <w:ind w:firstLine="720"/>
        <w:jc w:val="both"/>
        <w:rPr>
          <w:rFonts w:ascii="Arial" w:hAnsi="Arial" w:cs="Arial"/>
          <w:lang w:eastAsia="en-ID"/>
        </w:rPr>
      </w:pPr>
    </w:p>
    <w:p w14:paraId="6154542D" w14:textId="7B2E1DD5" w:rsidR="001D63A9" w:rsidRDefault="001D63A9" w:rsidP="000168D5">
      <w:pPr>
        <w:ind w:firstLine="720"/>
        <w:jc w:val="both"/>
        <w:rPr>
          <w:rFonts w:ascii="Arial" w:hAnsi="Arial" w:cs="Arial"/>
          <w:lang w:eastAsia="en-ID"/>
        </w:rPr>
      </w:pPr>
    </w:p>
    <w:p w14:paraId="333B6C44" w14:textId="77777777" w:rsidR="001D63A9" w:rsidRPr="003445F3" w:rsidRDefault="001D63A9" w:rsidP="000168D5">
      <w:pPr>
        <w:ind w:firstLine="720"/>
        <w:jc w:val="both"/>
        <w:rPr>
          <w:rFonts w:ascii="Arial" w:hAnsi="Arial" w:cs="Arial"/>
          <w:lang w:eastAsia="en-ID"/>
        </w:rPr>
      </w:pPr>
    </w:p>
    <w:p w14:paraId="30EDDD49" w14:textId="5CE0ABAC" w:rsidR="000168D5" w:rsidRPr="003445F3" w:rsidRDefault="000168D5" w:rsidP="000168D5">
      <w:pPr>
        <w:jc w:val="center"/>
        <w:rPr>
          <w:rFonts w:ascii="Arial" w:hAnsi="Arial" w:cs="Arial"/>
          <w:b/>
          <w:bCs/>
        </w:rPr>
      </w:pPr>
      <w:r w:rsidRPr="003445F3">
        <w:rPr>
          <w:rFonts w:ascii="Arial" w:hAnsi="Arial" w:cs="Arial"/>
          <w:b/>
          <w:bCs/>
        </w:rPr>
        <w:t>Table 1. list of Islamic general banks in Indonesia</w:t>
      </w:r>
    </w:p>
    <w:p w14:paraId="3226CC10" w14:textId="77777777" w:rsidR="000168D5" w:rsidRPr="003445F3" w:rsidRDefault="000168D5" w:rsidP="000168D5">
      <w:pPr>
        <w:jc w:val="center"/>
        <w:rPr>
          <w:rFonts w:ascii="Arial" w:hAnsi="Arial" w:cs="Arial"/>
          <w:b/>
          <w:bCs/>
        </w:rPr>
      </w:pPr>
    </w:p>
    <w:tbl>
      <w:tblPr>
        <w:tblStyle w:val="TableGrid"/>
        <w:tblW w:w="0" w:type="auto"/>
        <w:jc w:val="center"/>
        <w:tblLook w:val="04A0" w:firstRow="1" w:lastRow="0" w:firstColumn="1" w:lastColumn="0" w:noHBand="0" w:noVBand="1"/>
      </w:tblPr>
      <w:tblGrid>
        <w:gridCol w:w="704"/>
        <w:gridCol w:w="3804"/>
      </w:tblGrid>
      <w:tr w:rsidR="000168D5" w:rsidRPr="003445F3" w14:paraId="2DCC06E3" w14:textId="77777777" w:rsidTr="00AE096E">
        <w:trPr>
          <w:jc w:val="center"/>
        </w:trPr>
        <w:tc>
          <w:tcPr>
            <w:tcW w:w="704" w:type="dxa"/>
          </w:tcPr>
          <w:p w14:paraId="304F0EB7" w14:textId="77777777" w:rsidR="000168D5" w:rsidRPr="003445F3" w:rsidRDefault="000168D5" w:rsidP="005C2D2B">
            <w:pPr>
              <w:rPr>
                <w:rFonts w:ascii="Arial" w:hAnsi="Arial" w:cs="Arial"/>
                <w:b/>
                <w:bCs/>
                <w:sz w:val="20"/>
                <w:szCs w:val="20"/>
              </w:rPr>
            </w:pPr>
            <w:r w:rsidRPr="003445F3">
              <w:rPr>
                <w:rFonts w:ascii="Arial" w:hAnsi="Arial" w:cs="Arial"/>
                <w:b/>
                <w:bCs/>
                <w:sz w:val="20"/>
                <w:szCs w:val="20"/>
              </w:rPr>
              <w:t>NO</w:t>
            </w:r>
          </w:p>
        </w:tc>
        <w:tc>
          <w:tcPr>
            <w:tcW w:w="3804" w:type="dxa"/>
          </w:tcPr>
          <w:p w14:paraId="63F44A1C" w14:textId="77777777" w:rsidR="000168D5" w:rsidRPr="003445F3" w:rsidRDefault="000168D5" w:rsidP="005C2D2B">
            <w:pPr>
              <w:rPr>
                <w:rFonts w:ascii="Arial" w:hAnsi="Arial" w:cs="Arial"/>
                <w:b/>
                <w:bCs/>
                <w:sz w:val="20"/>
                <w:szCs w:val="20"/>
              </w:rPr>
            </w:pPr>
            <w:r w:rsidRPr="003445F3">
              <w:rPr>
                <w:rFonts w:ascii="Arial" w:hAnsi="Arial" w:cs="Arial"/>
                <w:b/>
                <w:bCs/>
                <w:sz w:val="20"/>
                <w:szCs w:val="20"/>
              </w:rPr>
              <w:t>BANK NAME</w:t>
            </w:r>
          </w:p>
        </w:tc>
      </w:tr>
      <w:tr w:rsidR="000168D5" w:rsidRPr="003445F3" w14:paraId="248C3CFB" w14:textId="77777777" w:rsidTr="00AE096E">
        <w:trPr>
          <w:jc w:val="center"/>
        </w:trPr>
        <w:tc>
          <w:tcPr>
            <w:tcW w:w="704" w:type="dxa"/>
          </w:tcPr>
          <w:p w14:paraId="07310FD4" w14:textId="77777777" w:rsidR="000168D5" w:rsidRPr="003445F3" w:rsidRDefault="000168D5" w:rsidP="005C2D2B">
            <w:pPr>
              <w:rPr>
                <w:rFonts w:ascii="Arial" w:hAnsi="Arial" w:cs="Arial"/>
                <w:sz w:val="20"/>
                <w:szCs w:val="20"/>
              </w:rPr>
            </w:pPr>
            <w:r w:rsidRPr="003445F3">
              <w:rPr>
                <w:rFonts w:ascii="Arial" w:hAnsi="Arial" w:cs="Arial"/>
                <w:sz w:val="20"/>
                <w:szCs w:val="20"/>
              </w:rPr>
              <w:t>1.</w:t>
            </w:r>
          </w:p>
        </w:tc>
        <w:tc>
          <w:tcPr>
            <w:tcW w:w="3804" w:type="dxa"/>
          </w:tcPr>
          <w:p w14:paraId="0038F7EF" w14:textId="77777777" w:rsidR="000168D5" w:rsidRPr="003445F3" w:rsidRDefault="000168D5" w:rsidP="005C2D2B">
            <w:pPr>
              <w:rPr>
                <w:rFonts w:ascii="Arial" w:hAnsi="Arial" w:cs="Arial"/>
                <w:sz w:val="20"/>
                <w:szCs w:val="20"/>
              </w:rPr>
            </w:pPr>
            <w:r w:rsidRPr="003445F3">
              <w:rPr>
                <w:rFonts w:ascii="Arial" w:hAnsi="Arial" w:cs="Arial"/>
                <w:sz w:val="20"/>
                <w:szCs w:val="20"/>
              </w:rPr>
              <w:t>Bank Aceh Syariah</w:t>
            </w:r>
          </w:p>
        </w:tc>
      </w:tr>
      <w:tr w:rsidR="000168D5" w:rsidRPr="003445F3" w14:paraId="02BFD0FE" w14:textId="77777777" w:rsidTr="00AE096E">
        <w:trPr>
          <w:jc w:val="center"/>
        </w:trPr>
        <w:tc>
          <w:tcPr>
            <w:tcW w:w="704" w:type="dxa"/>
          </w:tcPr>
          <w:p w14:paraId="330C22A8" w14:textId="77777777" w:rsidR="000168D5" w:rsidRPr="003445F3" w:rsidRDefault="000168D5" w:rsidP="005C2D2B">
            <w:pPr>
              <w:rPr>
                <w:rFonts w:ascii="Arial" w:hAnsi="Arial" w:cs="Arial"/>
                <w:sz w:val="20"/>
                <w:szCs w:val="20"/>
              </w:rPr>
            </w:pPr>
            <w:r w:rsidRPr="003445F3">
              <w:rPr>
                <w:rFonts w:ascii="Arial" w:hAnsi="Arial" w:cs="Arial"/>
                <w:sz w:val="20"/>
                <w:szCs w:val="20"/>
              </w:rPr>
              <w:t>2.</w:t>
            </w:r>
          </w:p>
        </w:tc>
        <w:tc>
          <w:tcPr>
            <w:tcW w:w="3804" w:type="dxa"/>
          </w:tcPr>
          <w:p w14:paraId="739A551B" w14:textId="77777777" w:rsidR="000168D5" w:rsidRPr="003445F3" w:rsidRDefault="000168D5" w:rsidP="005C2D2B">
            <w:pPr>
              <w:rPr>
                <w:rFonts w:ascii="Arial" w:hAnsi="Arial" w:cs="Arial"/>
                <w:sz w:val="20"/>
                <w:szCs w:val="20"/>
              </w:rPr>
            </w:pPr>
            <w:r w:rsidRPr="003445F3">
              <w:rPr>
                <w:rFonts w:ascii="Arial" w:hAnsi="Arial" w:cs="Arial"/>
                <w:sz w:val="20"/>
                <w:szCs w:val="20"/>
              </w:rPr>
              <w:t>Bank BNI Syariah</w:t>
            </w:r>
          </w:p>
        </w:tc>
      </w:tr>
      <w:tr w:rsidR="000168D5" w:rsidRPr="003445F3" w14:paraId="6F5989B7" w14:textId="77777777" w:rsidTr="00AE096E">
        <w:trPr>
          <w:jc w:val="center"/>
        </w:trPr>
        <w:tc>
          <w:tcPr>
            <w:tcW w:w="704" w:type="dxa"/>
          </w:tcPr>
          <w:p w14:paraId="13C14E35" w14:textId="77777777" w:rsidR="000168D5" w:rsidRPr="003445F3" w:rsidRDefault="000168D5" w:rsidP="005C2D2B">
            <w:pPr>
              <w:rPr>
                <w:rFonts w:ascii="Arial" w:hAnsi="Arial" w:cs="Arial"/>
                <w:sz w:val="20"/>
                <w:szCs w:val="20"/>
              </w:rPr>
            </w:pPr>
            <w:r w:rsidRPr="003445F3">
              <w:rPr>
                <w:rFonts w:ascii="Arial" w:hAnsi="Arial" w:cs="Arial"/>
                <w:sz w:val="20"/>
                <w:szCs w:val="20"/>
              </w:rPr>
              <w:t>3.</w:t>
            </w:r>
          </w:p>
        </w:tc>
        <w:tc>
          <w:tcPr>
            <w:tcW w:w="3804" w:type="dxa"/>
          </w:tcPr>
          <w:p w14:paraId="79E207FE" w14:textId="77777777" w:rsidR="000168D5" w:rsidRPr="003445F3" w:rsidRDefault="000168D5" w:rsidP="005C2D2B">
            <w:pPr>
              <w:rPr>
                <w:rFonts w:ascii="Arial" w:hAnsi="Arial" w:cs="Arial"/>
                <w:sz w:val="20"/>
                <w:szCs w:val="20"/>
              </w:rPr>
            </w:pPr>
            <w:r w:rsidRPr="003445F3">
              <w:rPr>
                <w:rFonts w:ascii="Arial" w:hAnsi="Arial" w:cs="Arial"/>
                <w:sz w:val="20"/>
                <w:szCs w:val="20"/>
              </w:rPr>
              <w:t>Bank BCA Syariah</w:t>
            </w:r>
          </w:p>
        </w:tc>
      </w:tr>
      <w:tr w:rsidR="000168D5" w:rsidRPr="003445F3" w14:paraId="30DC0895" w14:textId="77777777" w:rsidTr="00AE096E">
        <w:trPr>
          <w:jc w:val="center"/>
        </w:trPr>
        <w:tc>
          <w:tcPr>
            <w:tcW w:w="704" w:type="dxa"/>
          </w:tcPr>
          <w:p w14:paraId="590527CB" w14:textId="77777777" w:rsidR="000168D5" w:rsidRPr="003445F3" w:rsidRDefault="000168D5" w:rsidP="005C2D2B">
            <w:pPr>
              <w:rPr>
                <w:rFonts w:ascii="Arial" w:hAnsi="Arial" w:cs="Arial"/>
                <w:sz w:val="20"/>
                <w:szCs w:val="20"/>
              </w:rPr>
            </w:pPr>
            <w:r w:rsidRPr="003445F3">
              <w:rPr>
                <w:rFonts w:ascii="Arial" w:hAnsi="Arial" w:cs="Arial"/>
                <w:sz w:val="20"/>
                <w:szCs w:val="20"/>
              </w:rPr>
              <w:t>4.</w:t>
            </w:r>
          </w:p>
        </w:tc>
        <w:tc>
          <w:tcPr>
            <w:tcW w:w="3804" w:type="dxa"/>
          </w:tcPr>
          <w:p w14:paraId="35D46965" w14:textId="77777777" w:rsidR="000168D5" w:rsidRPr="003445F3" w:rsidRDefault="000168D5" w:rsidP="005C2D2B">
            <w:pPr>
              <w:rPr>
                <w:rFonts w:ascii="Arial" w:hAnsi="Arial" w:cs="Arial"/>
                <w:sz w:val="20"/>
                <w:szCs w:val="20"/>
              </w:rPr>
            </w:pPr>
            <w:r w:rsidRPr="003445F3">
              <w:rPr>
                <w:rFonts w:ascii="Arial" w:hAnsi="Arial" w:cs="Arial"/>
                <w:sz w:val="20"/>
                <w:szCs w:val="20"/>
              </w:rPr>
              <w:t>Bank BRI Syariah</w:t>
            </w:r>
          </w:p>
        </w:tc>
      </w:tr>
      <w:tr w:rsidR="000168D5" w:rsidRPr="003445F3" w14:paraId="7D7FCFBB" w14:textId="77777777" w:rsidTr="00AE096E">
        <w:trPr>
          <w:jc w:val="center"/>
        </w:trPr>
        <w:tc>
          <w:tcPr>
            <w:tcW w:w="704" w:type="dxa"/>
          </w:tcPr>
          <w:p w14:paraId="0441FB26" w14:textId="77777777" w:rsidR="000168D5" w:rsidRPr="003445F3" w:rsidRDefault="000168D5" w:rsidP="005C2D2B">
            <w:pPr>
              <w:rPr>
                <w:rFonts w:ascii="Arial" w:hAnsi="Arial" w:cs="Arial"/>
                <w:sz w:val="20"/>
                <w:szCs w:val="20"/>
              </w:rPr>
            </w:pPr>
            <w:r w:rsidRPr="003445F3">
              <w:rPr>
                <w:rFonts w:ascii="Arial" w:hAnsi="Arial" w:cs="Arial"/>
                <w:sz w:val="20"/>
                <w:szCs w:val="20"/>
              </w:rPr>
              <w:t>5.</w:t>
            </w:r>
          </w:p>
        </w:tc>
        <w:tc>
          <w:tcPr>
            <w:tcW w:w="3804" w:type="dxa"/>
          </w:tcPr>
          <w:p w14:paraId="724C8B10" w14:textId="77777777" w:rsidR="000168D5" w:rsidRPr="003445F3" w:rsidRDefault="000168D5" w:rsidP="005C2D2B">
            <w:pPr>
              <w:rPr>
                <w:rFonts w:ascii="Arial" w:hAnsi="Arial" w:cs="Arial"/>
                <w:sz w:val="20"/>
                <w:szCs w:val="20"/>
              </w:rPr>
            </w:pPr>
            <w:r w:rsidRPr="003445F3">
              <w:rPr>
                <w:rFonts w:ascii="Arial" w:hAnsi="Arial" w:cs="Arial"/>
                <w:sz w:val="20"/>
                <w:szCs w:val="20"/>
              </w:rPr>
              <w:t>Bank Syariah Indonesia</w:t>
            </w:r>
          </w:p>
        </w:tc>
      </w:tr>
      <w:tr w:rsidR="000168D5" w:rsidRPr="003445F3" w14:paraId="6C8424DA" w14:textId="77777777" w:rsidTr="00AE096E">
        <w:trPr>
          <w:jc w:val="center"/>
        </w:trPr>
        <w:tc>
          <w:tcPr>
            <w:tcW w:w="704" w:type="dxa"/>
          </w:tcPr>
          <w:p w14:paraId="2B5140EE" w14:textId="77777777" w:rsidR="000168D5" w:rsidRPr="003445F3" w:rsidRDefault="000168D5" w:rsidP="005C2D2B">
            <w:pPr>
              <w:rPr>
                <w:rFonts w:ascii="Arial" w:hAnsi="Arial" w:cs="Arial"/>
                <w:sz w:val="20"/>
                <w:szCs w:val="20"/>
              </w:rPr>
            </w:pPr>
            <w:r w:rsidRPr="003445F3">
              <w:rPr>
                <w:rFonts w:ascii="Arial" w:hAnsi="Arial" w:cs="Arial"/>
                <w:sz w:val="20"/>
                <w:szCs w:val="20"/>
              </w:rPr>
              <w:t>6.</w:t>
            </w:r>
          </w:p>
        </w:tc>
        <w:tc>
          <w:tcPr>
            <w:tcW w:w="3804" w:type="dxa"/>
          </w:tcPr>
          <w:p w14:paraId="6734B802"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Mandiri</w:t>
            </w:r>
            <w:proofErr w:type="spellEnd"/>
            <w:r w:rsidRPr="003445F3">
              <w:rPr>
                <w:rFonts w:ascii="Arial" w:hAnsi="Arial" w:cs="Arial"/>
                <w:sz w:val="20"/>
                <w:szCs w:val="20"/>
              </w:rPr>
              <w:t xml:space="preserve"> Syariah</w:t>
            </w:r>
          </w:p>
        </w:tc>
      </w:tr>
      <w:tr w:rsidR="000168D5" w:rsidRPr="003445F3" w14:paraId="467C73EB" w14:textId="77777777" w:rsidTr="00AE096E">
        <w:trPr>
          <w:jc w:val="center"/>
        </w:trPr>
        <w:tc>
          <w:tcPr>
            <w:tcW w:w="704" w:type="dxa"/>
          </w:tcPr>
          <w:p w14:paraId="2486B044" w14:textId="77777777" w:rsidR="000168D5" w:rsidRPr="003445F3" w:rsidRDefault="000168D5" w:rsidP="005C2D2B">
            <w:pPr>
              <w:rPr>
                <w:rFonts w:ascii="Arial" w:hAnsi="Arial" w:cs="Arial"/>
                <w:sz w:val="20"/>
                <w:szCs w:val="20"/>
              </w:rPr>
            </w:pPr>
            <w:r w:rsidRPr="003445F3">
              <w:rPr>
                <w:rFonts w:ascii="Arial" w:hAnsi="Arial" w:cs="Arial"/>
                <w:sz w:val="20"/>
                <w:szCs w:val="20"/>
              </w:rPr>
              <w:lastRenderedPageBreak/>
              <w:t>7.</w:t>
            </w:r>
          </w:p>
        </w:tc>
        <w:tc>
          <w:tcPr>
            <w:tcW w:w="3804" w:type="dxa"/>
          </w:tcPr>
          <w:p w14:paraId="5E24D7EC" w14:textId="77777777" w:rsidR="000168D5" w:rsidRPr="003445F3" w:rsidRDefault="000168D5" w:rsidP="005C2D2B">
            <w:pPr>
              <w:rPr>
                <w:rFonts w:ascii="Arial" w:hAnsi="Arial" w:cs="Arial"/>
                <w:sz w:val="20"/>
                <w:szCs w:val="20"/>
              </w:rPr>
            </w:pPr>
            <w:r w:rsidRPr="003445F3">
              <w:rPr>
                <w:rFonts w:ascii="Arial" w:hAnsi="Arial" w:cs="Arial"/>
                <w:sz w:val="20"/>
                <w:szCs w:val="20"/>
              </w:rPr>
              <w:t>BTPN Syariah</w:t>
            </w:r>
          </w:p>
        </w:tc>
      </w:tr>
      <w:tr w:rsidR="000168D5" w:rsidRPr="003445F3" w14:paraId="05EE1AB5" w14:textId="77777777" w:rsidTr="00AE096E">
        <w:trPr>
          <w:jc w:val="center"/>
        </w:trPr>
        <w:tc>
          <w:tcPr>
            <w:tcW w:w="704" w:type="dxa"/>
          </w:tcPr>
          <w:p w14:paraId="2F77C987" w14:textId="77777777" w:rsidR="000168D5" w:rsidRPr="003445F3" w:rsidRDefault="000168D5" w:rsidP="005C2D2B">
            <w:pPr>
              <w:rPr>
                <w:rFonts w:ascii="Arial" w:hAnsi="Arial" w:cs="Arial"/>
                <w:sz w:val="20"/>
                <w:szCs w:val="20"/>
              </w:rPr>
            </w:pPr>
            <w:r w:rsidRPr="003445F3">
              <w:rPr>
                <w:rFonts w:ascii="Arial" w:hAnsi="Arial" w:cs="Arial"/>
                <w:sz w:val="20"/>
                <w:szCs w:val="20"/>
              </w:rPr>
              <w:t>8.</w:t>
            </w:r>
          </w:p>
        </w:tc>
        <w:tc>
          <w:tcPr>
            <w:tcW w:w="3804" w:type="dxa"/>
          </w:tcPr>
          <w:p w14:paraId="217AFAA4"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Aladin</w:t>
            </w:r>
            <w:proofErr w:type="spellEnd"/>
            <w:r w:rsidRPr="003445F3">
              <w:rPr>
                <w:rFonts w:ascii="Arial" w:hAnsi="Arial" w:cs="Arial"/>
                <w:sz w:val="20"/>
                <w:szCs w:val="20"/>
              </w:rPr>
              <w:t xml:space="preserve"> Syariah</w:t>
            </w:r>
          </w:p>
        </w:tc>
      </w:tr>
      <w:tr w:rsidR="000168D5" w:rsidRPr="003445F3" w14:paraId="0E7F8D56" w14:textId="77777777" w:rsidTr="00AE096E">
        <w:trPr>
          <w:jc w:val="center"/>
        </w:trPr>
        <w:tc>
          <w:tcPr>
            <w:tcW w:w="704" w:type="dxa"/>
          </w:tcPr>
          <w:p w14:paraId="1A833CEA" w14:textId="77777777" w:rsidR="000168D5" w:rsidRPr="003445F3" w:rsidRDefault="000168D5" w:rsidP="005C2D2B">
            <w:pPr>
              <w:rPr>
                <w:rFonts w:ascii="Arial" w:hAnsi="Arial" w:cs="Arial"/>
                <w:sz w:val="20"/>
                <w:szCs w:val="20"/>
              </w:rPr>
            </w:pPr>
            <w:r w:rsidRPr="003445F3">
              <w:rPr>
                <w:rFonts w:ascii="Arial" w:hAnsi="Arial" w:cs="Arial"/>
                <w:sz w:val="20"/>
                <w:szCs w:val="20"/>
              </w:rPr>
              <w:t>9.</w:t>
            </w:r>
          </w:p>
        </w:tc>
        <w:tc>
          <w:tcPr>
            <w:tcW w:w="3804" w:type="dxa"/>
          </w:tcPr>
          <w:p w14:paraId="37C4A876"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Muamalat</w:t>
            </w:r>
            <w:proofErr w:type="spellEnd"/>
            <w:r w:rsidRPr="003445F3">
              <w:rPr>
                <w:rFonts w:ascii="Arial" w:hAnsi="Arial" w:cs="Arial"/>
                <w:sz w:val="20"/>
                <w:szCs w:val="20"/>
              </w:rPr>
              <w:t xml:space="preserve"> Syariah</w:t>
            </w:r>
          </w:p>
        </w:tc>
      </w:tr>
      <w:tr w:rsidR="000168D5" w:rsidRPr="003445F3" w14:paraId="747D5E02" w14:textId="77777777" w:rsidTr="00AE096E">
        <w:trPr>
          <w:jc w:val="center"/>
        </w:trPr>
        <w:tc>
          <w:tcPr>
            <w:tcW w:w="704" w:type="dxa"/>
          </w:tcPr>
          <w:p w14:paraId="4E5DE73F" w14:textId="77777777" w:rsidR="000168D5" w:rsidRPr="003445F3" w:rsidRDefault="000168D5" w:rsidP="005C2D2B">
            <w:pPr>
              <w:rPr>
                <w:rFonts w:ascii="Arial" w:hAnsi="Arial" w:cs="Arial"/>
                <w:sz w:val="20"/>
                <w:szCs w:val="20"/>
              </w:rPr>
            </w:pPr>
            <w:r w:rsidRPr="003445F3">
              <w:rPr>
                <w:rFonts w:ascii="Arial" w:hAnsi="Arial" w:cs="Arial"/>
                <w:sz w:val="20"/>
                <w:szCs w:val="20"/>
              </w:rPr>
              <w:t>10.</w:t>
            </w:r>
          </w:p>
        </w:tc>
        <w:tc>
          <w:tcPr>
            <w:tcW w:w="3804" w:type="dxa"/>
          </w:tcPr>
          <w:p w14:paraId="037D2EE9" w14:textId="77777777" w:rsidR="000168D5" w:rsidRPr="003445F3" w:rsidRDefault="000168D5" w:rsidP="005C2D2B">
            <w:pPr>
              <w:rPr>
                <w:rFonts w:ascii="Arial" w:hAnsi="Arial" w:cs="Arial"/>
                <w:sz w:val="20"/>
                <w:szCs w:val="20"/>
              </w:rPr>
            </w:pPr>
            <w:r w:rsidRPr="003445F3">
              <w:rPr>
                <w:rFonts w:ascii="Arial" w:hAnsi="Arial" w:cs="Arial"/>
                <w:sz w:val="20"/>
                <w:szCs w:val="20"/>
              </w:rPr>
              <w:t>Bank NTB Syariah</w:t>
            </w:r>
          </w:p>
        </w:tc>
      </w:tr>
      <w:tr w:rsidR="000168D5" w:rsidRPr="003445F3" w14:paraId="034432B7" w14:textId="77777777" w:rsidTr="00AE096E">
        <w:trPr>
          <w:jc w:val="center"/>
        </w:trPr>
        <w:tc>
          <w:tcPr>
            <w:tcW w:w="704" w:type="dxa"/>
          </w:tcPr>
          <w:p w14:paraId="088C69DE" w14:textId="77777777" w:rsidR="000168D5" w:rsidRPr="003445F3" w:rsidRDefault="000168D5" w:rsidP="005C2D2B">
            <w:pPr>
              <w:rPr>
                <w:rFonts w:ascii="Arial" w:hAnsi="Arial" w:cs="Arial"/>
                <w:sz w:val="20"/>
                <w:szCs w:val="20"/>
              </w:rPr>
            </w:pPr>
            <w:r w:rsidRPr="003445F3">
              <w:rPr>
                <w:rFonts w:ascii="Arial" w:hAnsi="Arial" w:cs="Arial"/>
                <w:sz w:val="20"/>
                <w:szCs w:val="20"/>
              </w:rPr>
              <w:t>11.</w:t>
            </w:r>
          </w:p>
        </w:tc>
        <w:tc>
          <w:tcPr>
            <w:tcW w:w="3804" w:type="dxa"/>
          </w:tcPr>
          <w:p w14:paraId="0DC615EF" w14:textId="77777777" w:rsidR="000168D5" w:rsidRPr="003445F3" w:rsidRDefault="000168D5" w:rsidP="005C2D2B">
            <w:pPr>
              <w:rPr>
                <w:rFonts w:ascii="Arial" w:hAnsi="Arial" w:cs="Arial"/>
                <w:sz w:val="20"/>
                <w:szCs w:val="20"/>
              </w:rPr>
            </w:pPr>
            <w:r w:rsidRPr="003445F3">
              <w:rPr>
                <w:rFonts w:ascii="Arial" w:hAnsi="Arial" w:cs="Arial"/>
                <w:sz w:val="20"/>
                <w:szCs w:val="20"/>
              </w:rPr>
              <w:t xml:space="preserve">Bank </w:t>
            </w:r>
            <w:proofErr w:type="spellStart"/>
            <w:r w:rsidRPr="003445F3">
              <w:rPr>
                <w:rFonts w:ascii="Arial" w:hAnsi="Arial" w:cs="Arial"/>
                <w:sz w:val="20"/>
                <w:szCs w:val="20"/>
              </w:rPr>
              <w:t>Panin</w:t>
            </w:r>
            <w:proofErr w:type="spellEnd"/>
            <w:r w:rsidRPr="003445F3">
              <w:rPr>
                <w:rFonts w:ascii="Arial" w:hAnsi="Arial" w:cs="Arial"/>
                <w:sz w:val="20"/>
                <w:szCs w:val="20"/>
              </w:rPr>
              <w:t xml:space="preserve"> Dubai Syariah</w:t>
            </w:r>
          </w:p>
        </w:tc>
      </w:tr>
      <w:tr w:rsidR="000168D5" w:rsidRPr="003445F3" w14:paraId="4C794967" w14:textId="77777777" w:rsidTr="00AE096E">
        <w:trPr>
          <w:jc w:val="center"/>
        </w:trPr>
        <w:tc>
          <w:tcPr>
            <w:tcW w:w="704" w:type="dxa"/>
          </w:tcPr>
          <w:p w14:paraId="6A5A557E" w14:textId="77777777" w:rsidR="000168D5" w:rsidRPr="003445F3" w:rsidRDefault="000168D5" w:rsidP="005C2D2B">
            <w:pPr>
              <w:rPr>
                <w:rFonts w:ascii="Arial" w:hAnsi="Arial" w:cs="Arial"/>
                <w:sz w:val="20"/>
                <w:szCs w:val="20"/>
              </w:rPr>
            </w:pPr>
            <w:r w:rsidRPr="003445F3">
              <w:rPr>
                <w:rFonts w:ascii="Arial" w:hAnsi="Arial" w:cs="Arial"/>
                <w:sz w:val="20"/>
                <w:szCs w:val="20"/>
              </w:rPr>
              <w:t>12.</w:t>
            </w:r>
          </w:p>
        </w:tc>
        <w:tc>
          <w:tcPr>
            <w:tcW w:w="3804" w:type="dxa"/>
          </w:tcPr>
          <w:p w14:paraId="268EB9C4" w14:textId="77777777" w:rsidR="000168D5" w:rsidRPr="003445F3" w:rsidRDefault="000168D5" w:rsidP="005C2D2B">
            <w:pPr>
              <w:rPr>
                <w:rFonts w:ascii="Arial" w:hAnsi="Arial" w:cs="Arial"/>
                <w:sz w:val="20"/>
                <w:szCs w:val="20"/>
              </w:rPr>
            </w:pPr>
            <w:r w:rsidRPr="003445F3">
              <w:rPr>
                <w:rFonts w:ascii="Arial" w:hAnsi="Arial" w:cs="Arial"/>
                <w:sz w:val="20"/>
                <w:szCs w:val="20"/>
              </w:rPr>
              <w:t>BJB Syariah</w:t>
            </w:r>
          </w:p>
        </w:tc>
      </w:tr>
      <w:tr w:rsidR="000168D5" w:rsidRPr="003445F3" w14:paraId="1CD0C6AA" w14:textId="77777777" w:rsidTr="00AE096E">
        <w:trPr>
          <w:jc w:val="center"/>
        </w:trPr>
        <w:tc>
          <w:tcPr>
            <w:tcW w:w="704" w:type="dxa"/>
          </w:tcPr>
          <w:p w14:paraId="6401CCE8" w14:textId="77777777" w:rsidR="000168D5" w:rsidRPr="003445F3" w:rsidRDefault="000168D5" w:rsidP="005C2D2B">
            <w:pPr>
              <w:rPr>
                <w:rFonts w:ascii="Arial" w:hAnsi="Arial" w:cs="Arial"/>
                <w:sz w:val="20"/>
                <w:szCs w:val="20"/>
              </w:rPr>
            </w:pPr>
            <w:r w:rsidRPr="003445F3">
              <w:rPr>
                <w:rFonts w:ascii="Arial" w:hAnsi="Arial" w:cs="Arial"/>
                <w:sz w:val="20"/>
                <w:szCs w:val="20"/>
              </w:rPr>
              <w:t>13.</w:t>
            </w:r>
          </w:p>
        </w:tc>
        <w:tc>
          <w:tcPr>
            <w:tcW w:w="3804" w:type="dxa"/>
          </w:tcPr>
          <w:p w14:paraId="341ECDFA" w14:textId="77777777" w:rsidR="000168D5" w:rsidRPr="003445F3" w:rsidRDefault="000168D5" w:rsidP="005C2D2B">
            <w:pPr>
              <w:rPr>
                <w:rFonts w:ascii="Arial" w:hAnsi="Arial" w:cs="Arial"/>
                <w:sz w:val="20"/>
                <w:szCs w:val="20"/>
              </w:rPr>
            </w:pPr>
            <w:r w:rsidRPr="003445F3">
              <w:rPr>
                <w:rFonts w:ascii="Arial" w:hAnsi="Arial" w:cs="Arial"/>
                <w:sz w:val="20"/>
                <w:szCs w:val="20"/>
              </w:rPr>
              <w:t>Bank Victoria Syariah</w:t>
            </w:r>
          </w:p>
        </w:tc>
      </w:tr>
    </w:tbl>
    <w:p w14:paraId="4A07C455" w14:textId="77777777" w:rsidR="00B736B8" w:rsidRDefault="00B736B8" w:rsidP="00E379BC">
      <w:pPr>
        <w:pStyle w:val="ListParagraph"/>
        <w:ind w:left="360"/>
        <w:rPr>
          <w:b/>
          <w:bCs/>
        </w:rPr>
      </w:pPr>
    </w:p>
    <w:p w14:paraId="5D0FE146" w14:textId="77777777" w:rsidR="00B736B8" w:rsidRDefault="00B736B8" w:rsidP="00B736B8">
      <w:pPr>
        <w:pStyle w:val="ListParagraph"/>
        <w:numPr>
          <w:ilvl w:val="1"/>
          <w:numId w:val="31"/>
        </w:numPr>
        <w:rPr>
          <w:rFonts w:ascii="Arial" w:hAnsi="Arial" w:cs="Arial"/>
          <w:b/>
          <w:bCs/>
        </w:rPr>
      </w:pPr>
      <w:r w:rsidRPr="00B736B8">
        <w:rPr>
          <w:rFonts w:ascii="Arial" w:hAnsi="Arial" w:cs="Arial"/>
          <w:b/>
          <w:bCs/>
        </w:rPr>
        <w:t>Data Analysis Technique</w:t>
      </w:r>
    </w:p>
    <w:p w14:paraId="3B25A367" w14:textId="2AFD937D" w:rsidR="00B736B8" w:rsidRPr="00B736B8" w:rsidRDefault="00E379BC" w:rsidP="00B736B8">
      <w:pPr>
        <w:pStyle w:val="ListParagraph"/>
        <w:ind w:left="360"/>
        <w:rPr>
          <w:rFonts w:ascii="Arial" w:hAnsi="Arial" w:cs="Arial"/>
          <w:b/>
          <w:bCs/>
        </w:rPr>
      </w:pPr>
      <w:r w:rsidRPr="00B736B8">
        <w:rPr>
          <w:rFonts w:ascii="Arial" w:hAnsi="Arial" w:cs="Arial"/>
          <w:b/>
          <w:bCs/>
        </w:rPr>
        <w:tab/>
      </w:r>
    </w:p>
    <w:p w14:paraId="60D276D2" w14:textId="03B8D1BA" w:rsidR="00E379BC" w:rsidRDefault="00B736B8" w:rsidP="00E379BC">
      <w:pPr>
        <w:pStyle w:val="ListParagraph"/>
        <w:ind w:left="360"/>
        <w:rPr>
          <w:rFonts w:ascii="Arial" w:hAnsi="Arial" w:cs="Arial"/>
        </w:rPr>
      </w:pPr>
      <w:r>
        <w:rPr>
          <w:rFonts w:ascii="Arial" w:hAnsi="Arial" w:cs="Arial"/>
        </w:rPr>
        <w:tab/>
      </w:r>
      <w:r w:rsidR="00E379BC" w:rsidRPr="00E379BC">
        <w:rPr>
          <w:rFonts w:ascii="Arial" w:hAnsi="Arial" w:cs="Arial"/>
        </w:rPr>
        <w:t>This study adopts a panel data regression approach to examine the impact of Corporate Social Responsibility (CSR) on the financial performance of Islamic banks, with Good Corporate Governance (GCG)—represented by board size and gender diversity—as moderating variables. Given the structure of the data, which covers 13 Islamic banks over six years (2018–2023), panel regression is deemed appropriate for addressing unobserved heterogeneity across banks and time periods (Hsiao, 20</w:t>
      </w:r>
      <w:r w:rsidR="006973D3">
        <w:rPr>
          <w:rFonts w:ascii="Arial" w:hAnsi="Arial" w:cs="Arial"/>
        </w:rPr>
        <w:t>22</w:t>
      </w:r>
      <w:r w:rsidR="00E379BC" w:rsidRPr="00E379BC">
        <w:rPr>
          <w:rFonts w:ascii="Arial" w:hAnsi="Arial" w:cs="Arial"/>
        </w:rPr>
        <w:t>).</w:t>
      </w:r>
    </w:p>
    <w:p w14:paraId="258234AA" w14:textId="77777777" w:rsidR="008E1C0F" w:rsidRDefault="00E379BC" w:rsidP="00E379BC">
      <w:pPr>
        <w:pStyle w:val="ListParagraph"/>
        <w:ind w:left="360"/>
        <w:rPr>
          <w:rFonts w:ascii="Arial" w:hAnsi="Arial" w:cs="Arial"/>
        </w:rPr>
      </w:pPr>
      <w:r>
        <w:rPr>
          <w:rFonts w:ascii="Arial" w:hAnsi="Arial" w:cs="Arial"/>
        </w:rPr>
        <w:tab/>
      </w:r>
      <w:r w:rsidRPr="00E379BC">
        <w:rPr>
          <w:rFonts w:ascii="Arial" w:hAnsi="Arial" w:cs="Arial"/>
        </w:rPr>
        <w:t>The analysis begins with the application of both Fixed Effects (FE) and Random Effects (RE) models using STATA 17. To determine the most appropriate model, the Hausman specification test is performed. The results support the use of the Random Effects model, which assumes that unobserved individual effects are uncorrelated with the explanatory variables (Gujarati &amp; Porter, 2020). To ensure the robustness of the estimates, heteroskedasticity-consistent standard errors (robust standard errors) are applied.</w:t>
      </w:r>
    </w:p>
    <w:p w14:paraId="4EF2DE6C" w14:textId="27637D0E" w:rsidR="008E1C0F" w:rsidRDefault="008E1C0F" w:rsidP="008E1C0F">
      <w:pPr>
        <w:pStyle w:val="ListParagraph"/>
        <w:ind w:left="360"/>
        <w:rPr>
          <w:rFonts w:ascii="Arial" w:hAnsi="Arial" w:cs="Arial"/>
        </w:rPr>
      </w:pPr>
      <w:r>
        <w:rPr>
          <w:rFonts w:ascii="Arial" w:hAnsi="Arial" w:cs="Arial"/>
        </w:rPr>
        <w:tab/>
      </w:r>
      <w:r w:rsidR="00E379BC" w:rsidRPr="00E379BC">
        <w:rPr>
          <w:rFonts w:ascii="Arial" w:hAnsi="Arial" w:cs="Arial"/>
        </w:rPr>
        <w:t>The analysis employs two regression equations. Model (1) examines the direct relationship between CSR and financial performance (proxied by ROA). Model (2) includes interaction terms between CSR and each GCG indicator to test the moderating effects:</w:t>
      </w:r>
    </w:p>
    <w:p w14:paraId="2EC153E9" w14:textId="77777777" w:rsidR="008E1C0F" w:rsidRDefault="008E1C0F" w:rsidP="008E1C0F">
      <w:pPr>
        <w:pStyle w:val="ListParagraph"/>
        <w:ind w:left="360"/>
        <w:rPr>
          <w:rFonts w:ascii="Arial" w:hAnsi="Arial" w:cs="Arial"/>
        </w:rPr>
      </w:pPr>
    </w:p>
    <w:p w14:paraId="09E1A261" w14:textId="6BC1E3C7" w:rsidR="008E1C0F" w:rsidRDefault="00E379BC" w:rsidP="008E1C0F">
      <w:pPr>
        <w:pStyle w:val="ListParagraph"/>
        <w:numPr>
          <w:ilvl w:val="0"/>
          <w:numId w:val="45"/>
        </w:numPr>
        <w:rPr>
          <w:rFonts w:ascii="Arial" w:hAnsi="Arial" w:cs="Arial"/>
        </w:rPr>
      </w:pPr>
      <w:r w:rsidRPr="00E379BC">
        <w:rPr>
          <w:rFonts w:ascii="Arial" w:hAnsi="Arial" w:cs="Arial"/>
        </w:rPr>
        <w:t>ROA = β</w:t>
      </w:r>
      <w:r w:rsidRPr="00E379BC">
        <w:rPr>
          <w:rFonts w:ascii="Cambria Math" w:hAnsi="Cambria Math" w:cs="Cambria Math"/>
        </w:rPr>
        <w:t>₀</w:t>
      </w:r>
      <w:r w:rsidRPr="00E379BC">
        <w:rPr>
          <w:rFonts w:ascii="Arial" w:hAnsi="Arial" w:cs="Arial"/>
        </w:rPr>
        <w:t xml:space="preserve"> + β</w:t>
      </w:r>
      <w:r w:rsidRPr="00E379BC">
        <w:rPr>
          <w:rFonts w:ascii="Cambria Math" w:hAnsi="Cambria Math" w:cs="Cambria Math"/>
        </w:rPr>
        <w:t>₁</w:t>
      </w:r>
      <w:r w:rsidRPr="00E379BC">
        <w:rPr>
          <w:rFonts w:ascii="Arial" w:hAnsi="Arial" w:cs="Arial"/>
        </w:rPr>
        <w:t xml:space="preserve">CSR + </w:t>
      </w:r>
      <w:r w:rsidR="008E1C0F">
        <w:rPr>
          <w:rFonts w:ascii="Arial" w:hAnsi="Arial" w:cs="Arial"/>
        </w:rPr>
        <w:t>e</w:t>
      </w:r>
    </w:p>
    <w:p w14:paraId="76B1FF64" w14:textId="77777777" w:rsidR="008E1C0F" w:rsidRDefault="008E1C0F" w:rsidP="008E1C0F">
      <w:pPr>
        <w:pStyle w:val="ListParagraph"/>
        <w:rPr>
          <w:rFonts w:ascii="Arial" w:hAnsi="Arial" w:cs="Arial"/>
        </w:rPr>
      </w:pPr>
    </w:p>
    <w:p w14:paraId="079F3556" w14:textId="477457F8" w:rsidR="00E379BC" w:rsidRPr="008E1C0F" w:rsidRDefault="00E379BC" w:rsidP="008E1C0F">
      <w:pPr>
        <w:pStyle w:val="ListParagraph"/>
        <w:numPr>
          <w:ilvl w:val="0"/>
          <w:numId w:val="45"/>
        </w:numPr>
        <w:rPr>
          <w:rFonts w:ascii="Arial" w:hAnsi="Arial" w:cs="Arial"/>
        </w:rPr>
      </w:pPr>
      <w:r w:rsidRPr="008E1C0F">
        <w:rPr>
          <w:rFonts w:ascii="Arial" w:hAnsi="Arial" w:cs="Arial"/>
        </w:rPr>
        <w:t>ROA = β</w:t>
      </w:r>
      <w:r w:rsidRPr="008E1C0F">
        <w:rPr>
          <w:rFonts w:ascii="Cambria Math" w:hAnsi="Cambria Math" w:cs="Cambria Math"/>
        </w:rPr>
        <w:t>₀</w:t>
      </w:r>
      <w:r w:rsidRPr="008E1C0F">
        <w:rPr>
          <w:rFonts w:ascii="Arial" w:hAnsi="Arial" w:cs="Arial"/>
        </w:rPr>
        <w:t xml:space="preserve"> + β</w:t>
      </w:r>
      <w:r w:rsidRPr="008E1C0F">
        <w:rPr>
          <w:rFonts w:ascii="Cambria Math" w:hAnsi="Cambria Math" w:cs="Cambria Math"/>
        </w:rPr>
        <w:t>₁</w:t>
      </w:r>
      <w:r w:rsidRPr="008E1C0F">
        <w:rPr>
          <w:rFonts w:ascii="Arial" w:hAnsi="Arial" w:cs="Arial"/>
        </w:rPr>
        <w:t>CSR</w:t>
      </w:r>
      <w:r w:rsidR="008E1C0F">
        <w:rPr>
          <w:rFonts w:ascii="Arial" w:hAnsi="Arial" w:cs="Arial"/>
        </w:rPr>
        <w:t xml:space="preserve"> </w:t>
      </w:r>
      <w:r w:rsidRPr="008E1C0F">
        <w:rPr>
          <w:rFonts w:ascii="Arial" w:hAnsi="Arial" w:cs="Arial"/>
        </w:rPr>
        <w:t>+ β</w:t>
      </w:r>
      <w:r w:rsidRPr="008E1C0F">
        <w:rPr>
          <w:rFonts w:ascii="Cambria Math" w:hAnsi="Cambria Math" w:cs="Cambria Math"/>
        </w:rPr>
        <w:t>₂</w:t>
      </w:r>
      <w:r w:rsidRPr="008E1C0F">
        <w:rPr>
          <w:rFonts w:ascii="Arial" w:hAnsi="Arial" w:cs="Arial"/>
        </w:rPr>
        <w:t>GCG + β</w:t>
      </w:r>
      <w:proofErr w:type="gramStart"/>
      <w:r w:rsidRPr="008E1C0F">
        <w:rPr>
          <w:rFonts w:ascii="Cambria Math" w:hAnsi="Cambria Math" w:cs="Cambria Math"/>
        </w:rPr>
        <w:t>₃</w:t>
      </w:r>
      <w:r w:rsidRPr="008E1C0F">
        <w:rPr>
          <w:rFonts w:ascii="Arial" w:hAnsi="Arial" w:cs="Arial"/>
        </w:rPr>
        <w:t>(</w:t>
      </w:r>
      <w:proofErr w:type="gramEnd"/>
      <w:r w:rsidRPr="008E1C0F">
        <w:rPr>
          <w:rFonts w:ascii="Arial" w:hAnsi="Arial" w:cs="Arial"/>
        </w:rPr>
        <w:t xml:space="preserve">CSR × GCG) + </w:t>
      </w:r>
      <w:r w:rsidR="008E1C0F">
        <w:rPr>
          <w:rFonts w:ascii="Arial" w:hAnsi="Arial" w:cs="Arial"/>
        </w:rPr>
        <w:t>e</w:t>
      </w:r>
    </w:p>
    <w:p w14:paraId="4AFDCE55" w14:textId="05E16CF2" w:rsidR="008E1C0F" w:rsidRDefault="008E1C0F" w:rsidP="008E1C0F">
      <w:pPr>
        <w:pStyle w:val="ListParagraph"/>
        <w:ind w:left="360"/>
        <w:rPr>
          <w:rFonts w:ascii="Arial" w:hAnsi="Arial" w:cs="Arial"/>
        </w:rPr>
      </w:pPr>
    </w:p>
    <w:p w14:paraId="7143603D" w14:textId="18898354" w:rsidR="001F7421" w:rsidRDefault="008E1C0F" w:rsidP="001F7421">
      <w:pPr>
        <w:pStyle w:val="ListParagraph"/>
        <w:ind w:left="360"/>
        <w:rPr>
          <w:rFonts w:ascii="Arial" w:hAnsi="Arial" w:cs="Arial"/>
          <w:b/>
          <w:bCs/>
        </w:rPr>
      </w:pPr>
      <w:proofErr w:type="gramStart"/>
      <w:r>
        <w:rPr>
          <w:rFonts w:ascii="Arial" w:hAnsi="Arial" w:cs="Arial"/>
          <w:b/>
          <w:bCs/>
        </w:rPr>
        <w:t>Descriptions :</w:t>
      </w:r>
      <w:proofErr w:type="gramEnd"/>
    </w:p>
    <w:p w14:paraId="6E7FF1EC" w14:textId="3D70E4B8" w:rsidR="008E1C0F" w:rsidRDefault="008E1C0F" w:rsidP="001F7421">
      <w:pPr>
        <w:pStyle w:val="ListParagraph"/>
        <w:ind w:left="360"/>
        <w:rPr>
          <w:rFonts w:ascii="Arial" w:hAnsi="Arial" w:cs="Arial"/>
          <w:b/>
          <w:bCs/>
        </w:rPr>
      </w:pPr>
    </w:p>
    <w:p w14:paraId="2F033598" w14:textId="7A4860B1" w:rsidR="008E1C0F" w:rsidRDefault="008E1C0F" w:rsidP="001F7421">
      <w:pPr>
        <w:pStyle w:val="ListParagraph"/>
        <w:ind w:left="360"/>
        <w:rPr>
          <w:rFonts w:ascii="Arial" w:hAnsi="Arial" w:cs="Arial"/>
        </w:rPr>
      </w:pPr>
      <w:r>
        <w:rPr>
          <w:rFonts w:ascii="Arial" w:hAnsi="Arial" w:cs="Arial"/>
        </w:rPr>
        <w:t>ROA</w:t>
      </w:r>
      <w:r w:rsidR="00B736B8">
        <w:rPr>
          <w:rFonts w:ascii="Arial" w:hAnsi="Arial" w:cs="Arial"/>
        </w:rPr>
        <w:tab/>
        <w:t>: Return on Asset</w:t>
      </w:r>
    </w:p>
    <w:p w14:paraId="4ECE9A9A" w14:textId="09C29939" w:rsidR="008E1C0F" w:rsidRDefault="008E1C0F" w:rsidP="001F7421">
      <w:pPr>
        <w:pStyle w:val="ListParagraph"/>
        <w:ind w:left="360"/>
        <w:rPr>
          <w:rFonts w:ascii="Arial" w:hAnsi="Arial" w:cs="Arial"/>
        </w:rPr>
      </w:pPr>
      <w:r>
        <w:t>α</w:t>
      </w:r>
      <w:r w:rsidR="00B736B8">
        <w:tab/>
      </w:r>
      <w:r w:rsidR="00B736B8">
        <w:tab/>
        <w:t>: Constant</w:t>
      </w:r>
    </w:p>
    <w:p w14:paraId="6F6CB7B8" w14:textId="6B23FC36" w:rsidR="008E1C0F" w:rsidRDefault="008E1C0F" w:rsidP="001F7421">
      <w:pPr>
        <w:pStyle w:val="ListParagraph"/>
        <w:ind w:left="360"/>
      </w:pPr>
      <w:r>
        <w:t>β</w:t>
      </w:r>
      <w:r w:rsidR="00B736B8">
        <w:t xml:space="preserve">        </w:t>
      </w:r>
      <w:r w:rsidR="00B736B8">
        <w:tab/>
        <w:t>: Coefficient</w:t>
      </w:r>
    </w:p>
    <w:p w14:paraId="2816F974" w14:textId="428A6492" w:rsidR="008E1C0F" w:rsidRDefault="008E1C0F" w:rsidP="001F7421">
      <w:pPr>
        <w:pStyle w:val="ListParagraph"/>
        <w:ind w:left="360"/>
        <w:rPr>
          <w:rFonts w:ascii="Arial" w:hAnsi="Arial" w:cs="Arial"/>
        </w:rPr>
      </w:pPr>
      <w:r>
        <w:rPr>
          <w:rFonts w:ascii="Arial" w:hAnsi="Arial" w:cs="Arial"/>
        </w:rPr>
        <w:t>CSR</w:t>
      </w:r>
      <w:r w:rsidR="00B736B8">
        <w:rPr>
          <w:rFonts w:ascii="Arial" w:hAnsi="Arial" w:cs="Arial"/>
        </w:rPr>
        <w:tab/>
        <w:t>: Corporate Social Responsibility</w:t>
      </w:r>
    </w:p>
    <w:p w14:paraId="44B8B2ED" w14:textId="17F89688" w:rsidR="008E1C0F" w:rsidRDefault="008E1C0F" w:rsidP="001F7421">
      <w:pPr>
        <w:pStyle w:val="ListParagraph"/>
        <w:ind w:left="360"/>
        <w:rPr>
          <w:rFonts w:ascii="Arial" w:hAnsi="Arial" w:cs="Arial"/>
        </w:rPr>
      </w:pPr>
      <w:r>
        <w:rPr>
          <w:rFonts w:ascii="Arial" w:hAnsi="Arial" w:cs="Arial"/>
        </w:rPr>
        <w:t>GCG</w:t>
      </w:r>
      <w:r w:rsidR="00B736B8">
        <w:rPr>
          <w:rFonts w:ascii="Arial" w:hAnsi="Arial" w:cs="Arial"/>
        </w:rPr>
        <w:tab/>
        <w:t>: Good Corporate Governance</w:t>
      </w:r>
    </w:p>
    <w:p w14:paraId="573A7980" w14:textId="6E232400" w:rsidR="008E1C0F" w:rsidRDefault="00B736B8" w:rsidP="001F7421">
      <w:pPr>
        <w:pStyle w:val="ListParagraph"/>
        <w:ind w:left="360"/>
        <w:rPr>
          <w:rFonts w:ascii="Arial" w:hAnsi="Arial" w:cs="Arial"/>
        </w:rPr>
      </w:pPr>
      <w:r>
        <w:rPr>
          <w:rFonts w:ascii="Arial" w:hAnsi="Arial" w:cs="Arial"/>
        </w:rPr>
        <w:t>e</w:t>
      </w:r>
      <w:r>
        <w:rPr>
          <w:rFonts w:ascii="Arial" w:hAnsi="Arial" w:cs="Arial"/>
        </w:rPr>
        <w:tab/>
      </w:r>
      <w:r>
        <w:rPr>
          <w:rFonts w:ascii="Arial" w:hAnsi="Arial" w:cs="Arial"/>
        </w:rPr>
        <w:tab/>
        <w:t>: error term</w:t>
      </w:r>
    </w:p>
    <w:p w14:paraId="55290D62" w14:textId="22F34C55" w:rsidR="001D63A9" w:rsidRDefault="001D63A9" w:rsidP="001F7421">
      <w:pPr>
        <w:pStyle w:val="ListParagraph"/>
        <w:ind w:left="360"/>
        <w:rPr>
          <w:rFonts w:ascii="Arial" w:hAnsi="Arial" w:cs="Arial"/>
        </w:rPr>
      </w:pPr>
    </w:p>
    <w:p w14:paraId="6AC429A6" w14:textId="027EBE2B" w:rsidR="001D63A9" w:rsidRDefault="001D63A9" w:rsidP="001F7421">
      <w:pPr>
        <w:pStyle w:val="ListParagraph"/>
        <w:ind w:left="360"/>
        <w:rPr>
          <w:rFonts w:ascii="Arial" w:hAnsi="Arial" w:cs="Arial"/>
        </w:rPr>
      </w:pPr>
    </w:p>
    <w:p w14:paraId="53522AA5" w14:textId="123AF089" w:rsidR="001D63A9" w:rsidRDefault="001D63A9" w:rsidP="001F7421">
      <w:pPr>
        <w:pStyle w:val="ListParagraph"/>
        <w:ind w:left="360"/>
        <w:rPr>
          <w:rFonts w:ascii="Arial" w:hAnsi="Arial" w:cs="Arial"/>
        </w:rPr>
      </w:pPr>
    </w:p>
    <w:p w14:paraId="7A2A7429" w14:textId="49B7322B" w:rsidR="001D63A9" w:rsidRDefault="001D63A9" w:rsidP="001F7421">
      <w:pPr>
        <w:pStyle w:val="ListParagraph"/>
        <w:ind w:left="360"/>
        <w:rPr>
          <w:rFonts w:ascii="Arial" w:hAnsi="Arial" w:cs="Arial"/>
        </w:rPr>
      </w:pPr>
    </w:p>
    <w:p w14:paraId="140C7D68" w14:textId="77777777" w:rsidR="001D63A9" w:rsidRPr="008E1C0F" w:rsidRDefault="001D63A9" w:rsidP="001F7421">
      <w:pPr>
        <w:pStyle w:val="ListParagraph"/>
        <w:ind w:left="360"/>
        <w:rPr>
          <w:rFonts w:ascii="Arial" w:hAnsi="Arial" w:cs="Arial"/>
        </w:rPr>
      </w:pPr>
    </w:p>
    <w:p w14:paraId="13920954" w14:textId="77777777" w:rsidR="008E1C0F" w:rsidRPr="001F7421" w:rsidRDefault="008E1C0F" w:rsidP="001F7421">
      <w:pPr>
        <w:pStyle w:val="ListParagraph"/>
        <w:ind w:left="360"/>
        <w:rPr>
          <w:rFonts w:ascii="Arial" w:hAnsi="Arial" w:cs="Arial"/>
          <w:b/>
          <w:bCs/>
        </w:rPr>
      </w:pPr>
    </w:p>
    <w:p w14:paraId="21BB1BF1" w14:textId="09B53829" w:rsidR="000168D5" w:rsidRDefault="000168D5" w:rsidP="005C2D2B">
      <w:pPr>
        <w:pStyle w:val="ListParagraph"/>
        <w:numPr>
          <w:ilvl w:val="0"/>
          <w:numId w:val="31"/>
        </w:numPr>
        <w:spacing w:before="0" w:beforeAutospacing="0" w:afterAutospacing="0"/>
        <w:rPr>
          <w:rFonts w:ascii="Arial" w:hAnsi="Arial" w:cs="Arial"/>
          <w:b/>
          <w:bCs/>
        </w:rPr>
      </w:pPr>
      <w:r w:rsidRPr="003445F3">
        <w:rPr>
          <w:rFonts w:ascii="Arial" w:hAnsi="Arial" w:cs="Arial"/>
          <w:b/>
          <w:bCs/>
        </w:rPr>
        <w:t>RESULTS AND DISCUSSION</w:t>
      </w:r>
    </w:p>
    <w:p w14:paraId="08382D01" w14:textId="77777777" w:rsidR="001D63A9" w:rsidRPr="003445F3" w:rsidRDefault="001D63A9" w:rsidP="001D63A9">
      <w:pPr>
        <w:pStyle w:val="ListParagraph"/>
        <w:spacing w:before="0" w:beforeAutospacing="0" w:afterAutospacing="0"/>
        <w:ind w:left="360"/>
        <w:rPr>
          <w:rFonts w:ascii="Arial" w:hAnsi="Arial" w:cs="Arial"/>
          <w:b/>
          <w:bCs/>
        </w:rPr>
      </w:pPr>
    </w:p>
    <w:p w14:paraId="222BABCB" w14:textId="77777777" w:rsidR="000168D5" w:rsidRPr="003445F3" w:rsidRDefault="000168D5" w:rsidP="005C2D2B">
      <w:pPr>
        <w:pStyle w:val="ListParagraph"/>
        <w:numPr>
          <w:ilvl w:val="0"/>
          <w:numId w:val="37"/>
        </w:numPr>
        <w:spacing w:before="0" w:beforeAutospacing="0" w:afterAutospacing="0"/>
        <w:ind w:left="360"/>
        <w:rPr>
          <w:rFonts w:ascii="Arial" w:hAnsi="Arial" w:cs="Arial"/>
          <w:b/>
          <w:bCs/>
        </w:rPr>
      </w:pPr>
      <w:r w:rsidRPr="003445F3">
        <w:rPr>
          <w:rFonts w:ascii="Arial" w:hAnsi="Arial" w:cs="Arial"/>
          <w:b/>
          <w:bCs/>
        </w:rPr>
        <w:t xml:space="preserve">. RESULTS </w:t>
      </w:r>
    </w:p>
    <w:p w14:paraId="5B07D0B8" w14:textId="77777777" w:rsidR="0053315D" w:rsidRPr="003445F3" w:rsidRDefault="0053315D" w:rsidP="005C2D2B">
      <w:pPr>
        <w:pStyle w:val="ListParagraph"/>
        <w:spacing w:before="0" w:beforeAutospacing="0" w:afterAutospacing="0"/>
        <w:ind w:left="360"/>
        <w:rPr>
          <w:rFonts w:ascii="Arial" w:hAnsi="Arial" w:cs="Arial"/>
          <w:b/>
          <w:bCs/>
        </w:rPr>
      </w:pPr>
    </w:p>
    <w:p w14:paraId="08A24E35" w14:textId="77777777" w:rsidR="000168D5" w:rsidRPr="003445F3"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Descriptive Statistics</w:t>
      </w:r>
    </w:p>
    <w:p w14:paraId="559F0392" w14:textId="77777777" w:rsidR="000168D5" w:rsidRPr="003445F3" w:rsidRDefault="000168D5" w:rsidP="005C2D2B">
      <w:pPr>
        <w:pStyle w:val="ListParagraph"/>
        <w:spacing w:before="0" w:beforeAutospacing="0" w:afterAutospacing="0"/>
        <w:ind w:left="709"/>
        <w:rPr>
          <w:rFonts w:ascii="Arial" w:hAnsi="Arial" w:cs="Arial"/>
          <w:b/>
          <w:bCs/>
        </w:rPr>
      </w:pPr>
    </w:p>
    <w:p w14:paraId="51A75C82" w14:textId="482D60D0" w:rsidR="0035465B" w:rsidRDefault="000168D5" w:rsidP="0035465B">
      <w:pPr>
        <w:pStyle w:val="ListParagraph"/>
        <w:ind w:left="360"/>
        <w:rPr>
          <w:rFonts w:ascii="Arial" w:hAnsi="Arial" w:cs="Arial"/>
          <w:lang w:val="en-ID" w:eastAsia="en-ID"/>
        </w:rPr>
      </w:pPr>
      <w:r w:rsidRPr="003445F3">
        <w:rPr>
          <w:rFonts w:ascii="Arial" w:hAnsi="Arial" w:cs="Arial"/>
          <w:lang w:val="en-ID" w:eastAsia="en-ID"/>
        </w:rPr>
        <w:t xml:space="preserve">This study utilizes panel data from 13 Islamic banks in Indonesia over the period 2018 to 2023, with a total of 66 observations. The main variables in this research include Return on Assets (ROA) as a proxy for financial performance (y), Corporate </w:t>
      </w:r>
      <w:r w:rsidRPr="003445F3">
        <w:rPr>
          <w:rFonts w:ascii="Arial" w:hAnsi="Arial" w:cs="Arial"/>
          <w:lang w:val="en-ID" w:eastAsia="en-ID"/>
        </w:rPr>
        <w:lastRenderedPageBreak/>
        <w:t>Social Responsibility (CSR/x1), and two moderating variables: board size (x2) and board gender diversity (x3), which refers to the proportion of female members on the board. Descriptive statistics show that the average ROA is 0.7249, while the average CSR score is 0.7580, indicating a moderately dispersed dataset</w:t>
      </w:r>
      <w:r w:rsidR="0035465B">
        <w:rPr>
          <w:rFonts w:ascii="Arial" w:hAnsi="Arial" w:cs="Arial"/>
          <w:lang w:val="en-ID" w:eastAsia="en-ID"/>
        </w:rPr>
        <w:t xml:space="preserve">. </w:t>
      </w:r>
    </w:p>
    <w:p w14:paraId="0FE7ED33" w14:textId="77777777" w:rsidR="0035465B" w:rsidRDefault="0035465B" w:rsidP="0035465B">
      <w:pPr>
        <w:pStyle w:val="ListParagraph"/>
        <w:ind w:left="360"/>
        <w:rPr>
          <w:rFonts w:ascii="Arial" w:hAnsi="Arial" w:cs="Arial"/>
          <w:lang w:val="en-ID" w:eastAsia="en-ID"/>
        </w:rPr>
      </w:pPr>
    </w:p>
    <w:p w14:paraId="100F52C2" w14:textId="6C8551FE" w:rsidR="0035465B" w:rsidRPr="003445F3" w:rsidRDefault="0035465B" w:rsidP="0035465B">
      <w:pPr>
        <w:pStyle w:val="ListParagraph"/>
        <w:ind w:left="360"/>
        <w:jc w:val="center"/>
        <w:rPr>
          <w:rFonts w:ascii="Arial" w:hAnsi="Arial" w:cs="Arial"/>
          <w:b/>
          <w:bCs/>
        </w:rPr>
      </w:pPr>
      <w:r>
        <w:rPr>
          <w:rFonts w:ascii="Arial" w:hAnsi="Arial" w:cs="Arial"/>
          <w:b/>
          <w:bCs/>
        </w:rPr>
        <w:t xml:space="preserve">Table 2- </w:t>
      </w:r>
      <w:r w:rsidRPr="003445F3">
        <w:rPr>
          <w:rFonts w:ascii="Arial" w:hAnsi="Arial" w:cs="Arial"/>
          <w:b/>
          <w:bCs/>
        </w:rPr>
        <w:t>Descriptive Statistics</w:t>
      </w:r>
    </w:p>
    <w:p w14:paraId="58D77DA6" w14:textId="36E69EF0" w:rsidR="0035465B" w:rsidRDefault="0035465B" w:rsidP="005C2D2B">
      <w:pPr>
        <w:pStyle w:val="ListParagraph"/>
        <w:spacing w:before="0" w:beforeAutospacing="0" w:afterAutospacing="0"/>
        <w:ind w:left="360" w:firstLine="371"/>
        <w:rPr>
          <w:rFonts w:ascii="Arial" w:hAnsi="Arial" w:cs="Arial"/>
          <w:lang w:val="en-ID" w:eastAsia="en-ID"/>
        </w:rPr>
      </w:pPr>
    </w:p>
    <w:tbl>
      <w:tblPr>
        <w:tblStyle w:val="TableGrid"/>
        <w:tblpPr w:leftFromText="180" w:rightFromText="180" w:vertAnchor="text" w:horzAnchor="page" w:tblpX="2323" w:tblpY="142"/>
        <w:tblW w:w="0" w:type="auto"/>
        <w:tblLook w:val="04A0" w:firstRow="1" w:lastRow="0" w:firstColumn="1" w:lastColumn="0" w:noHBand="0" w:noVBand="1"/>
      </w:tblPr>
      <w:tblGrid>
        <w:gridCol w:w="2139"/>
        <w:gridCol w:w="1184"/>
        <w:gridCol w:w="939"/>
        <w:gridCol w:w="1350"/>
        <w:gridCol w:w="1094"/>
        <w:gridCol w:w="1250"/>
      </w:tblGrid>
      <w:tr w:rsidR="0035465B" w:rsidRPr="0035465B" w14:paraId="13099A39" w14:textId="77777777" w:rsidTr="0035465B">
        <w:tc>
          <w:tcPr>
            <w:tcW w:w="0" w:type="auto"/>
            <w:hideMark/>
          </w:tcPr>
          <w:p w14:paraId="7B03B70F" w14:textId="77777777" w:rsidR="0035465B" w:rsidRPr="0035465B" w:rsidRDefault="0035465B" w:rsidP="0035465B">
            <w:pPr>
              <w:jc w:val="center"/>
              <w:rPr>
                <w:rFonts w:ascii="Arial" w:hAnsi="Arial" w:cs="Arial"/>
                <w:b/>
                <w:bCs/>
                <w:sz w:val="20"/>
                <w:szCs w:val="20"/>
                <w:lang w:val="en-ID" w:eastAsia="en-ID"/>
              </w:rPr>
            </w:pPr>
            <w:proofErr w:type="spellStart"/>
            <w:r w:rsidRPr="0035465B">
              <w:rPr>
                <w:rFonts w:ascii="Arial" w:hAnsi="Arial" w:cs="Arial"/>
                <w:b/>
                <w:bCs/>
                <w:sz w:val="20"/>
                <w:szCs w:val="20"/>
                <w:lang w:val="en-ID" w:eastAsia="en-ID"/>
              </w:rPr>
              <w:t>Variabel</w:t>
            </w:r>
            <w:proofErr w:type="spellEnd"/>
          </w:p>
        </w:tc>
        <w:tc>
          <w:tcPr>
            <w:tcW w:w="0" w:type="auto"/>
            <w:hideMark/>
          </w:tcPr>
          <w:p w14:paraId="5892B674" w14:textId="77777777" w:rsidR="0035465B" w:rsidRPr="0035465B" w:rsidRDefault="0035465B" w:rsidP="0035465B">
            <w:pPr>
              <w:jc w:val="center"/>
              <w:rPr>
                <w:rFonts w:ascii="Arial" w:hAnsi="Arial" w:cs="Arial"/>
                <w:b/>
                <w:bCs/>
                <w:sz w:val="20"/>
                <w:szCs w:val="20"/>
                <w:lang w:val="en-ID" w:eastAsia="en-ID"/>
              </w:rPr>
            </w:pPr>
            <w:proofErr w:type="spellStart"/>
            <w:r w:rsidRPr="0035465B">
              <w:rPr>
                <w:rFonts w:ascii="Arial" w:hAnsi="Arial" w:cs="Arial"/>
                <w:b/>
                <w:bCs/>
                <w:sz w:val="20"/>
                <w:szCs w:val="20"/>
                <w:lang w:val="en-ID" w:eastAsia="en-ID"/>
              </w:rPr>
              <w:t>Observasi</w:t>
            </w:r>
            <w:proofErr w:type="spellEnd"/>
          </w:p>
        </w:tc>
        <w:tc>
          <w:tcPr>
            <w:tcW w:w="0" w:type="auto"/>
            <w:hideMark/>
          </w:tcPr>
          <w:p w14:paraId="0F6E71A9" w14:textId="77777777" w:rsidR="0035465B" w:rsidRPr="0035465B" w:rsidRDefault="0035465B" w:rsidP="0035465B">
            <w:pPr>
              <w:jc w:val="center"/>
              <w:rPr>
                <w:rFonts w:ascii="Arial" w:hAnsi="Arial" w:cs="Arial"/>
                <w:b/>
                <w:bCs/>
                <w:sz w:val="20"/>
                <w:szCs w:val="20"/>
                <w:lang w:val="en-ID" w:eastAsia="en-ID"/>
              </w:rPr>
            </w:pPr>
            <w:r w:rsidRPr="0035465B">
              <w:rPr>
                <w:rFonts w:ascii="Arial" w:hAnsi="Arial" w:cs="Arial"/>
                <w:b/>
                <w:bCs/>
                <w:sz w:val="20"/>
                <w:szCs w:val="20"/>
                <w:lang w:val="en-ID" w:eastAsia="en-ID"/>
              </w:rPr>
              <w:t>Mean</w:t>
            </w:r>
          </w:p>
        </w:tc>
        <w:tc>
          <w:tcPr>
            <w:tcW w:w="0" w:type="auto"/>
            <w:hideMark/>
          </w:tcPr>
          <w:p w14:paraId="1B0B1AFE" w14:textId="77777777" w:rsidR="0035465B" w:rsidRPr="0035465B" w:rsidRDefault="0035465B" w:rsidP="0035465B">
            <w:pPr>
              <w:jc w:val="center"/>
              <w:rPr>
                <w:rFonts w:ascii="Arial" w:hAnsi="Arial" w:cs="Arial"/>
                <w:b/>
                <w:bCs/>
                <w:sz w:val="20"/>
                <w:szCs w:val="20"/>
                <w:lang w:val="en-ID" w:eastAsia="en-ID"/>
              </w:rPr>
            </w:pPr>
            <w:r w:rsidRPr="0035465B">
              <w:rPr>
                <w:rFonts w:ascii="Arial" w:hAnsi="Arial" w:cs="Arial"/>
                <w:b/>
                <w:bCs/>
                <w:sz w:val="20"/>
                <w:szCs w:val="20"/>
                <w:lang w:val="en-ID" w:eastAsia="en-ID"/>
              </w:rPr>
              <w:t xml:space="preserve">Std. </w:t>
            </w:r>
            <w:proofErr w:type="spellStart"/>
            <w:r w:rsidRPr="0035465B">
              <w:rPr>
                <w:rFonts w:ascii="Arial" w:hAnsi="Arial" w:cs="Arial"/>
                <w:b/>
                <w:bCs/>
                <w:sz w:val="20"/>
                <w:szCs w:val="20"/>
                <w:lang w:val="en-ID" w:eastAsia="en-ID"/>
              </w:rPr>
              <w:t>Deviasi</w:t>
            </w:r>
            <w:proofErr w:type="spellEnd"/>
          </w:p>
        </w:tc>
        <w:tc>
          <w:tcPr>
            <w:tcW w:w="0" w:type="auto"/>
            <w:hideMark/>
          </w:tcPr>
          <w:p w14:paraId="14173767" w14:textId="77777777" w:rsidR="0035465B" w:rsidRPr="0035465B" w:rsidRDefault="0035465B" w:rsidP="0035465B">
            <w:pPr>
              <w:jc w:val="center"/>
              <w:rPr>
                <w:rFonts w:ascii="Arial" w:hAnsi="Arial" w:cs="Arial"/>
                <w:b/>
                <w:bCs/>
                <w:sz w:val="20"/>
                <w:szCs w:val="20"/>
                <w:lang w:val="en-ID" w:eastAsia="en-ID"/>
              </w:rPr>
            </w:pPr>
            <w:r w:rsidRPr="0035465B">
              <w:rPr>
                <w:rFonts w:ascii="Arial" w:hAnsi="Arial" w:cs="Arial"/>
                <w:b/>
                <w:bCs/>
                <w:sz w:val="20"/>
                <w:szCs w:val="20"/>
                <w:lang w:val="en-ID" w:eastAsia="en-ID"/>
              </w:rPr>
              <w:t>Minimum</w:t>
            </w:r>
          </w:p>
        </w:tc>
        <w:tc>
          <w:tcPr>
            <w:tcW w:w="0" w:type="auto"/>
            <w:hideMark/>
          </w:tcPr>
          <w:p w14:paraId="59B51593" w14:textId="77777777" w:rsidR="0035465B" w:rsidRPr="0035465B" w:rsidRDefault="0035465B" w:rsidP="0035465B">
            <w:pPr>
              <w:jc w:val="center"/>
              <w:rPr>
                <w:rFonts w:ascii="Arial" w:hAnsi="Arial" w:cs="Arial"/>
                <w:b/>
                <w:bCs/>
                <w:sz w:val="20"/>
                <w:szCs w:val="20"/>
                <w:lang w:val="en-ID" w:eastAsia="en-ID"/>
              </w:rPr>
            </w:pPr>
            <w:proofErr w:type="spellStart"/>
            <w:r w:rsidRPr="0035465B">
              <w:rPr>
                <w:rFonts w:ascii="Arial" w:hAnsi="Arial" w:cs="Arial"/>
                <w:b/>
                <w:bCs/>
                <w:sz w:val="20"/>
                <w:szCs w:val="20"/>
                <w:lang w:val="en-ID" w:eastAsia="en-ID"/>
              </w:rPr>
              <w:t>Maksimum</w:t>
            </w:r>
            <w:proofErr w:type="spellEnd"/>
          </w:p>
        </w:tc>
      </w:tr>
      <w:tr w:rsidR="0035465B" w:rsidRPr="0035465B" w14:paraId="4024DD20" w14:textId="77777777" w:rsidTr="0035465B">
        <w:tc>
          <w:tcPr>
            <w:tcW w:w="0" w:type="auto"/>
            <w:hideMark/>
          </w:tcPr>
          <w:p w14:paraId="726E2CCF"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ROA (Y)</w:t>
            </w:r>
          </w:p>
        </w:tc>
        <w:tc>
          <w:tcPr>
            <w:tcW w:w="0" w:type="auto"/>
            <w:hideMark/>
          </w:tcPr>
          <w:p w14:paraId="07B9F292"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66</w:t>
            </w:r>
          </w:p>
        </w:tc>
        <w:tc>
          <w:tcPr>
            <w:tcW w:w="0" w:type="auto"/>
            <w:hideMark/>
          </w:tcPr>
          <w:p w14:paraId="039B77C6"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0.72497</w:t>
            </w:r>
          </w:p>
        </w:tc>
        <w:tc>
          <w:tcPr>
            <w:tcW w:w="0" w:type="auto"/>
            <w:hideMark/>
          </w:tcPr>
          <w:p w14:paraId="7E4EAB43"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0.68146</w:t>
            </w:r>
          </w:p>
        </w:tc>
        <w:tc>
          <w:tcPr>
            <w:tcW w:w="0" w:type="auto"/>
            <w:hideMark/>
          </w:tcPr>
          <w:p w14:paraId="2B0D1C5B"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-0.978</w:t>
            </w:r>
          </w:p>
        </w:tc>
        <w:tc>
          <w:tcPr>
            <w:tcW w:w="0" w:type="auto"/>
            <w:hideMark/>
          </w:tcPr>
          <w:p w14:paraId="3105A201"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1.900</w:t>
            </w:r>
          </w:p>
        </w:tc>
      </w:tr>
      <w:tr w:rsidR="0035465B" w:rsidRPr="0035465B" w14:paraId="59AF77AC" w14:textId="77777777" w:rsidTr="0035465B">
        <w:tc>
          <w:tcPr>
            <w:tcW w:w="0" w:type="auto"/>
            <w:hideMark/>
          </w:tcPr>
          <w:p w14:paraId="6143E984"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CSR (X1)</w:t>
            </w:r>
          </w:p>
        </w:tc>
        <w:tc>
          <w:tcPr>
            <w:tcW w:w="0" w:type="auto"/>
            <w:hideMark/>
          </w:tcPr>
          <w:p w14:paraId="05626571"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66</w:t>
            </w:r>
          </w:p>
        </w:tc>
        <w:tc>
          <w:tcPr>
            <w:tcW w:w="0" w:type="auto"/>
            <w:hideMark/>
          </w:tcPr>
          <w:p w14:paraId="2ADA5686"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0.75808</w:t>
            </w:r>
          </w:p>
        </w:tc>
        <w:tc>
          <w:tcPr>
            <w:tcW w:w="0" w:type="auto"/>
            <w:hideMark/>
          </w:tcPr>
          <w:p w14:paraId="15362E8B"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0.09952</w:t>
            </w:r>
          </w:p>
        </w:tc>
        <w:tc>
          <w:tcPr>
            <w:tcW w:w="0" w:type="auto"/>
            <w:hideMark/>
          </w:tcPr>
          <w:p w14:paraId="5AA4587F"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0.560</w:t>
            </w:r>
          </w:p>
        </w:tc>
        <w:tc>
          <w:tcPr>
            <w:tcW w:w="0" w:type="auto"/>
            <w:hideMark/>
          </w:tcPr>
          <w:p w14:paraId="6DE3DD58"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0.891</w:t>
            </w:r>
          </w:p>
        </w:tc>
      </w:tr>
      <w:tr w:rsidR="0035465B" w:rsidRPr="0035465B" w14:paraId="1EE13FEA" w14:textId="77777777" w:rsidTr="0035465B">
        <w:tc>
          <w:tcPr>
            <w:tcW w:w="0" w:type="auto"/>
            <w:hideMark/>
          </w:tcPr>
          <w:p w14:paraId="3B8EE151"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Board Size (X2)</w:t>
            </w:r>
          </w:p>
        </w:tc>
        <w:tc>
          <w:tcPr>
            <w:tcW w:w="0" w:type="auto"/>
            <w:hideMark/>
          </w:tcPr>
          <w:p w14:paraId="7366C67A"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66</w:t>
            </w:r>
          </w:p>
        </w:tc>
        <w:tc>
          <w:tcPr>
            <w:tcW w:w="0" w:type="auto"/>
            <w:hideMark/>
          </w:tcPr>
          <w:p w14:paraId="48D91F4B"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4.68182</w:t>
            </w:r>
          </w:p>
        </w:tc>
        <w:tc>
          <w:tcPr>
            <w:tcW w:w="0" w:type="auto"/>
            <w:hideMark/>
          </w:tcPr>
          <w:p w14:paraId="4C926C84"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1.51057</w:t>
            </w:r>
          </w:p>
        </w:tc>
        <w:tc>
          <w:tcPr>
            <w:tcW w:w="0" w:type="auto"/>
            <w:hideMark/>
          </w:tcPr>
          <w:p w14:paraId="2859EFDA"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2.000</w:t>
            </w:r>
          </w:p>
        </w:tc>
        <w:tc>
          <w:tcPr>
            <w:tcW w:w="0" w:type="auto"/>
            <w:hideMark/>
          </w:tcPr>
          <w:p w14:paraId="1D534741"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10.000</w:t>
            </w:r>
          </w:p>
        </w:tc>
      </w:tr>
      <w:tr w:rsidR="0035465B" w:rsidRPr="0035465B" w14:paraId="12978752" w14:textId="77777777" w:rsidTr="0035465B">
        <w:tc>
          <w:tcPr>
            <w:tcW w:w="0" w:type="auto"/>
            <w:hideMark/>
          </w:tcPr>
          <w:p w14:paraId="425DA96F"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Gender Diversity (X3)</w:t>
            </w:r>
          </w:p>
        </w:tc>
        <w:tc>
          <w:tcPr>
            <w:tcW w:w="0" w:type="auto"/>
            <w:hideMark/>
          </w:tcPr>
          <w:p w14:paraId="1E39CE5C"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66</w:t>
            </w:r>
          </w:p>
        </w:tc>
        <w:tc>
          <w:tcPr>
            <w:tcW w:w="0" w:type="auto"/>
            <w:hideMark/>
          </w:tcPr>
          <w:p w14:paraId="2AAE5A64"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0.18047</w:t>
            </w:r>
          </w:p>
        </w:tc>
        <w:tc>
          <w:tcPr>
            <w:tcW w:w="0" w:type="auto"/>
            <w:hideMark/>
          </w:tcPr>
          <w:p w14:paraId="7DCE864A"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0.17227</w:t>
            </w:r>
          </w:p>
        </w:tc>
        <w:tc>
          <w:tcPr>
            <w:tcW w:w="0" w:type="auto"/>
            <w:hideMark/>
          </w:tcPr>
          <w:p w14:paraId="7702CE86"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0.000</w:t>
            </w:r>
          </w:p>
        </w:tc>
        <w:tc>
          <w:tcPr>
            <w:tcW w:w="0" w:type="auto"/>
            <w:hideMark/>
          </w:tcPr>
          <w:p w14:paraId="41B9DE72" w14:textId="77777777" w:rsidR="0035465B" w:rsidRPr="0035465B" w:rsidRDefault="0035465B" w:rsidP="0035465B">
            <w:pPr>
              <w:rPr>
                <w:rFonts w:ascii="Arial" w:hAnsi="Arial" w:cs="Arial"/>
                <w:sz w:val="20"/>
                <w:szCs w:val="20"/>
                <w:lang w:val="en-ID" w:eastAsia="en-ID"/>
              </w:rPr>
            </w:pPr>
            <w:r w:rsidRPr="0035465B">
              <w:rPr>
                <w:rFonts w:ascii="Arial" w:hAnsi="Arial" w:cs="Arial"/>
                <w:sz w:val="20"/>
                <w:szCs w:val="20"/>
                <w:lang w:val="en-ID" w:eastAsia="en-ID"/>
              </w:rPr>
              <w:t>0.750</w:t>
            </w:r>
          </w:p>
        </w:tc>
      </w:tr>
    </w:tbl>
    <w:p w14:paraId="051E8F22" w14:textId="77777777" w:rsidR="000168D5" w:rsidRPr="00D67ABC" w:rsidRDefault="000168D5" w:rsidP="005C2D2B">
      <w:pPr>
        <w:pStyle w:val="ListParagraph"/>
        <w:ind w:left="709"/>
        <w:rPr>
          <w:rFonts w:ascii="Arial" w:hAnsi="Arial" w:cs="Arial"/>
          <w:sz w:val="16"/>
          <w:szCs w:val="16"/>
        </w:rPr>
      </w:pPr>
    </w:p>
    <w:p w14:paraId="0065CF2A" w14:textId="3E33B3D5" w:rsidR="000168D5"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Results of Assumption Testing and Baseline Model</w:t>
      </w:r>
    </w:p>
    <w:p w14:paraId="6086BCEE" w14:textId="77777777" w:rsidR="001D63A9" w:rsidRPr="003445F3" w:rsidRDefault="001D63A9" w:rsidP="001D63A9">
      <w:pPr>
        <w:pStyle w:val="ListParagraph"/>
        <w:spacing w:before="0" w:beforeAutospacing="0" w:afterAutospacing="0"/>
        <w:ind w:left="360"/>
        <w:rPr>
          <w:rFonts w:ascii="Arial" w:hAnsi="Arial" w:cs="Arial"/>
          <w:b/>
          <w:bCs/>
        </w:rPr>
      </w:pPr>
    </w:p>
    <w:p w14:paraId="5CC9407E" w14:textId="477EBB84" w:rsidR="000168D5" w:rsidRDefault="000168D5" w:rsidP="002A66BB">
      <w:pPr>
        <w:pStyle w:val="ListParagraph"/>
        <w:spacing w:before="0" w:beforeAutospacing="0" w:afterAutospacing="0"/>
        <w:ind w:left="360" w:firstLine="371"/>
        <w:rPr>
          <w:rStyle w:val="Strong"/>
          <w:rFonts w:ascii="Arial" w:hAnsi="Arial" w:cs="Arial"/>
          <w:b w:val="0"/>
          <w:bCs w:val="0"/>
        </w:rPr>
      </w:pPr>
      <w:r w:rsidRPr="003445F3">
        <w:rPr>
          <w:rFonts w:ascii="Arial" w:hAnsi="Arial" w:cs="Arial"/>
          <w:lang w:val="en-ID" w:eastAsia="en-ID"/>
        </w:rPr>
        <w:t>Preliminary</w:t>
      </w:r>
      <w:r w:rsidRPr="003445F3">
        <w:rPr>
          <w:rStyle w:val="Strong"/>
          <w:rFonts w:ascii="Arial" w:hAnsi="Arial" w:cs="Arial"/>
          <w:b w:val="0"/>
          <w:bCs w:val="0"/>
        </w:rPr>
        <w:t xml:space="preserve"> testing was conducted to determine the most appropriate model between the Fixed Effect Model (FEM) and the Random Effect Model (REM) using the Hausman test. The test results showed a Prob &gt; Chi² value of 0.9967, which is greater than 0.05, indicating that the REM is the preferred model. Heteroskedasticity was tested using the Modified Wald test, which yielded a Prob &gt; Chi² of 0.0000, indicating the presence of heteroskedasticity. Meanwhile, the Wooldridge test for autocorrelation produced a Prob &gt; F of 0.3957, suggesting no autocorrelation. Therefore, the model used is REM with robust standard errors. The regression results show that CSR has a significant positive effect on ROA (β = 4.684, p &lt; 0.01), while board size and gender ratio are not statistically significant in influencing ROA.</w:t>
      </w:r>
    </w:p>
    <w:p w14:paraId="63EC9FDA" w14:textId="77777777" w:rsidR="00BB6735" w:rsidRPr="003445F3" w:rsidRDefault="00BB6735" w:rsidP="002A66BB">
      <w:pPr>
        <w:pStyle w:val="ListParagraph"/>
        <w:spacing w:before="0" w:beforeAutospacing="0" w:afterAutospacing="0"/>
        <w:ind w:left="360" w:firstLine="371"/>
        <w:rPr>
          <w:rStyle w:val="Strong"/>
          <w:rFonts w:ascii="Arial" w:hAnsi="Arial" w:cs="Arial"/>
          <w:b w:val="0"/>
          <w:bCs w:val="0"/>
        </w:rPr>
      </w:pPr>
    </w:p>
    <w:p w14:paraId="5CF7F054" w14:textId="2C0AEC66" w:rsidR="000168D5" w:rsidRDefault="000168D5"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Moderation Test Results</w:t>
      </w:r>
    </w:p>
    <w:p w14:paraId="3A1BDB26" w14:textId="77777777" w:rsidR="001D63A9" w:rsidRPr="003445F3" w:rsidRDefault="001D63A9" w:rsidP="001D63A9">
      <w:pPr>
        <w:pStyle w:val="ListParagraph"/>
        <w:spacing w:before="0" w:beforeAutospacing="0" w:afterAutospacing="0"/>
        <w:ind w:left="360"/>
        <w:rPr>
          <w:rFonts w:ascii="Arial" w:hAnsi="Arial" w:cs="Arial"/>
          <w:b/>
          <w:bCs/>
        </w:rPr>
      </w:pPr>
    </w:p>
    <w:p w14:paraId="7059A688" w14:textId="22FD048C" w:rsidR="00AC07DB" w:rsidRPr="003445F3" w:rsidRDefault="00AC07DB" w:rsidP="002A66BB">
      <w:pPr>
        <w:pStyle w:val="ListParagraph"/>
        <w:spacing w:before="0" w:beforeAutospacing="0" w:afterAutospacing="0"/>
        <w:ind w:left="360" w:firstLine="371"/>
        <w:rPr>
          <w:rFonts w:ascii="Arial" w:hAnsi="Arial" w:cs="Arial"/>
          <w:lang w:val="en-ID" w:eastAsia="en-ID"/>
        </w:rPr>
      </w:pPr>
      <w:r w:rsidRPr="003445F3">
        <w:rPr>
          <w:rFonts w:ascii="Arial" w:hAnsi="Arial" w:cs="Arial"/>
          <w:lang w:val="en-ID" w:eastAsia="en-ID"/>
        </w:rPr>
        <w:t>To examine the moderating effect of corporate governance (GCG) on the relationship between CSR and ROA, a regression was conducted by including interaction variables between CSR and two GCG indicators: board size (x1_m1) and gender ratio (x1_m2). The model used was the Random Effect Model (REM) with robust standard errors, as the Hausman test yielded a Prob &gt; Chi² of 0.9991. The results show that the interaction between CSR and gender ratio (x1_m2) has a positive direction (β = 4.769) and is statistically significant at the 10% level (p = 0.082). This indicates that the gender ratio on the board of directors tends to strengthen the effect of CSR on ROA. Meanwhile, the interaction between CSR and board size (x1_m1) is not statistically significant (p = 0.652).</w:t>
      </w:r>
    </w:p>
    <w:p w14:paraId="4965730C" w14:textId="77777777" w:rsidR="00AC07DB" w:rsidRPr="003445F3" w:rsidRDefault="00AC07DB" w:rsidP="005C2D2B">
      <w:pPr>
        <w:pStyle w:val="ListParagraph"/>
        <w:ind w:left="709"/>
        <w:rPr>
          <w:rFonts w:ascii="Arial" w:hAnsi="Arial" w:cs="Arial"/>
          <w:b/>
          <w:bCs/>
        </w:rPr>
      </w:pPr>
    </w:p>
    <w:p w14:paraId="1789EC4E" w14:textId="59B30F54" w:rsidR="00AC07DB" w:rsidRDefault="00AC07DB" w:rsidP="005C2D2B">
      <w:pPr>
        <w:pStyle w:val="ListParagraph"/>
        <w:numPr>
          <w:ilvl w:val="0"/>
          <w:numId w:val="38"/>
        </w:numPr>
        <w:spacing w:before="0" w:beforeAutospacing="0" w:afterAutospacing="0"/>
        <w:ind w:left="360"/>
        <w:rPr>
          <w:rFonts w:ascii="Arial" w:hAnsi="Arial" w:cs="Arial"/>
          <w:b/>
          <w:bCs/>
        </w:rPr>
      </w:pPr>
      <w:r w:rsidRPr="003445F3">
        <w:rPr>
          <w:rFonts w:ascii="Arial" w:hAnsi="Arial" w:cs="Arial"/>
          <w:b/>
          <w:bCs/>
        </w:rPr>
        <w:t>T-test</w:t>
      </w:r>
    </w:p>
    <w:p w14:paraId="455FF124" w14:textId="77777777" w:rsidR="001D63A9" w:rsidRPr="003445F3" w:rsidRDefault="001D63A9" w:rsidP="001D63A9">
      <w:pPr>
        <w:pStyle w:val="ListParagraph"/>
        <w:spacing w:before="0" w:beforeAutospacing="0" w:afterAutospacing="0"/>
        <w:ind w:left="360"/>
        <w:rPr>
          <w:rFonts w:ascii="Arial" w:hAnsi="Arial" w:cs="Arial"/>
          <w:b/>
          <w:bCs/>
        </w:rPr>
      </w:pPr>
    </w:p>
    <w:p w14:paraId="115BD0E6" w14:textId="5FA4331E" w:rsidR="00AC07DB" w:rsidRPr="003445F3" w:rsidRDefault="00AC07DB" w:rsidP="002A66BB">
      <w:pPr>
        <w:pStyle w:val="ListParagraph"/>
        <w:spacing w:before="0" w:beforeAutospacing="0" w:afterAutospacing="0"/>
        <w:ind w:left="360" w:firstLine="371"/>
        <w:rPr>
          <w:rFonts w:ascii="Arial" w:hAnsi="Arial" w:cs="Arial"/>
        </w:rPr>
      </w:pPr>
      <w:r w:rsidRPr="003445F3">
        <w:rPr>
          <w:rFonts w:ascii="Arial" w:hAnsi="Arial" w:cs="Arial"/>
          <w:lang w:eastAsia="en-ID"/>
        </w:rPr>
        <w:t>This panel data regression analysis evaluates the effect of CSR and board characteristics on financial performance, and whether board size and gender diversity moderate this relationship. In Model 1, CSR has a strong and statistically significant positive effect on ROA (p = 0.000), with an R-squared of 56.57%. The overall model is significant (Wald Chi² = 64.33, p &lt; 0.01).</w:t>
      </w:r>
      <w:r w:rsidRPr="003445F3">
        <w:rPr>
          <w:rFonts w:ascii="Arial" w:hAnsi="Arial" w:cs="Arial"/>
        </w:rPr>
        <w:t xml:space="preserve"> </w:t>
      </w:r>
      <w:r w:rsidRPr="003445F3">
        <w:rPr>
          <w:rFonts w:ascii="Arial" w:hAnsi="Arial" w:cs="Arial"/>
          <w:lang w:eastAsia="en-ID"/>
        </w:rPr>
        <w:t>In Model 2, moderation variables are added. The R-squared increases slightly to 58.01%, and the model remains overall significant (Wald Chi² = 88.09, p = 0.0000). Although CSR becomes statistically insignificant on its own (p = 0.141), the interaction CSR × Gender Diversity (x1_m2) becomes significant (p = 0.082), indicating a possible moderating effect. However, the interaction with board size (x1_m1) remains insignificant, suggesting board size alone is not an effective moderator in this context.</w:t>
      </w:r>
    </w:p>
    <w:p w14:paraId="7A3DF57B" w14:textId="77777777" w:rsidR="00EB4B3C" w:rsidRPr="003445F3" w:rsidRDefault="00EB4B3C" w:rsidP="005C2D2B">
      <w:pPr>
        <w:pStyle w:val="ListParagraph"/>
        <w:ind w:left="709"/>
        <w:rPr>
          <w:rFonts w:ascii="Arial" w:hAnsi="Arial" w:cs="Arial"/>
          <w:b/>
          <w:bCs/>
        </w:rPr>
      </w:pPr>
    </w:p>
    <w:p w14:paraId="3DDAB38D" w14:textId="58D725A2" w:rsidR="000168D5" w:rsidRPr="00D67ABC" w:rsidRDefault="000168D5" w:rsidP="002A66BB">
      <w:pPr>
        <w:pStyle w:val="ListParagraph"/>
        <w:spacing w:before="0" w:beforeAutospacing="0" w:afterAutospacing="0"/>
        <w:ind w:left="0" w:firstLine="371"/>
        <w:contextualSpacing w:val="0"/>
        <w:jc w:val="center"/>
        <w:rPr>
          <w:rStyle w:val="Strong"/>
          <w:rFonts w:ascii="Arial" w:hAnsi="Arial" w:cs="Arial"/>
          <w:lang w:val="id-ID"/>
        </w:rPr>
      </w:pPr>
      <w:r w:rsidRPr="00D67ABC">
        <w:rPr>
          <w:rStyle w:val="Strong"/>
          <w:rFonts w:ascii="Arial" w:hAnsi="Arial" w:cs="Arial"/>
        </w:rPr>
        <w:t xml:space="preserve">Table </w:t>
      </w:r>
      <w:r w:rsidR="00F64D5A" w:rsidRPr="00D67ABC">
        <w:rPr>
          <w:rStyle w:val="Strong"/>
          <w:rFonts w:ascii="Arial" w:hAnsi="Arial" w:cs="Arial"/>
        </w:rPr>
        <w:t>3</w:t>
      </w:r>
      <w:r w:rsidRPr="00D67ABC">
        <w:rPr>
          <w:rStyle w:val="Strong"/>
          <w:rFonts w:ascii="Arial" w:hAnsi="Arial" w:cs="Arial"/>
        </w:rPr>
        <w:t>. Hausman Test Results</w:t>
      </w:r>
    </w:p>
    <w:tbl>
      <w:tblPr>
        <w:tblStyle w:val="TableGrid"/>
        <w:tblW w:w="5000" w:type="pct"/>
        <w:jc w:val="center"/>
        <w:tblLook w:val="04A0" w:firstRow="1" w:lastRow="0" w:firstColumn="1" w:lastColumn="0" w:noHBand="0" w:noVBand="1"/>
      </w:tblPr>
      <w:tblGrid>
        <w:gridCol w:w="2545"/>
        <w:gridCol w:w="1838"/>
        <w:gridCol w:w="424"/>
        <w:gridCol w:w="1298"/>
        <w:gridCol w:w="1986"/>
      </w:tblGrid>
      <w:tr w:rsidR="000168D5" w:rsidRPr="00D67ABC" w14:paraId="1C36664E" w14:textId="77777777" w:rsidTr="002A66BB">
        <w:trPr>
          <w:trHeight w:val="264"/>
          <w:jc w:val="center"/>
        </w:trPr>
        <w:tc>
          <w:tcPr>
            <w:tcW w:w="1573" w:type="pct"/>
            <w:hideMark/>
          </w:tcPr>
          <w:p w14:paraId="0A2708E2"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Model</w:t>
            </w:r>
          </w:p>
        </w:tc>
        <w:tc>
          <w:tcPr>
            <w:tcW w:w="1136" w:type="pct"/>
            <w:hideMark/>
          </w:tcPr>
          <w:p w14:paraId="168C85B8"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Chi-Square Value</w:t>
            </w:r>
          </w:p>
        </w:tc>
        <w:tc>
          <w:tcPr>
            <w:tcW w:w="262" w:type="pct"/>
            <w:hideMark/>
          </w:tcPr>
          <w:p w14:paraId="27F29F7D"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df</w:t>
            </w:r>
          </w:p>
        </w:tc>
        <w:tc>
          <w:tcPr>
            <w:tcW w:w="802" w:type="pct"/>
            <w:hideMark/>
          </w:tcPr>
          <w:p w14:paraId="21DD485E"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Prob &gt; Chi²</w:t>
            </w:r>
          </w:p>
        </w:tc>
        <w:tc>
          <w:tcPr>
            <w:tcW w:w="1227" w:type="pct"/>
            <w:hideMark/>
          </w:tcPr>
          <w:p w14:paraId="412DFC57"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Selected Models</w:t>
            </w:r>
          </w:p>
        </w:tc>
      </w:tr>
      <w:tr w:rsidR="000168D5" w:rsidRPr="00D67ABC" w14:paraId="2F99B1A1" w14:textId="77777777" w:rsidTr="002A66BB">
        <w:trPr>
          <w:trHeight w:val="264"/>
          <w:jc w:val="center"/>
        </w:trPr>
        <w:tc>
          <w:tcPr>
            <w:tcW w:w="1573" w:type="pct"/>
            <w:hideMark/>
          </w:tcPr>
          <w:p w14:paraId="6DFF89DC"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Model 1 (No Moderation)</w:t>
            </w:r>
          </w:p>
        </w:tc>
        <w:tc>
          <w:tcPr>
            <w:tcW w:w="1136" w:type="pct"/>
            <w:hideMark/>
          </w:tcPr>
          <w:p w14:paraId="7F58C0B8"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0.05</w:t>
            </w:r>
          </w:p>
        </w:tc>
        <w:tc>
          <w:tcPr>
            <w:tcW w:w="262" w:type="pct"/>
            <w:hideMark/>
          </w:tcPr>
          <w:p w14:paraId="0AE6402B"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3</w:t>
            </w:r>
          </w:p>
        </w:tc>
        <w:tc>
          <w:tcPr>
            <w:tcW w:w="802" w:type="pct"/>
            <w:hideMark/>
          </w:tcPr>
          <w:p w14:paraId="3E3865B2"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0.9967</w:t>
            </w:r>
          </w:p>
        </w:tc>
        <w:tc>
          <w:tcPr>
            <w:tcW w:w="1227" w:type="pct"/>
            <w:hideMark/>
          </w:tcPr>
          <w:p w14:paraId="14A240B9"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 xml:space="preserve">Random Effect </w:t>
            </w:r>
            <w:r w:rsidRPr="00D67ABC">
              <w:rPr>
                <w:rFonts w:ascii="Arial" w:hAnsi="Arial" w:cs="Arial"/>
                <w:sz w:val="20"/>
                <w:szCs w:val="20"/>
                <w:lang w:eastAsia="en-ID"/>
              </w:rPr>
              <w:lastRenderedPageBreak/>
              <w:t>(RE)</w:t>
            </w:r>
          </w:p>
        </w:tc>
      </w:tr>
      <w:tr w:rsidR="000168D5" w:rsidRPr="00D67ABC" w14:paraId="14679F88" w14:textId="77777777" w:rsidTr="002A66BB">
        <w:trPr>
          <w:trHeight w:val="264"/>
          <w:jc w:val="center"/>
        </w:trPr>
        <w:tc>
          <w:tcPr>
            <w:tcW w:w="1573" w:type="pct"/>
            <w:hideMark/>
          </w:tcPr>
          <w:p w14:paraId="36403EB6"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lastRenderedPageBreak/>
              <w:t>Model 2 (With Moderation)</w:t>
            </w:r>
          </w:p>
        </w:tc>
        <w:tc>
          <w:tcPr>
            <w:tcW w:w="1136" w:type="pct"/>
            <w:hideMark/>
          </w:tcPr>
          <w:p w14:paraId="59B2A20F"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0.20</w:t>
            </w:r>
          </w:p>
        </w:tc>
        <w:tc>
          <w:tcPr>
            <w:tcW w:w="262" w:type="pct"/>
            <w:hideMark/>
          </w:tcPr>
          <w:p w14:paraId="35000067"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5</w:t>
            </w:r>
          </w:p>
        </w:tc>
        <w:tc>
          <w:tcPr>
            <w:tcW w:w="802" w:type="pct"/>
            <w:hideMark/>
          </w:tcPr>
          <w:p w14:paraId="5C1C38EC"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0.9991</w:t>
            </w:r>
          </w:p>
        </w:tc>
        <w:tc>
          <w:tcPr>
            <w:tcW w:w="1227" w:type="pct"/>
            <w:hideMark/>
          </w:tcPr>
          <w:p w14:paraId="41C096D7"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Random Effect (RE)</w:t>
            </w:r>
          </w:p>
        </w:tc>
      </w:tr>
    </w:tbl>
    <w:p w14:paraId="665FEDAF" w14:textId="77777777" w:rsidR="000168D5" w:rsidRPr="00D67ABC" w:rsidRDefault="000168D5" w:rsidP="002A66BB">
      <w:pPr>
        <w:jc w:val="center"/>
        <w:rPr>
          <w:rFonts w:ascii="Arial" w:hAnsi="Arial" w:cs="Arial"/>
          <w:b/>
          <w:bCs/>
        </w:rPr>
      </w:pPr>
    </w:p>
    <w:p w14:paraId="092E4525" w14:textId="2D9DF998" w:rsidR="000168D5" w:rsidRPr="00D67ABC" w:rsidRDefault="000168D5" w:rsidP="002A66BB">
      <w:pPr>
        <w:pStyle w:val="ListParagraph"/>
        <w:spacing w:before="0" w:beforeAutospacing="0" w:afterAutospacing="0"/>
        <w:ind w:left="709" w:firstLine="371"/>
        <w:contextualSpacing w:val="0"/>
        <w:rPr>
          <w:rFonts w:ascii="Arial" w:hAnsi="Arial" w:cs="Arial"/>
          <w:b/>
          <w:bCs/>
          <w:lang w:val="id-ID"/>
        </w:rPr>
      </w:pPr>
      <w:r w:rsidRPr="00D67ABC">
        <w:rPr>
          <w:rFonts w:ascii="Arial" w:hAnsi="Arial" w:cs="Arial"/>
          <w:b/>
          <w:bCs/>
        </w:rPr>
        <w:t xml:space="preserve">Table </w:t>
      </w:r>
      <w:r w:rsidR="00F64D5A" w:rsidRPr="00D67ABC">
        <w:rPr>
          <w:rFonts w:ascii="Arial" w:hAnsi="Arial" w:cs="Arial"/>
          <w:b/>
          <w:bCs/>
        </w:rPr>
        <w:t>4</w:t>
      </w:r>
      <w:r w:rsidRPr="00D67ABC">
        <w:rPr>
          <w:rFonts w:ascii="Arial" w:hAnsi="Arial" w:cs="Arial"/>
          <w:b/>
          <w:bCs/>
        </w:rPr>
        <w:t>. Autocorrelation Test Results (Wooldridge Test)</w:t>
      </w:r>
    </w:p>
    <w:tbl>
      <w:tblPr>
        <w:tblStyle w:val="TableGrid"/>
        <w:tblW w:w="5000" w:type="pct"/>
        <w:tblLook w:val="04A0" w:firstRow="1" w:lastRow="0" w:firstColumn="1" w:lastColumn="0" w:noHBand="0" w:noVBand="1"/>
      </w:tblPr>
      <w:tblGrid>
        <w:gridCol w:w="2937"/>
        <w:gridCol w:w="1044"/>
        <w:gridCol w:w="890"/>
        <w:gridCol w:w="1154"/>
        <w:gridCol w:w="2066"/>
      </w:tblGrid>
      <w:tr w:rsidR="000168D5" w:rsidRPr="00D67ABC" w14:paraId="25CA0580" w14:textId="77777777" w:rsidTr="002A66BB">
        <w:tc>
          <w:tcPr>
            <w:tcW w:w="1815" w:type="pct"/>
            <w:hideMark/>
          </w:tcPr>
          <w:p w14:paraId="4F1F4580"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Model</w:t>
            </w:r>
          </w:p>
        </w:tc>
        <w:tc>
          <w:tcPr>
            <w:tcW w:w="645" w:type="pct"/>
            <w:hideMark/>
          </w:tcPr>
          <w:p w14:paraId="7DBA2E04"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F Value</w:t>
            </w:r>
          </w:p>
        </w:tc>
        <w:tc>
          <w:tcPr>
            <w:tcW w:w="550" w:type="pct"/>
            <w:hideMark/>
          </w:tcPr>
          <w:p w14:paraId="6A844C95"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df</w:t>
            </w:r>
          </w:p>
        </w:tc>
        <w:tc>
          <w:tcPr>
            <w:tcW w:w="713" w:type="pct"/>
            <w:hideMark/>
          </w:tcPr>
          <w:p w14:paraId="707AD727"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Prob &gt; F</w:t>
            </w:r>
          </w:p>
        </w:tc>
        <w:tc>
          <w:tcPr>
            <w:tcW w:w="1277" w:type="pct"/>
            <w:hideMark/>
          </w:tcPr>
          <w:p w14:paraId="339CEA01"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Autocorrelations</w:t>
            </w:r>
          </w:p>
        </w:tc>
      </w:tr>
      <w:tr w:rsidR="000168D5" w:rsidRPr="00D67ABC" w14:paraId="3AEC861F" w14:textId="77777777" w:rsidTr="002A66BB">
        <w:tc>
          <w:tcPr>
            <w:tcW w:w="1815" w:type="pct"/>
            <w:hideMark/>
          </w:tcPr>
          <w:p w14:paraId="5241D0DF"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Model 1 (No Moderation)</w:t>
            </w:r>
          </w:p>
        </w:tc>
        <w:tc>
          <w:tcPr>
            <w:tcW w:w="645" w:type="pct"/>
            <w:hideMark/>
          </w:tcPr>
          <w:p w14:paraId="41F6DEE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0.776</w:t>
            </w:r>
          </w:p>
        </w:tc>
        <w:tc>
          <w:tcPr>
            <w:tcW w:w="550" w:type="pct"/>
            <w:hideMark/>
          </w:tcPr>
          <w:p w14:paraId="36D1AF8A"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(1, 12)</w:t>
            </w:r>
          </w:p>
        </w:tc>
        <w:tc>
          <w:tcPr>
            <w:tcW w:w="713" w:type="pct"/>
            <w:hideMark/>
          </w:tcPr>
          <w:p w14:paraId="25480B6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0.3957</w:t>
            </w:r>
          </w:p>
        </w:tc>
        <w:tc>
          <w:tcPr>
            <w:tcW w:w="1277" w:type="pct"/>
            <w:hideMark/>
          </w:tcPr>
          <w:p w14:paraId="57E9AF07"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None</w:t>
            </w:r>
          </w:p>
        </w:tc>
      </w:tr>
      <w:tr w:rsidR="000168D5" w:rsidRPr="00D67ABC" w14:paraId="733C1D12" w14:textId="77777777" w:rsidTr="002A66BB">
        <w:tc>
          <w:tcPr>
            <w:tcW w:w="1815" w:type="pct"/>
            <w:hideMark/>
          </w:tcPr>
          <w:p w14:paraId="1EE2204A"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Model 2 (With Moderation)</w:t>
            </w:r>
          </w:p>
        </w:tc>
        <w:tc>
          <w:tcPr>
            <w:tcW w:w="645" w:type="pct"/>
            <w:hideMark/>
          </w:tcPr>
          <w:p w14:paraId="63FD863B"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1.297</w:t>
            </w:r>
          </w:p>
        </w:tc>
        <w:tc>
          <w:tcPr>
            <w:tcW w:w="550" w:type="pct"/>
            <w:hideMark/>
          </w:tcPr>
          <w:p w14:paraId="10136CFD"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(1, 12)</w:t>
            </w:r>
          </w:p>
        </w:tc>
        <w:tc>
          <w:tcPr>
            <w:tcW w:w="713" w:type="pct"/>
            <w:hideMark/>
          </w:tcPr>
          <w:p w14:paraId="5448DA6F"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0.2769</w:t>
            </w:r>
          </w:p>
        </w:tc>
        <w:tc>
          <w:tcPr>
            <w:tcW w:w="1277" w:type="pct"/>
            <w:hideMark/>
          </w:tcPr>
          <w:p w14:paraId="09F0BAD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None</w:t>
            </w:r>
          </w:p>
        </w:tc>
      </w:tr>
    </w:tbl>
    <w:p w14:paraId="6434355F" w14:textId="77777777" w:rsidR="000168D5" w:rsidRPr="00D67ABC" w:rsidRDefault="000168D5" w:rsidP="002A66BB">
      <w:pPr>
        <w:pStyle w:val="ListParagraph"/>
        <w:spacing w:before="0" w:beforeAutospacing="0" w:afterAutospacing="0"/>
        <w:ind w:left="709" w:firstLine="371"/>
        <w:contextualSpacing w:val="0"/>
        <w:jc w:val="center"/>
        <w:rPr>
          <w:rFonts w:ascii="Arial" w:hAnsi="Arial" w:cs="Arial"/>
          <w:b/>
          <w:bCs/>
        </w:rPr>
      </w:pPr>
    </w:p>
    <w:p w14:paraId="41F064D7" w14:textId="7717EDE6" w:rsidR="000168D5" w:rsidRPr="00D67ABC" w:rsidRDefault="000168D5" w:rsidP="002A66BB">
      <w:pPr>
        <w:pStyle w:val="ListParagraph"/>
        <w:spacing w:before="0" w:beforeAutospacing="0" w:afterAutospacing="0"/>
        <w:ind w:left="709" w:firstLine="371"/>
        <w:contextualSpacing w:val="0"/>
        <w:rPr>
          <w:rFonts w:ascii="Arial" w:hAnsi="Arial" w:cs="Arial"/>
          <w:b/>
          <w:bCs/>
          <w:lang w:val="id-ID"/>
        </w:rPr>
      </w:pPr>
      <w:r w:rsidRPr="00D67ABC">
        <w:rPr>
          <w:rFonts w:ascii="Arial" w:hAnsi="Arial" w:cs="Arial"/>
          <w:b/>
          <w:bCs/>
        </w:rPr>
        <w:t xml:space="preserve">Table </w:t>
      </w:r>
      <w:r w:rsidR="00F64D5A" w:rsidRPr="00D67ABC">
        <w:rPr>
          <w:rFonts w:ascii="Arial" w:hAnsi="Arial" w:cs="Arial"/>
          <w:b/>
          <w:bCs/>
        </w:rPr>
        <w:t>5</w:t>
      </w:r>
      <w:r w:rsidRPr="00D67ABC">
        <w:rPr>
          <w:rFonts w:ascii="Arial" w:hAnsi="Arial" w:cs="Arial"/>
          <w:b/>
          <w:bCs/>
        </w:rPr>
        <w:t>. Heteroscedasticity Test Results (Modified Wald Test)</w:t>
      </w:r>
    </w:p>
    <w:tbl>
      <w:tblPr>
        <w:tblStyle w:val="TableGrid"/>
        <w:tblW w:w="5000" w:type="pct"/>
        <w:jc w:val="center"/>
        <w:tblLook w:val="04A0" w:firstRow="1" w:lastRow="0" w:firstColumn="1" w:lastColumn="0" w:noHBand="0" w:noVBand="1"/>
      </w:tblPr>
      <w:tblGrid>
        <w:gridCol w:w="2735"/>
        <w:gridCol w:w="1249"/>
        <w:gridCol w:w="461"/>
        <w:gridCol w:w="1351"/>
        <w:gridCol w:w="2295"/>
      </w:tblGrid>
      <w:tr w:rsidR="000168D5" w:rsidRPr="00D67ABC" w14:paraId="07A0ABB6" w14:textId="77777777" w:rsidTr="002A66BB">
        <w:trPr>
          <w:jc w:val="center"/>
        </w:trPr>
        <w:tc>
          <w:tcPr>
            <w:tcW w:w="1690" w:type="pct"/>
            <w:hideMark/>
          </w:tcPr>
          <w:p w14:paraId="3E595217"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Model</w:t>
            </w:r>
          </w:p>
        </w:tc>
        <w:tc>
          <w:tcPr>
            <w:tcW w:w="772" w:type="pct"/>
            <w:hideMark/>
          </w:tcPr>
          <w:p w14:paraId="03AF08DC"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Chi² Value</w:t>
            </w:r>
          </w:p>
        </w:tc>
        <w:tc>
          <w:tcPr>
            <w:tcW w:w="285" w:type="pct"/>
            <w:hideMark/>
          </w:tcPr>
          <w:p w14:paraId="6CF3A4DA"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df</w:t>
            </w:r>
          </w:p>
        </w:tc>
        <w:tc>
          <w:tcPr>
            <w:tcW w:w="835" w:type="pct"/>
            <w:hideMark/>
          </w:tcPr>
          <w:p w14:paraId="5A084398"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Prob &gt; Chi²</w:t>
            </w:r>
          </w:p>
        </w:tc>
        <w:tc>
          <w:tcPr>
            <w:tcW w:w="1418" w:type="pct"/>
            <w:hideMark/>
          </w:tcPr>
          <w:p w14:paraId="0A15F690" w14:textId="77777777" w:rsidR="000168D5" w:rsidRPr="00D67ABC" w:rsidRDefault="000168D5" w:rsidP="002A66BB">
            <w:pPr>
              <w:jc w:val="center"/>
              <w:rPr>
                <w:rFonts w:ascii="Arial" w:hAnsi="Arial" w:cs="Arial"/>
                <w:b/>
                <w:bCs/>
                <w:sz w:val="20"/>
                <w:szCs w:val="20"/>
                <w:lang w:eastAsia="en-ID"/>
              </w:rPr>
            </w:pPr>
            <w:proofErr w:type="spellStart"/>
            <w:r w:rsidRPr="00D67ABC">
              <w:rPr>
                <w:rFonts w:ascii="Arial" w:hAnsi="Arial" w:cs="Arial"/>
                <w:b/>
                <w:bCs/>
                <w:sz w:val="20"/>
                <w:szCs w:val="20"/>
                <w:lang w:eastAsia="en-ID"/>
              </w:rPr>
              <w:t>Heteroskedastisitas</w:t>
            </w:r>
            <w:proofErr w:type="spellEnd"/>
          </w:p>
        </w:tc>
      </w:tr>
      <w:tr w:rsidR="000168D5" w:rsidRPr="00D67ABC" w14:paraId="0690A52E" w14:textId="77777777" w:rsidTr="002A66BB">
        <w:trPr>
          <w:jc w:val="center"/>
        </w:trPr>
        <w:tc>
          <w:tcPr>
            <w:tcW w:w="1690" w:type="pct"/>
            <w:hideMark/>
          </w:tcPr>
          <w:p w14:paraId="39E81DD7"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Model 1 (No Moderation)</w:t>
            </w:r>
          </w:p>
        </w:tc>
        <w:tc>
          <w:tcPr>
            <w:tcW w:w="772" w:type="pct"/>
            <w:hideMark/>
          </w:tcPr>
          <w:p w14:paraId="18CD87D7"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47.20</w:t>
            </w:r>
          </w:p>
        </w:tc>
        <w:tc>
          <w:tcPr>
            <w:tcW w:w="285" w:type="pct"/>
            <w:hideMark/>
          </w:tcPr>
          <w:p w14:paraId="1FE10891"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13</w:t>
            </w:r>
          </w:p>
        </w:tc>
        <w:tc>
          <w:tcPr>
            <w:tcW w:w="835" w:type="pct"/>
            <w:hideMark/>
          </w:tcPr>
          <w:p w14:paraId="171264C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0.0000</w:t>
            </w:r>
          </w:p>
        </w:tc>
        <w:tc>
          <w:tcPr>
            <w:tcW w:w="1418" w:type="pct"/>
            <w:hideMark/>
          </w:tcPr>
          <w:p w14:paraId="37B06E9F" w14:textId="3D71445F" w:rsidR="000168D5" w:rsidRPr="00D67ABC" w:rsidRDefault="0035465B" w:rsidP="002A66BB">
            <w:pPr>
              <w:rPr>
                <w:rFonts w:ascii="Arial" w:hAnsi="Arial" w:cs="Arial"/>
                <w:sz w:val="20"/>
                <w:szCs w:val="20"/>
                <w:lang w:eastAsia="en-ID"/>
              </w:rPr>
            </w:pPr>
            <w:r w:rsidRPr="00D67ABC">
              <w:rPr>
                <w:rFonts w:ascii="Arial" w:hAnsi="Arial" w:cs="Arial"/>
                <w:sz w:val="20"/>
                <w:szCs w:val="20"/>
                <w:lang w:eastAsia="en-ID"/>
              </w:rPr>
              <w:t>Present</w:t>
            </w:r>
          </w:p>
        </w:tc>
      </w:tr>
      <w:tr w:rsidR="000168D5" w:rsidRPr="00D67ABC" w14:paraId="2B2E85EF" w14:textId="77777777" w:rsidTr="002A66BB">
        <w:trPr>
          <w:jc w:val="center"/>
        </w:trPr>
        <w:tc>
          <w:tcPr>
            <w:tcW w:w="1690" w:type="pct"/>
            <w:hideMark/>
          </w:tcPr>
          <w:p w14:paraId="761D79E6"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Model 2 (With Moderation)</w:t>
            </w:r>
          </w:p>
        </w:tc>
        <w:tc>
          <w:tcPr>
            <w:tcW w:w="772" w:type="pct"/>
            <w:hideMark/>
          </w:tcPr>
          <w:p w14:paraId="63DA627D"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54.30</w:t>
            </w:r>
          </w:p>
        </w:tc>
        <w:tc>
          <w:tcPr>
            <w:tcW w:w="285" w:type="pct"/>
            <w:hideMark/>
          </w:tcPr>
          <w:p w14:paraId="4C01520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13</w:t>
            </w:r>
          </w:p>
        </w:tc>
        <w:tc>
          <w:tcPr>
            <w:tcW w:w="835" w:type="pct"/>
            <w:hideMark/>
          </w:tcPr>
          <w:p w14:paraId="69B43FEA"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0.0000</w:t>
            </w:r>
          </w:p>
        </w:tc>
        <w:tc>
          <w:tcPr>
            <w:tcW w:w="1418" w:type="pct"/>
            <w:hideMark/>
          </w:tcPr>
          <w:p w14:paraId="4304D364" w14:textId="1A945331" w:rsidR="000168D5" w:rsidRPr="00D67ABC" w:rsidRDefault="0035465B" w:rsidP="002A66BB">
            <w:pPr>
              <w:rPr>
                <w:rFonts w:ascii="Arial" w:hAnsi="Arial" w:cs="Arial"/>
                <w:sz w:val="20"/>
                <w:szCs w:val="20"/>
                <w:lang w:eastAsia="en-ID"/>
              </w:rPr>
            </w:pPr>
            <w:r w:rsidRPr="00D67ABC">
              <w:rPr>
                <w:rFonts w:ascii="Arial" w:hAnsi="Arial" w:cs="Arial"/>
                <w:sz w:val="20"/>
                <w:szCs w:val="20"/>
                <w:lang w:eastAsia="en-ID"/>
              </w:rPr>
              <w:t xml:space="preserve">Present </w:t>
            </w:r>
          </w:p>
        </w:tc>
      </w:tr>
    </w:tbl>
    <w:p w14:paraId="3000F7D8" w14:textId="77777777" w:rsidR="000168D5" w:rsidRPr="00D67ABC" w:rsidRDefault="000168D5" w:rsidP="002A66BB">
      <w:pPr>
        <w:pStyle w:val="ListParagraph"/>
        <w:spacing w:before="0" w:beforeAutospacing="0" w:afterAutospacing="0"/>
        <w:ind w:left="709"/>
        <w:contextualSpacing w:val="0"/>
        <w:rPr>
          <w:rFonts w:ascii="Arial" w:hAnsi="Arial" w:cs="Arial"/>
        </w:rPr>
      </w:pPr>
    </w:p>
    <w:p w14:paraId="3030ED2A" w14:textId="0344D1B7" w:rsidR="000168D5" w:rsidRPr="00D67ABC" w:rsidRDefault="000168D5" w:rsidP="002A66BB">
      <w:pPr>
        <w:pStyle w:val="ListParagraph"/>
        <w:spacing w:before="0" w:beforeAutospacing="0" w:afterAutospacing="0"/>
        <w:ind w:left="360"/>
        <w:contextualSpacing w:val="0"/>
        <w:jc w:val="center"/>
        <w:rPr>
          <w:rFonts w:ascii="Arial" w:hAnsi="Arial" w:cs="Arial"/>
          <w:b/>
          <w:bCs/>
          <w:lang w:val="id-ID"/>
        </w:rPr>
      </w:pPr>
      <w:r w:rsidRPr="00D67ABC">
        <w:rPr>
          <w:rFonts w:ascii="Arial" w:hAnsi="Arial" w:cs="Arial"/>
          <w:b/>
          <w:bCs/>
        </w:rPr>
        <w:t xml:space="preserve">Table </w:t>
      </w:r>
      <w:r w:rsidR="00F64D5A" w:rsidRPr="00D67ABC">
        <w:rPr>
          <w:rFonts w:ascii="Arial" w:hAnsi="Arial" w:cs="Arial"/>
          <w:b/>
          <w:bCs/>
        </w:rPr>
        <w:t>6</w:t>
      </w:r>
      <w:r w:rsidRPr="00D67ABC">
        <w:rPr>
          <w:rFonts w:ascii="Arial" w:hAnsi="Arial" w:cs="Arial"/>
          <w:b/>
          <w:bCs/>
        </w:rPr>
        <w:t>. hypothesis test results</w:t>
      </w:r>
    </w:p>
    <w:tbl>
      <w:tblPr>
        <w:tblStyle w:val="TableGrid"/>
        <w:tblW w:w="5000" w:type="pct"/>
        <w:jc w:val="center"/>
        <w:tblLook w:val="04A0" w:firstRow="1" w:lastRow="0" w:firstColumn="1" w:lastColumn="0" w:noHBand="0" w:noVBand="1"/>
      </w:tblPr>
      <w:tblGrid>
        <w:gridCol w:w="1874"/>
        <w:gridCol w:w="3010"/>
        <w:gridCol w:w="3207"/>
      </w:tblGrid>
      <w:tr w:rsidR="000168D5" w:rsidRPr="00D67ABC" w14:paraId="040ABEF1" w14:textId="77777777" w:rsidTr="002A66BB">
        <w:trPr>
          <w:jc w:val="center"/>
        </w:trPr>
        <w:tc>
          <w:tcPr>
            <w:tcW w:w="1158" w:type="pct"/>
            <w:hideMark/>
          </w:tcPr>
          <w:p w14:paraId="600739F9" w14:textId="77777777" w:rsidR="000168D5" w:rsidRPr="00D67ABC" w:rsidRDefault="000168D5" w:rsidP="002A66BB">
            <w:pPr>
              <w:jc w:val="center"/>
              <w:rPr>
                <w:rFonts w:ascii="Arial" w:hAnsi="Arial" w:cs="Arial"/>
                <w:b/>
                <w:bCs/>
                <w:sz w:val="20"/>
                <w:szCs w:val="20"/>
                <w:lang w:eastAsia="en-ID"/>
              </w:rPr>
            </w:pPr>
            <w:proofErr w:type="spellStart"/>
            <w:r w:rsidRPr="00D67ABC">
              <w:rPr>
                <w:rFonts w:ascii="Arial" w:hAnsi="Arial" w:cs="Arial"/>
                <w:b/>
                <w:bCs/>
                <w:sz w:val="20"/>
                <w:szCs w:val="20"/>
                <w:lang w:eastAsia="en-ID"/>
              </w:rPr>
              <w:t>Variabel</w:t>
            </w:r>
            <w:proofErr w:type="spellEnd"/>
          </w:p>
        </w:tc>
        <w:tc>
          <w:tcPr>
            <w:tcW w:w="1860" w:type="pct"/>
            <w:hideMark/>
          </w:tcPr>
          <w:p w14:paraId="1047FDDF"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Model 1 (No Moderation)</w:t>
            </w:r>
          </w:p>
        </w:tc>
        <w:tc>
          <w:tcPr>
            <w:tcW w:w="1982" w:type="pct"/>
            <w:hideMark/>
          </w:tcPr>
          <w:p w14:paraId="34E30384" w14:textId="77777777" w:rsidR="000168D5" w:rsidRPr="00D67ABC" w:rsidRDefault="000168D5" w:rsidP="002A66BB">
            <w:pPr>
              <w:jc w:val="center"/>
              <w:rPr>
                <w:rFonts w:ascii="Arial" w:hAnsi="Arial" w:cs="Arial"/>
                <w:b/>
                <w:bCs/>
                <w:sz w:val="20"/>
                <w:szCs w:val="20"/>
                <w:lang w:eastAsia="en-ID"/>
              </w:rPr>
            </w:pPr>
            <w:r w:rsidRPr="00D67ABC">
              <w:rPr>
                <w:rFonts w:ascii="Arial" w:hAnsi="Arial" w:cs="Arial"/>
                <w:b/>
                <w:bCs/>
                <w:sz w:val="20"/>
                <w:szCs w:val="20"/>
                <w:lang w:eastAsia="en-ID"/>
              </w:rPr>
              <w:t>Model 2 (With Moderation)</w:t>
            </w:r>
          </w:p>
        </w:tc>
      </w:tr>
      <w:tr w:rsidR="000168D5" w:rsidRPr="00D67ABC" w14:paraId="63D3D5AF" w14:textId="77777777" w:rsidTr="002A66BB">
        <w:trPr>
          <w:jc w:val="center"/>
        </w:trPr>
        <w:tc>
          <w:tcPr>
            <w:tcW w:w="1158" w:type="pct"/>
            <w:hideMark/>
          </w:tcPr>
          <w:p w14:paraId="2B4BCAD1"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x1 (CSR)</w:t>
            </w:r>
          </w:p>
        </w:tc>
        <w:tc>
          <w:tcPr>
            <w:tcW w:w="1860" w:type="pct"/>
            <w:hideMark/>
          </w:tcPr>
          <w:p w14:paraId="15B06E4C"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0.000 (</w:t>
            </w:r>
            <w:r w:rsidRPr="00D67ABC">
              <w:rPr>
                <w:rFonts w:ascii="Arial" w:hAnsi="Arial" w:cs="Arial"/>
                <w:b/>
                <w:bCs/>
                <w:sz w:val="20"/>
                <w:szCs w:val="20"/>
                <w:lang w:eastAsia="en-ID"/>
              </w:rPr>
              <w:t>significant)</w:t>
            </w:r>
          </w:p>
        </w:tc>
        <w:tc>
          <w:tcPr>
            <w:tcW w:w="1982" w:type="pct"/>
            <w:hideMark/>
          </w:tcPr>
          <w:p w14:paraId="2C842031"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0.141 (insignificant)</w:t>
            </w:r>
          </w:p>
        </w:tc>
      </w:tr>
      <w:tr w:rsidR="000168D5" w:rsidRPr="00D67ABC" w14:paraId="2608DFAA" w14:textId="77777777" w:rsidTr="002A66BB">
        <w:trPr>
          <w:jc w:val="center"/>
        </w:trPr>
        <w:tc>
          <w:tcPr>
            <w:tcW w:w="1158" w:type="pct"/>
            <w:hideMark/>
          </w:tcPr>
          <w:p w14:paraId="50B98B4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x2 (Board Size)</w:t>
            </w:r>
          </w:p>
        </w:tc>
        <w:tc>
          <w:tcPr>
            <w:tcW w:w="1860" w:type="pct"/>
            <w:hideMark/>
          </w:tcPr>
          <w:p w14:paraId="792090BB"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0.517 (insignificant)</w:t>
            </w:r>
          </w:p>
        </w:tc>
        <w:tc>
          <w:tcPr>
            <w:tcW w:w="1982" w:type="pct"/>
            <w:hideMark/>
          </w:tcPr>
          <w:p w14:paraId="715D5EC0"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0.757 (insignificant)</w:t>
            </w:r>
          </w:p>
        </w:tc>
      </w:tr>
      <w:tr w:rsidR="000168D5" w:rsidRPr="00D67ABC" w14:paraId="614E74A9" w14:textId="77777777" w:rsidTr="002A66BB">
        <w:trPr>
          <w:jc w:val="center"/>
        </w:trPr>
        <w:tc>
          <w:tcPr>
            <w:tcW w:w="1158" w:type="pct"/>
            <w:hideMark/>
          </w:tcPr>
          <w:p w14:paraId="3D795699"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x3 (Gender)</w:t>
            </w:r>
          </w:p>
        </w:tc>
        <w:tc>
          <w:tcPr>
            <w:tcW w:w="1860" w:type="pct"/>
            <w:hideMark/>
          </w:tcPr>
          <w:p w14:paraId="72FBFD40"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0.239 (insignificant)</w:t>
            </w:r>
          </w:p>
        </w:tc>
        <w:tc>
          <w:tcPr>
            <w:tcW w:w="1982" w:type="pct"/>
            <w:hideMark/>
          </w:tcPr>
          <w:p w14:paraId="482F8001"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0.054 (</w:t>
            </w:r>
            <w:r w:rsidRPr="00D67ABC">
              <w:rPr>
                <w:rFonts w:ascii="Arial" w:hAnsi="Arial" w:cs="Arial"/>
                <w:b/>
                <w:bCs/>
                <w:sz w:val="20"/>
                <w:szCs w:val="20"/>
                <w:lang w:eastAsia="en-ID"/>
              </w:rPr>
              <w:t>significant</w:t>
            </w:r>
            <w:r w:rsidRPr="00D67ABC">
              <w:rPr>
                <w:rFonts w:ascii="Arial" w:hAnsi="Arial" w:cs="Arial"/>
                <w:sz w:val="20"/>
                <w:szCs w:val="20"/>
                <w:lang w:eastAsia="en-ID"/>
              </w:rPr>
              <w:t>)</w:t>
            </w:r>
          </w:p>
        </w:tc>
      </w:tr>
      <w:tr w:rsidR="000168D5" w:rsidRPr="00D67ABC" w14:paraId="2ABE5654" w14:textId="77777777" w:rsidTr="002A66BB">
        <w:trPr>
          <w:jc w:val="center"/>
        </w:trPr>
        <w:tc>
          <w:tcPr>
            <w:tcW w:w="1158" w:type="pct"/>
            <w:hideMark/>
          </w:tcPr>
          <w:p w14:paraId="19DE707B"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x1_m1</w:t>
            </w:r>
          </w:p>
        </w:tc>
        <w:tc>
          <w:tcPr>
            <w:tcW w:w="1860" w:type="pct"/>
            <w:hideMark/>
          </w:tcPr>
          <w:p w14:paraId="058DE68B"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w:t>
            </w:r>
          </w:p>
        </w:tc>
        <w:tc>
          <w:tcPr>
            <w:tcW w:w="1982" w:type="pct"/>
            <w:hideMark/>
          </w:tcPr>
          <w:p w14:paraId="2FD21D64"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0.652 (insignificant)</w:t>
            </w:r>
          </w:p>
        </w:tc>
      </w:tr>
      <w:tr w:rsidR="000168D5" w:rsidRPr="00D67ABC" w14:paraId="12C7086A" w14:textId="77777777" w:rsidTr="002A66BB">
        <w:trPr>
          <w:jc w:val="center"/>
        </w:trPr>
        <w:tc>
          <w:tcPr>
            <w:tcW w:w="1158" w:type="pct"/>
            <w:hideMark/>
          </w:tcPr>
          <w:p w14:paraId="6302958D"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x1_m2</w:t>
            </w:r>
          </w:p>
        </w:tc>
        <w:tc>
          <w:tcPr>
            <w:tcW w:w="1860" w:type="pct"/>
            <w:hideMark/>
          </w:tcPr>
          <w:p w14:paraId="75303589"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w:t>
            </w:r>
          </w:p>
        </w:tc>
        <w:tc>
          <w:tcPr>
            <w:tcW w:w="1982" w:type="pct"/>
            <w:hideMark/>
          </w:tcPr>
          <w:p w14:paraId="5582B783" w14:textId="77777777" w:rsidR="000168D5" w:rsidRPr="00D67ABC" w:rsidRDefault="000168D5" w:rsidP="002A66BB">
            <w:pPr>
              <w:rPr>
                <w:rFonts w:ascii="Arial" w:hAnsi="Arial" w:cs="Arial"/>
                <w:sz w:val="20"/>
                <w:szCs w:val="20"/>
                <w:lang w:eastAsia="en-ID"/>
              </w:rPr>
            </w:pPr>
            <w:r w:rsidRPr="00D67ABC">
              <w:rPr>
                <w:rFonts w:ascii="Arial" w:hAnsi="Arial" w:cs="Arial"/>
                <w:sz w:val="20"/>
                <w:szCs w:val="20"/>
                <w:lang w:eastAsia="en-ID"/>
              </w:rPr>
              <w:t>p = 0.082 (</w:t>
            </w:r>
            <w:r w:rsidRPr="00D67ABC">
              <w:rPr>
                <w:rFonts w:ascii="Arial" w:hAnsi="Arial" w:cs="Arial"/>
                <w:b/>
                <w:bCs/>
                <w:sz w:val="20"/>
                <w:szCs w:val="20"/>
                <w:lang w:eastAsia="en-ID"/>
              </w:rPr>
              <w:t>significant</w:t>
            </w:r>
            <w:r w:rsidRPr="00D67ABC">
              <w:rPr>
                <w:rFonts w:ascii="Arial" w:hAnsi="Arial" w:cs="Arial"/>
                <w:sz w:val="20"/>
                <w:szCs w:val="20"/>
                <w:lang w:eastAsia="en-ID"/>
              </w:rPr>
              <w:t>)</w:t>
            </w:r>
          </w:p>
        </w:tc>
      </w:tr>
    </w:tbl>
    <w:p w14:paraId="7F207D72" w14:textId="77777777" w:rsidR="002A66BB" w:rsidRPr="00D67ABC" w:rsidRDefault="002A66BB" w:rsidP="002A66BB">
      <w:pPr>
        <w:jc w:val="center"/>
        <w:outlineLvl w:val="1"/>
        <w:rPr>
          <w:rFonts w:ascii="Arial" w:hAnsi="Arial" w:cs="Arial"/>
          <w:b/>
          <w:bCs/>
          <w:lang w:val="id-ID"/>
        </w:rPr>
      </w:pPr>
    </w:p>
    <w:p w14:paraId="77CADD3F" w14:textId="05363F4A" w:rsidR="00D67ABC" w:rsidRPr="00BB6735" w:rsidRDefault="00AC07DB" w:rsidP="00BB6735">
      <w:pPr>
        <w:jc w:val="center"/>
        <w:rPr>
          <w:rFonts w:ascii="Arial" w:hAnsi="Arial" w:cs="Arial"/>
          <w:b/>
          <w:bCs/>
          <w:lang w:val="id-ID"/>
        </w:rPr>
      </w:pPr>
      <w:r w:rsidRPr="00D67ABC">
        <w:rPr>
          <w:rFonts w:ascii="Arial" w:hAnsi="Arial" w:cs="Arial"/>
          <w:b/>
          <w:bCs/>
        </w:rPr>
        <w:t xml:space="preserve">Table </w:t>
      </w:r>
      <w:r w:rsidR="00F64D5A" w:rsidRPr="00D67ABC">
        <w:rPr>
          <w:rFonts w:ascii="Arial" w:hAnsi="Arial" w:cs="Arial"/>
          <w:b/>
          <w:bCs/>
        </w:rPr>
        <w:t>7</w:t>
      </w:r>
      <w:r w:rsidRPr="00D67ABC">
        <w:rPr>
          <w:rFonts w:ascii="Arial" w:hAnsi="Arial" w:cs="Arial"/>
          <w:b/>
          <w:bCs/>
        </w:rPr>
        <w:t>. Regression results- panel data analysis (REM with robust SE)</w:t>
      </w:r>
    </w:p>
    <w:p w14:paraId="66F79D21" w14:textId="77777777" w:rsidR="00BB6735" w:rsidRDefault="00BB6735" w:rsidP="002A66BB">
      <w:pPr>
        <w:jc w:val="both"/>
        <w:outlineLvl w:val="1"/>
        <w:rPr>
          <w:rFonts w:ascii="Arial" w:hAnsi="Arial" w:cs="Arial"/>
          <w:b/>
          <w:bCs/>
        </w:rPr>
      </w:pPr>
    </w:p>
    <w:p w14:paraId="4A1C0537" w14:textId="1DE14A99" w:rsidR="00D67ABC" w:rsidRPr="00D67ABC" w:rsidRDefault="00D67ABC" w:rsidP="002A66BB">
      <w:pPr>
        <w:jc w:val="both"/>
        <w:outlineLvl w:val="1"/>
        <w:rPr>
          <w:rFonts w:ascii="Arial" w:hAnsi="Arial" w:cs="Arial"/>
          <w:b/>
          <w:bCs/>
        </w:rPr>
      </w:pPr>
      <w:r>
        <w:rPr>
          <w:rFonts w:ascii="Arial" w:hAnsi="Arial" w:cs="Arial"/>
          <w:b/>
          <w:bCs/>
        </w:rPr>
        <w:t>Model 1 without moderation</w:t>
      </w:r>
    </w:p>
    <w:tbl>
      <w:tblPr>
        <w:tblStyle w:val="TableGrid"/>
        <w:tblW w:w="5000" w:type="pct"/>
        <w:tblLook w:val="04A0" w:firstRow="1" w:lastRow="0" w:firstColumn="1" w:lastColumn="0" w:noHBand="0" w:noVBand="1"/>
      </w:tblPr>
      <w:tblGrid>
        <w:gridCol w:w="2255"/>
        <w:gridCol w:w="1338"/>
        <w:gridCol w:w="1220"/>
        <w:gridCol w:w="720"/>
        <w:gridCol w:w="982"/>
        <w:gridCol w:w="1576"/>
      </w:tblGrid>
      <w:tr w:rsidR="00AC07DB" w:rsidRPr="00D67ABC" w14:paraId="27186E9D" w14:textId="77777777" w:rsidTr="002A66BB">
        <w:tc>
          <w:tcPr>
            <w:tcW w:w="1393" w:type="pct"/>
            <w:hideMark/>
          </w:tcPr>
          <w:p w14:paraId="40195660"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Variable</w:t>
            </w:r>
          </w:p>
        </w:tc>
        <w:tc>
          <w:tcPr>
            <w:tcW w:w="827" w:type="pct"/>
            <w:hideMark/>
          </w:tcPr>
          <w:p w14:paraId="27137A91"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Coefficient</w:t>
            </w:r>
          </w:p>
        </w:tc>
        <w:tc>
          <w:tcPr>
            <w:tcW w:w="754" w:type="pct"/>
            <w:hideMark/>
          </w:tcPr>
          <w:p w14:paraId="3151D06A"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Std. Error</w:t>
            </w:r>
          </w:p>
        </w:tc>
        <w:tc>
          <w:tcPr>
            <w:tcW w:w="445" w:type="pct"/>
            <w:hideMark/>
          </w:tcPr>
          <w:p w14:paraId="2AB52DC7"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z / t</w:t>
            </w:r>
          </w:p>
        </w:tc>
        <w:tc>
          <w:tcPr>
            <w:tcW w:w="607" w:type="pct"/>
            <w:hideMark/>
          </w:tcPr>
          <w:p w14:paraId="03A9F8C6"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p-value</w:t>
            </w:r>
          </w:p>
        </w:tc>
        <w:tc>
          <w:tcPr>
            <w:tcW w:w="975" w:type="pct"/>
            <w:hideMark/>
          </w:tcPr>
          <w:p w14:paraId="2AB9705D" w14:textId="77777777" w:rsidR="00AC07DB" w:rsidRPr="00D67ABC" w:rsidRDefault="00AC07DB"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Remark</w:t>
            </w:r>
          </w:p>
        </w:tc>
      </w:tr>
      <w:tr w:rsidR="00AC07DB" w:rsidRPr="00D67ABC" w14:paraId="7FBBEA92" w14:textId="77777777" w:rsidTr="002A66BB">
        <w:tc>
          <w:tcPr>
            <w:tcW w:w="1393" w:type="pct"/>
            <w:hideMark/>
          </w:tcPr>
          <w:p w14:paraId="6F5833CE"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CSR (x1)</w:t>
            </w:r>
          </w:p>
        </w:tc>
        <w:tc>
          <w:tcPr>
            <w:tcW w:w="827" w:type="pct"/>
            <w:hideMark/>
          </w:tcPr>
          <w:p w14:paraId="25C85D93"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4.6846</w:t>
            </w:r>
          </w:p>
        </w:tc>
        <w:tc>
          <w:tcPr>
            <w:tcW w:w="754" w:type="pct"/>
            <w:hideMark/>
          </w:tcPr>
          <w:p w14:paraId="12BA8E12"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0.9282</w:t>
            </w:r>
          </w:p>
        </w:tc>
        <w:tc>
          <w:tcPr>
            <w:tcW w:w="445" w:type="pct"/>
            <w:hideMark/>
          </w:tcPr>
          <w:p w14:paraId="19E90ED3"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5.05</w:t>
            </w:r>
          </w:p>
        </w:tc>
        <w:tc>
          <w:tcPr>
            <w:tcW w:w="607" w:type="pct"/>
            <w:hideMark/>
          </w:tcPr>
          <w:p w14:paraId="1CEA76AB"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0.000</w:t>
            </w:r>
          </w:p>
        </w:tc>
        <w:tc>
          <w:tcPr>
            <w:tcW w:w="975" w:type="pct"/>
            <w:hideMark/>
          </w:tcPr>
          <w:p w14:paraId="69D73292" w14:textId="38E41569"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b/>
                <w:bCs/>
                <w:sz w:val="20"/>
                <w:szCs w:val="20"/>
                <w:lang w:eastAsia="en-ID"/>
              </w:rPr>
              <w:t xml:space="preserve">Significant </w:t>
            </w:r>
          </w:p>
        </w:tc>
      </w:tr>
      <w:tr w:rsidR="00AC07DB" w:rsidRPr="00D67ABC" w14:paraId="22EF3ED5" w14:textId="77777777" w:rsidTr="002A66BB">
        <w:tc>
          <w:tcPr>
            <w:tcW w:w="1393" w:type="pct"/>
            <w:hideMark/>
          </w:tcPr>
          <w:p w14:paraId="6722D394"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Board Size (x2)</w:t>
            </w:r>
          </w:p>
        </w:tc>
        <w:tc>
          <w:tcPr>
            <w:tcW w:w="827" w:type="pct"/>
            <w:hideMark/>
          </w:tcPr>
          <w:p w14:paraId="3E1BCE60"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0.0345</w:t>
            </w:r>
          </w:p>
        </w:tc>
        <w:tc>
          <w:tcPr>
            <w:tcW w:w="754" w:type="pct"/>
            <w:hideMark/>
          </w:tcPr>
          <w:p w14:paraId="4BC90B25"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0.0532</w:t>
            </w:r>
          </w:p>
        </w:tc>
        <w:tc>
          <w:tcPr>
            <w:tcW w:w="445" w:type="pct"/>
            <w:hideMark/>
          </w:tcPr>
          <w:p w14:paraId="7ABD7536"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0.65</w:t>
            </w:r>
          </w:p>
        </w:tc>
        <w:tc>
          <w:tcPr>
            <w:tcW w:w="607" w:type="pct"/>
            <w:hideMark/>
          </w:tcPr>
          <w:p w14:paraId="5146929A"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0.517</w:t>
            </w:r>
          </w:p>
        </w:tc>
        <w:tc>
          <w:tcPr>
            <w:tcW w:w="975" w:type="pct"/>
            <w:hideMark/>
          </w:tcPr>
          <w:p w14:paraId="1B72ECB3"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r w:rsidR="00AC07DB" w:rsidRPr="00D67ABC" w14:paraId="1BE2A7F7" w14:textId="77777777" w:rsidTr="002A66BB">
        <w:tc>
          <w:tcPr>
            <w:tcW w:w="1393" w:type="pct"/>
            <w:hideMark/>
          </w:tcPr>
          <w:p w14:paraId="4F4A46DF"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Gender Diversity (x3)</w:t>
            </w:r>
          </w:p>
        </w:tc>
        <w:tc>
          <w:tcPr>
            <w:tcW w:w="827" w:type="pct"/>
            <w:hideMark/>
          </w:tcPr>
          <w:p w14:paraId="6F8DBC84"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-0.2226</w:t>
            </w:r>
          </w:p>
        </w:tc>
        <w:tc>
          <w:tcPr>
            <w:tcW w:w="754" w:type="pct"/>
            <w:hideMark/>
          </w:tcPr>
          <w:p w14:paraId="2B85F630"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0.1891</w:t>
            </w:r>
          </w:p>
        </w:tc>
        <w:tc>
          <w:tcPr>
            <w:tcW w:w="445" w:type="pct"/>
            <w:hideMark/>
          </w:tcPr>
          <w:p w14:paraId="4D424802"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-1.18</w:t>
            </w:r>
          </w:p>
        </w:tc>
        <w:tc>
          <w:tcPr>
            <w:tcW w:w="607" w:type="pct"/>
            <w:hideMark/>
          </w:tcPr>
          <w:p w14:paraId="02D153E4"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0.239</w:t>
            </w:r>
          </w:p>
        </w:tc>
        <w:tc>
          <w:tcPr>
            <w:tcW w:w="975" w:type="pct"/>
            <w:hideMark/>
          </w:tcPr>
          <w:p w14:paraId="338BF92B"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r w:rsidR="00AC07DB" w:rsidRPr="00D67ABC" w14:paraId="76D0AE76" w14:textId="77777777" w:rsidTr="002A66BB">
        <w:tc>
          <w:tcPr>
            <w:tcW w:w="1393" w:type="pct"/>
            <w:hideMark/>
          </w:tcPr>
          <w:p w14:paraId="615261D4"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_cons</w:t>
            </w:r>
          </w:p>
        </w:tc>
        <w:tc>
          <w:tcPr>
            <w:tcW w:w="827" w:type="pct"/>
            <w:hideMark/>
          </w:tcPr>
          <w:p w14:paraId="307FFD93"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-2.9184</w:t>
            </w:r>
          </w:p>
        </w:tc>
        <w:tc>
          <w:tcPr>
            <w:tcW w:w="754" w:type="pct"/>
            <w:hideMark/>
          </w:tcPr>
          <w:p w14:paraId="392FB809"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0.5404</w:t>
            </w:r>
          </w:p>
        </w:tc>
        <w:tc>
          <w:tcPr>
            <w:tcW w:w="445" w:type="pct"/>
            <w:hideMark/>
          </w:tcPr>
          <w:p w14:paraId="76B3FD9E"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-5.40</w:t>
            </w:r>
          </w:p>
        </w:tc>
        <w:tc>
          <w:tcPr>
            <w:tcW w:w="607" w:type="pct"/>
            <w:hideMark/>
          </w:tcPr>
          <w:p w14:paraId="72159A1F" w14:textId="77777777"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0.000</w:t>
            </w:r>
          </w:p>
        </w:tc>
        <w:tc>
          <w:tcPr>
            <w:tcW w:w="975" w:type="pct"/>
            <w:hideMark/>
          </w:tcPr>
          <w:p w14:paraId="41C67DB0" w14:textId="211631D1" w:rsidR="00AC07DB" w:rsidRPr="00D67ABC" w:rsidRDefault="00AC07DB"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 xml:space="preserve">Significant </w:t>
            </w:r>
          </w:p>
        </w:tc>
      </w:tr>
    </w:tbl>
    <w:p w14:paraId="61DA3286" w14:textId="77777777" w:rsidR="0095635A" w:rsidRPr="00D67ABC" w:rsidRDefault="0095635A" w:rsidP="002A66BB">
      <w:pPr>
        <w:numPr>
          <w:ilvl w:val="0"/>
          <w:numId w:val="43"/>
        </w:numPr>
        <w:tabs>
          <w:tab w:val="clear" w:pos="720"/>
          <w:tab w:val="num" w:pos="360"/>
        </w:tabs>
        <w:ind w:left="360"/>
        <w:rPr>
          <w:rFonts w:ascii="Arial" w:hAnsi="Arial" w:cs="Arial"/>
          <w:lang w:eastAsia="en-ID"/>
        </w:rPr>
      </w:pPr>
      <w:r w:rsidRPr="00D67ABC">
        <w:rPr>
          <w:rFonts w:ascii="Arial" w:hAnsi="Arial" w:cs="Arial"/>
          <w:b/>
          <w:bCs/>
          <w:lang w:eastAsia="en-ID"/>
        </w:rPr>
        <w:t>R-squared (Overall):</w:t>
      </w:r>
      <w:r w:rsidRPr="00D67ABC">
        <w:rPr>
          <w:rFonts w:ascii="Arial" w:hAnsi="Arial" w:cs="Arial"/>
          <w:lang w:eastAsia="en-ID"/>
        </w:rPr>
        <w:t xml:space="preserve"> 0.5657</w:t>
      </w:r>
    </w:p>
    <w:p w14:paraId="527E604C" w14:textId="77777777" w:rsidR="0095635A" w:rsidRPr="00D67ABC" w:rsidRDefault="0095635A" w:rsidP="002A66BB">
      <w:pPr>
        <w:numPr>
          <w:ilvl w:val="0"/>
          <w:numId w:val="43"/>
        </w:numPr>
        <w:tabs>
          <w:tab w:val="clear" w:pos="720"/>
          <w:tab w:val="num" w:pos="360"/>
        </w:tabs>
        <w:ind w:left="360"/>
        <w:rPr>
          <w:rFonts w:ascii="Arial" w:hAnsi="Arial" w:cs="Arial"/>
          <w:lang w:eastAsia="en-ID"/>
        </w:rPr>
      </w:pPr>
      <w:r w:rsidRPr="00D67ABC">
        <w:rPr>
          <w:rFonts w:ascii="Arial" w:hAnsi="Arial" w:cs="Arial"/>
          <w:b/>
          <w:bCs/>
          <w:lang w:eastAsia="en-ID"/>
        </w:rPr>
        <w:t>Wald Chi² (F-Test):</w:t>
      </w:r>
      <w:r w:rsidRPr="00D67ABC">
        <w:rPr>
          <w:rFonts w:ascii="Arial" w:hAnsi="Arial" w:cs="Arial"/>
          <w:lang w:eastAsia="en-ID"/>
        </w:rPr>
        <w:t xml:space="preserve"> 64.33</w:t>
      </w:r>
    </w:p>
    <w:p w14:paraId="6C3D789B" w14:textId="1645C617" w:rsidR="0095635A" w:rsidRPr="00D67ABC" w:rsidRDefault="0095635A" w:rsidP="002A66BB">
      <w:pPr>
        <w:numPr>
          <w:ilvl w:val="0"/>
          <w:numId w:val="43"/>
        </w:numPr>
        <w:tabs>
          <w:tab w:val="clear" w:pos="720"/>
          <w:tab w:val="num" w:pos="360"/>
        </w:tabs>
        <w:ind w:left="360"/>
        <w:rPr>
          <w:rFonts w:ascii="Arial" w:hAnsi="Arial" w:cs="Arial"/>
          <w:lang w:eastAsia="en-ID"/>
        </w:rPr>
      </w:pPr>
      <w:r w:rsidRPr="00D67ABC">
        <w:rPr>
          <w:rFonts w:ascii="Arial" w:hAnsi="Arial" w:cs="Arial"/>
          <w:b/>
          <w:bCs/>
          <w:lang w:eastAsia="en-ID"/>
        </w:rPr>
        <w:t>Prob &gt; Chi²:</w:t>
      </w:r>
      <w:r w:rsidRPr="00D67ABC">
        <w:rPr>
          <w:rFonts w:ascii="Arial" w:hAnsi="Arial" w:cs="Arial"/>
          <w:lang w:eastAsia="en-ID"/>
        </w:rPr>
        <w:t xml:space="preserve"> 0.0000</w:t>
      </w:r>
    </w:p>
    <w:p w14:paraId="7CA05E22" w14:textId="77777777" w:rsidR="002A66BB" w:rsidRPr="00D67ABC" w:rsidRDefault="002A66BB" w:rsidP="003445F3">
      <w:pPr>
        <w:ind w:left="360"/>
        <w:rPr>
          <w:rFonts w:ascii="Arial" w:hAnsi="Arial" w:cs="Arial"/>
          <w:lang w:eastAsia="en-ID"/>
        </w:rPr>
      </w:pPr>
    </w:p>
    <w:p w14:paraId="1D9A9FEA" w14:textId="278CFD47" w:rsidR="00AC07DB" w:rsidRPr="00D67ABC" w:rsidRDefault="00F64D5A" w:rsidP="0035465B">
      <w:pPr>
        <w:jc w:val="center"/>
        <w:outlineLvl w:val="1"/>
        <w:rPr>
          <w:rFonts w:ascii="Arial" w:hAnsi="Arial" w:cs="Arial"/>
          <w:b/>
          <w:bCs/>
          <w:lang w:eastAsia="en-ID"/>
        </w:rPr>
      </w:pPr>
      <w:r w:rsidRPr="00D67ABC">
        <w:rPr>
          <w:rFonts w:ascii="Arial" w:hAnsi="Arial" w:cs="Arial"/>
          <w:b/>
          <w:bCs/>
          <w:lang w:eastAsia="en-ID"/>
        </w:rPr>
        <w:t>Table 8-</w:t>
      </w:r>
      <w:r w:rsidR="0095635A" w:rsidRPr="00D67ABC">
        <w:rPr>
          <w:rFonts w:ascii="Arial" w:hAnsi="Arial" w:cs="Arial"/>
          <w:b/>
          <w:bCs/>
          <w:lang w:eastAsia="en-ID"/>
        </w:rPr>
        <w:t>Model 2 with moderation</w:t>
      </w:r>
    </w:p>
    <w:tbl>
      <w:tblPr>
        <w:tblStyle w:val="TableGrid"/>
        <w:tblW w:w="5000" w:type="pct"/>
        <w:tblLook w:val="04A0" w:firstRow="1" w:lastRow="0" w:firstColumn="1" w:lastColumn="0" w:noHBand="0" w:noVBand="1"/>
      </w:tblPr>
      <w:tblGrid>
        <w:gridCol w:w="2276"/>
        <w:gridCol w:w="1288"/>
        <w:gridCol w:w="1013"/>
        <w:gridCol w:w="1034"/>
        <w:gridCol w:w="1050"/>
        <w:gridCol w:w="1430"/>
      </w:tblGrid>
      <w:tr w:rsidR="0095635A" w:rsidRPr="00D67ABC" w14:paraId="6D574330" w14:textId="77777777" w:rsidTr="002A66BB">
        <w:tc>
          <w:tcPr>
            <w:tcW w:w="1406" w:type="pct"/>
            <w:hideMark/>
          </w:tcPr>
          <w:p w14:paraId="629B1349"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Variable</w:t>
            </w:r>
          </w:p>
        </w:tc>
        <w:tc>
          <w:tcPr>
            <w:tcW w:w="796" w:type="pct"/>
            <w:hideMark/>
          </w:tcPr>
          <w:p w14:paraId="723FD58C"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Coefficient</w:t>
            </w:r>
          </w:p>
        </w:tc>
        <w:tc>
          <w:tcPr>
            <w:tcW w:w="626" w:type="pct"/>
            <w:hideMark/>
          </w:tcPr>
          <w:p w14:paraId="15F049A2"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Std. Error</w:t>
            </w:r>
          </w:p>
        </w:tc>
        <w:tc>
          <w:tcPr>
            <w:tcW w:w="639" w:type="pct"/>
            <w:hideMark/>
          </w:tcPr>
          <w:p w14:paraId="3E458360"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z / t</w:t>
            </w:r>
          </w:p>
        </w:tc>
        <w:tc>
          <w:tcPr>
            <w:tcW w:w="649" w:type="pct"/>
            <w:hideMark/>
          </w:tcPr>
          <w:p w14:paraId="0BCDC435"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p-value</w:t>
            </w:r>
          </w:p>
        </w:tc>
        <w:tc>
          <w:tcPr>
            <w:tcW w:w="885" w:type="pct"/>
            <w:hideMark/>
          </w:tcPr>
          <w:p w14:paraId="6FECDFEC" w14:textId="77777777" w:rsidR="0095635A" w:rsidRPr="00D67ABC" w:rsidRDefault="0095635A" w:rsidP="002A66BB">
            <w:pPr>
              <w:jc w:val="center"/>
              <w:rPr>
                <w:rFonts w:ascii="Arial" w:eastAsia="Times New Roman" w:hAnsi="Arial" w:cs="Arial"/>
                <w:b/>
                <w:bCs/>
                <w:sz w:val="20"/>
                <w:szCs w:val="20"/>
                <w:lang w:eastAsia="en-ID"/>
              </w:rPr>
            </w:pPr>
            <w:r w:rsidRPr="00D67ABC">
              <w:rPr>
                <w:rFonts w:ascii="Arial" w:eastAsia="Times New Roman" w:hAnsi="Arial" w:cs="Arial"/>
                <w:b/>
                <w:bCs/>
                <w:sz w:val="20"/>
                <w:szCs w:val="20"/>
                <w:lang w:eastAsia="en-ID"/>
              </w:rPr>
              <w:t>Remark</w:t>
            </w:r>
          </w:p>
        </w:tc>
      </w:tr>
      <w:tr w:rsidR="0095635A" w:rsidRPr="00D67ABC" w14:paraId="0845C9D7" w14:textId="77777777" w:rsidTr="002A66BB">
        <w:tc>
          <w:tcPr>
            <w:tcW w:w="1406" w:type="pct"/>
            <w:hideMark/>
          </w:tcPr>
          <w:p w14:paraId="47B97C5A"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CSR (x1)</w:t>
            </w:r>
          </w:p>
        </w:tc>
        <w:tc>
          <w:tcPr>
            <w:tcW w:w="796" w:type="pct"/>
            <w:hideMark/>
          </w:tcPr>
          <w:p w14:paraId="31E46289"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2.9197</w:t>
            </w:r>
          </w:p>
        </w:tc>
        <w:tc>
          <w:tcPr>
            <w:tcW w:w="626" w:type="pct"/>
            <w:hideMark/>
          </w:tcPr>
          <w:p w14:paraId="21A4F372"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1.9836</w:t>
            </w:r>
          </w:p>
        </w:tc>
        <w:tc>
          <w:tcPr>
            <w:tcW w:w="639" w:type="pct"/>
            <w:hideMark/>
          </w:tcPr>
          <w:p w14:paraId="501C0F71"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1.47</w:t>
            </w:r>
          </w:p>
        </w:tc>
        <w:tc>
          <w:tcPr>
            <w:tcW w:w="649" w:type="pct"/>
            <w:hideMark/>
          </w:tcPr>
          <w:p w14:paraId="5F893046"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0.141</w:t>
            </w:r>
          </w:p>
        </w:tc>
        <w:tc>
          <w:tcPr>
            <w:tcW w:w="885" w:type="pct"/>
            <w:hideMark/>
          </w:tcPr>
          <w:p w14:paraId="2D0DDF8C"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r w:rsidR="0095635A" w:rsidRPr="00D67ABC" w14:paraId="5B672550" w14:textId="77777777" w:rsidTr="002A66BB">
        <w:tc>
          <w:tcPr>
            <w:tcW w:w="1406" w:type="pct"/>
            <w:hideMark/>
          </w:tcPr>
          <w:p w14:paraId="785CF79F"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Board Size (x2)</w:t>
            </w:r>
          </w:p>
        </w:tc>
        <w:tc>
          <w:tcPr>
            <w:tcW w:w="796" w:type="pct"/>
            <w:hideMark/>
          </w:tcPr>
          <w:p w14:paraId="219489A5"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-0.1034</w:t>
            </w:r>
          </w:p>
        </w:tc>
        <w:tc>
          <w:tcPr>
            <w:tcW w:w="626" w:type="pct"/>
            <w:hideMark/>
          </w:tcPr>
          <w:p w14:paraId="5A715495"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0.3339</w:t>
            </w:r>
          </w:p>
        </w:tc>
        <w:tc>
          <w:tcPr>
            <w:tcW w:w="639" w:type="pct"/>
            <w:hideMark/>
          </w:tcPr>
          <w:p w14:paraId="48C6C992"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-0.31</w:t>
            </w:r>
          </w:p>
        </w:tc>
        <w:tc>
          <w:tcPr>
            <w:tcW w:w="649" w:type="pct"/>
            <w:hideMark/>
          </w:tcPr>
          <w:p w14:paraId="0D2FC008"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0.757</w:t>
            </w:r>
          </w:p>
        </w:tc>
        <w:tc>
          <w:tcPr>
            <w:tcW w:w="885" w:type="pct"/>
            <w:hideMark/>
          </w:tcPr>
          <w:p w14:paraId="7BE6AC26"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r w:rsidR="0095635A" w:rsidRPr="00D67ABC" w14:paraId="7B93F6A4" w14:textId="77777777" w:rsidTr="002A66BB">
        <w:tc>
          <w:tcPr>
            <w:tcW w:w="1406" w:type="pct"/>
            <w:hideMark/>
          </w:tcPr>
          <w:p w14:paraId="1F0F637A"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Gender Diversity (x3)</w:t>
            </w:r>
          </w:p>
        </w:tc>
        <w:tc>
          <w:tcPr>
            <w:tcW w:w="796" w:type="pct"/>
            <w:hideMark/>
          </w:tcPr>
          <w:p w14:paraId="2C680B00"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-3.4887</w:t>
            </w:r>
          </w:p>
        </w:tc>
        <w:tc>
          <w:tcPr>
            <w:tcW w:w="626" w:type="pct"/>
            <w:hideMark/>
          </w:tcPr>
          <w:p w14:paraId="2E7AC403"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1.8132</w:t>
            </w:r>
          </w:p>
        </w:tc>
        <w:tc>
          <w:tcPr>
            <w:tcW w:w="639" w:type="pct"/>
            <w:hideMark/>
          </w:tcPr>
          <w:p w14:paraId="36BE65BB"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-1.92</w:t>
            </w:r>
          </w:p>
        </w:tc>
        <w:tc>
          <w:tcPr>
            <w:tcW w:w="649" w:type="pct"/>
            <w:hideMark/>
          </w:tcPr>
          <w:p w14:paraId="41518B14"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0.054</w:t>
            </w:r>
          </w:p>
        </w:tc>
        <w:tc>
          <w:tcPr>
            <w:tcW w:w="885" w:type="pct"/>
            <w:hideMark/>
          </w:tcPr>
          <w:p w14:paraId="7051576D"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b/>
                <w:bCs/>
                <w:sz w:val="20"/>
                <w:szCs w:val="20"/>
                <w:lang w:eastAsia="en-ID"/>
              </w:rPr>
              <w:t>Significant</w:t>
            </w:r>
          </w:p>
        </w:tc>
      </w:tr>
      <w:tr w:rsidR="0095635A" w:rsidRPr="00D67ABC" w14:paraId="08C4BBA8" w14:textId="77777777" w:rsidTr="002A66BB">
        <w:tc>
          <w:tcPr>
            <w:tcW w:w="1406" w:type="pct"/>
            <w:hideMark/>
          </w:tcPr>
          <w:p w14:paraId="7669F021"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CSR × Board Size (x1_m1)</w:t>
            </w:r>
          </w:p>
        </w:tc>
        <w:tc>
          <w:tcPr>
            <w:tcW w:w="796" w:type="pct"/>
            <w:hideMark/>
          </w:tcPr>
          <w:p w14:paraId="592E1A3F"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0.1944</w:t>
            </w:r>
          </w:p>
        </w:tc>
        <w:tc>
          <w:tcPr>
            <w:tcW w:w="626" w:type="pct"/>
            <w:hideMark/>
          </w:tcPr>
          <w:p w14:paraId="58B1D141"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0.4310</w:t>
            </w:r>
          </w:p>
        </w:tc>
        <w:tc>
          <w:tcPr>
            <w:tcW w:w="639" w:type="pct"/>
            <w:hideMark/>
          </w:tcPr>
          <w:p w14:paraId="38B599CF"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0.45</w:t>
            </w:r>
          </w:p>
        </w:tc>
        <w:tc>
          <w:tcPr>
            <w:tcW w:w="649" w:type="pct"/>
            <w:hideMark/>
          </w:tcPr>
          <w:p w14:paraId="29DA62F5"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0.652</w:t>
            </w:r>
          </w:p>
        </w:tc>
        <w:tc>
          <w:tcPr>
            <w:tcW w:w="885" w:type="pct"/>
            <w:hideMark/>
          </w:tcPr>
          <w:p w14:paraId="3A1312CB"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r w:rsidR="0095635A" w:rsidRPr="00D67ABC" w14:paraId="04087C52" w14:textId="77777777" w:rsidTr="002A66BB">
        <w:tc>
          <w:tcPr>
            <w:tcW w:w="1406" w:type="pct"/>
            <w:hideMark/>
          </w:tcPr>
          <w:p w14:paraId="7E5FE190"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CSR × Gender Diversity (x1_m2)</w:t>
            </w:r>
          </w:p>
        </w:tc>
        <w:tc>
          <w:tcPr>
            <w:tcW w:w="796" w:type="pct"/>
            <w:hideMark/>
          </w:tcPr>
          <w:p w14:paraId="3F5D40BB"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4.7692</w:t>
            </w:r>
          </w:p>
        </w:tc>
        <w:tc>
          <w:tcPr>
            <w:tcW w:w="626" w:type="pct"/>
            <w:hideMark/>
          </w:tcPr>
          <w:p w14:paraId="778923AA"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2.7455</w:t>
            </w:r>
          </w:p>
        </w:tc>
        <w:tc>
          <w:tcPr>
            <w:tcW w:w="639" w:type="pct"/>
            <w:hideMark/>
          </w:tcPr>
          <w:p w14:paraId="632A39E0"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1.74</w:t>
            </w:r>
          </w:p>
        </w:tc>
        <w:tc>
          <w:tcPr>
            <w:tcW w:w="649" w:type="pct"/>
            <w:hideMark/>
          </w:tcPr>
          <w:p w14:paraId="65FB2FCC"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0.082</w:t>
            </w:r>
          </w:p>
        </w:tc>
        <w:tc>
          <w:tcPr>
            <w:tcW w:w="885" w:type="pct"/>
            <w:hideMark/>
          </w:tcPr>
          <w:p w14:paraId="706594C0"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b/>
                <w:bCs/>
                <w:sz w:val="20"/>
                <w:szCs w:val="20"/>
                <w:lang w:eastAsia="en-ID"/>
              </w:rPr>
              <w:t xml:space="preserve">Significant </w:t>
            </w:r>
          </w:p>
        </w:tc>
      </w:tr>
      <w:tr w:rsidR="0095635A" w:rsidRPr="00D67ABC" w14:paraId="7D259A91" w14:textId="77777777" w:rsidTr="002A66BB">
        <w:tc>
          <w:tcPr>
            <w:tcW w:w="1406" w:type="pct"/>
            <w:hideMark/>
          </w:tcPr>
          <w:p w14:paraId="5495FEEC"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_cons</w:t>
            </w:r>
          </w:p>
        </w:tc>
        <w:tc>
          <w:tcPr>
            <w:tcW w:w="796" w:type="pct"/>
            <w:hideMark/>
          </w:tcPr>
          <w:p w14:paraId="1961993A"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-1.6803</w:t>
            </w:r>
          </w:p>
        </w:tc>
        <w:tc>
          <w:tcPr>
            <w:tcW w:w="626" w:type="pct"/>
            <w:hideMark/>
          </w:tcPr>
          <w:p w14:paraId="503FF25A"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1.4023</w:t>
            </w:r>
          </w:p>
        </w:tc>
        <w:tc>
          <w:tcPr>
            <w:tcW w:w="639" w:type="pct"/>
            <w:hideMark/>
          </w:tcPr>
          <w:p w14:paraId="40414DF2"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-1.20</w:t>
            </w:r>
          </w:p>
        </w:tc>
        <w:tc>
          <w:tcPr>
            <w:tcW w:w="649" w:type="pct"/>
            <w:hideMark/>
          </w:tcPr>
          <w:p w14:paraId="2458224B"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0.231</w:t>
            </w:r>
          </w:p>
        </w:tc>
        <w:tc>
          <w:tcPr>
            <w:tcW w:w="885" w:type="pct"/>
            <w:hideMark/>
          </w:tcPr>
          <w:p w14:paraId="642867DE" w14:textId="77777777" w:rsidR="0095635A" w:rsidRPr="00D67ABC" w:rsidRDefault="0095635A" w:rsidP="002A66BB">
            <w:pPr>
              <w:rPr>
                <w:rFonts w:ascii="Arial" w:eastAsia="Times New Roman" w:hAnsi="Arial" w:cs="Arial"/>
                <w:sz w:val="20"/>
                <w:szCs w:val="20"/>
                <w:lang w:eastAsia="en-ID"/>
              </w:rPr>
            </w:pPr>
            <w:r w:rsidRPr="00D67ABC">
              <w:rPr>
                <w:rFonts w:ascii="Arial" w:eastAsia="Times New Roman" w:hAnsi="Arial" w:cs="Arial"/>
                <w:sz w:val="20"/>
                <w:szCs w:val="20"/>
                <w:lang w:eastAsia="en-ID"/>
              </w:rPr>
              <w:t>Not significant</w:t>
            </w:r>
          </w:p>
        </w:tc>
      </w:tr>
    </w:tbl>
    <w:p w14:paraId="26A7B499" w14:textId="77777777" w:rsidR="0095635A" w:rsidRPr="00D67ABC" w:rsidRDefault="0095635A" w:rsidP="002A66BB">
      <w:pPr>
        <w:numPr>
          <w:ilvl w:val="0"/>
          <w:numId w:val="44"/>
        </w:numPr>
        <w:tabs>
          <w:tab w:val="clear" w:pos="720"/>
          <w:tab w:val="num" w:pos="360"/>
        </w:tabs>
        <w:ind w:left="360"/>
        <w:rPr>
          <w:rFonts w:ascii="Arial" w:hAnsi="Arial" w:cs="Arial"/>
          <w:lang w:eastAsia="en-ID"/>
        </w:rPr>
      </w:pPr>
      <w:r w:rsidRPr="00D67ABC">
        <w:rPr>
          <w:rFonts w:ascii="Arial" w:hAnsi="Arial" w:cs="Arial"/>
          <w:b/>
          <w:bCs/>
          <w:lang w:eastAsia="en-ID"/>
        </w:rPr>
        <w:t>R-squared (Overall):</w:t>
      </w:r>
      <w:r w:rsidRPr="00D67ABC">
        <w:rPr>
          <w:rFonts w:ascii="Arial" w:hAnsi="Arial" w:cs="Arial"/>
          <w:lang w:eastAsia="en-ID"/>
        </w:rPr>
        <w:t xml:space="preserve"> 0.5801</w:t>
      </w:r>
    </w:p>
    <w:p w14:paraId="720ACAB7" w14:textId="77777777" w:rsidR="0095635A" w:rsidRPr="00D67ABC" w:rsidRDefault="0095635A" w:rsidP="002A66BB">
      <w:pPr>
        <w:numPr>
          <w:ilvl w:val="0"/>
          <w:numId w:val="44"/>
        </w:numPr>
        <w:tabs>
          <w:tab w:val="clear" w:pos="720"/>
          <w:tab w:val="num" w:pos="360"/>
        </w:tabs>
        <w:ind w:left="360"/>
        <w:rPr>
          <w:rFonts w:ascii="Arial" w:hAnsi="Arial" w:cs="Arial"/>
          <w:lang w:eastAsia="en-ID"/>
        </w:rPr>
      </w:pPr>
      <w:r w:rsidRPr="00D67ABC">
        <w:rPr>
          <w:rFonts w:ascii="Arial" w:hAnsi="Arial" w:cs="Arial"/>
          <w:b/>
          <w:bCs/>
          <w:lang w:eastAsia="en-ID"/>
        </w:rPr>
        <w:t>Wald Chi² (F-Test):</w:t>
      </w:r>
      <w:r w:rsidRPr="00D67ABC">
        <w:rPr>
          <w:rFonts w:ascii="Arial" w:hAnsi="Arial" w:cs="Arial"/>
          <w:lang w:eastAsia="en-ID"/>
        </w:rPr>
        <w:t xml:space="preserve"> 88.09</w:t>
      </w:r>
    </w:p>
    <w:p w14:paraId="3F108B12" w14:textId="2415C3F1" w:rsidR="0095635A" w:rsidRPr="00D67ABC" w:rsidRDefault="0095635A" w:rsidP="002A66BB">
      <w:pPr>
        <w:numPr>
          <w:ilvl w:val="0"/>
          <w:numId w:val="44"/>
        </w:numPr>
        <w:tabs>
          <w:tab w:val="clear" w:pos="720"/>
          <w:tab w:val="num" w:pos="360"/>
        </w:tabs>
        <w:ind w:left="360"/>
        <w:rPr>
          <w:rFonts w:ascii="Arial" w:hAnsi="Arial" w:cs="Arial"/>
          <w:lang w:eastAsia="en-ID"/>
        </w:rPr>
      </w:pPr>
      <w:r w:rsidRPr="00D67ABC">
        <w:rPr>
          <w:rFonts w:ascii="Arial" w:hAnsi="Arial" w:cs="Arial"/>
          <w:b/>
          <w:bCs/>
          <w:lang w:eastAsia="en-ID"/>
        </w:rPr>
        <w:t>Prob &gt; Chi²:</w:t>
      </w:r>
      <w:r w:rsidRPr="00D67ABC">
        <w:rPr>
          <w:rFonts w:ascii="Arial" w:hAnsi="Arial" w:cs="Arial"/>
          <w:lang w:eastAsia="en-ID"/>
        </w:rPr>
        <w:t xml:space="preserve"> 0.0000</w:t>
      </w:r>
    </w:p>
    <w:p w14:paraId="31B03B0C" w14:textId="00DA43D4" w:rsidR="00AE096E" w:rsidRDefault="000168D5" w:rsidP="005C2D2B">
      <w:pPr>
        <w:pStyle w:val="ListParagraph"/>
        <w:numPr>
          <w:ilvl w:val="0"/>
          <w:numId w:val="37"/>
        </w:numPr>
        <w:ind w:left="360"/>
        <w:rPr>
          <w:rFonts w:ascii="Arial" w:hAnsi="Arial" w:cs="Arial"/>
          <w:b/>
          <w:bCs/>
        </w:rPr>
      </w:pPr>
      <w:r w:rsidRPr="003445F3">
        <w:rPr>
          <w:rFonts w:ascii="Arial" w:hAnsi="Arial" w:cs="Arial"/>
          <w:b/>
          <w:bCs/>
        </w:rPr>
        <w:t>DISCUSSION</w:t>
      </w:r>
    </w:p>
    <w:p w14:paraId="5068D782" w14:textId="77777777" w:rsidR="00D67ABC" w:rsidRPr="003445F3" w:rsidRDefault="00D67ABC" w:rsidP="00D67ABC">
      <w:pPr>
        <w:pStyle w:val="ListParagraph"/>
        <w:ind w:left="360"/>
        <w:rPr>
          <w:rFonts w:ascii="Arial" w:hAnsi="Arial" w:cs="Arial"/>
          <w:b/>
          <w:bCs/>
        </w:rPr>
      </w:pPr>
    </w:p>
    <w:p w14:paraId="41B225E0" w14:textId="77777777" w:rsidR="00AE096E" w:rsidRPr="003445F3" w:rsidRDefault="00AE096E" w:rsidP="002A66BB">
      <w:pPr>
        <w:pStyle w:val="ListParagraph"/>
        <w:ind w:left="0"/>
        <w:rPr>
          <w:rFonts w:ascii="Arial" w:hAnsi="Arial" w:cs="Arial"/>
          <w:lang w:val="en" w:eastAsia="en-ID"/>
        </w:rPr>
      </w:pPr>
      <w:r w:rsidRPr="003445F3">
        <w:rPr>
          <w:rFonts w:ascii="Arial" w:hAnsi="Arial" w:cs="Arial"/>
          <w:b/>
          <w:bCs/>
        </w:rPr>
        <w:tab/>
      </w:r>
      <w:r w:rsidR="000168D5" w:rsidRPr="003445F3">
        <w:rPr>
          <w:rFonts w:ascii="Arial" w:hAnsi="Arial" w:cs="Arial"/>
          <w:lang w:val="en-ID" w:eastAsia="en-ID"/>
        </w:rPr>
        <w:t xml:space="preserve">The regression results show that the CSR variable (x1) has a coefficient of 4.684 and is significant at the 5% level (p = 0.000). </w:t>
      </w:r>
      <w:r w:rsidR="000168D5" w:rsidRPr="003445F3">
        <w:rPr>
          <w:rFonts w:ascii="Arial" w:hAnsi="Arial" w:cs="Arial"/>
        </w:rPr>
        <w:t xml:space="preserve">The regression results provide a </w:t>
      </w:r>
      <w:r w:rsidR="000168D5" w:rsidRPr="003445F3">
        <w:rPr>
          <w:rFonts w:ascii="Arial" w:hAnsi="Arial" w:cs="Arial"/>
        </w:rPr>
        <w:lastRenderedPageBreak/>
        <w:t xml:space="preserve">comprehensive understanding of the complex relationships between corporate social responsibility (CSR), board characteristics, and financial performance in Indonesian Islamic banks. The empirical findings indicate that CSR disclosure has a statistically significant and positive impact on financial performance, thereby confirming H1. This suggests that greater transparency and commitment to social responsibility not only align with the ethical values of Islamic banking but also contribute to enhanced financial outcomes. Such results underscore the strategic importance of CSR as more than a compliance obligation—it serves as a driver of value creation within the Islamic financial sector. This supports the view that CSR is not merely symbolic but strategically aligned with the </w:t>
      </w:r>
      <w:proofErr w:type="spellStart"/>
      <w:r w:rsidR="000168D5" w:rsidRPr="003445F3">
        <w:rPr>
          <w:rFonts w:ascii="Arial" w:hAnsi="Arial" w:cs="Arial"/>
        </w:rPr>
        <w:t>maqashid</w:t>
      </w:r>
      <w:proofErr w:type="spellEnd"/>
      <w:r w:rsidR="000168D5" w:rsidRPr="003445F3">
        <w:rPr>
          <w:rFonts w:ascii="Arial" w:hAnsi="Arial" w:cs="Arial"/>
        </w:rPr>
        <w:t xml:space="preserve"> sharia principles, where ethical conduct, social contribution, and stakeholder engagement are essential. CSR enhances a bank’s reputation and operational efficiency, which in turn supports long-term profitability. This is consistent with </w:t>
      </w:r>
      <w:proofErr w:type="spellStart"/>
      <w:r w:rsidR="000168D5" w:rsidRPr="003445F3">
        <w:rPr>
          <w:rFonts w:ascii="Arial" w:hAnsi="Arial" w:cs="Arial"/>
        </w:rPr>
        <w:t>Innayah</w:t>
      </w:r>
      <w:proofErr w:type="spellEnd"/>
      <w:r w:rsidR="000168D5" w:rsidRPr="003445F3">
        <w:rPr>
          <w:rFonts w:ascii="Arial" w:hAnsi="Arial" w:cs="Arial"/>
        </w:rPr>
        <w:t xml:space="preserve"> &amp; </w:t>
      </w:r>
      <w:proofErr w:type="spellStart"/>
      <w:r w:rsidR="000168D5" w:rsidRPr="003445F3">
        <w:rPr>
          <w:rFonts w:ascii="Arial" w:hAnsi="Arial" w:cs="Arial"/>
        </w:rPr>
        <w:t>Arofah</w:t>
      </w:r>
      <w:proofErr w:type="spellEnd"/>
      <w:r w:rsidR="000168D5" w:rsidRPr="003445F3">
        <w:rPr>
          <w:rFonts w:ascii="Arial" w:hAnsi="Arial" w:cs="Arial"/>
        </w:rPr>
        <w:t xml:space="preserve"> (2023), who emphasized the financial value of sharia-driven CSR in Islamic banking. The positive and significant relationship between CSR disclosure and the financial performance of Islamic banks is supported by several studies. For instance, </w:t>
      </w:r>
      <w:proofErr w:type="spellStart"/>
      <w:r w:rsidR="000168D5" w:rsidRPr="003445F3">
        <w:rPr>
          <w:rFonts w:ascii="Arial" w:hAnsi="Arial" w:cs="Arial"/>
        </w:rPr>
        <w:t>Mohd</w:t>
      </w:r>
      <w:proofErr w:type="spellEnd"/>
      <w:r w:rsidR="000168D5" w:rsidRPr="003445F3">
        <w:rPr>
          <w:rFonts w:ascii="Arial" w:hAnsi="Arial" w:cs="Arial"/>
        </w:rPr>
        <w:t xml:space="preserve"> </w:t>
      </w:r>
      <w:proofErr w:type="spellStart"/>
      <w:r w:rsidR="000168D5" w:rsidRPr="003445F3">
        <w:rPr>
          <w:rFonts w:ascii="Arial" w:hAnsi="Arial" w:cs="Arial"/>
        </w:rPr>
        <w:t>Shukor</w:t>
      </w:r>
      <w:proofErr w:type="spellEnd"/>
      <w:r w:rsidR="000168D5" w:rsidRPr="003445F3">
        <w:rPr>
          <w:rFonts w:ascii="Arial" w:hAnsi="Arial" w:cs="Arial"/>
        </w:rPr>
        <w:t xml:space="preserve"> Harun et al. (2020) found that CSR disclosure in GCC Islamic banks is positively associated with firm value, especially when supported by strong governance mechanisms. Similarly, B. </w:t>
      </w:r>
      <w:proofErr w:type="spellStart"/>
      <w:r w:rsidR="000168D5" w:rsidRPr="003445F3">
        <w:rPr>
          <w:rFonts w:ascii="Arial" w:hAnsi="Arial" w:cs="Arial"/>
        </w:rPr>
        <w:t>Pratama</w:t>
      </w:r>
      <w:proofErr w:type="spellEnd"/>
      <w:r w:rsidR="000168D5" w:rsidRPr="003445F3">
        <w:rPr>
          <w:rFonts w:ascii="Arial" w:hAnsi="Arial" w:cs="Arial"/>
        </w:rPr>
        <w:t xml:space="preserve"> et al. (2022) demonstrated that board oversight of social activities enhances the social and financial performance of Indonesian Islamic banks. However, Muhamad Farhan </w:t>
      </w:r>
      <w:proofErr w:type="spellStart"/>
      <w:r w:rsidR="000168D5" w:rsidRPr="003445F3">
        <w:rPr>
          <w:rFonts w:ascii="Arial" w:hAnsi="Arial" w:cs="Arial"/>
        </w:rPr>
        <w:t>Auwala</w:t>
      </w:r>
      <w:proofErr w:type="spellEnd"/>
      <w:r w:rsidR="000168D5" w:rsidRPr="003445F3">
        <w:rPr>
          <w:rFonts w:ascii="Arial" w:hAnsi="Arial" w:cs="Arial"/>
        </w:rPr>
        <w:t xml:space="preserve"> and </w:t>
      </w:r>
      <w:proofErr w:type="spellStart"/>
      <w:r w:rsidR="000168D5" w:rsidRPr="003445F3">
        <w:rPr>
          <w:rFonts w:ascii="Arial" w:hAnsi="Arial" w:cs="Arial"/>
        </w:rPr>
        <w:t>Faqiatul</w:t>
      </w:r>
      <w:proofErr w:type="spellEnd"/>
      <w:r w:rsidR="000168D5" w:rsidRPr="003445F3">
        <w:rPr>
          <w:rFonts w:ascii="Arial" w:hAnsi="Arial" w:cs="Arial"/>
        </w:rPr>
        <w:t xml:space="preserve"> </w:t>
      </w:r>
      <w:proofErr w:type="spellStart"/>
      <w:r w:rsidR="000168D5" w:rsidRPr="003445F3">
        <w:rPr>
          <w:rFonts w:ascii="Arial" w:hAnsi="Arial" w:cs="Arial"/>
        </w:rPr>
        <w:t>Mariya</w:t>
      </w:r>
      <w:proofErr w:type="spellEnd"/>
      <w:r w:rsidR="000168D5" w:rsidRPr="003445F3">
        <w:rPr>
          <w:rFonts w:ascii="Arial" w:hAnsi="Arial" w:cs="Arial"/>
        </w:rPr>
        <w:t xml:space="preserve"> </w:t>
      </w:r>
      <w:proofErr w:type="spellStart"/>
      <w:r w:rsidR="000168D5" w:rsidRPr="003445F3">
        <w:rPr>
          <w:rFonts w:ascii="Arial" w:hAnsi="Arial" w:cs="Arial"/>
        </w:rPr>
        <w:t>Waharini</w:t>
      </w:r>
      <w:proofErr w:type="spellEnd"/>
      <w:r w:rsidR="000168D5" w:rsidRPr="003445F3">
        <w:rPr>
          <w:rFonts w:ascii="Arial" w:hAnsi="Arial" w:cs="Arial"/>
        </w:rPr>
        <w:t xml:space="preserve"> (2024) caution that excessive CSR expenditure can increase the risk of financial distress, emphasizing the need for prudent management</w:t>
      </w:r>
      <w:r w:rsidRPr="003445F3">
        <w:rPr>
          <w:rFonts w:ascii="Arial" w:hAnsi="Arial" w:cs="Arial"/>
        </w:rPr>
        <w:t xml:space="preserve">. </w:t>
      </w:r>
      <w:r w:rsidRPr="003445F3">
        <w:rPr>
          <w:rFonts w:ascii="Arial" w:hAnsi="Arial" w:cs="Arial"/>
          <w:lang w:val="en" w:eastAsia="en-ID"/>
        </w:rPr>
        <w:t xml:space="preserve">These results are also in line with stakeholder theory, which states that companies need to meet the expectations and interests of stakeholders to gain legitimacy and support, so that good CSR disclosure can increase stakeholder trust and loyalty, which ultimately has a positive impact on financial performance (Singh &amp; </w:t>
      </w:r>
      <w:proofErr w:type="spellStart"/>
      <w:r w:rsidRPr="003445F3">
        <w:rPr>
          <w:rFonts w:ascii="Arial" w:hAnsi="Arial" w:cs="Arial"/>
          <w:lang w:val="en" w:eastAsia="en-ID"/>
        </w:rPr>
        <w:t>Misra</w:t>
      </w:r>
      <w:proofErr w:type="spellEnd"/>
      <w:r w:rsidRPr="003445F3">
        <w:rPr>
          <w:rFonts w:ascii="Arial" w:hAnsi="Arial" w:cs="Arial"/>
          <w:lang w:val="en" w:eastAsia="en-ID"/>
        </w:rPr>
        <w:t>, 2021; Ali et al., 2019).</w:t>
      </w:r>
    </w:p>
    <w:p w14:paraId="4F85096B" w14:textId="77777777" w:rsidR="00AE096E" w:rsidRPr="003445F3" w:rsidRDefault="00AE096E" w:rsidP="002A66BB">
      <w:pPr>
        <w:pStyle w:val="ListParagraph"/>
        <w:ind w:left="0"/>
        <w:rPr>
          <w:rFonts w:ascii="Arial" w:hAnsi="Arial" w:cs="Arial"/>
          <w:b/>
          <w:bCs/>
        </w:rPr>
      </w:pPr>
      <w:r w:rsidRPr="003445F3">
        <w:rPr>
          <w:rFonts w:ascii="Arial" w:hAnsi="Arial" w:cs="Arial"/>
          <w:lang w:val="en" w:eastAsia="en-ID"/>
        </w:rPr>
        <w:tab/>
      </w:r>
      <w:r w:rsidR="000168D5" w:rsidRPr="003445F3">
        <w:rPr>
          <w:rFonts w:ascii="Arial" w:hAnsi="Arial" w:cs="Arial"/>
        </w:rPr>
        <w:t xml:space="preserve">In contrast, board size (H2) and board gender diversity (H3) do not show statistically significant direct effects on financial performance. The coefficient for board size is positive but insignificant, suggesting that a larger board does not inherently improve performance. This result aligns with prior studies (e.g., </w:t>
      </w:r>
      <w:proofErr w:type="spellStart"/>
      <w:r w:rsidR="000168D5" w:rsidRPr="003445F3">
        <w:rPr>
          <w:rFonts w:ascii="Arial" w:hAnsi="Arial" w:cs="Arial"/>
        </w:rPr>
        <w:t>Septyana</w:t>
      </w:r>
      <w:proofErr w:type="spellEnd"/>
      <w:r w:rsidR="000168D5" w:rsidRPr="003445F3">
        <w:rPr>
          <w:rFonts w:ascii="Arial" w:hAnsi="Arial" w:cs="Arial"/>
        </w:rPr>
        <w:t xml:space="preserve"> </w:t>
      </w:r>
      <w:proofErr w:type="spellStart"/>
      <w:r w:rsidR="000168D5" w:rsidRPr="003445F3">
        <w:rPr>
          <w:rFonts w:ascii="Arial" w:hAnsi="Arial" w:cs="Arial"/>
        </w:rPr>
        <w:t>Eka</w:t>
      </w:r>
      <w:proofErr w:type="spellEnd"/>
      <w:r w:rsidR="000168D5" w:rsidRPr="003445F3">
        <w:rPr>
          <w:rFonts w:ascii="Arial" w:hAnsi="Arial" w:cs="Arial"/>
        </w:rPr>
        <w:t xml:space="preserve"> </w:t>
      </w:r>
      <w:proofErr w:type="spellStart"/>
      <w:r w:rsidR="000168D5" w:rsidRPr="003445F3">
        <w:rPr>
          <w:rFonts w:ascii="Arial" w:hAnsi="Arial" w:cs="Arial"/>
        </w:rPr>
        <w:t>Palupi</w:t>
      </w:r>
      <w:proofErr w:type="spellEnd"/>
      <w:r w:rsidR="000168D5" w:rsidRPr="003445F3">
        <w:rPr>
          <w:rFonts w:ascii="Arial" w:hAnsi="Arial" w:cs="Arial"/>
        </w:rPr>
        <w:t xml:space="preserve">, 2024; Farida et al., 2018), which stress that effectiveness depends more </w:t>
      </w:r>
      <w:proofErr w:type="gramStart"/>
      <w:r w:rsidR="000168D5" w:rsidRPr="003445F3">
        <w:rPr>
          <w:rFonts w:ascii="Arial" w:hAnsi="Arial" w:cs="Arial"/>
        </w:rPr>
        <w:t>on board</w:t>
      </w:r>
      <w:proofErr w:type="gramEnd"/>
      <w:r w:rsidR="000168D5" w:rsidRPr="003445F3">
        <w:rPr>
          <w:rFonts w:ascii="Arial" w:hAnsi="Arial" w:cs="Arial"/>
        </w:rPr>
        <w:t xml:space="preserve"> quality, expertise, and coordination rather than sheer number. Similarly, the negative and insignificant coefficient for board gender diversity implies that gender or background diversity alone has not yet translated into measurable financial gains. This may reflect structural limitations, such as minimal female representation in key decision-making roles or insufficient integration of diverse perspectives (</w:t>
      </w:r>
      <w:proofErr w:type="spellStart"/>
      <w:r w:rsidR="000168D5" w:rsidRPr="003445F3">
        <w:rPr>
          <w:rFonts w:ascii="Arial" w:hAnsi="Arial" w:cs="Arial"/>
        </w:rPr>
        <w:t>Dewi</w:t>
      </w:r>
      <w:proofErr w:type="spellEnd"/>
      <w:r w:rsidR="000168D5" w:rsidRPr="003445F3">
        <w:rPr>
          <w:rFonts w:ascii="Arial" w:hAnsi="Arial" w:cs="Arial"/>
        </w:rPr>
        <w:t xml:space="preserve"> et al., 2021; Muturi &amp; </w:t>
      </w:r>
      <w:proofErr w:type="spellStart"/>
      <w:r w:rsidR="000168D5" w:rsidRPr="003445F3">
        <w:rPr>
          <w:rFonts w:ascii="Arial" w:hAnsi="Arial" w:cs="Arial"/>
        </w:rPr>
        <w:t>Oluoch</w:t>
      </w:r>
      <w:proofErr w:type="spellEnd"/>
      <w:r w:rsidR="000168D5" w:rsidRPr="003445F3">
        <w:rPr>
          <w:rFonts w:ascii="Arial" w:hAnsi="Arial" w:cs="Arial"/>
        </w:rPr>
        <w:t xml:space="preserve">, 2020). The finding that board size does not significantly affect the financial performance of Islamic banks is echoed by A. </w:t>
      </w:r>
      <w:proofErr w:type="spellStart"/>
      <w:r w:rsidR="000168D5" w:rsidRPr="003445F3">
        <w:rPr>
          <w:rFonts w:ascii="Arial" w:hAnsi="Arial" w:cs="Arial"/>
        </w:rPr>
        <w:t>Bukair</w:t>
      </w:r>
      <w:proofErr w:type="spellEnd"/>
      <w:r w:rsidR="000168D5" w:rsidRPr="003445F3">
        <w:rPr>
          <w:rFonts w:ascii="Arial" w:hAnsi="Arial" w:cs="Arial"/>
        </w:rPr>
        <w:t xml:space="preserve"> and </w:t>
      </w:r>
      <w:proofErr w:type="spellStart"/>
      <w:r w:rsidR="000168D5" w:rsidRPr="003445F3">
        <w:rPr>
          <w:rFonts w:ascii="Arial" w:hAnsi="Arial" w:cs="Arial"/>
        </w:rPr>
        <w:t>Azhar</w:t>
      </w:r>
      <w:proofErr w:type="spellEnd"/>
      <w:r w:rsidR="000168D5" w:rsidRPr="003445F3">
        <w:rPr>
          <w:rFonts w:ascii="Arial" w:hAnsi="Arial" w:cs="Arial"/>
        </w:rPr>
        <w:t xml:space="preserve"> A. Rahman (2015), who found a negative relationship between board size and performance in GCC Islamic banks. </w:t>
      </w:r>
      <w:proofErr w:type="spellStart"/>
      <w:r w:rsidR="000168D5" w:rsidRPr="003445F3">
        <w:rPr>
          <w:rFonts w:ascii="Arial" w:hAnsi="Arial" w:cs="Arial"/>
        </w:rPr>
        <w:t>Entissar</w:t>
      </w:r>
      <w:proofErr w:type="spellEnd"/>
      <w:r w:rsidR="000168D5" w:rsidRPr="003445F3">
        <w:rPr>
          <w:rFonts w:ascii="Arial" w:hAnsi="Arial" w:cs="Arial"/>
        </w:rPr>
        <w:t xml:space="preserve"> </w:t>
      </w:r>
      <w:proofErr w:type="spellStart"/>
      <w:r w:rsidR="000168D5" w:rsidRPr="003445F3">
        <w:rPr>
          <w:rFonts w:ascii="Arial" w:hAnsi="Arial" w:cs="Arial"/>
        </w:rPr>
        <w:t>Elgadi</w:t>
      </w:r>
      <w:proofErr w:type="spellEnd"/>
      <w:r w:rsidR="000168D5" w:rsidRPr="003445F3">
        <w:rPr>
          <w:rFonts w:ascii="Arial" w:hAnsi="Arial" w:cs="Arial"/>
        </w:rPr>
        <w:t xml:space="preserve"> and </w:t>
      </w:r>
      <w:proofErr w:type="spellStart"/>
      <w:r w:rsidR="000168D5" w:rsidRPr="003445F3">
        <w:rPr>
          <w:rFonts w:ascii="Arial" w:hAnsi="Arial" w:cs="Arial"/>
        </w:rPr>
        <w:t>Wafa</w:t>
      </w:r>
      <w:proofErr w:type="spellEnd"/>
      <w:r w:rsidR="000168D5" w:rsidRPr="003445F3">
        <w:rPr>
          <w:rFonts w:ascii="Arial" w:hAnsi="Arial" w:cs="Arial"/>
        </w:rPr>
        <w:t xml:space="preserve"> </w:t>
      </w:r>
      <w:proofErr w:type="spellStart"/>
      <w:r w:rsidR="000168D5" w:rsidRPr="003445F3">
        <w:rPr>
          <w:rFonts w:ascii="Arial" w:hAnsi="Arial" w:cs="Arial"/>
        </w:rPr>
        <w:t>Ghardallou</w:t>
      </w:r>
      <w:proofErr w:type="spellEnd"/>
      <w:r w:rsidR="000168D5" w:rsidRPr="003445F3">
        <w:rPr>
          <w:rFonts w:ascii="Arial" w:hAnsi="Arial" w:cs="Arial"/>
        </w:rPr>
        <w:t xml:space="preserve"> (2021) also reported that larger boards tend to reduce performance in Sudanese Islamic banks. Nationally, B. </w:t>
      </w:r>
      <w:proofErr w:type="spellStart"/>
      <w:r w:rsidR="000168D5" w:rsidRPr="003445F3">
        <w:rPr>
          <w:rFonts w:ascii="Arial" w:hAnsi="Arial" w:cs="Arial"/>
        </w:rPr>
        <w:t>Pratama</w:t>
      </w:r>
      <w:proofErr w:type="spellEnd"/>
      <w:r w:rsidR="000168D5" w:rsidRPr="003445F3">
        <w:rPr>
          <w:rFonts w:ascii="Arial" w:hAnsi="Arial" w:cs="Arial"/>
        </w:rPr>
        <w:t xml:space="preserve"> et al. (2022) observed that while board size can enhance social performance, it does not guarantee improved financial outcomes unless accompanied by effective governance. The lack of a significant relationship between board diversity and financial performance is supported by </w:t>
      </w:r>
      <w:proofErr w:type="spellStart"/>
      <w:r w:rsidR="000168D5" w:rsidRPr="003445F3">
        <w:rPr>
          <w:rFonts w:ascii="Arial" w:hAnsi="Arial" w:cs="Arial"/>
        </w:rPr>
        <w:t>Elgadi</w:t>
      </w:r>
      <w:proofErr w:type="spellEnd"/>
      <w:r w:rsidR="000168D5" w:rsidRPr="003445F3">
        <w:rPr>
          <w:rFonts w:ascii="Arial" w:hAnsi="Arial" w:cs="Arial"/>
        </w:rPr>
        <w:t xml:space="preserve"> and </w:t>
      </w:r>
      <w:proofErr w:type="spellStart"/>
      <w:r w:rsidR="000168D5" w:rsidRPr="003445F3">
        <w:rPr>
          <w:rFonts w:ascii="Arial" w:hAnsi="Arial" w:cs="Arial"/>
        </w:rPr>
        <w:t>Ghardallou</w:t>
      </w:r>
      <w:proofErr w:type="spellEnd"/>
      <w:r w:rsidR="000168D5" w:rsidRPr="003445F3">
        <w:rPr>
          <w:rFonts w:ascii="Arial" w:hAnsi="Arial" w:cs="Arial"/>
        </w:rPr>
        <w:t xml:space="preserve"> (2021), who found that gender diversity on boards does not significantly influence performance in Sudanese Islamic banks. Ismail Khan et al. (2023) reported that gender, tenure, and general educational diversity in Sharia supervisory boards have no significant impact on performance in Pakistan, though relevant educational background diversity does. In the MENA region, Mustafa Raza Rabbani et al. (2024) found that gender diversity in boards and top management does not significantly affect ESG performance in Islamic banks. </w:t>
      </w:r>
      <w:r w:rsidRPr="003445F3">
        <w:rPr>
          <w:rFonts w:ascii="Arial" w:hAnsi="Arial" w:cs="Arial"/>
          <w:lang w:val="en" w:eastAsia="en-ID"/>
        </w:rPr>
        <w:t>According to stakeholder theory, gender diversity and optimal board size are expected to increase supervision and more inclusive decision-making, so as to be able to meet the expectations of various stakeholder groups. However, if diversity and board size are not followed by active roles and strong integration of perspectives, then the impact on financial performance becomes insignificant (</w:t>
      </w:r>
      <w:proofErr w:type="spellStart"/>
      <w:r w:rsidRPr="003445F3">
        <w:rPr>
          <w:rFonts w:ascii="Arial" w:hAnsi="Arial" w:cs="Arial"/>
          <w:lang w:val="en" w:eastAsia="en-ID"/>
        </w:rPr>
        <w:t>Nwude</w:t>
      </w:r>
      <w:proofErr w:type="spellEnd"/>
      <w:r w:rsidRPr="003445F3">
        <w:rPr>
          <w:rFonts w:ascii="Arial" w:hAnsi="Arial" w:cs="Arial"/>
          <w:lang w:val="en" w:eastAsia="en-ID"/>
        </w:rPr>
        <w:t xml:space="preserve"> &amp; </w:t>
      </w:r>
      <w:proofErr w:type="spellStart"/>
      <w:r w:rsidRPr="003445F3">
        <w:rPr>
          <w:rFonts w:ascii="Arial" w:hAnsi="Arial" w:cs="Arial"/>
          <w:lang w:val="en" w:eastAsia="en-ID"/>
        </w:rPr>
        <w:t>Nwude</w:t>
      </w:r>
      <w:proofErr w:type="spellEnd"/>
      <w:r w:rsidRPr="003445F3">
        <w:rPr>
          <w:rFonts w:ascii="Arial" w:hAnsi="Arial" w:cs="Arial"/>
          <w:lang w:val="en" w:eastAsia="en-ID"/>
        </w:rPr>
        <w:t>, 2021; Ali et al., 2019).</w:t>
      </w:r>
    </w:p>
    <w:p w14:paraId="4047EC69" w14:textId="77777777" w:rsidR="00AE096E" w:rsidRPr="003445F3" w:rsidRDefault="00AE096E" w:rsidP="002A66BB">
      <w:pPr>
        <w:pStyle w:val="ListParagraph"/>
        <w:ind w:left="0"/>
        <w:rPr>
          <w:rFonts w:ascii="Arial" w:hAnsi="Arial" w:cs="Arial"/>
          <w:lang w:val="en" w:eastAsia="en-ID"/>
        </w:rPr>
      </w:pPr>
      <w:r w:rsidRPr="003445F3">
        <w:rPr>
          <w:rFonts w:ascii="Arial" w:hAnsi="Arial" w:cs="Arial"/>
          <w:b/>
          <w:bCs/>
        </w:rPr>
        <w:tab/>
      </w:r>
      <w:r w:rsidR="000168D5" w:rsidRPr="003445F3">
        <w:rPr>
          <w:rFonts w:ascii="Arial" w:hAnsi="Arial" w:cs="Arial"/>
        </w:rPr>
        <w:t xml:space="preserve">Further, the interaction terms provide insights into the moderating roles of board characteristics. The interaction between CSR and board size (H4) is not significant </w:t>
      </w:r>
      <w:r w:rsidR="000168D5" w:rsidRPr="003445F3">
        <w:rPr>
          <w:rFonts w:ascii="Arial" w:hAnsi="Arial" w:cs="Arial"/>
          <w:lang w:val="en-ID" w:eastAsia="en-ID"/>
        </w:rPr>
        <w:t xml:space="preserve">(p = </w:t>
      </w:r>
      <w:r w:rsidR="000168D5" w:rsidRPr="003445F3">
        <w:rPr>
          <w:rFonts w:ascii="Arial" w:hAnsi="Arial" w:cs="Arial"/>
          <w:lang w:val="en-ID" w:eastAsia="en-ID"/>
        </w:rPr>
        <w:lastRenderedPageBreak/>
        <w:t>0.652)</w:t>
      </w:r>
      <w:r w:rsidR="000168D5" w:rsidRPr="003445F3">
        <w:rPr>
          <w:rFonts w:ascii="Arial" w:hAnsi="Arial" w:cs="Arial"/>
        </w:rPr>
        <w:t xml:space="preserve">, indicating that board size does not meaningfully strengthen the CSR–performance relationship unless accompanied by strategic engagement and ethical oversight. This aligns with findings by El </w:t>
      </w:r>
      <w:proofErr w:type="spellStart"/>
      <w:r w:rsidR="000168D5" w:rsidRPr="003445F3">
        <w:rPr>
          <w:rFonts w:ascii="Arial" w:hAnsi="Arial" w:cs="Arial"/>
        </w:rPr>
        <w:t>Gammal</w:t>
      </w:r>
      <w:proofErr w:type="spellEnd"/>
      <w:r w:rsidR="000168D5" w:rsidRPr="003445F3">
        <w:rPr>
          <w:rFonts w:ascii="Arial" w:hAnsi="Arial" w:cs="Arial"/>
        </w:rPr>
        <w:t xml:space="preserve"> et al. (2020) and </w:t>
      </w:r>
      <w:proofErr w:type="spellStart"/>
      <w:r w:rsidR="000168D5" w:rsidRPr="003445F3">
        <w:rPr>
          <w:rFonts w:ascii="Arial" w:hAnsi="Arial" w:cs="Arial"/>
        </w:rPr>
        <w:t>Dwekat</w:t>
      </w:r>
      <w:proofErr w:type="spellEnd"/>
      <w:r w:rsidR="000168D5" w:rsidRPr="003445F3">
        <w:rPr>
          <w:rFonts w:ascii="Arial" w:hAnsi="Arial" w:cs="Arial"/>
        </w:rPr>
        <w:t xml:space="preserve"> et al. (2024), who argue that the effectiveness of board size as a moderator depends more on competence, role clarity, and governance structure than size alone. The insignificant moderating effect of board size on the relationship between CSR and financial performance is consistent with findings by </w:t>
      </w:r>
      <w:proofErr w:type="spellStart"/>
      <w:r w:rsidR="000168D5" w:rsidRPr="003445F3">
        <w:rPr>
          <w:rFonts w:ascii="Arial" w:hAnsi="Arial" w:cs="Arial"/>
        </w:rPr>
        <w:t>Mohd</w:t>
      </w:r>
      <w:proofErr w:type="spellEnd"/>
      <w:r w:rsidR="000168D5" w:rsidRPr="003445F3">
        <w:rPr>
          <w:rFonts w:ascii="Arial" w:hAnsi="Arial" w:cs="Arial"/>
        </w:rPr>
        <w:t xml:space="preserve"> </w:t>
      </w:r>
      <w:proofErr w:type="spellStart"/>
      <w:r w:rsidR="000168D5" w:rsidRPr="003445F3">
        <w:rPr>
          <w:rFonts w:ascii="Arial" w:hAnsi="Arial" w:cs="Arial"/>
        </w:rPr>
        <w:t>Shukor</w:t>
      </w:r>
      <w:proofErr w:type="spellEnd"/>
      <w:r w:rsidR="000168D5" w:rsidRPr="003445F3">
        <w:rPr>
          <w:rFonts w:ascii="Arial" w:hAnsi="Arial" w:cs="Arial"/>
        </w:rPr>
        <w:t xml:space="preserve"> Harun et al. (2020), who noted that while board size can enhance CSR disclosure, its effect on performance is limited without effective governance. </w:t>
      </w:r>
      <w:r w:rsidRPr="003445F3">
        <w:rPr>
          <w:rFonts w:ascii="Arial" w:hAnsi="Arial" w:cs="Arial"/>
          <w:lang w:val="en" w:eastAsia="en-ID"/>
        </w:rPr>
        <w:t>Stakeholder theory also emphasizes that the role of boards in moderating CSR relationships and financial performance is highly dependent on their ability to channel stakeholder aspirations and interests into the company's strategy, not just the number of board members (Rossi et al., 2021).</w:t>
      </w:r>
    </w:p>
    <w:p w14:paraId="75430CCA" w14:textId="22453F2E" w:rsidR="00AE096E" w:rsidRPr="003445F3" w:rsidRDefault="00AE096E" w:rsidP="002A66BB">
      <w:pPr>
        <w:pStyle w:val="ListParagraph"/>
        <w:ind w:left="0"/>
        <w:rPr>
          <w:rFonts w:ascii="Arial" w:hAnsi="Arial" w:cs="Arial"/>
          <w:b/>
          <w:bCs/>
        </w:rPr>
      </w:pPr>
      <w:r w:rsidRPr="003445F3">
        <w:rPr>
          <w:rFonts w:ascii="Arial" w:hAnsi="Arial" w:cs="Arial"/>
          <w:lang w:val="en" w:eastAsia="en-ID"/>
        </w:rPr>
        <w:tab/>
      </w:r>
      <w:r w:rsidR="000168D5" w:rsidRPr="003445F3">
        <w:rPr>
          <w:rFonts w:ascii="Arial" w:hAnsi="Arial" w:cs="Arial"/>
        </w:rPr>
        <w:t xml:space="preserve">Meanwhile, the interaction between CSR and board diversity (H5) yields a positive coefficient and approaches statistical significance (p = 0.082), suggesting a potential moderating effect. Though not conclusive, this result implies that board diversity may enhance the impact of CSR on financial performance, especially in Islamic banking contexts where ethical and social values are core to institutional identity. Consistent with </w:t>
      </w:r>
      <w:proofErr w:type="spellStart"/>
      <w:r w:rsidR="000168D5" w:rsidRPr="003445F3">
        <w:rPr>
          <w:rFonts w:ascii="Arial" w:hAnsi="Arial" w:cs="Arial"/>
        </w:rPr>
        <w:t>Innayah</w:t>
      </w:r>
      <w:proofErr w:type="spellEnd"/>
      <w:r w:rsidR="000168D5" w:rsidRPr="003445F3">
        <w:rPr>
          <w:rFonts w:ascii="Arial" w:hAnsi="Arial" w:cs="Arial"/>
        </w:rPr>
        <w:t xml:space="preserve"> &amp; </w:t>
      </w:r>
      <w:proofErr w:type="spellStart"/>
      <w:r w:rsidR="000168D5" w:rsidRPr="003445F3">
        <w:rPr>
          <w:rFonts w:ascii="Arial" w:hAnsi="Arial" w:cs="Arial"/>
        </w:rPr>
        <w:t>Arofah</w:t>
      </w:r>
      <w:proofErr w:type="spellEnd"/>
      <w:r w:rsidR="000168D5" w:rsidRPr="003445F3">
        <w:rPr>
          <w:rFonts w:ascii="Arial" w:hAnsi="Arial" w:cs="Arial"/>
        </w:rPr>
        <w:t xml:space="preserve"> (2023), female directors and diverse board members can contribute to more socially attuned and value-driven CSR strategies when supported by inclusive cultures and sharia-based leadership development. The insignificant moderating effect of board size on the relationship between CSR and financial performance is consistent with findings by </w:t>
      </w:r>
      <w:proofErr w:type="spellStart"/>
      <w:r w:rsidR="000168D5" w:rsidRPr="003445F3">
        <w:rPr>
          <w:rFonts w:ascii="Arial" w:hAnsi="Arial" w:cs="Arial"/>
        </w:rPr>
        <w:t>Mohd</w:t>
      </w:r>
      <w:proofErr w:type="spellEnd"/>
      <w:r w:rsidR="000168D5" w:rsidRPr="003445F3">
        <w:rPr>
          <w:rFonts w:ascii="Arial" w:hAnsi="Arial" w:cs="Arial"/>
        </w:rPr>
        <w:t xml:space="preserve"> </w:t>
      </w:r>
      <w:proofErr w:type="spellStart"/>
      <w:r w:rsidR="000168D5" w:rsidRPr="003445F3">
        <w:rPr>
          <w:rFonts w:ascii="Arial" w:hAnsi="Arial" w:cs="Arial"/>
        </w:rPr>
        <w:t>Shukor</w:t>
      </w:r>
      <w:proofErr w:type="spellEnd"/>
      <w:r w:rsidR="000168D5" w:rsidRPr="003445F3">
        <w:rPr>
          <w:rFonts w:ascii="Arial" w:hAnsi="Arial" w:cs="Arial"/>
        </w:rPr>
        <w:t xml:space="preserve"> Harun et al. (2020), who noted that while board size can enhance CSR disclosure, its effect on performance is limited without effective governance. </w:t>
      </w:r>
      <w:proofErr w:type="spellStart"/>
      <w:r w:rsidR="000168D5" w:rsidRPr="003445F3">
        <w:rPr>
          <w:rFonts w:ascii="Arial" w:hAnsi="Arial" w:cs="Arial"/>
        </w:rPr>
        <w:t>Dwekat</w:t>
      </w:r>
      <w:proofErr w:type="spellEnd"/>
      <w:r w:rsidR="000168D5" w:rsidRPr="003445F3">
        <w:rPr>
          <w:rFonts w:ascii="Arial" w:hAnsi="Arial" w:cs="Arial"/>
        </w:rPr>
        <w:t xml:space="preserve"> et al. (2024) also emphasize that board capacity and competence, rather than size alone, are crucial in moderating the CSR–performance link.</w:t>
      </w:r>
      <w:r w:rsidRPr="003445F3">
        <w:rPr>
          <w:rFonts w:ascii="Arial" w:hAnsi="Arial" w:cs="Arial"/>
        </w:rPr>
        <w:t xml:space="preserve"> </w:t>
      </w:r>
      <w:r w:rsidRPr="003445F3">
        <w:rPr>
          <w:rFonts w:ascii="Arial" w:hAnsi="Arial" w:cs="Arial"/>
          <w:lang w:val="en" w:eastAsia="en-ID"/>
        </w:rPr>
        <w:t>The diversity of the board can strengthen the relationship between CSR and financial performance if the board members are able to represent and fight for the interests of diverse stakeholders, so that the CSR strategy becomes more relevant and has a wide impact (Ali et al., 2019).</w:t>
      </w:r>
    </w:p>
    <w:p w14:paraId="6BF48E3C" w14:textId="77777777" w:rsidR="00EB4B3C" w:rsidRPr="003445F3" w:rsidRDefault="000168D5" w:rsidP="002A66BB">
      <w:pPr>
        <w:pStyle w:val="ListParagraph"/>
        <w:ind w:left="0" w:firstLine="720"/>
        <w:rPr>
          <w:rFonts w:ascii="Arial" w:hAnsi="Arial" w:cs="Arial"/>
        </w:rPr>
      </w:pPr>
      <w:r w:rsidRPr="003445F3">
        <w:rPr>
          <w:rFonts w:ascii="Arial" w:hAnsi="Arial" w:cs="Arial"/>
        </w:rPr>
        <w:t>Overall, these findings underscore that CSR plays a central role in enhancing financial performance in Islamic banks, while board characteristics—particularly size and diversity—require further strategic alignment and empowerment to exert a stronger influence, either directly or as moderators.</w:t>
      </w:r>
    </w:p>
    <w:p w14:paraId="7569EED5" w14:textId="77777777" w:rsidR="00EB4B3C" w:rsidRPr="003445F3" w:rsidRDefault="00EB4B3C" w:rsidP="00EB4B3C">
      <w:pPr>
        <w:pStyle w:val="ListParagraph"/>
        <w:ind w:firstLine="720"/>
        <w:rPr>
          <w:rFonts w:ascii="Arial" w:hAnsi="Arial" w:cs="Arial"/>
        </w:rPr>
      </w:pPr>
    </w:p>
    <w:p w14:paraId="3B34641E" w14:textId="77777777" w:rsidR="00EB4B3C" w:rsidRPr="003445F3" w:rsidRDefault="000168D5" w:rsidP="000168D5">
      <w:pPr>
        <w:pStyle w:val="ListParagraph"/>
        <w:numPr>
          <w:ilvl w:val="0"/>
          <w:numId w:val="31"/>
        </w:numPr>
        <w:rPr>
          <w:rFonts w:ascii="Arial" w:hAnsi="Arial" w:cs="Arial"/>
        </w:rPr>
      </w:pPr>
      <w:r w:rsidRPr="003445F3">
        <w:rPr>
          <w:rFonts w:ascii="Arial" w:hAnsi="Arial" w:cs="Arial"/>
          <w:b/>
          <w:bCs/>
        </w:rPr>
        <w:t>CONCLUSION AND RECOMMENDATIONS</w:t>
      </w:r>
    </w:p>
    <w:p w14:paraId="60892AE8" w14:textId="77777777" w:rsidR="00EB4B3C" w:rsidRPr="003445F3" w:rsidRDefault="00EB4B3C" w:rsidP="002A66BB">
      <w:pPr>
        <w:pStyle w:val="ListParagraph"/>
        <w:ind w:left="0"/>
        <w:rPr>
          <w:rFonts w:ascii="Arial" w:hAnsi="Arial" w:cs="Arial"/>
          <w:lang w:eastAsia="en-ID"/>
        </w:rPr>
      </w:pPr>
      <w:r w:rsidRPr="003445F3">
        <w:rPr>
          <w:rFonts w:ascii="Arial" w:hAnsi="Arial" w:cs="Arial"/>
          <w:b/>
          <w:bCs/>
        </w:rPr>
        <w:tab/>
      </w:r>
      <w:r w:rsidR="000168D5" w:rsidRPr="003445F3">
        <w:rPr>
          <w:rFonts w:ascii="Arial" w:hAnsi="Arial" w:cs="Arial"/>
          <w:lang w:eastAsia="en-ID"/>
        </w:rPr>
        <w:t>One of the key strategies for ensuring long-term sustainability in the Islamic banking industry is the alignment between financial performance and ethical business practices. Stakeholders — including investors, regulators, and the public — increasingly assess company value not just from profitability but also from how well institutions incorporate social and governance responsibilities in line with sharia principles. CSR activities have emerged as a relevant driver of both public trust and performance consistency.</w:t>
      </w:r>
      <w:r w:rsidR="000168D5" w:rsidRPr="003445F3">
        <w:rPr>
          <w:rFonts w:ascii="Arial" w:hAnsi="Arial" w:cs="Arial"/>
          <w:b/>
          <w:bCs/>
          <w:sz w:val="18"/>
          <w:szCs w:val="18"/>
        </w:rPr>
        <w:t xml:space="preserve"> </w:t>
      </w:r>
      <w:r w:rsidR="000168D5" w:rsidRPr="003445F3">
        <w:rPr>
          <w:rFonts w:ascii="Arial" w:hAnsi="Arial" w:cs="Arial"/>
          <w:lang w:eastAsia="en-ID"/>
        </w:rPr>
        <w:t>This study reveals that Corporate Social Responsibility (CSR) disclosure has a statistically significant and positive relationship with financial performance, as measured by Return on Assets (ROA), in Indonesian Islamic banks. In contrast, board size and board gender diversity, as indicators of Good Corporate Governance (GCG), do not directly influence financial outcomes in a significant way. The moderating effect of gender diversity, while not strongly conclusive, suggests a positive potential when diversity is implemented meaningfully. Board size, however, shows no moderating influence on the CSR–performance relationship, implying that effectiveness lies not in the number of board members, but in how governance roles are executed.</w:t>
      </w:r>
    </w:p>
    <w:p w14:paraId="7511BAC8" w14:textId="77777777" w:rsidR="00EB4B3C" w:rsidRPr="003445F3" w:rsidRDefault="00EB4B3C" w:rsidP="002A66BB">
      <w:pPr>
        <w:pStyle w:val="ListParagraph"/>
        <w:ind w:left="0"/>
        <w:rPr>
          <w:rFonts w:ascii="Arial" w:hAnsi="Arial" w:cs="Arial"/>
          <w:lang w:eastAsia="en-ID"/>
        </w:rPr>
      </w:pPr>
      <w:r w:rsidRPr="003445F3">
        <w:rPr>
          <w:rFonts w:ascii="Arial" w:hAnsi="Arial" w:cs="Arial"/>
          <w:lang w:eastAsia="en-ID"/>
        </w:rPr>
        <w:tab/>
      </w:r>
      <w:r w:rsidR="000168D5" w:rsidRPr="003445F3">
        <w:rPr>
          <w:rFonts w:ascii="Arial" w:hAnsi="Arial" w:cs="Arial"/>
          <w:lang w:eastAsia="en-ID"/>
        </w:rPr>
        <w:t>The insights from this research are relevant for internal stakeholders (management and board members) as well as external parties (regulators, investors, and customers), particularly in making governance-related decisions and evaluating performance beyond financial metrics. Institutions should not only report CSR and governance indicators but also demonstrate accountability in how these programs contribute to organizational performance and social value.</w:t>
      </w:r>
    </w:p>
    <w:p w14:paraId="5E30BD94" w14:textId="77777777" w:rsidR="00EB4B3C" w:rsidRPr="003445F3" w:rsidRDefault="00EB4B3C" w:rsidP="002A66BB">
      <w:pPr>
        <w:pStyle w:val="ListParagraph"/>
        <w:ind w:left="0"/>
        <w:rPr>
          <w:rFonts w:ascii="Arial" w:hAnsi="Arial" w:cs="Arial"/>
          <w:lang w:eastAsia="en-ID"/>
        </w:rPr>
      </w:pPr>
      <w:r w:rsidRPr="003445F3">
        <w:rPr>
          <w:rFonts w:ascii="Arial" w:hAnsi="Arial" w:cs="Arial"/>
          <w:lang w:eastAsia="en-ID"/>
        </w:rPr>
        <w:tab/>
      </w:r>
      <w:r w:rsidR="000168D5" w:rsidRPr="003445F3">
        <w:rPr>
          <w:rFonts w:ascii="Arial" w:hAnsi="Arial" w:cs="Arial"/>
          <w:lang w:eastAsia="en-ID"/>
        </w:rPr>
        <w:t xml:space="preserve">To create sustainable value, Islamic banks are encouraged to promote transparency and ethical behavior, especially in disclosing CSR initiatives. At the same </w:t>
      </w:r>
      <w:r w:rsidR="000168D5" w:rsidRPr="003445F3">
        <w:rPr>
          <w:rFonts w:ascii="Arial" w:hAnsi="Arial" w:cs="Arial"/>
          <w:lang w:eastAsia="en-ID"/>
        </w:rPr>
        <w:lastRenderedPageBreak/>
        <w:t>time, institutions must focus on strengthening the quality of board participation, ensuring that female members hold strategic roles rather than symbolic ones. This will enhance the institution’s responsiveness to social values while reinforcing ethical leadership.</w:t>
      </w:r>
    </w:p>
    <w:p w14:paraId="593182E6" w14:textId="77777777" w:rsidR="003E4EA1" w:rsidRDefault="00EB4B3C" w:rsidP="003E4EA1">
      <w:pPr>
        <w:pStyle w:val="ListParagraph"/>
        <w:ind w:left="0"/>
        <w:rPr>
          <w:rFonts w:ascii="Arial" w:hAnsi="Arial" w:cs="Arial"/>
          <w:lang w:eastAsia="en-ID"/>
        </w:rPr>
      </w:pPr>
      <w:r w:rsidRPr="003445F3">
        <w:rPr>
          <w:rFonts w:ascii="Arial" w:hAnsi="Arial" w:cs="Arial"/>
          <w:lang w:eastAsia="en-ID"/>
        </w:rPr>
        <w:tab/>
      </w:r>
      <w:r w:rsidR="000168D5" w:rsidRPr="003445F3">
        <w:rPr>
          <w:rFonts w:ascii="Arial" w:hAnsi="Arial" w:cs="Arial"/>
          <w:lang w:eastAsia="en-ID"/>
        </w:rPr>
        <w:t>Given the scope and design limitations of this study, future research is advised to explore additional variables, such as board independence, ownership structure, sharia supervisory board attributes, and financial risk indicators. Moreover, alternative proxies for CSR and GCG could offer more nuanced findings, as results may vary depending on sample selection, measurement tools, and analytic techniques used. Expanding the dataset and time period may also yield deeper insights into long-term impacts on financial performance.</w:t>
      </w:r>
      <w:bookmarkStart w:id="2" w:name="_Hlk197682619"/>
      <w:bookmarkStart w:id="3" w:name="_Hlk180402183"/>
      <w:bookmarkStart w:id="4" w:name="_Hlk183680988"/>
    </w:p>
    <w:p w14:paraId="15DD7FD7" w14:textId="77777777" w:rsidR="003E4EA1" w:rsidRPr="00580E07" w:rsidRDefault="003E4EA1" w:rsidP="003E4EA1">
      <w:pPr>
        <w:pStyle w:val="ListParagraph"/>
        <w:ind w:left="0"/>
        <w:rPr>
          <w:rFonts w:ascii="Arial" w:hAnsi="Arial" w:cs="Arial"/>
          <w:lang w:eastAsia="en-ID"/>
        </w:rPr>
      </w:pPr>
    </w:p>
    <w:p w14:paraId="3ADC9F4D" w14:textId="64E63C93" w:rsidR="003E4EA1" w:rsidRPr="00580E07" w:rsidRDefault="003E4EA1" w:rsidP="003E4EA1">
      <w:pPr>
        <w:pStyle w:val="ListParagraph"/>
        <w:ind w:left="0"/>
        <w:rPr>
          <w:rFonts w:ascii="Arial" w:hAnsi="Arial" w:cs="Arial"/>
          <w:b/>
          <w:bCs/>
        </w:rPr>
      </w:pPr>
      <w:r w:rsidRPr="00580E07">
        <w:rPr>
          <w:rFonts w:ascii="Arial" w:hAnsi="Arial" w:cs="Arial"/>
          <w:b/>
          <w:bCs/>
        </w:rPr>
        <w:t>DISCLAIMER (ARTIFICIAL INTELLIGENCE)</w:t>
      </w:r>
    </w:p>
    <w:p w14:paraId="6FAEB927" w14:textId="77777777" w:rsidR="003E4EA1" w:rsidRPr="00580E07" w:rsidRDefault="003E4EA1" w:rsidP="003E4EA1">
      <w:pPr>
        <w:pStyle w:val="ListParagraph"/>
        <w:ind w:left="0"/>
        <w:rPr>
          <w:rFonts w:ascii="Arial" w:eastAsia="Calibri" w:hAnsi="Arial" w:cs="Arial"/>
          <w:b/>
          <w:bCs/>
          <w:kern w:val="2"/>
        </w:rPr>
      </w:pPr>
    </w:p>
    <w:p w14:paraId="42A634D3" w14:textId="6BAB4A0E" w:rsidR="006A790B" w:rsidRPr="00580E07" w:rsidRDefault="006A790B" w:rsidP="003E4EA1">
      <w:pPr>
        <w:pStyle w:val="ListParagraph"/>
        <w:ind w:left="0"/>
        <w:rPr>
          <w:rFonts w:ascii="Arial" w:hAnsi="Arial" w:cs="Arial"/>
          <w:b/>
          <w:bCs/>
        </w:rPr>
      </w:pPr>
      <w:r w:rsidRPr="00580E07">
        <w:rPr>
          <w:rFonts w:ascii="Arial" w:eastAsia="Calibri" w:hAnsi="Arial" w:cs="Arial"/>
          <w:kern w:val="2"/>
        </w:rPr>
        <w:t>Author(s) hereby declare that NO generative AI technologies such as Large Language Models (</w:t>
      </w:r>
      <w:proofErr w:type="spellStart"/>
      <w:r w:rsidRPr="00580E07">
        <w:rPr>
          <w:rFonts w:ascii="Arial" w:eastAsia="Calibri" w:hAnsi="Arial" w:cs="Arial"/>
          <w:kern w:val="2"/>
        </w:rPr>
        <w:t>ChatGPT</w:t>
      </w:r>
      <w:proofErr w:type="spellEnd"/>
      <w:r w:rsidRPr="00580E07">
        <w:rPr>
          <w:rFonts w:ascii="Arial" w:eastAsia="Calibri" w:hAnsi="Arial" w:cs="Arial"/>
          <w:kern w:val="2"/>
        </w:rPr>
        <w:t xml:space="preserve">, COPILOT, etc.) and text-to-image generators have been used during the writing or editing of this manuscript. </w:t>
      </w:r>
      <w:bookmarkEnd w:id="2"/>
      <w:bookmarkEnd w:id="3"/>
      <w:bookmarkEnd w:id="4"/>
    </w:p>
    <w:p w14:paraId="7F2C9126" w14:textId="669A25BA" w:rsidR="00B01FCD" w:rsidRPr="003445F3" w:rsidRDefault="00B01FCD" w:rsidP="00441B6F">
      <w:pPr>
        <w:pStyle w:val="ReferHead"/>
        <w:spacing w:after="0"/>
        <w:jc w:val="both"/>
        <w:rPr>
          <w:rFonts w:ascii="Arial" w:hAnsi="Arial" w:cs="Arial"/>
        </w:rPr>
      </w:pPr>
      <w:r w:rsidRPr="003445F3">
        <w:rPr>
          <w:rFonts w:ascii="Arial" w:hAnsi="Arial" w:cs="Arial"/>
        </w:rPr>
        <w:t>References</w:t>
      </w:r>
      <w:r w:rsidR="000A5E3E" w:rsidRPr="003445F3">
        <w:rPr>
          <w:rFonts w:ascii="Arial" w:hAnsi="Arial" w:cs="Arial"/>
        </w:rPr>
        <w:t xml:space="preserve"> </w:t>
      </w:r>
    </w:p>
    <w:p w14:paraId="1C995940" w14:textId="77777777" w:rsidR="008777A2" w:rsidRPr="003445F3" w:rsidRDefault="008777A2" w:rsidP="00441B6F">
      <w:pPr>
        <w:pStyle w:val="ReferHead"/>
        <w:spacing w:after="0"/>
        <w:jc w:val="both"/>
        <w:rPr>
          <w:rFonts w:ascii="Arial" w:hAnsi="Arial" w:cs="Arial"/>
        </w:rPr>
      </w:pPr>
    </w:p>
    <w:p w14:paraId="2A9F81F3" w14:textId="134C76A0" w:rsidR="008777A2" w:rsidRPr="003445F3" w:rsidRDefault="008777A2" w:rsidP="00251C10">
      <w:pPr>
        <w:ind w:left="720" w:hanging="720"/>
        <w:jc w:val="both"/>
        <w:rPr>
          <w:rFonts w:ascii="Arial" w:hAnsi="Arial" w:cs="Arial"/>
        </w:rPr>
      </w:pPr>
      <w:r w:rsidRPr="003445F3">
        <w:rPr>
          <w:rFonts w:ascii="Arial" w:hAnsi="Arial" w:cs="Arial"/>
        </w:rPr>
        <w:t xml:space="preserve">Abebe Zelalem, B., Ali Abebe, A., &amp; </w:t>
      </w:r>
      <w:proofErr w:type="spellStart"/>
      <w:r w:rsidRPr="003445F3">
        <w:rPr>
          <w:rFonts w:ascii="Arial" w:hAnsi="Arial" w:cs="Arial"/>
        </w:rPr>
        <w:t>Wodajo</w:t>
      </w:r>
      <w:proofErr w:type="spellEnd"/>
      <w:r w:rsidRPr="003445F3">
        <w:rPr>
          <w:rFonts w:ascii="Arial" w:hAnsi="Arial" w:cs="Arial"/>
        </w:rPr>
        <w:t xml:space="preserve"> </w:t>
      </w:r>
      <w:proofErr w:type="spellStart"/>
      <w:r w:rsidRPr="003445F3">
        <w:rPr>
          <w:rFonts w:ascii="Arial" w:hAnsi="Arial" w:cs="Arial"/>
        </w:rPr>
        <w:t>Bezabih</w:t>
      </w:r>
      <w:proofErr w:type="spellEnd"/>
      <w:r w:rsidRPr="003445F3">
        <w:rPr>
          <w:rFonts w:ascii="Arial" w:hAnsi="Arial" w:cs="Arial"/>
        </w:rPr>
        <w:t>, S. (2022). Corporate governance and financial performance in the emerging economy: The case of Ethiopian insurance companies. Cogent Economics &amp; Finance, 10(1), 2117117.</w:t>
      </w:r>
    </w:p>
    <w:p w14:paraId="44490F22" w14:textId="37A23A08" w:rsidR="008777A2" w:rsidRPr="003445F3" w:rsidRDefault="008777A2" w:rsidP="00251C10">
      <w:pPr>
        <w:ind w:left="720" w:hanging="720"/>
        <w:jc w:val="both"/>
        <w:rPr>
          <w:rFonts w:ascii="Arial" w:hAnsi="Arial" w:cs="Arial"/>
        </w:rPr>
      </w:pPr>
      <w:proofErr w:type="spellStart"/>
      <w:r w:rsidRPr="003445F3">
        <w:rPr>
          <w:rFonts w:ascii="Arial" w:hAnsi="Arial" w:cs="Arial"/>
        </w:rPr>
        <w:t>Adnyana</w:t>
      </w:r>
      <w:proofErr w:type="spellEnd"/>
      <w:r w:rsidRPr="003445F3">
        <w:rPr>
          <w:rFonts w:ascii="Arial" w:hAnsi="Arial" w:cs="Arial"/>
        </w:rPr>
        <w:t xml:space="preserve">, I. W. P., </w:t>
      </w:r>
      <w:proofErr w:type="spellStart"/>
      <w:r w:rsidRPr="003445F3">
        <w:rPr>
          <w:rFonts w:ascii="Arial" w:hAnsi="Arial" w:cs="Arial"/>
        </w:rPr>
        <w:t>Adiputra</w:t>
      </w:r>
      <w:proofErr w:type="spellEnd"/>
      <w:r w:rsidRPr="003445F3">
        <w:rPr>
          <w:rFonts w:ascii="Arial" w:hAnsi="Arial" w:cs="Arial"/>
        </w:rPr>
        <w:t xml:space="preserve">, I. M. P., &amp; </w:t>
      </w:r>
      <w:proofErr w:type="spellStart"/>
      <w:r w:rsidRPr="003445F3">
        <w:rPr>
          <w:rFonts w:ascii="Arial" w:hAnsi="Arial" w:cs="Arial"/>
        </w:rPr>
        <w:t>Musmini</w:t>
      </w:r>
      <w:proofErr w:type="spellEnd"/>
      <w:r w:rsidRPr="003445F3">
        <w:rPr>
          <w:rFonts w:ascii="Arial" w:hAnsi="Arial" w:cs="Arial"/>
        </w:rPr>
        <w:t xml:space="preserve">, L. S. (2024). </w:t>
      </w:r>
      <w:proofErr w:type="spellStart"/>
      <w:r w:rsidRPr="003445F3">
        <w:rPr>
          <w:rFonts w:ascii="Arial" w:hAnsi="Arial" w:cs="Arial"/>
        </w:rPr>
        <w:t>Pengaruh</w:t>
      </w:r>
      <w:proofErr w:type="spellEnd"/>
      <w:r w:rsidRPr="003445F3">
        <w:rPr>
          <w:rFonts w:ascii="Arial" w:hAnsi="Arial" w:cs="Arial"/>
        </w:rPr>
        <w:t xml:space="preserve"> Green Accounting, </w:t>
      </w:r>
      <w:proofErr w:type="spellStart"/>
      <w:r w:rsidRPr="003445F3">
        <w:rPr>
          <w:rFonts w:ascii="Arial" w:hAnsi="Arial" w:cs="Arial"/>
        </w:rPr>
        <w:t>Profitabilitas</w:t>
      </w:r>
      <w:proofErr w:type="spellEnd"/>
      <w:r w:rsidRPr="003445F3">
        <w:rPr>
          <w:rFonts w:ascii="Arial" w:hAnsi="Arial" w:cs="Arial"/>
        </w:rPr>
        <w:t xml:space="preserve"> dan Corporate Social Responsibility </w:t>
      </w:r>
      <w:proofErr w:type="spellStart"/>
      <w:r w:rsidRPr="003445F3">
        <w:rPr>
          <w:rFonts w:ascii="Arial" w:hAnsi="Arial" w:cs="Arial"/>
        </w:rPr>
        <w:t>terhadap</w:t>
      </w:r>
      <w:proofErr w:type="spellEnd"/>
      <w:r w:rsidRPr="003445F3">
        <w:rPr>
          <w:rFonts w:ascii="Arial" w:hAnsi="Arial" w:cs="Arial"/>
        </w:rPr>
        <w:t xml:space="preserve"> Sustainable Development Goals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Ukuran</w:t>
      </w:r>
      <w:proofErr w:type="spellEnd"/>
      <w:r w:rsidRPr="003445F3">
        <w:rPr>
          <w:rFonts w:ascii="Arial" w:hAnsi="Arial" w:cs="Arial"/>
        </w:rPr>
        <w:t xml:space="preserve"> Perusahaan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w:t>
      </w:r>
      <w:proofErr w:type="spellStart"/>
      <w:r w:rsidRPr="003445F3">
        <w:rPr>
          <w:rFonts w:ascii="Arial" w:hAnsi="Arial" w:cs="Arial"/>
        </w:rPr>
        <w:t>Studi</w:t>
      </w:r>
      <w:proofErr w:type="spellEnd"/>
      <w:r w:rsidRPr="003445F3">
        <w:rPr>
          <w:rFonts w:ascii="Arial" w:hAnsi="Arial" w:cs="Arial"/>
        </w:rPr>
        <w:t xml:space="preserve">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BEI. </w:t>
      </w:r>
      <w:proofErr w:type="spellStart"/>
      <w:r w:rsidRPr="003445F3">
        <w:rPr>
          <w:rFonts w:ascii="Arial" w:hAnsi="Arial" w:cs="Arial"/>
        </w:rPr>
        <w:t>Ekuitas</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Pendidikan</w:t>
      </w:r>
      <w:r w:rsidR="00AE096E"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12(2), 288-301.</w:t>
      </w:r>
    </w:p>
    <w:p w14:paraId="41D66C9C" w14:textId="12624BE9" w:rsidR="008777A2" w:rsidRPr="003445F3" w:rsidRDefault="008777A2" w:rsidP="00251C10">
      <w:pPr>
        <w:ind w:left="720" w:hanging="720"/>
        <w:jc w:val="both"/>
        <w:rPr>
          <w:rFonts w:ascii="Arial" w:hAnsi="Arial" w:cs="Arial"/>
        </w:rPr>
      </w:pPr>
      <w:r w:rsidRPr="003445F3">
        <w:rPr>
          <w:rFonts w:ascii="Arial" w:hAnsi="Arial" w:cs="Arial"/>
        </w:rPr>
        <w:t xml:space="preserve">Agustina, E. T., &amp; </w:t>
      </w:r>
      <w:proofErr w:type="spellStart"/>
      <w:r w:rsidRPr="003445F3">
        <w:rPr>
          <w:rFonts w:ascii="Arial" w:hAnsi="Arial" w:cs="Arial"/>
        </w:rPr>
        <w:t>Lismawati</w:t>
      </w:r>
      <w:proofErr w:type="spellEnd"/>
      <w:r w:rsidRPr="003445F3">
        <w:rPr>
          <w:rFonts w:ascii="Arial" w:hAnsi="Arial" w:cs="Arial"/>
        </w:rPr>
        <w:t xml:space="preserve">, L. (2024). The Influence </w:t>
      </w:r>
      <w:proofErr w:type="gramStart"/>
      <w:r w:rsidRPr="003445F3">
        <w:rPr>
          <w:rFonts w:ascii="Arial" w:hAnsi="Arial" w:cs="Arial"/>
        </w:rPr>
        <w:t>Of</w:t>
      </w:r>
      <w:proofErr w:type="gramEnd"/>
      <w:r w:rsidRPr="003445F3">
        <w:rPr>
          <w:rFonts w:ascii="Arial" w:hAnsi="Arial" w:cs="Arial"/>
        </w:rPr>
        <w:t xml:space="preserve"> Good Corporate Governance On Product And Service Disclosure Of Islamic Banks With Corporate Social Responsibility Disclosure As A Moderating Variable. Journal of Economic, </w:t>
      </w:r>
      <w:proofErr w:type="spellStart"/>
      <w:r w:rsidRPr="003445F3">
        <w:rPr>
          <w:rFonts w:ascii="Arial" w:hAnsi="Arial" w:cs="Arial"/>
        </w:rPr>
        <w:t>Bussines</w:t>
      </w:r>
      <w:proofErr w:type="spellEnd"/>
      <w:r w:rsidRPr="003445F3">
        <w:rPr>
          <w:rFonts w:ascii="Arial" w:hAnsi="Arial" w:cs="Arial"/>
        </w:rPr>
        <w:t xml:space="preserve"> and Accounting (COSTING), 7(3), 4503–4513.</w:t>
      </w:r>
      <w:r w:rsidR="002277A9" w:rsidRPr="003445F3">
        <w:rPr>
          <w:rFonts w:ascii="Arial" w:hAnsi="Arial" w:cs="Arial"/>
        </w:rPr>
        <w:t xml:space="preserve"> </w:t>
      </w:r>
      <w:r w:rsidRPr="003445F3">
        <w:rPr>
          <w:rFonts w:ascii="Arial" w:hAnsi="Arial" w:cs="Arial"/>
        </w:rPr>
        <w:t>https://doi.org/10.31539/costing.v7i3.8279</w:t>
      </w:r>
    </w:p>
    <w:p w14:paraId="6A324106" w14:textId="77777777" w:rsidR="002277A9" w:rsidRPr="003445F3" w:rsidRDefault="008777A2" w:rsidP="002277A9">
      <w:pPr>
        <w:ind w:left="720" w:hanging="720"/>
        <w:jc w:val="both"/>
        <w:rPr>
          <w:rFonts w:ascii="Arial" w:hAnsi="Arial" w:cs="Arial"/>
        </w:rPr>
      </w:pPr>
      <w:r w:rsidRPr="003445F3">
        <w:rPr>
          <w:rFonts w:ascii="Arial" w:hAnsi="Arial" w:cs="Arial"/>
        </w:rPr>
        <w:t xml:space="preserve">Al </w:t>
      </w:r>
      <w:proofErr w:type="spellStart"/>
      <w:r w:rsidRPr="003445F3">
        <w:rPr>
          <w:rFonts w:ascii="Arial" w:hAnsi="Arial" w:cs="Arial"/>
        </w:rPr>
        <w:t>Farooque</w:t>
      </w:r>
      <w:proofErr w:type="spellEnd"/>
      <w:r w:rsidRPr="003445F3">
        <w:rPr>
          <w:rFonts w:ascii="Arial" w:hAnsi="Arial" w:cs="Arial"/>
        </w:rPr>
        <w:t xml:space="preserve">, O., </w:t>
      </w:r>
      <w:proofErr w:type="spellStart"/>
      <w:r w:rsidRPr="003445F3">
        <w:rPr>
          <w:rFonts w:ascii="Arial" w:hAnsi="Arial" w:cs="Arial"/>
        </w:rPr>
        <w:t>Buachoom</w:t>
      </w:r>
      <w:proofErr w:type="spellEnd"/>
      <w:r w:rsidRPr="003445F3">
        <w:rPr>
          <w:rFonts w:ascii="Arial" w:hAnsi="Arial" w:cs="Arial"/>
        </w:rPr>
        <w:t>, W., &amp; Sun, L. (2020). Board, audit committee, ownership and financial performance–emerging trends from Thailand. Pacific Accounting</w:t>
      </w:r>
      <w:r w:rsidR="002277A9" w:rsidRPr="003445F3">
        <w:rPr>
          <w:rFonts w:ascii="Arial" w:hAnsi="Arial" w:cs="Arial"/>
        </w:rPr>
        <w:t xml:space="preserve"> </w:t>
      </w:r>
      <w:r w:rsidRPr="003445F3">
        <w:rPr>
          <w:rFonts w:ascii="Arial" w:hAnsi="Arial" w:cs="Arial"/>
        </w:rPr>
        <w:t>Review, 32(1), 54-81.</w:t>
      </w:r>
    </w:p>
    <w:p w14:paraId="727E0172" w14:textId="77777777" w:rsidR="002277A9" w:rsidRPr="003445F3" w:rsidRDefault="002277A9" w:rsidP="002277A9">
      <w:pPr>
        <w:ind w:left="720" w:hanging="720"/>
        <w:jc w:val="both"/>
        <w:rPr>
          <w:rFonts w:ascii="Arial" w:hAnsi="Arial" w:cs="Arial"/>
        </w:rPr>
      </w:pPr>
      <w:r w:rsidRPr="003445F3">
        <w:rPr>
          <w:rFonts w:ascii="Arial" w:hAnsi="Arial" w:cs="Arial"/>
        </w:rPr>
        <w:t xml:space="preserve">Ali, R., </w:t>
      </w:r>
      <w:proofErr w:type="spellStart"/>
      <w:r w:rsidRPr="003445F3">
        <w:rPr>
          <w:rFonts w:ascii="Arial" w:hAnsi="Arial" w:cs="Arial"/>
        </w:rPr>
        <w:t>Sial</w:t>
      </w:r>
      <w:proofErr w:type="spellEnd"/>
      <w:r w:rsidRPr="003445F3">
        <w:rPr>
          <w:rFonts w:ascii="Arial" w:hAnsi="Arial" w:cs="Arial"/>
        </w:rPr>
        <w:t xml:space="preserve">, M., </w:t>
      </w:r>
      <w:proofErr w:type="spellStart"/>
      <w:r w:rsidRPr="003445F3">
        <w:rPr>
          <w:rFonts w:ascii="Arial" w:hAnsi="Arial" w:cs="Arial"/>
        </w:rPr>
        <w:t>Brugni</w:t>
      </w:r>
      <w:proofErr w:type="spellEnd"/>
      <w:r w:rsidRPr="003445F3">
        <w:rPr>
          <w:rFonts w:ascii="Arial" w:hAnsi="Arial" w:cs="Arial"/>
        </w:rPr>
        <w:t xml:space="preserve">, T., Hwang, J., </w:t>
      </w:r>
      <w:proofErr w:type="spellStart"/>
      <w:r w:rsidRPr="003445F3">
        <w:rPr>
          <w:rFonts w:ascii="Arial" w:hAnsi="Arial" w:cs="Arial"/>
        </w:rPr>
        <w:t>Khương</w:t>
      </w:r>
      <w:proofErr w:type="spellEnd"/>
      <w:r w:rsidRPr="003445F3">
        <w:rPr>
          <w:rFonts w:ascii="Arial" w:hAnsi="Arial" w:cs="Arial"/>
        </w:rPr>
        <w:t xml:space="preserve">, N., &amp; </w:t>
      </w:r>
      <w:proofErr w:type="spellStart"/>
      <w:r w:rsidRPr="003445F3">
        <w:rPr>
          <w:rFonts w:ascii="Arial" w:hAnsi="Arial" w:cs="Arial"/>
        </w:rPr>
        <w:t>Khanh</w:t>
      </w:r>
      <w:proofErr w:type="spellEnd"/>
      <w:r w:rsidRPr="003445F3">
        <w:rPr>
          <w:rFonts w:ascii="Arial" w:hAnsi="Arial" w:cs="Arial"/>
        </w:rPr>
        <w:t xml:space="preserve">, T. (2019). Does CSR Moderate the Relationship between Corporate Governance and Chinese Firm’s Financial Performance? Evidence from the Shanghai Stock Exchange (SSE) Firms. Sustainability. </w:t>
      </w:r>
      <w:hyperlink r:id="rId18" w:history="1">
        <w:r w:rsidRPr="003445F3">
          <w:rPr>
            <w:rStyle w:val="Hyperlink"/>
            <w:rFonts w:ascii="Arial" w:hAnsi="Arial" w:cs="Arial"/>
          </w:rPr>
          <w:t>https://doi.org/10.3390/su12010149</w:t>
        </w:r>
      </w:hyperlink>
    </w:p>
    <w:p w14:paraId="69A92085" w14:textId="4439A50F" w:rsidR="008777A2" w:rsidRPr="003445F3" w:rsidRDefault="008777A2" w:rsidP="002277A9">
      <w:pPr>
        <w:ind w:left="720" w:hanging="720"/>
        <w:jc w:val="both"/>
        <w:rPr>
          <w:rFonts w:ascii="Arial" w:hAnsi="Arial" w:cs="Arial"/>
        </w:rPr>
      </w:pPr>
      <w:proofErr w:type="spellStart"/>
      <w:r w:rsidRPr="003445F3">
        <w:rPr>
          <w:rFonts w:ascii="Arial" w:hAnsi="Arial" w:cs="Arial"/>
        </w:rPr>
        <w:t>Amri</w:t>
      </w:r>
      <w:proofErr w:type="spellEnd"/>
      <w:r w:rsidRPr="003445F3">
        <w:rPr>
          <w:rFonts w:ascii="Arial" w:hAnsi="Arial" w:cs="Arial"/>
        </w:rPr>
        <w:t xml:space="preserve">, A., &amp; </w:t>
      </w:r>
      <w:proofErr w:type="spellStart"/>
      <w:r w:rsidRPr="003445F3">
        <w:rPr>
          <w:rFonts w:ascii="Arial" w:hAnsi="Arial" w:cs="Arial"/>
        </w:rPr>
        <w:t>Prasetya</w:t>
      </w:r>
      <w:proofErr w:type="spellEnd"/>
      <w:r w:rsidRPr="003445F3">
        <w:rPr>
          <w:rFonts w:ascii="Arial" w:hAnsi="Arial" w:cs="Arial"/>
        </w:rPr>
        <w:t>, D. (2023). The Role of Good Corporate Governance in Enhancing CSR</w:t>
      </w:r>
      <w:r w:rsidR="002277A9" w:rsidRPr="003445F3">
        <w:rPr>
          <w:rFonts w:ascii="Arial" w:hAnsi="Arial" w:cs="Arial"/>
        </w:rPr>
        <w:t xml:space="preserve"> </w:t>
      </w:r>
      <w:r w:rsidRPr="003445F3">
        <w:rPr>
          <w:rFonts w:ascii="Arial" w:hAnsi="Arial" w:cs="Arial"/>
        </w:rPr>
        <w:t>Effectiveness on Financial Performance. Journal of Islamic Accounting, 5(1), 88–104.</w:t>
      </w:r>
    </w:p>
    <w:p w14:paraId="185181A2" w14:textId="0B200883" w:rsidR="008777A2" w:rsidRPr="003445F3" w:rsidRDefault="008777A2" w:rsidP="00251C10">
      <w:pPr>
        <w:ind w:left="720" w:hanging="720"/>
        <w:jc w:val="both"/>
        <w:rPr>
          <w:rFonts w:ascii="Arial" w:hAnsi="Arial" w:cs="Arial"/>
        </w:rPr>
      </w:pPr>
      <w:proofErr w:type="spellStart"/>
      <w:r w:rsidRPr="003445F3">
        <w:rPr>
          <w:rFonts w:ascii="Arial" w:hAnsi="Arial" w:cs="Arial"/>
        </w:rPr>
        <w:t>Annissa</w:t>
      </w:r>
      <w:proofErr w:type="spellEnd"/>
      <w:r w:rsidRPr="003445F3">
        <w:rPr>
          <w:rFonts w:ascii="Arial" w:hAnsi="Arial" w:cs="Arial"/>
        </w:rPr>
        <w:t xml:space="preserve">, E., </w:t>
      </w:r>
      <w:proofErr w:type="spellStart"/>
      <w:r w:rsidRPr="003445F3">
        <w:rPr>
          <w:rFonts w:ascii="Arial" w:hAnsi="Arial" w:cs="Arial"/>
        </w:rPr>
        <w:t>Nurlaila</w:t>
      </w:r>
      <w:proofErr w:type="spellEnd"/>
      <w:r w:rsidRPr="003445F3">
        <w:rPr>
          <w:rFonts w:ascii="Arial" w:hAnsi="Arial" w:cs="Arial"/>
        </w:rPr>
        <w:t xml:space="preserve">, N., &amp; </w:t>
      </w:r>
      <w:proofErr w:type="spellStart"/>
      <w:r w:rsidRPr="003445F3">
        <w:rPr>
          <w:rFonts w:ascii="Arial" w:hAnsi="Arial" w:cs="Arial"/>
        </w:rPr>
        <w:t>Nasution</w:t>
      </w:r>
      <w:proofErr w:type="spellEnd"/>
      <w:r w:rsidRPr="003445F3">
        <w:rPr>
          <w:rFonts w:ascii="Arial" w:hAnsi="Arial" w:cs="Arial"/>
        </w:rPr>
        <w:t>, Y. S. J. (2024). The Influence of Islamic Corporate Governance and Islamic Corporate Social Responsibility on Financial Performance in Indonesian Sharia Commercial Bank. Indonesian Interdisciplinary Journal of Sharia Economics (IIJSE), 7(1), 221-245.</w:t>
      </w:r>
    </w:p>
    <w:p w14:paraId="09E6EC3C" w14:textId="4E5831F2" w:rsidR="008777A2" w:rsidRPr="003445F3" w:rsidRDefault="008777A2" w:rsidP="00251C10">
      <w:pPr>
        <w:ind w:left="720" w:hanging="720"/>
        <w:jc w:val="both"/>
        <w:rPr>
          <w:rFonts w:ascii="Arial" w:hAnsi="Arial" w:cs="Arial"/>
        </w:rPr>
      </w:pPr>
      <w:proofErr w:type="spellStart"/>
      <w:r w:rsidRPr="003445F3">
        <w:rPr>
          <w:rFonts w:ascii="Arial" w:hAnsi="Arial" w:cs="Arial"/>
        </w:rPr>
        <w:t>Anugrahani</w:t>
      </w:r>
      <w:proofErr w:type="spellEnd"/>
      <w:r w:rsidRPr="003445F3">
        <w:rPr>
          <w:rFonts w:ascii="Arial" w:hAnsi="Arial" w:cs="Arial"/>
        </w:rPr>
        <w:t xml:space="preserve">, A., Marciano, D., &amp; </w:t>
      </w:r>
      <w:proofErr w:type="spellStart"/>
      <w:r w:rsidRPr="003445F3">
        <w:rPr>
          <w:rFonts w:ascii="Arial" w:hAnsi="Arial" w:cs="Arial"/>
        </w:rPr>
        <w:t>Sutejo</w:t>
      </w:r>
      <w:proofErr w:type="spellEnd"/>
      <w:r w:rsidRPr="003445F3">
        <w:rPr>
          <w:rFonts w:ascii="Arial" w:hAnsi="Arial" w:cs="Arial"/>
        </w:rPr>
        <w:t xml:space="preserve">, B. S. (2019). </w:t>
      </w:r>
      <w:proofErr w:type="spellStart"/>
      <w:r w:rsidRPr="003445F3">
        <w:rPr>
          <w:rFonts w:ascii="Arial" w:hAnsi="Arial" w:cs="Arial"/>
        </w:rPr>
        <w:t>Pengaruh</w:t>
      </w:r>
      <w:proofErr w:type="spellEnd"/>
      <w:r w:rsidRPr="003445F3">
        <w:rPr>
          <w:rFonts w:ascii="Arial" w:hAnsi="Arial" w:cs="Arial"/>
        </w:rPr>
        <w:t xml:space="preserve"> Board Characteristic </w:t>
      </w:r>
      <w:proofErr w:type="spellStart"/>
      <w:r w:rsidRPr="003445F3">
        <w:rPr>
          <w:rFonts w:ascii="Arial" w:hAnsi="Arial" w:cs="Arial"/>
        </w:rPr>
        <w:t>Terhadap</w:t>
      </w:r>
      <w:proofErr w:type="spellEnd"/>
      <w:r w:rsidRPr="003445F3">
        <w:rPr>
          <w:rFonts w:ascii="Arial" w:hAnsi="Arial" w:cs="Arial"/>
        </w:rPr>
        <w:t xml:space="preserve"> Firm Performance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Periode</w:t>
      </w:r>
      <w:proofErr w:type="spellEnd"/>
      <w:r w:rsidRPr="003445F3">
        <w:rPr>
          <w:rFonts w:ascii="Arial" w:hAnsi="Arial" w:cs="Arial"/>
        </w:rPr>
        <w:t xml:space="preserve"> 2012-2016.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Mahasiswa</w:t>
      </w:r>
      <w:proofErr w:type="spellEnd"/>
      <w:r w:rsidRPr="003445F3">
        <w:rPr>
          <w:rFonts w:ascii="Arial" w:hAnsi="Arial" w:cs="Arial"/>
        </w:rPr>
        <w:t xml:space="preserve"> </w:t>
      </w:r>
      <w:proofErr w:type="spellStart"/>
      <w:r w:rsidRPr="003445F3">
        <w:rPr>
          <w:rFonts w:ascii="Arial" w:hAnsi="Arial" w:cs="Arial"/>
        </w:rPr>
        <w:t>Universitas</w:t>
      </w:r>
      <w:proofErr w:type="spellEnd"/>
      <w:r w:rsidRPr="003445F3">
        <w:rPr>
          <w:rFonts w:ascii="Arial" w:hAnsi="Arial" w:cs="Arial"/>
        </w:rPr>
        <w:t xml:space="preserve"> Surabaya, 7(2), 2551.</w:t>
      </w:r>
    </w:p>
    <w:p w14:paraId="7B017F1A" w14:textId="4A2E485E" w:rsidR="008777A2" w:rsidRPr="003445F3" w:rsidRDefault="008777A2" w:rsidP="00251C10">
      <w:pPr>
        <w:ind w:left="720" w:hanging="720"/>
        <w:jc w:val="both"/>
        <w:rPr>
          <w:rFonts w:ascii="Arial" w:hAnsi="Arial" w:cs="Arial"/>
        </w:rPr>
      </w:pPr>
      <w:r w:rsidRPr="003445F3">
        <w:rPr>
          <w:rFonts w:ascii="Arial" w:hAnsi="Arial" w:cs="Arial"/>
        </w:rPr>
        <w:t xml:space="preserve">Aprilia, H., &amp; </w:t>
      </w:r>
      <w:proofErr w:type="spellStart"/>
      <w:r w:rsidRPr="003445F3">
        <w:rPr>
          <w:rFonts w:ascii="Arial" w:hAnsi="Arial" w:cs="Arial"/>
        </w:rPr>
        <w:t>Wuryani</w:t>
      </w:r>
      <w:proofErr w:type="spellEnd"/>
      <w:r w:rsidRPr="003445F3">
        <w:rPr>
          <w:rFonts w:ascii="Arial" w:hAnsi="Arial" w:cs="Arial"/>
        </w:rPr>
        <w:t xml:space="preserve">, E. (2021).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Perusahaan Pada Perusahaan </w:t>
      </w:r>
      <w:proofErr w:type="spellStart"/>
      <w:r w:rsidRPr="003445F3">
        <w:rPr>
          <w:rFonts w:ascii="Arial" w:hAnsi="Arial" w:cs="Arial"/>
        </w:rPr>
        <w:t>Manufaktur</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Tahun</w:t>
      </w:r>
      <w:proofErr w:type="spellEnd"/>
      <w:r w:rsidRPr="003445F3">
        <w:rPr>
          <w:rFonts w:ascii="Arial" w:hAnsi="Arial" w:cs="Arial"/>
        </w:rPr>
        <w:t xml:space="preserve"> 2017-2019.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w:t>
      </w:r>
      <w:proofErr w:type="spellStart"/>
      <w:r w:rsidRPr="003445F3">
        <w:rPr>
          <w:rFonts w:ascii="Arial" w:hAnsi="Arial" w:cs="Arial"/>
        </w:rPr>
        <w:t>Komputer</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Manajemen</w:t>
      </w:r>
      <w:proofErr w:type="spellEnd"/>
      <w:r w:rsidRPr="003445F3">
        <w:rPr>
          <w:rFonts w:ascii="Arial" w:hAnsi="Arial" w:cs="Arial"/>
        </w:rPr>
        <w:t xml:space="preserve"> (JIKEM), 1(1), 42–61.</w:t>
      </w:r>
    </w:p>
    <w:p w14:paraId="03760953" w14:textId="6C9B1151" w:rsidR="008777A2" w:rsidRPr="003445F3" w:rsidRDefault="008777A2" w:rsidP="00251C10">
      <w:pPr>
        <w:ind w:left="720" w:hanging="720"/>
        <w:jc w:val="both"/>
        <w:rPr>
          <w:rFonts w:ascii="Arial" w:hAnsi="Arial" w:cs="Arial"/>
        </w:rPr>
      </w:pPr>
      <w:r w:rsidRPr="003445F3">
        <w:rPr>
          <w:rFonts w:ascii="Arial" w:hAnsi="Arial" w:cs="Arial"/>
        </w:rPr>
        <w:t xml:space="preserve">Arifin, Z., &amp; </w:t>
      </w:r>
      <w:proofErr w:type="spellStart"/>
      <w:r w:rsidRPr="003445F3">
        <w:rPr>
          <w:rFonts w:ascii="Arial" w:hAnsi="Arial" w:cs="Arial"/>
        </w:rPr>
        <w:t>Nurhayati</w:t>
      </w:r>
      <w:proofErr w:type="spellEnd"/>
      <w:r w:rsidRPr="003445F3">
        <w:rPr>
          <w:rFonts w:ascii="Arial" w:hAnsi="Arial" w:cs="Arial"/>
        </w:rPr>
        <w:t>, R. (2020). CSR Practices in Indonesian Islamic Banking: The Role of Sharia Supervisory Boards. Indonesian Journal of Sustainability, 7(2), 78–91.</w:t>
      </w:r>
    </w:p>
    <w:p w14:paraId="625078D0" w14:textId="1C985B54" w:rsidR="008777A2" w:rsidRPr="003445F3" w:rsidRDefault="008777A2" w:rsidP="00251C10">
      <w:pPr>
        <w:ind w:left="720" w:hanging="720"/>
        <w:jc w:val="both"/>
        <w:rPr>
          <w:rFonts w:ascii="Arial" w:hAnsi="Arial" w:cs="Arial"/>
        </w:rPr>
      </w:pPr>
      <w:proofErr w:type="spellStart"/>
      <w:r w:rsidRPr="003445F3">
        <w:rPr>
          <w:rFonts w:ascii="Arial" w:hAnsi="Arial" w:cs="Arial"/>
        </w:rPr>
        <w:lastRenderedPageBreak/>
        <w:t>Auwala</w:t>
      </w:r>
      <w:proofErr w:type="spellEnd"/>
      <w:r w:rsidRPr="003445F3">
        <w:rPr>
          <w:rFonts w:ascii="Arial" w:hAnsi="Arial" w:cs="Arial"/>
        </w:rPr>
        <w:t xml:space="preserve">, M. F., &amp; </w:t>
      </w:r>
      <w:proofErr w:type="spellStart"/>
      <w:r w:rsidRPr="003445F3">
        <w:rPr>
          <w:rFonts w:ascii="Arial" w:hAnsi="Arial" w:cs="Arial"/>
        </w:rPr>
        <w:t>Waharini</w:t>
      </w:r>
      <w:proofErr w:type="spellEnd"/>
      <w:r w:rsidRPr="003445F3">
        <w:rPr>
          <w:rFonts w:ascii="Arial" w:hAnsi="Arial" w:cs="Arial"/>
        </w:rPr>
        <w:t>, F. M. (2024). Financial distress prediction in Islamic commercial banks: The role of gender, corporate social responsibility, and capital structure. </w:t>
      </w:r>
      <w:proofErr w:type="spellStart"/>
      <w:r w:rsidRPr="003445F3">
        <w:rPr>
          <w:rFonts w:ascii="Arial" w:hAnsi="Arial" w:cs="Arial"/>
        </w:rPr>
        <w:t>Muqtasid</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Perbankan</w:t>
      </w:r>
      <w:proofErr w:type="spellEnd"/>
      <w:r w:rsidRPr="003445F3">
        <w:rPr>
          <w:rFonts w:ascii="Arial" w:hAnsi="Arial" w:cs="Arial"/>
        </w:rPr>
        <w:t xml:space="preserve"> Syariah, 15(1), 50-65.</w:t>
      </w:r>
    </w:p>
    <w:p w14:paraId="44379E3A" w14:textId="1BF4595E" w:rsidR="008777A2" w:rsidRPr="003445F3" w:rsidRDefault="008777A2" w:rsidP="00251C10">
      <w:pPr>
        <w:ind w:left="720" w:hanging="720"/>
        <w:jc w:val="both"/>
        <w:rPr>
          <w:rFonts w:ascii="Arial" w:hAnsi="Arial" w:cs="Arial"/>
        </w:rPr>
      </w:pPr>
      <w:proofErr w:type="spellStart"/>
      <w:r w:rsidRPr="003445F3">
        <w:rPr>
          <w:rFonts w:ascii="Arial" w:hAnsi="Arial" w:cs="Arial"/>
        </w:rPr>
        <w:t>Aybars</w:t>
      </w:r>
      <w:proofErr w:type="spellEnd"/>
      <w:r w:rsidRPr="003445F3">
        <w:rPr>
          <w:rFonts w:ascii="Arial" w:hAnsi="Arial" w:cs="Arial"/>
        </w:rPr>
        <w:t xml:space="preserve">, A., </w:t>
      </w:r>
      <w:proofErr w:type="spellStart"/>
      <w:r w:rsidRPr="003445F3">
        <w:rPr>
          <w:rFonts w:ascii="Arial" w:hAnsi="Arial" w:cs="Arial"/>
        </w:rPr>
        <w:t>Ataünal</w:t>
      </w:r>
      <w:proofErr w:type="spellEnd"/>
      <w:r w:rsidRPr="003445F3">
        <w:rPr>
          <w:rFonts w:ascii="Arial" w:hAnsi="Arial" w:cs="Arial"/>
        </w:rPr>
        <w:t xml:space="preserve">, L., &amp; </w:t>
      </w:r>
      <w:proofErr w:type="spellStart"/>
      <w:r w:rsidRPr="003445F3">
        <w:rPr>
          <w:rFonts w:ascii="Arial" w:hAnsi="Arial" w:cs="Arial"/>
        </w:rPr>
        <w:t>Gürbüz</w:t>
      </w:r>
      <w:proofErr w:type="spellEnd"/>
      <w:r w:rsidRPr="003445F3">
        <w:rPr>
          <w:rFonts w:ascii="Arial" w:hAnsi="Arial" w:cs="Arial"/>
        </w:rPr>
        <w:t>, A. O. (2018). ESG and financial performance. Uncovering the Relationship by Aggregating Evidence from, 1, 2015-2020. 520–536.</w:t>
      </w:r>
    </w:p>
    <w:p w14:paraId="24BDE8AB" w14:textId="52835CE9" w:rsidR="008777A2" w:rsidRPr="003445F3" w:rsidRDefault="008777A2" w:rsidP="00251C10">
      <w:pPr>
        <w:ind w:left="720" w:hanging="720"/>
        <w:jc w:val="both"/>
        <w:rPr>
          <w:rFonts w:ascii="Arial" w:hAnsi="Arial" w:cs="Arial"/>
        </w:rPr>
      </w:pPr>
      <w:r w:rsidRPr="003445F3">
        <w:rPr>
          <w:rFonts w:ascii="Arial" w:hAnsi="Arial" w:cs="Arial"/>
        </w:rPr>
        <w:t xml:space="preserve">Aziz, M. F., &amp; </w:t>
      </w:r>
      <w:proofErr w:type="spellStart"/>
      <w:r w:rsidRPr="003445F3">
        <w:rPr>
          <w:rFonts w:ascii="Arial" w:hAnsi="Arial" w:cs="Arial"/>
        </w:rPr>
        <w:t>Haron</w:t>
      </w:r>
      <w:proofErr w:type="spellEnd"/>
      <w:r w:rsidRPr="003445F3">
        <w:rPr>
          <w:rFonts w:ascii="Arial" w:hAnsi="Arial" w:cs="Arial"/>
        </w:rPr>
        <w:t xml:space="preserve">, R. (2021). Corporate Social Responsibility Disclosure and Financial Performance of Shariah PLCS in Malaysia. International Journal of Academic Research in Business and Social Sciences, 11(6). </w:t>
      </w:r>
      <w:hyperlink r:id="rId19" w:history="1">
        <w:r w:rsidRPr="003445F3">
          <w:rPr>
            <w:rStyle w:val="Hyperlink"/>
            <w:rFonts w:ascii="Arial" w:hAnsi="Arial" w:cs="Arial"/>
          </w:rPr>
          <w:t>https://doi.org/10.6007/ijarbss/v11-</w:t>
        </w:r>
      </w:hyperlink>
      <w:r w:rsidRPr="003445F3">
        <w:rPr>
          <w:rFonts w:ascii="Arial" w:hAnsi="Arial" w:cs="Arial"/>
        </w:rPr>
        <w:t>i6/10155</w:t>
      </w:r>
    </w:p>
    <w:p w14:paraId="47ABB34E" w14:textId="33AAC55F" w:rsidR="001D63A9" w:rsidRDefault="001D63A9" w:rsidP="00251C10">
      <w:pPr>
        <w:ind w:left="720" w:hanging="720"/>
        <w:jc w:val="both"/>
        <w:rPr>
          <w:rFonts w:ascii="Arial" w:hAnsi="Arial" w:cs="Arial"/>
        </w:rPr>
      </w:pPr>
      <w:proofErr w:type="spellStart"/>
      <w:r>
        <w:rPr>
          <w:rFonts w:ascii="Arial" w:hAnsi="Arial" w:cs="Arial"/>
          <w:color w:val="222222"/>
          <w:shd w:val="clear" w:color="auto" w:fill="FFFFFF"/>
        </w:rPr>
        <w:t>Baltagi</w:t>
      </w:r>
      <w:proofErr w:type="spellEnd"/>
      <w:r>
        <w:rPr>
          <w:rFonts w:ascii="Arial" w:hAnsi="Arial" w:cs="Arial"/>
          <w:color w:val="222222"/>
          <w:shd w:val="clear" w:color="auto" w:fill="FFFFFF"/>
        </w:rPr>
        <w:t xml:space="preserve">, B. H., &amp; </w:t>
      </w:r>
      <w:proofErr w:type="spellStart"/>
      <w:r>
        <w:rPr>
          <w:rFonts w:ascii="Arial" w:hAnsi="Arial" w:cs="Arial"/>
          <w:color w:val="222222"/>
          <w:shd w:val="clear" w:color="auto" w:fill="FFFFFF"/>
        </w:rPr>
        <w:t>Baltagi</w:t>
      </w:r>
      <w:proofErr w:type="spellEnd"/>
      <w:r>
        <w:rPr>
          <w:rFonts w:ascii="Arial" w:hAnsi="Arial" w:cs="Arial"/>
          <w:color w:val="222222"/>
          <w:shd w:val="clear" w:color="auto" w:fill="FFFFFF"/>
        </w:rPr>
        <w:t>, B. H. (2008). </w:t>
      </w:r>
      <w:r>
        <w:rPr>
          <w:rFonts w:ascii="Arial" w:hAnsi="Arial" w:cs="Arial"/>
          <w:i/>
          <w:iCs/>
          <w:color w:val="222222"/>
          <w:shd w:val="clear" w:color="auto" w:fill="FFFFFF"/>
        </w:rPr>
        <w:t>Econometric analysis of panel data</w:t>
      </w:r>
      <w:r>
        <w:rPr>
          <w:rFonts w:ascii="Arial" w:hAnsi="Arial" w:cs="Arial"/>
          <w:color w:val="222222"/>
          <w:shd w:val="clear" w:color="auto" w:fill="FFFFFF"/>
        </w:rPr>
        <w:t> (Vol. 4, pp. 135-145). Chichester: John Wiley &amp; Sons.</w:t>
      </w:r>
    </w:p>
    <w:p w14:paraId="2493BA8B" w14:textId="27321711" w:rsidR="008777A2" w:rsidRPr="003445F3" w:rsidRDefault="008777A2" w:rsidP="00251C10">
      <w:pPr>
        <w:ind w:left="720" w:hanging="720"/>
        <w:jc w:val="both"/>
        <w:rPr>
          <w:rFonts w:ascii="Arial" w:hAnsi="Arial" w:cs="Arial"/>
        </w:rPr>
      </w:pPr>
      <w:proofErr w:type="spellStart"/>
      <w:r w:rsidRPr="003445F3">
        <w:rPr>
          <w:rFonts w:ascii="Arial" w:hAnsi="Arial" w:cs="Arial"/>
        </w:rPr>
        <w:t>Bukair</w:t>
      </w:r>
      <w:proofErr w:type="spellEnd"/>
      <w:r w:rsidRPr="003445F3">
        <w:rPr>
          <w:rFonts w:ascii="Arial" w:hAnsi="Arial" w:cs="Arial"/>
        </w:rPr>
        <w:t>, A. A., &amp; Rahman, A. A. (2015). The effect of the board of directors' characteristics on corporate social responsibility disclosure by Islamic banks. Journal of Management Research, 7(2), 506.</w:t>
      </w:r>
    </w:p>
    <w:p w14:paraId="526838D7" w14:textId="7B5AC6CC" w:rsidR="008777A2" w:rsidRPr="003445F3" w:rsidRDefault="008777A2" w:rsidP="00251C10">
      <w:pPr>
        <w:ind w:left="720" w:hanging="720"/>
        <w:jc w:val="both"/>
        <w:rPr>
          <w:rFonts w:ascii="Arial" w:hAnsi="Arial" w:cs="Arial"/>
        </w:rPr>
      </w:pPr>
      <w:proofErr w:type="spellStart"/>
      <w:r w:rsidRPr="003445F3">
        <w:rPr>
          <w:rFonts w:ascii="Arial" w:hAnsi="Arial" w:cs="Arial"/>
        </w:rPr>
        <w:t>Cahyaningrum</w:t>
      </w:r>
      <w:proofErr w:type="spellEnd"/>
      <w:r w:rsidRPr="003445F3">
        <w:rPr>
          <w:rFonts w:ascii="Arial" w:hAnsi="Arial" w:cs="Arial"/>
        </w:rPr>
        <w:t xml:space="preserve">, S. P., </w:t>
      </w:r>
      <w:proofErr w:type="spellStart"/>
      <w:r w:rsidRPr="003445F3">
        <w:rPr>
          <w:rFonts w:ascii="Arial" w:hAnsi="Arial" w:cs="Arial"/>
        </w:rPr>
        <w:t>Titisari</w:t>
      </w:r>
      <w:proofErr w:type="spellEnd"/>
      <w:r w:rsidRPr="003445F3">
        <w:rPr>
          <w:rFonts w:ascii="Arial" w:hAnsi="Arial" w:cs="Arial"/>
        </w:rPr>
        <w:t xml:space="preserve">, K. H., &amp; </w:t>
      </w:r>
      <w:proofErr w:type="spellStart"/>
      <w:r w:rsidRPr="003445F3">
        <w:rPr>
          <w:rFonts w:ascii="Arial" w:hAnsi="Arial" w:cs="Arial"/>
        </w:rPr>
        <w:t>Astungkara</w:t>
      </w:r>
      <w:proofErr w:type="spellEnd"/>
      <w:r w:rsidRPr="003445F3">
        <w:rPr>
          <w:rFonts w:ascii="Arial" w:hAnsi="Arial" w:cs="Arial"/>
        </w:rPr>
        <w:t xml:space="preserve">, A. (2022).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penerapan</w:t>
      </w:r>
      <w:proofErr w:type="spellEnd"/>
      <w:r w:rsidRPr="003445F3">
        <w:rPr>
          <w:rFonts w:ascii="Arial" w:hAnsi="Arial" w:cs="Arial"/>
        </w:rPr>
        <w:t xml:space="preserve"> good corporate governance dan corporate social responsibility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xml:space="preserve">. Owner: </w:t>
      </w:r>
      <w:proofErr w:type="spellStart"/>
      <w:r w:rsidRPr="003445F3">
        <w:rPr>
          <w:rFonts w:ascii="Arial" w:hAnsi="Arial" w:cs="Arial"/>
        </w:rPr>
        <w:t>Riset</w:t>
      </w:r>
      <w:proofErr w:type="spellEnd"/>
      <w:r w:rsidRPr="003445F3">
        <w:rPr>
          <w:rFonts w:ascii="Arial" w:hAnsi="Arial" w:cs="Arial"/>
        </w:rPr>
        <w:t xml:space="preserve"> Dan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6(3), 3130-3138.</w:t>
      </w:r>
    </w:p>
    <w:p w14:paraId="035981DA"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Cholisoh</w:t>
      </w:r>
      <w:proofErr w:type="spellEnd"/>
      <w:r w:rsidRPr="003445F3">
        <w:rPr>
          <w:rFonts w:ascii="Arial" w:hAnsi="Arial" w:cs="Arial"/>
        </w:rPr>
        <w:t xml:space="preserve">, L., &amp; </w:t>
      </w:r>
      <w:proofErr w:type="spellStart"/>
      <w:r w:rsidRPr="003445F3">
        <w:rPr>
          <w:rFonts w:ascii="Arial" w:hAnsi="Arial" w:cs="Arial"/>
        </w:rPr>
        <w:t>Hadziq</w:t>
      </w:r>
      <w:proofErr w:type="spellEnd"/>
      <w:r w:rsidRPr="003445F3">
        <w:rPr>
          <w:rFonts w:ascii="Arial" w:hAnsi="Arial" w:cs="Arial"/>
        </w:rPr>
        <w:t>, M. F. (2021). Implementation of GCG (Good Corporate Governance) on the Prevention of Fraud Financing in Islamic Banks. El-</w:t>
      </w:r>
      <w:proofErr w:type="spellStart"/>
      <w:r w:rsidRPr="003445F3">
        <w:rPr>
          <w:rFonts w:ascii="Arial" w:hAnsi="Arial" w:cs="Arial"/>
        </w:rPr>
        <w:t>Qish</w:t>
      </w:r>
      <w:proofErr w:type="spellEnd"/>
      <w:r w:rsidRPr="003445F3">
        <w:rPr>
          <w:rFonts w:ascii="Arial" w:hAnsi="Arial" w:cs="Arial"/>
        </w:rPr>
        <w:t>: Journal of Islamic Economics, 1(2), 98–108. https://doi.org/10.33830/elqish.v1i2.1569.2021</w:t>
      </w:r>
    </w:p>
    <w:p w14:paraId="1BD73155"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Dewi</w:t>
      </w:r>
      <w:proofErr w:type="spellEnd"/>
      <w:r w:rsidRPr="003445F3">
        <w:rPr>
          <w:rFonts w:ascii="Arial" w:hAnsi="Arial" w:cs="Arial"/>
        </w:rPr>
        <w:t>, A. A. A. R. U. (2024).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Corporate Social Responsibility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Manajemen</w:t>
      </w:r>
      <w:proofErr w:type="spellEnd"/>
      <w:r w:rsidRPr="003445F3">
        <w:rPr>
          <w:rFonts w:ascii="Arial" w:hAnsi="Arial" w:cs="Arial"/>
        </w:rPr>
        <w:t xml:space="preserve"> </w:t>
      </w:r>
      <w:proofErr w:type="spellStart"/>
      <w:r w:rsidRPr="003445F3">
        <w:rPr>
          <w:rFonts w:ascii="Arial" w:hAnsi="Arial" w:cs="Arial"/>
        </w:rPr>
        <w:t>Laba</w:t>
      </w:r>
      <w:proofErr w:type="spellEnd"/>
      <w:r w:rsidRPr="003445F3">
        <w:rPr>
          <w:rFonts w:ascii="Arial" w:hAnsi="Arial" w:cs="Arial"/>
        </w:rPr>
        <w:t xml:space="preserve"> </w:t>
      </w:r>
      <w:proofErr w:type="spellStart"/>
      <w:r w:rsidRPr="003445F3">
        <w:rPr>
          <w:rFonts w:ascii="Arial" w:hAnsi="Arial" w:cs="Arial"/>
        </w:rPr>
        <w:t>dengan</w:t>
      </w:r>
      <w:proofErr w:type="spellEnd"/>
      <w:r w:rsidRPr="003445F3">
        <w:rPr>
          <w:rFonts w:ascii="Arial" w:hAnsi="Arial" w:cs="Arial"/>
        </w:rPr>
        <w:t xml:space="preserve"> Good Corporate Governance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(Doctoral dissertation, </w:t>
      </w:r>
      <w:proofErr w:type="spellStart"/>
      <w:r w:rsidRPr="003445F3">
        <w:rPr>
          <w:rFonts w:ascii="Arial" w:hAnsi="Arial" w:cs="Arial"/>
        </w:rPr>
        <w:t>Politeknik</w:t>
      </w:r>
      <w:proofErr w:type="spellEnd"/>
      <w:r w:rsidRPr="003445F3">
        <w:rPr>
          <w:rFonts w:ascii="Arial" w:hAnsi="Arial" w:cs="Arial"/>
        </w:rPr>
        <w:t xml:space="preserve"> Negeri Bali).</w:t>
      </w:r>
    </w:p>
    <w:p w14:paraId="298C5901"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Dewi</w:t>
      </w:r>
      <w:proofErr w:type="spellEnd"/>
      <w:r w:rsidRPr="003445F3">
        <w:rPr>
          <w:rFonts w:ascii="Arial" w:hAnsi="Arial" w:cs="Arial"/>
        </w:rPr>
        <w:t xml:space="preserve">, N. A., &amp; </w:t>
      </w:r>
      <w:proofErr w:type="spellStart"/>
      <w:r w:rsidRPr="003445F3">
        <w:rPr>
          <w:rFonts w:ascii="Arial" w:hAnsi="Arial" w:cs="Arial"/>
        </w:rPr>
        <w:t>Gustyana</w:t>
      </w:r>
      <w:proofErr w:type="spellEnd"/>
      <w:r w:rsidRPr="003445F3">
        <w:rPr>
          <w:rFonts w:ascii="Arial" w:hAnsi="Arial" w:cs="Arial"/>
        </w:rPr>
        <w:t xml:space="preserve">, T. T. (2020).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xml:space="preserve">. JRAK: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Komputerisasi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11(1), 133-157.</w:t>
      </w:r>
    </w:p>
    <w:p w14:paraId="0A3495B7" w14:textId="6ACC53E9" w:rsidR="00C46BBC" w:rsidRDefault="00C46BBC" w:rsidP="008777A2">
      <w:pPr>
        <w:ind w:left="720" w:hanging="720"/>
        <w:jc w:val="both"/>
        <w:rPr>
          <w:rFonts w:ascii="Arial" w:hAnsi="Arial" w:cs="Arial"/>
          <w:color w:val="222222"/>
          <w:shd w:val="clear" w:color="auto" w:fill="FFFFFF"/>
        </w:rPr>
      </w:pPr>
      <w:proofErr w:type="spellStart"/>
      <w:r>
        <w:rPr>
          <w:rFonts w:ascii="Arial" w:hAnsi="Arial" w:cs="Arial"/>
          <w:color w:val="222222"/>
          <w:shd w:val="clear" w:color="auto" w:fill="FFFFFF"/>
        </w:rPr>
        <w:t>Dusuki</w:t>
      </w:r>
      <w:proofErr w:type="spellEnd"/>
      <w:r>
        <w:rPr>
          <w:rFonts w:ascii="Arial" w:hAnsi="Arial" w:cs="Arial"/>
          <w:color w:val="222222"/>
          <w:shd w:val="clear" w:color="auto" w:fill="FFFFFF"/>
        </w:rPr>
        <w:t xml:space="preserve">, A. W., &amp; Abdullah, N. I. (2007). </w:t>
      </w:r>
      <w:proofErr w:type="spellStart"/>
      <w:r>
        <w:rPr>
          <w:rFonts w:ascii="Arial" w:hAnsi="Arial" w:cs="Arial"/>
          <w:color w:val="222222"/>
          <w:shd w:val="clear" w:color="auto" w:fill="FFFFFF"/>
        </w:rPr>
        <w:t>Maqasid</w:t>
      </w:r>
      <w:proofErr w:type="spellEnd"/>
      <w:r>
        <w:rPr>
          <w:rFonts w:ascii="Arial" w:hAnsi="Arial" w:cs="Arial"/>
          <w:color w:val="222222"/>
          <w:shd w:val="clear" w:color="auto" w:fill="FFFFFF"/>
        </w:rPr>
        <w:t xml:space="preserve"> al-Shariah, </w:t>
      </w:r>
      <w:proofErr w:type="spellStart"/>
      <w:r>
        <w:rPr>
          <w:rFonts w:ascii="Arial" w:hAnsi="Arial" w:cs="Arial"/>
          <w:color w:val="222222"/>
          <w:shd w:val="clear" w:color="auto" w:fill="FFFFFF"/>
        </w:rPr>
        <w:t>Maslahah</w:t>
      </w:r>
      <w:proofErr w:type="spellEnd"/>
      <w:r>
        <w:rPr>
          <w:rFonts w:ascii="Arial" w:hAnsi="Arial" w:cs="Arial"/>
          <w:color w:val="222222"/>
          <w:shd w:val="clear" w:color="auto" w:fill="FFFFFF"/>
        </w:rPr>
        <w:t>, and corporate social responsibility. </w:t>
      </w:r>
      <w:r>
        <w:rPr>
          <w:rFonts w:ascii="Arial" w:hAnsi="Arial" w:cs="Arial"/>
          <w:i/>
          <w:iCs/>
          <w:color w:val="222222"/>
          <w:shd w:val="clear" w:color="auto" w:fill="FFFFFF"/>
        </w:rPr>
        <w:t>American Journal of Islamic Social Sciences</w:t>
      </w:r>
      <w:r>
        <w:rPr>
          <w:rFonts w:ascii="Arial" w:hAnsi="Arial" w:cs="Arial"/>
          <w:color w:val="222222"/>
          <w:shd w:val="clear" w:color="auto" w:fill="FFFFFF"/>
        </w:rPr>
        <w:t>, </w:t>
      </w:r>
      <w:r>
        <w:rPr>
          <w:rFonts w:ascii="Arial" w:hAnsi="Arial" w:cs="Arial"/>
          <w:i/>
          <w:iCs/>
          <w:color w:val="222222"/>
          <w:shd w:val="clear" w:color="auto" w:fill="FFFFFF"/>
        </w:rPr>
        <w:t>24</w:t>
      </w:r>
      <w:r>
        <w:rPr>
          <w:rFonts w:ascii="Arial" w:hAnsi="Arial" w:cs="Arial"/>
          <w:color w:val="222222"/>
          <w:shd w:val="clear" w:color="auto" w:fill="FFFFFF"/>
        </w:rPr>
        <w:t>(1), 25.</w:t>
      </w:r>
    </w:p>
    <w:p w14:paraId="4209F90C" w14:textId="61B57ACB"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Dwitarani</w:t>
      </w:r>
      <w:proofErr w:type="spellEnd"/>
      <w:r w:rsidRPr="003445F3">
        <w:rPr>
          <w:rFonts w:ascii="Arial" w:hAnsi="Arial" w:cs="Arial"/>
          <w:color w:val="222222"/>
          <w:shd w:val="clear" w:color="auto" w:fill="FFFFFF"/>
        </w:rPr>
        <w:t xml:space="preserve">, A. N., </w:t>
      </w: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Fakhruddin, I., &amp; </w:t>
      </w:r>
      <w:proofErr w:type="spellStart"/>
      <w:r w:rsidRPr="003445F3">
        <w:rPr>
          <w:rFonts w:ascii="Arial" w:hAnsi="Arial" w:cs="Arial"/>
          <w:color w:val="222222"/>
          <w:shd w:val="clear" w:color="auto" w:fill="FFFFFF"/>
        </w:rPr>
        <w:t>Wibowo</w:t>
      </w:r>
      <w:proofErr w:type="spellEnd"/>
      <w:r w:rsidRPr="003445F3">
        <w:rPr>
          <w:rFonts w:ascii="Arial" w:hAnsi="Arial" w:cs="Arial"/>
          <w:color w:val="222222"/>
          <w:shd w:val="clear" w:color="auto" w:fill="FFFFFF"/>
        </w:rPr>
        <w:t xml:space="preserve">, H. (2022). Corporate Social Responsibility </w:t>
      </w:r>
      <w:proofErr w:type="gramStart"/>
      <w:r w:rsidRPr="003445F3">
        <w:rPr>
          <w:rFonts w:ascii="Arial" w:hAnsi="Arial" w:cs="Arial"/>
          <w:color w:val="222222"/>
          <w:shd w:val="clear" w:color="auto" w:fill="FFFFFF"/>
        </w:rPr>
        <w:t>In</w:t>
      </w:r>
      <w:proofErr w:type="gramEnd"/>
      <w:r w:rsidRPr="003445F3">
        <w:rPr>
          <w:rFonts w:ascii="Arial" w:hAnsi="Arial" w:cs="Arial"/>
          <w:color w:val="222222"/>
          <w:shd w:val="clear" w:color="auto" w:fill="FFFFFF"/>
        </w:rPr>
        <w:t xml:space="preserve"> Banking In Indonesia: The Role Of Intellectual Capital And Characteristics Of The Board Of Commissioners. </w:t>
      </w:r>
      <w:proofErr w:type="spellStart"/>
      <w:r w:rsidRPr="003445F3">
        <w:rPr>
          <w:rFonts w:ascii="Arial" w:hAnsi="Arial" w:cs="Arial"/>
          <w:i/>
          <w:iCs/>
          <w:color w:val="222222"/>
          <w:shd w:val="clear" w:color="auto" w:fill="FFFFFF"/>
        </w:rPr>
        <w:t>Juremi</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Jurnal</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Riset</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Ekonomi</w:t>
      </w:r>
      <w:proofErr w:type="spellEnd"/>
      <w:r w:rsidRPr="003445F3">
        <w:rPr>
          <w:rFonts w:ascii="Arial" w:hAnsi="Arial" w:cs="Arial"/>
          <w:color w:val="222222"/>
          <w:shd w:val="clear" w:color="auto" w:fill="FFFFFF"/>
        </w:rPr>
        <w:t>, </w:t>
      </w:r>
      <w:r w:rsidRPr="003445F3">
        <w:rPr>
          <w:rFonts w:ascii="Arial" w:hAnsi="Arial" w:cs="Arial"/>
          <w:i/>
          <w:iCs/>
          <w:color w:val="222222"/>
          <w:shd w:val="clear" w:color="auto" w:fill="FFFFFF"/>
        </w:rPr>
        <w:t>2</w:t>
      </w:r>
      <w:r w:rsidRPr="003445F3">
        <w:rPr>
          <w:rFonts w:ascii="Arial" w:hAnsi="Arial" w:cs="Arial"/>
          <w:color w:val="222222"/>
          <w:shd w:val="clear" w:color="auto" w:fill="FFFFFF"/>
        </w:rPr>
        <w:t>(4), 479-490.</w:t>
      </w:r>
    </w:p>
    <w:p w14:paraId="083F4E03" w14:textId="278C078A" w:rsidR="008777A2" w:rsidRPr="003445F3" w:rsidRDefault="008777A2" w:rsidP="008777A2">
      <w:pPr>
        <w:ind w:left="720" w:hanging="720"/>
        <w:jc w:val="both"/>
        <w:rPr>
          <w:rFonts w:ascii="Arial" w:hAnsi="Arial" w:cs="Arial"/>
        </w:rPr>
      </w:pPr>
      <w:proofErr w:type="spellStart"/>
      <w:r w:rsidRPr="003445F3">
        <w:rPr>
          <w:rFonts w:ascii="Arial" w:hAnsi="Arial" w:cs="Arial"/>
        </w:rPr>
        <w:t>Dwekat</w:t>
      </w:r>
      <w:proofErr w:type="spellEnd"/>
      <w:r w:rsidRPr="003445F3">
        <w:rPr>
          <w:rFonts w:ascii="Arial" w:hAnsi="Arial" w:cs="Arial"/>
        </w:rPr>
        <w:t xml:space="preserve">, A., </w:t>
      </w:r>
      <w:proofErr w:type="spellStart"/>
      <w:r w:rsidRPr="003445F3">
        <w:rPr>
          <w:rFonts w:ascii="Arial" w:hAnsi="Arial" w:cs="Arial"/>
        </w:rPr>
        <w:t>Seguí</w:t>
      </w:r>
      <w:proofErr w:type="spellEnd"/>
      <w:r w:rsidRPr="003445F3">
        <w:rPr>
          <w:rFonts w:ascii="Arial" w:hAnsi="Arial" w:cs="Arial"/>
        </w:rPr>
        <w:t xml:space="preserve">-Mas, E., &amp; </w:t>
      </w:r>
      <w:proofErr w:type="spellStart"/>
      <w:r w:rsidRPr="003445F3">
        <w:rPr>
          <w:rFonts w:ascii="Arial" w:hAnsi="Arial" w:cs="Arial"/>
        </w:rPr>
        <w:t>Tormo-Carbó</w:t>
      </w:r>
      <w:proofErr w:type="spellEnd"/>
      <w:r w:rsidRPr="003445F3">
        <w:rPr>
          <w:rFonts w:ascii="Arial" w:hAnsi="Arial" w:cs="Arial"/>
        </w:rPr>
        <w:t>, G. (2020). The effect of the board on corporate social responsibility: bibliometric and social network analysis. Economic Research-</w:t>
      </w:r>
      <w:proofErr w:type="spellStart"/>
      <w:r w:rsidRPr="003445F3">
        <w:rPr>
          <w:rFonts w:ascii="Arial" w:hAnsi="Arial" w:cs="Arial"/>
        </w:rPr>
        <w:t>Ekonomska</w:t>
      </w:r>
      <w:proofErr w:type="spellEnd"/>
      <w:r w:rsidRPr="003445F3">
        <w:rPr>
          <w:rFonts w:ascii="Arial" w:hAnsi="Arial" w:cs="Arial"/>
        </w:rPr>
        <w:t xml:space="preserve"> </w:t>
      </w:r>
      <w:proofErr w:type="spellStart"/>
      <w:proofErr w:type="gramStart"/>
      <w:r w:rsidRPr="003445F3">
        <w:rPr>
          <w:rFonts w:ascii="Arial" w:hAnsi="Arial" w:cs="Arial"/>
        </w:rPr>
        <w:t>Istrazivanja</w:t>
      </w:r>
      <w:proofErr w:type="spellEnd"/>
      <w:r w:rsidRPr="003445F3">
        <w:rPr>
          <w:rFonts w:ascii="Arial" w:hAnsi="Arial" w:cs="Arial"/>
        </w:rPr>
        <w:t xml:space="preserve"> ,</w:t>
      </w:r>
      <w:proofErr w:type="gramEnd"/>
      <w:r w:rsidRPr="003445F3">
        <w:rPr>
          <w:rFonts w:ascii="Arial" w:hAnsi="Arial" w:cs="Arial"/>
        </w:rPr>
        <w:t xml:space="preserve"> 33(1), 3580–3603. https://doi.org/10.1080/1331677X.2020.1776139</w:t>
      </w:r>
    </w:p>
    <w:p w14:paraId="7FA089F9" w14:textId="77777777" w:rsidR="008777A2" w:rsidRPr="003445F3" w:rsidRDefault="008777A2" w:rsidP="008777A2">
      <w:pPr>
        <w:ind w:left="720" w:hanging="720"/>
        <w:jc w:val="both"/>
        <w:rPr>
          <w:rFonts w:ascii="Arial" w:hAnsi="Arial" w:cs="Arial"/>
        </w:rPr>
      </w:pPr>
      <w:r w:rsidRPr="003445F3">
        <w:rPr>
          <w:rFonts w:ascii="Arial" w:hAnsi="Arial" w:cs="Arial"/>
        </w:rPr>
        <w:t xml:space="preserve">El </w:t>
      </w:r>
      <w:proofErr w:type="spellStart"/>
      <w:r w:rsidRPr="003445F3">
        <w:rPr>
          <w:rFonts w:ascii="Arial" w:hAnsi="Arial" w:cs="Arial"/>
        </w:rPr>
        <w:t>Gammal</w:t>
      </w:r>
      <w:proofErr w:type="spellEnd"/>
      <w:r w:rsidRPr="003445F3">
        <w:rPr>
          <w:rFonts w:ascii="Arial" w:hAnsi="Arial" w:cs="Arial"/>
        </w:rPr>
        <w:t>, W., Yassine, N., Fakih, K., &amp; El-</w:t>
      </w:r>
      <w:proofErr w:type="spellStart"/>
      <w:r w:rsidRPr="003445F3">
        <w:rPr>
          <w:rFonts w:ascii="Arial" w:hAnsi="Arial" w:cs="Arial"/>
        </w:rPr>
        <w:t>Kassar</w:t>
      </w:r>
      <w:proofErr w:type="spellEnd"/>
      <w:r w:rsidRPr="003445F3">
        <w:rPr>
          <w:rFonts w:ascii="Arial" w:hAnsi="Arial" w:cs="Arial"/>
        </w:rPr>
        <w:t>, A. N. (2020). The relationship between CSR and corporate governance moderated by performance and board of directors’ characteristics. Journal of Management and Governance, 24, 411-430.</w:t>
      </w:r>
    </w:p>
    <w:p w14:paraId="4CDA213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Elgadi</w:t>
      </w:r>
      <w:proofErr w:type="spellEnd"/>
      <w:r w:rsidRPr="003445F3">
        <w:rPr>
          <w:rFonts w:ascii="Arial" w:hAnsi="Arial" w:cs="Arial"/>
        </w:rPr>
        <w:t xml:space="preserve">, E., &amp; </w:t>
      </w:r>
      <w:proofErr w:type="spellStart"/>
      <w:r w:rsidRPr="003445F3">
        <w:rPr>
          <w:rFonts w:ascii="Arial" w:hAnsi="Arial" w:cs="Arial"/>
        </w:rPr>
        <w:t>Ghardallou</w:t>
      </w:r>
      <w:proofErr w:type="spellEnd"/>
      <w:r w:rsidRPr="003445F3">
        <w:rPr>
          <w:rFonts w:ascii="Arial" w:hAnsi="Arial" w:cs="Arial"/>
        </w:rPr>
        <w:t>, W. (2022). Gender diversity, board of director’s size and Islamic banks performance. International Journal of Islamic and Middle Eastern Finance and Management, 15(3), 664-680.</w:t>
      </w:r>
    </w:p>
    <w:p w14:paraId="6738723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Essel</w:t>
      </w:r>
      <w:proofErr w:type="spellEnd"/>
      <w:r w:rsidRPr="003445F3">
        <w:rPr>
          <w:rFonts w:ascii="Arial" w:hAnsi="Arial" w:cs="Arial"/>
        </w:rPr>
        <w:t>, R. E. (2023). Corporate social responsibility—Performance nexus: The moderating role of board size, board independence and board gender diversity in Ghana. IIMS Journal of Management Science, 1-34.</w:t>
      </w:r>
    </w:p>
    <w:p w14:paraId="7B82E698"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Faishal</w:t>
      </w:r>
      <w:proofErr w:type="spellEnd"/>
      <w:r w:rsidRPr="003445F3">
        <w:rPr>
          <w:rFonts w:ascii="Arial" w:hAnsi="Arial" w:cs="Arial"/>
        </w:rPr>
        <w:t xml:space="preserve">, H., Najib, M. F., &amp; Mai, M. U. (2022). </w:t>
      </w:r>
      <w:proofErr w:type="spellStart"/>
      <w:r w:rsidRPr="003445F3">
        <w:rPr>
          <w:rFonts w:ascii="Arial" w:hAnsi="Arial" w:cs="Arial"/>
        </w:rPr>
        <w:t>Pengaruh</w:t>
      </w:r>
      <w:proofErr w:type="spellEnd"/>
      <w:r w:rsidRPr="003445F3">
        <w:rPr>
          <w:rFonts w:ascii="Arial" w:hAnsi="Arial" w:cs="Arial"/>
        </w:rPr>
        <w:t xml:space="preserve"> board characteristic </w:t>
      </w:r>
      <w:proofErr w:type="spellStart"/>
      <w:r w:rsidRPr="003445F3">
        <w:rPr>
          <w:rFonts w:ascii="Arial" w:hAnsi="Arial" w:cs="Arial"/>
        </w:rPr>
        <w:t>spesifik</w:t>
      </w:r>
      <w:proofErr w:type="spellEnd"/>
      <w:r w:rsidRPr="003445F3">
        <w:rPr>
          <w:rFonts w:ascii="Arial" w:hAnsi="Arial" w:cs="Arial"/>
        </w:rPr>
        <w:t xml:space="preserve"> bank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kebijkan</w:t>
      </w:r>
      <w:proofErr w:type="spellEnd"/>
      <w:r w:rsidRPr="003445F3">
        <w:rPr>
          <w:rFonts w:ascii="Arial" w:hAnsi="Arial" w:cs="Arial"/>
        </w:rPr>
        <w:t xml:space="preserve"> </w:t>
      </w:r>
      <w:proofErr w:type="spellStart"/>
      <w:r w:rsidRPr="003445F3">
        <w:rPr>
          <w:rFonts w:ascii="Arial" w:hAnsi="Arial" w:cs="Arial"/>
        </w:rPr>
        <w:t>deviden</w:t>
      </w:r>
      <w:proofErr w:type="spellEnd"/>
      <w:r w:rsidRPr="003445F3">
        <w:rPr>
          <w:rFonts w:ascii="Arial" w:hAnsi="Arial" w:cs="Arial"/>
        </w:rPr>
        <w:t xml:space="preserve"> pada Bank </w:t>
      </w:r>
      <w:proofErr w:type="spellStart"/>
      <w:r w:rsidRPr="003445F3">
        <w:rPr>
          <w:rFonts w:ascii="Arial" w:hAnsi="Arial" w:cs="Arial"/>
        </w:rPr>
        <w:t>Umum</w:t>
      </w:r>
      <w:proofErr w:type="spellEnd"/>
      <w:r w:rsidRPr="003445F3">
        <w:rPr>
          <w:rFonts w:ascii="Arial" w:hAnsi="Arial" w:cs="Arial"/>
        </w:rPr>
        <w:t xml:space="preserve"> Syariah. Fair Value: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4(11), 5054–5062. https://doi.org/10.32670/fairvalue.v4i11.1836</w:t>
      </w:r>
    </w:p>
    <w:p w14:paraId="67D5590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Fanesha</w:t>
      </w:r>
      <w:proofErr w:type="spellEnd"/>
      <w:r w:rsidRPr="003445F3">
        <w:rPr>
          <w:rFonts w:ascii="Arial" w:hAnsi="Arial" w:cs="Arial"/>
        </w:rPr>
        <w:t xml:space="preserve">, M., &amp; Sebrina, N. (2024).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Keberagaman</w:t>
      </w:r>
      <w:proofErr w:type="spellEnd"/>
      <w:r w:rsidRPr="003445F3">
        <w:rPr>
          <w:rFonts w:ascii="Arial" w:hAnsi="Arial" w:cs="Arial"/>
        </w:rPr>
        <w:t xml:space="preserve"> Gender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Perusahaan </w:t>
      </w:r>
      <w:proofErr w:type="spellStart"/>
      <w:r w:rsidRPr="003445F3">
        <w:rPr>
          <w:rFonts w:ascii="Arial" w:hAnsi="Arial" w:cs="Arial"/>
        </w:rPr>
        <w:t>dengan</w:t>
      </w:r>
      <w:proofErr w:type="spellEnd"/>
      <w:r w:rsidRPr="003445F3">
        <w:rPr>
          <w:rFonts w:ascii="Arial" w:hAnsi="Arial" w:cs="Arial"/>
        </w:rPr>
        <w:t xml:space="preserve"> Corporate </w:t>
      </w:r>
      <w:proofErr w:type="spellStart"/>
      <w:r w:rsidRPr="003445F3">
        <w:rPr>
          <w:rFonts w:ascii="Arial" w:hAnsi="Arial" w:cs="Arial"/>
        </w:rPr>
        <w:t>Sosial</w:t>
      </w:r>
      <w:proofErr w:type="spellEnd"/>
      <w:r w:rsidRPr="003445F3">
        <w:rPr>
          <w:rFonts w:ascii="Arial" w:hAnsi="Arial" w:cs="Arial"/>
        </w:rPr>
        <w:t xml:space="preserve"> Responsibility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Mediasi</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Eksplorasi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6(3), 1066–1084. https://doi.org/10.24036/jea.v6i3.1717</w:t>
      </w:r>
    </w:p>
    <w:p w14:paraId="7EC4DBC5" w14:textId="77777777" w:rsidR="008777A2" w:rsidRPr="003445F3" w:rsidRDefault="008777A2" w:rsidP="008777A2">
      <w:pPr>
        <w:ind w:left="720" w:hanging="720"/>
        <w:jc w:val="both"/>
        <w:rPr>
          <w:rFonts w:ascii="Arial" w:hAnsi="Arial" w:cs="Arial"/>
        </w:rPr>
      </w:pPr>
      <w:r w:rsidRPr="003445F3">
        <w:rPr>
          <w:rFonts w:ascii="Arial" w:hAnsi="Arial" w:cs="Arial"/>
        </w:rPr>
        <w:lastRenderedPageBreak/>
        <w:t xml:space="preserve">Farida, F., Ramadhan, A., &amp; </w:t>
      </w:r>
      <w:proofErr w:type="spellStart"/>
      <w:r w:rsidRPr="003445F3">
        <w:rPr>
          <w:rFonts w:ascii="Arial" w:hAnsi="Arial" w:cs="Arial"/>
        </w:rPr>
        <w:t>Wijayanti</w:t>
      </w:r>
      <w:proofErr w:type="spellEnd"/>
      <w:r w:rsidRPr="003445F3">
        <w:rPr>
          <w:rFonts w:ascii="Arial" w:hAnsi="Arial" w:cs="Arial"/>
        </w:rPr>
        <w:t>, R. (2019). The influence of good corporate governance and corporate social responsibility on firm value: evidence from Indonesia. International Journal of Economics and Financial Research, 5(57), 177-183.</w:t>
      </w:r>
    </w:p>
    <w:p w14:paraId="6130154B"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Faridah</w:t>
      </w:r>
      <w:proofErr w:type="spellEnd"/>
      <w:r w:rsidRPr="003445F3">
        <w:rPr>
          <w:rFonts w:ascii="Arial" w:hAnsi="Arial" w:cs="Arial"/>
        </w:rPr>
        <w:t xml:space="preserve">, M., </w:t>
      </w:r>
      <w:proofErr w:type="spellStart"/>
      <w:r w:rsidRPr="003445F3">
        <w:rPr>
          <w:rFonts w:ascii="Arial" w:hAnsi="Arial" w:cs="Arial"/>
        </w:rPr>
        <w:t>Kartini</w:t>
      </w:r>
      <w:proofErr w:type="spellEnd"/>
      <w:r w:rsidRPr="003445F3">
        <w:rPr>
          <w:rFonts w:ascii="Arial" w:hAnsi="Arial" w:cs="Arial"/>
        </w:rPr>
        <w:t xml:space="preserve">, E., &amp; </w:t>
      </w:r>
      <w:proofErr w:type="spellStart"/>
      <w:r w:rsidRPr="003445F3">
        <w:rPr>
          <w:rFonts w:ascii="Arial" w:hAnsi="Arial" w:cs="Arial"/>
        </w:rPr>
        <w:t>Wardah</w:t>
      </w:r>
      <w:proofErr w:type="spellEnd"/>
      <w:r w:rsidRPr="003445F3">
        <w:rPr>
          <w:rFonts w:ascii="Arial" w:hAnsi="Arial" w:cs="Arial"/>
        </w:rPr>
        <w:t xml:space="preserve">, S. (2023).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Gcg</w:t>
      </w:r>
      <w:proofErr w:type="spellEnd"/>
      <w:r w:rsidRPr="003445F3">
        <w:rPr>
          <w:rFonts w:ascii="Arial" w:hAnsi="Arial" w:cs="Arial"/>
        </w:rPr>
        <w:t xml:space="preserve">, Leverage, Dan </w:t>
      </w:r>
      <w:proofErr w:type="spellStart"/>
      <w:r w:rsidRPr="003445F3">
        <w:rPr>
          <w:rFonts w:ascii="Arial" w:hAnsi="Arial" w:cs="Arial"/>
        </w:rPr>
        <w:t>Csr</w:t>
      </w:r>
      <w:proofErr w:type="spellEnd"/>
      <w:r w:rsidRPr="003445F3">
        <w:rPr>
          <w:rFonts w:ascii="Arial" w:hAnsi="Arial" w:cs="Arial"/>
        </w:rPr>
        <w:t xml:space="preserve"> </w:t>
      </w:r>
      <w:proofErr w:type="spellStart"/>
      <w:r w:rsidRPr="003445F3">
        <w:rPr>
          <w:rFonts w:ascii="Arial" w:hAnsi="Arial" w:cs="Arial"/>
        </w:rPr>
        <w:t>TerhadapPerformance</w:t>
      </w:r>
      <w:proofErr w:type="spellEnd"/>
      <w:r w:rsidRPr="003445F3">
        <w:rPr>
          <w:rFonts w:ascii="Arial" w:hAnsi="Arial" w:cs="Arial"/>
        </w:rPr>
        <w:t xml:space="preserve"> Financial Pada Perusahaan </w:t>
      </w:r>
      <w:proofErr w:type="spellStart"/>
      <w:r w:rsidRPr="003445F3">
        <w:rPr>
          <w:rFonts w:ascii="Arial" w:hAnsi="Arial" w:cs="Arial"/>
        </w:rPr>
        <w:t>Perbankan</w:t>
      </w:r>
      <w:proofErr w:type="spellEnd"/>
      <w:r w:rsidRPr="003445F3">
        <w:rPr>
          <w:rFonts w:ascii="Arial" w:hAnsi="Arial" w:cs="Arial"/>
        </w:rPr>
        <w:t xml:space="preserve"> </w:t>
      </w:r>
      <w:proofErr w:type="spellStart"/>
      <w:r w:rsidRPr="003445F3">
        <w:rPr>
          <w:rFonts w:ascii="Arial" w:hAnsi="Arial" w:cs="Arial"/>
        </w:rPr>
        <w:t>YangTerdaftar</w:t>
      </w:r>
      <w:proofErr w:type="spellEnd"/>
      <w:r w:rsidRPr="003445F3">
        <w:rPr>
          <w:rFonts w:ascii="Arial" w:hAnsi="Arial" w:cs="Arial"/>
        </w:rPr>
        <w:t xml:space="preserve"> </w:t>
      </w:r>
      <w:proofErr w:type="gramStart"/>
      <w:r w:rsidRPr="003445F3">
        <w:rPr>
          <w:rFonts w:ascii="Arial" w:hAnsi="Arial" w:cs="Arial"/>
        </w:rPr>
        <w:t>Di</w:t>
      </w:r>
      <w:proofErr w:type="gramEnd"/>
      <w:r w:rsidRPr="003445F3">
        <w:rPr>
          <w:rFonts w:ascii="Arial" w:hAnsi="Arial" w:cs="Arial"/>
        </w:rPr>
        <w:t xml:space="preserve"> Bei </w:t>
      </w:r>
      <w:proofErr w:type="spellStart"/>
      <w:r w:rsidRPr="003445F3">
        <w:rPr>
          <w:rFonts w:ascii="Arial" w:hAnsi="Arial" w:cs="Arial"/>
        </w:rPr>
        <w:t>Periode</w:t>
      </w:r>
      <w:proofErr w:type="spellEnd"/>
      <w:r w:rsidRPr="003445F3">
        <w:rPr>
          <w:rFonts w:ascii="Arial" w:hAnsi="Arial" w:cs="Arial"/>
        </w:rPr>
        <w:t xml:space="preserve"> 2018-2022. </w:t>
      </w:r>
      <w:proofErr w:type="spellStart"/>
      <w:r w:rsidRPr="003445F3">
        <w:rPr>
          <w:rFonts w:ascii="Arial" w:hAnsi="Arial" w:cs="Arial"/>
        </w:rPr>
        <w:t>Akuntabel</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Vol. 1 No. 1(1), 1–10.</w:t>
      </w:r>
    </w:p>
    <w:p w14:paraId="0CADBA7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Faturohman</w:t>
      </w:r>
      <w:proofErr w:type="spellEnd"/>
      <w:r w:rsidRPr="003445F3">
        <w:rPr>
          <w:rFonts w:ascii="Arial" w:hAnsi="Arial" w:cs="Arial"/>
        </w:rPr>
        <w:t xml:space="preserve">, T., </w:t>
      </w:r>
      <w:proofErr w:type="spellStart"/>
      <w:r w:rsidRPr="003445F3">
        <w:rPr>
          <w:rFonts w:ascii="Arial" w:hAnsi="Arial" w:cs="Arial"/>
        </w:rPr>
        <w:t>Nugraha</w:t>
      </w:r>
      <w:proofErr w:type="spellEnd"/>
      <w:r w:rsidRPr="003445F3">
        <w:rPr>
          <w:rFonts w:ascii="Arial" w:hAnsi="Arial" w:cs="Arial"/>
        </w:rPr>
        <w:t xml:space="preserve">, T. H., &amp; </w:t>
      </w:r>
      <w:proofErr w:type="spellStart"/>
      <w:r w:rsidRPr="003445F3">
        <w:rPr>
          <w:rFonts w:ascii="Arial" w:hAnsi="Arial" w:cs="Arial"/>
        </w:rPr>
        <w:t>Irawan</w:t>
      </w:r>
      <w:proofErr w:type="spellEnd"/>
      <w:r w:rsidRPr="003445F3">
        <w:rPr>
          <w:rFonts w:ascii="Arial" w:hAnsi="Arial" w:cs="Arial"/>
        </w:rPr>
        <w:t>, A. (2021). Corporate Social Responsibility Disclosure and Islamic Bank Profitability (Evidence from Indonesia). Review of Integrative Business and Economics Research, 10(1), 369–399.</w:t>
      </w:r>
    </w:p>
    <w:p w14:paraId="7FD7F18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Fauzi</w:t>
      </w:r>
      <w:proofErr w:type="spellEnd"/>
      <w:r w:rsidRPr="003445F3">
        <w:rPr>
          <w:rFonts w:ascii="Arial" w:hAnsi="Arial" w:cs="Arial"/>
        </w:rPr>
        <w:t>, H., &amp; Idris, K. (2022). CSR, GCG, and Firm Value in Indonesian Islamic Banks. Journal of Islamic Economics, 13(1), 65–82.</w:t>
      </w:r>
    </w:p>
    <w:p w14:paraId="1A5990A7"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Ferriswara</w:t>
      </w:r>
      <w:proofErr w:type="spellEnd"/>
      <w:r w:rsidRPr="003445F3">
        <w:rPr>
          <w:rFonts w:ascii="Arial" w:hAnsi="Arial" w:cs="Arial"/>
        </w:rPr>
        <w:t xml:space="preserve">, D., </w:t>
      </w:r>
      <w:proofErr w:type="spellStart"/>
      <w:r w:rsidRPr="003445F3">
        <w:rPr>
          <w:rFonts w:ascii="Arial" w:hAnsi="Arial" w:cs="Arial"/>
        </w:rPr>
        <w:t>Sayidah</w:t>
      </w:r>
      <w:proofErr w:type="spellEnd"/>
      <w:r w:rsidRPr="003445F3">
        <w:rPr>
          <w:rFonts w:ascii="Arial" w:hAnsi="Arial" w:cs="Arial"/>
        </w:rPr>
        <w:t xml:space="preserve">, N., &amp; </w:t>
      </w:r>
      <w:proofErr w:type="spellStart"/>
      <w:r w:rsidRPr="003445F3">
        <w:rPr>
          <w:rFonts w:ascii="Arial" w:hAnsi="Arial" w:cs="Arial"/>
        </w:rPr>
        <w:t>Agus</w:t>
      </w:r>
      <w:proofErr w:type="spellEnd"/>
      <w:r w:rsidRPr="003445F3">
        <w:rPr>
          <w:rFonts w:ascii="Arial" w:hAnsi="Arial" w:cs="Arial"/>
        </w:rPr>
        <w:t xml:space="preserve"> </w:t>
      </w:r>
      <w:proofErr w:type="spellStart"/>
      <w:r w:rsidRPr="003445F3">
        <w:rPr>
          <w:rFonts w:ascii="Arial" w:hAnsi="Arial" w:cs="Arial"/>
        </w:rPr>
        <w:t>Buniarto</w:t>
      </w:r>
      <w:proofErr w:type="spellEnd"/>
      <w:r w:rsidRPr="003445F3">
        <w:rPr>
          <w:rFonts w:ascii="Arial" w:hAnsi="Arial" w:cs="Arial"/>
        </w:rPr>
        <w:t xml:space="preserve">, E. (2022). Do corporate governance, capital structure predict financial performance and firm </w:t>
      </w:r>
      <w:proofErr w:type="gramStart"/>
      <w:r w:rsidRPr="003445F3">
        <w:rPr>
          <w:rFonts w:ascii="Arial" w:hAnsi="Arial" w:cs="Arial"/>
        </w:rPr>
        <w:t>value?(</w:t>
      </w:r>
      <w:proofErr w:type="gramEnd"/>
      <w:r w:rsidRPr="003445F3">
        <w:rPr>
          <w:rFonts w:ascii="Arial" w:hAnsi="Arial" w:cs="Arial"/>
        </w:rPr>
        <w:t>empirical study of Jakarta Islamic index). Cogent Business and Management, 9(1). https://doi.org/10.1080/23311975.2022.2147123</w:t>
      </w:r>
    </w:p>
    <w:p w14:paraId="50FAD6E9" w14:textId="0033DA44" w:rsidR="00BE6117" w:rsidRDefault="00BE6117" w:rsidP="008777A2">
      <w:pPr>
        <w:ind w:left="720" w:hanging="720"/>
        <w:jc w:val="both"/>
        <w:rPr>
          <w:rFonts w:ascii="Arial" w:hAnsi="Arial" w:cs="Arial"/>
        </w:rPr>
      </w:pPr>
      <w:r>
        <w:t xml:space="preserve">Freeman, R. E. (1984). </w:t>
      </w:r>
      <w:r>
        <w:rPr>
          <w:rStyle w:val="Emphasis"/>
        </w:rPr>
        <w:t>Strategic management: A stakeholder approach</w:t>
      </w:r>
      <w:r>
        <w:t>. Boston: Pitman.</w:t>
      </w:r>
    </w:p>
    <w:p w14:paraId="790F0A97" w14:textId="02DF70E6" w:rsidR="008777A2" w:rsidRPr="003445F3" w:rsidRDefault="008777A2" w:rsidP="008777A2">
      <w:pPr>
        <w:ind w:left="720" w:hanging="720"/>
        <w:jc w:val="both"/>
        <w:rPr>
          <w:rFonts w:ascii="Arial" w:hAnsi="Arial" w:cs="Arial"/>
        </w:rPr>
      </w:pPr>
      <w:r w:rsidRPr="003445F3">
        <w:rPr>
          <w:rFonts w:ascii="Arial" w:hAnsi="Arial" w:cs="Arial"/>
        </w:rPr>
        <w:t>Galbreath, J. (2018). Is board gender diversity linked to financial performance? The mediating mechanism of CSR. Business &amp; Society, 57(5), 863-889.</w:t>
      </w:r>
    </w:p>
    <w:p w14:paraId="51163E5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Gartiwa</w:t>
      </w:r>
      <w:proofErr w:type="spellEnd"/>
      <w:r w:rsidRPr="003445F3">
        <w:rPr>
          <w:rFonts w:ascii="Arial" w:hAnsi="Arial" w:cs="Arial"/>
        </w:rPr>
        <w:t xml:space="preserve">, M. S., </w:t>
      </w:r>
      <w:proofErr w:type="spellStart"/>
      <w:r w:rsidRPr="003445F3">
        <w:rPr>
          <w:rFonts w:ascii="Arial" w:hAnsi="Arial" w:cs="Arial"/>
        </w:rPr>
        <w:t>Pratiwi</w:t>
      </w:r>
      <w:proofErr w:type="spellEnd"/>
      <w:r w:rsidRPr="003445F3">
        <w:rPr>
          <w:rFonts w:ascii="Arial" w:hAnsi="Arial" w:cs="Arial"/>
        </w:rPr>
        <w:t xml:space="preserve">, L. N., </w:t>
      </w:r>
      <w:proofErr w:type="spellStart"/>
      <w:r w:rsidRPr="003445F3">
        <w:rPr>
          <w:rFonts w:ascii="Arial" w:hAnsi="Arial" w:cs="Arial"/>
        </w:rPr>
        <w:t>Juniwati</w:t>
      </w:r>
      <w:proofErr w:type="spellEnd"/>
      <w:r w:rsidRPr="003445F3">
        <w:rPr>
          <w:rFonts w:ascii="Arial" w:hAnsi="Arial" w:cs="Arial"/>
        </w:rPr>
        <w:t xml:space="preserve">, E. H., &amp; </w:t>
      </w:r>
      <w:proofErr w:type="spellStart"/>
      <w:r w:rsidRPr="003445F3">
        <w:rPr>
          <w:rFonts w:ascii="Arial" w:hAnsi="Arial" w:cs="Arial"/>
        </w:rPr>
        <w:t>Purbayati</w:t>
      </w:r>
      <w:proofErr w:type="spellEnd"/>
      <w:r w:rsidRPr="003445F3">
        <w:rPr>
          <w:rFonts w:ascii="Arial" w:hAnsi="Arial" w:cs="Arial"/>
        </w:rPr>
        <w:t xml:space="preserve">, R. (2023).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CSR Dan EPS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Size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Moderasi</w:t>
      </w:r>
      <w:proofErr w:type="spellEnd"/>
      <w:r w:rsidRPr="003445F3">
        <w:rPr>
          <w:rFonts w:ascii="Arial" w:hAnsi="Arial" w:cs="Arial"/>
        </w:rPr>
        <w:t>. Journal of Applied Islamic Economics and Finance, 3(2), 414-424.</w:t>
      </w:r>
    </w:p>
    <w:p w14:paraId="3AF7A15B" w14:textId="5FB90279" w:rsidR="001D63A9" w:rsidRDefault="001D63A9" w:rsidP="008777A2">
      <w:pPr>
        <w:ind w:left="720" w:hanging="720"/>
        <w:jc w:val="both"/>
        <w:rPr>
          <w:rFonts w:ascii="Arial" w:hAnsi="Arial" w:cs="Arial"/>
        </w:rPr>
      </w:pPr>
      <w:r>
        <w:rPr>
          <w:rFonts w:ascii="Arial" w:hAnsi="Arial" w:cs="Arial"/>
          <w:color w:val="222222"/>
          <w:shd w:val="clear" w:color="auto" w:fill="FFFFFF"/>
        </w:rPr>
        <w:t>Gujarati, D. N. (2021). </w:t>
      </w:r>
      <w:r>
        <w:rPr>
          <w:rFonts w:ascii="Arial" w:hAnsi="Arial" w:cs="Arial"/>
          <w:i/>
          <w:iCs/>
          <w:color w:val="222222"/>
          <w:shd w:val="clear" w:color="auto" w:fill="FFFFFF"/>
        </w:rPr>
        <w:t>Essentials of econometrics</w:t>
      </w:r>
      <w:r>
        <w:rPr>
          <w:rFonts w:ascii="Arial" w:hAnsi="Arial" w:cs="Arial"/>
          <w:color w:val="222222"/>
          <w:shd w:val="clear" w:color="auto" w:fill="FFFFFF"/>
        </w:rPr>
        <w:t>. Sage Publications.</w:t>
      </w:r>
    </w:p>
    <w:p w14:paraId="5D625044" w14:textId="77A2C8A0" w:rsidR="008777A2" w:rsidRPr="003445F3" w:rsidRDefault="008777A2" w:rsidP="008777A2">
      <w:pPr>
        <w:ind w:left="720" w:hanging="720"/>
        <w:jc w:val="both"/>
        <w:rPr>
          <w:rFonts w:ascii="Arial" w:hAnsi="Arial" w:cs="Arial"/>
        </w:rPr>
      </w:pPr>
      <w:proofErr w:type="spellStart"/>
      <w:r w:rsidRPr="003445F3">
        <w:rPr>
          <w:rFonts w:ascii="Arial" w:hAnsi="Arial" w:cs="Arial"/>
        </w:rPr>
        <w:t>Handayani</w:t>
      </w:r>
      <w:proofErr w:type="spellEnd"/>
      <w:r w:rsidRPr="003445F3">
        <w:rPr>
          <w:rFonts w:ascii="Arial" w:hAnsi="Arial" w:cs="Arial"/>
        </w:rPr>
        <w:t xml:space="preserve">, R., </w:t>
      </w:r>
      <w:proofErr w:type="spellStart"/>
      <w:r w:rsidRPr="003445F3">
        <w:rPr>
          <w:rFonts w:ascii="Arial" w:hAnsi="Arial" w:cs="Arial"/>
        </w:rPr>
        <w:t>Wahyudi</w:t>
      </w:r>
      <w:proofErr w:type="spellEnd"/>
      <w:r w:rsidRPr="003445F3">
        <w:rPr>
          <w:rFonts w:ascii="Arial" w:hAnsi="Arial" w:cs="Arial"/>
        </w:rPr>
        <w:t xml:space="preserve">, S., &amp; </w:t>
      </w:r>
      <w:proofErr w:type="spellStart"/>
      <w:r w:rsidRPr="003445F3">
        <w:rPr>
          <w:rFonts w:ascii="Arial" w:hAnsi="Arial" w:cs="Arial"/>
        </w:rPr>
        <w:t>Suharnomo</w:t>
      </w:r>
      <w:proofErr w:type="spellEnd"/>
      <w:r w:rsidRPr="003445F3">
        <w:rPr>
          <w:rFonts w:ascii="Arial" w:hAnsi="Arial" w:cs="Arial"/>
        </w:rPr>
        <w:t>, S. (2017). The effects of corporate social responsibility on manufacturing industry performance: The mediating role of social collaboration and green innovation. Business: Theory and Practice, 18, 152-159.</w:t>
      </w:r>
    </w:p>
    <w:p w14:paraId="5FF41591" w14:textId="2D5E0ED9" w:rsidR="00C46BBC" w:rsidRDefault="00C46BBC" w:rsidP="008777A2">
      <w:pPr>
        <w:ind w:left="720" w:hanging="720"/>
        <w:jc w:val="both"/>
        <w:rPr>
          <w:rFonts w:ascii="Arial" w:hAnsi="Arial" w:cs="Arial"/>
        </w:rPr>
      </w:pPr>
      <w:proofErr w:type="spellStart"/>
      <w:r>
        <w:rPr>
          <w:rFonts w:ascii="Arial" w:hAnsi="Arial" w:cs="Arial"/>
          <w:color w:val="222222"/>
          <w:shd w:val="clear" w:color="auto" w:fill="FFFFFF"/>
        </w:rPr>
        <w:t>Harahap</w:t>
      </w:r>
      <w:proofErr w:type="spellEnd"/>
      <w:r>
        <w:rPr>
          <w:rFonts w:ascii="Arial" w:hAnsi="Arial" w:cs="Arial"/>
          <w:color w:val="222222"/>
          <w:shd w:val="clear" w:color="auto" w:fill="FFFFFF"/>
        </w:rPr>
        <w:t xml:space="preserve">, B., </w:t>
      </w:r>
      <w:proofErr w:type="spellStart"/>
      <w:r>
        <w:rPr>
          <w:rFonts w:ascii="Arial" w:hAnsi="Arial" w:cs="Arial"/>
          <w:color w:val="222222"/>
          <w:shd w:val="clear" w:color="auto" w:fill="FFFFFF"/>
        </w:rPr>
        <w:t>Risfandy</w:t>
      </w:r>
      <w:proofErr w:type="spellEnd"/>
      <w:r>
        <w:rPr>
          <w:rFonts w:ascii="Arial" w:hAnsi="Arial" w:cs="Arial"/>
          <w:color w:val="222222"/>
          <w:shd w:val="clear" w:color="auto" w:fill="FFFFFF"/>
        </w:rPr>
        <w:t xml:space="preserve">, T., &amp; </w:t>
      </w:r>
      <w:proofErr w:type="spellStart"/>
      <w:r>
        <w:rPr>
          <w:rFonts w:ascii="Arial" w:hAnsi="Arial" w:cs="Arial"/>
          <w:color w:val="222222"/>
          <w:shd w:val="clear" w:color="auto" w:fill="FFFFFF"/>
        </w:rPr>
        <w:t>Futri</w:t>
      </w:r>
      <w:proofErr w:type="spellEnd"/>
      <w:r>
        <w:rPr>
          <w:rFonts w:ascii="Arial" w:hAnsi="Arial" w:cs="Arial"/>
          <w:color w:val="222222"/>
          <w:shd w:val="clear" w:color="auto" w:fill="FFFFFF"/>
        </w:rPr>
        <w:t>, I. N. (2023). Islamic law, Islamic finance, and sustainable development goals: A systematic literature review.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(8), 6626.</w:t>
      </w:r>
    </w:p>
    <w:p w14:paraId="1FAE378B" w14:textId="4B10D625" w:rsidR="008777A2" w:rsidRPr="003445F3" w:rsidRDefault="008777A2" w:rsidP="008777A2">
      <w:pPr>
        <w:ind w:left="720" w:hanging="720"/>
        <w:jc w:val="both"/>
        <w:rPr>
          <w:rFonts w:ascii="Arial" w:hAnsi="Arial" w:cs="Arial"/>
        </w:rPr>
      </w:pPr>
      <w:proofErr w:type="spellStart"/>
      <w:r w:rsidRPr="003445F3">
        <w:rPr>
          <w:rFonts w:ascii="Arial" w:hAnsi="Arial" w:cs="Arial"/>
        </w:rPr>
        <w:t>Harjoto</w:t>
      </w:r>
      <w:proofErr w:type="spellEnd"/>
      <w:r w:rsidRPr="003445F3">
        <w:rPr>
          <w:rFonts w:ascii="Arial" w:hAnsi="Arial" w:cs="Arial"/>
        </w:rPr>
        <w:t xml:space="preserve">, M., </w:t>
      </w:r>
      <w:proofErr w:type="spellStart"/>
      <w:r w:rsidRPr="003445F3">
        <w:rPr>
          <w:rFonts w:ascii="Arial" w:hAnsi="Arial" w:cs="Arial"/>
        </w:rPr>
        <w:t>Laksmana</w:t>
      </w:r>
      <w:proofErr w:type="spellEnd"/>
      <w:r w:rsidRPr="003445F3">
        <w:rPr>
          <w:rFonts w:ascii="Arial" w:hAnsi="Arial" w:cs="Arial"/>
        </w:rPr>
        <w:t>, I., &amp; Lee, R. (2015). Board diversity and corporate social responsibility. Journal of business ethics, 132, 641-660.</w:t>
      </w:r>
    </w:p>
    <w:p w14:paraId="784716B2" w14:textId="77777777" w:rsidR="008777A2" w:rsidRPr="003445F3" w:rsidRDefault="008777A2" w:rsidP="008777A2">
      <w:pPr>
        <w:ind w:left="720" w:hanging="720"/>
        <w:jc w:val="both"/>
        <w:rPr>
          <w:rFonts w:ascii="Arial" w:hAnsi="Arial" w:cs="Arial"/>
        </w:rPr>
      </w:pPr>
      <w:r w:rsidRPr="003445F3">
        <w:rPr>
          <w:rFonts w:ascii="Arial" w:hAnsi="Arial" w:cs="Arial"/>
        </w:rPr>
        <w:t xml:space="preserve">Harun, M. S., </w:t>
      </w:r>
      <w:proofErr w:type="spellStart"/>
      <w:r w:rsidRPr="003445F3">
        <w:rPr>
          <w:rFonts w:ascii="Arial" w:hAnsi="Arial" w:cs="Arial"/>
        </w:rPr>
        <w:t>Hussainey</w:t>
      </w:r>
      <w:proofErr w:type="spellEnd"/>
      <w:r w:rsidRPr="003445F3">
        <w:rPr>
          <w:rFonts w:ascii="Arial" w:hAnsi="Arial" w:cs="Arial"/>
        </w:rPr>
        <w:t xml:space="preserve">, K., </w:t>
      </w:r>
      <w:proofErr w:type="spellStart"/>
      <w:r w:rsidRPr="003445F3">
        <w:rPr>
          <w:rFonts w:ascii="Arial" w:hAnsi="Arial" w:cs="Arial"/>
        </w:rPr>
        <w:t>Mohd</w:t>
      </w:r>
      <w:proofErr w:type="spellEnd"/>
      <w:r w:rsidRPr="003445F3">
        <w:rPr>
          <w:rFonts w:ascii="Arial" w:hAnsi="Arial" w:cs="Arial"/>
        </w:rPr>
        <w:t xml:space="preserve"> </w:t>
      </w:r>
      <w:proofErr w:type="spellStart"/>
      <w:r w:rsidRPr="003445F3">
        <w:rPr>
          <w:rFonts w:ascii="Arial" w:hAnsi="Arial" w:cs="Arial"/>
        </w:rPr>
        <w:t>Kharuddin</w:t>
      </w:r>
      <w:proofErr w:type="spellEnd"/>
      <w:r w:rsidRPr="003445F3">
        <w:rPr>
          <w:rFonts w:ascii="Arial" w:hAnsi="Arial" w:cs="Arial"/>
        </w:rPr>
        <w:t xml:space="preserve">, K. A., &amp; </w:t>
      </w:r>
      <w:proofErr w:type="spellStart"/>
      <w:r w:rsidRPr="003445F3">
        <w:rPr>
          <w:rFonts w:ascii="Arial" w:hAnsi="Arial" w:cs="Arial"/>
        </w:rPr>
        <w:t>Farooque</w:t>
      </w:r>
      <w:proofErr w:type="spellEnd"/>
      <w:r w:rsidRPr="003445F3">
        <w:rPr>
          <w:rFonts w:ascii="Arial" w:hAnsi="Arial" w:cs="Arial"/>
        </w:rPr>
        <w:t>, O. Al. (2020). CSR Disclosure, Corporate Governance and Firm Value: a study on GCC Islamic Banks. International Journal of Accounting and Information Management, 28(4), 607–638. https://doi.org/10.1108/IJAIM-08-2019-0103</w:t>
      </w:r>
    </w:p>
    <w:p w14:paraId="5A3E96C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Haryono</w:t>
      </w:r>
      <w:proofErr w:type="spellEnd"/>
      <w:r w:rsidRPr="003445F3">
        <w:rPr>
          <w:rFonts w:ascii="Arial" w:hAnsi="Arial" w:cs="Arial"/>
        </w:rPr>
        <w:t>, U., &amp; Iskandar, R. (2015). Corporate social performance and firm value. International Journal of Business and Management Invention, 4(11), 69-75.</w:t>
      </w:r>
    </w:p>
    <w:p w14:paraId="3D0BAC8D" w14:textId="248DFF39" w:rsidR="000A5E3E" w:rsidRPr="003445F3" w:rsidRDefault="008777A2" w:rsidP="000A5E3E">
      <w:pPr>
        <w:ind w:left="720" w:hanging="720"/>
        <w:jc w:val="both"/>
        <w:rPr>
          <w:rFonts w:ascii="Arial" w:hAnsi="Arial" w:cs="Arial"/>
        </w:rPr>
      </w:pPr>
      <w:proofErr w:type="spellStart"/>
      <w:r w:rsidRPr="003445F3">
        <w:rPr>
          <w:rFonts w:ascii="Arial" w:hAnsi="Arial" w:cs="Arial"/>
        </w:rPr>
        <w:t>Hasibuan</w:t>
      </w:r>
      <w:proofErr w:type="spellEnd"/>
      <w:r w:rsidRPr="003445F3">
        <w:rPr>
          <w:rFonts w:ascii="Arial" w:hAnsi="Arial" w:cs="Arial"/>
        </w:rPr>
        <w:t>, A., &amp; Zulfikar, M. (2023). GCG as a Catalyst for Sustainable CSR in Sharia Financial Institutions. Islamic Finance Review, 10(1), 33–47.</w:t>
      </w:r>
    </w:p>
    <w:p w14:paraId="2220D94A" w14:textId="7B2A689F" w:rsidR="001D63A9" w:rsidRDefault="001D63A9" w:rsidP="000A5E3E">
      <w:pPr>
        <w:widowControl w:val="0"/>
        <w:autoSpaceDE w:val="0"/>
        <w:autoSpaceDN w:val="0"/>
        <w:adjustRightInd w:val="0"/>
        <w:ind w:left="480" w:hanging="480"/>
        <w:jc w:val="both"/>
        <w:rPr>
          <w:rFonts w:ascii="Arial" w:hAnsi="Arial" w:cs="Arial"/>
          <w:lang w:eastAsia="en-ID"/>
        </w:rPr>
      </w:pPr>
      <w:r>
        <w:rPr>
          <w:rFonts w:ascii="Arial" w:hAnsi="Arial" w:cs="Arial"/>
          <w:color w:val="222222"/>
          <w:shd w:val="clear" w:color="auto" w:fill="FFFFFF"/>
        </w:rPr>
        <w:t>Hsiao, C. (2022). </w:t>
      </w:r>
      <w:r>
        <w:rPr>
          <w:rFonts w:ascii="Arial" w:hAnsi="Arial" w:cs="Arial"/>
          <w:i/>
          <w:iCs/>
          <w:color w:val="222222"/>
          <w:shd w:val="clear" w:color="auto" w:fill="FFFFFF"/>
        </w:rPr>
        <w:t>Analysis of panel data</w:t>
      </w:r>
      <w:r>
        <w:rPr>
          <w:rFonts w:ascii="Arial" w:hAnsi="Arial" w:cs="Arial"/>
          <w:color w:val="222222"/>
          <w:shd w:val="clear" w:color="auto" w:fill="FFFFFF"/>
        </w:rPr>
        <w:t> (No. 64). Cambridge university press.</w:t>
      </w:r>
    </w:p>
    <w:p w14:paraId="66127377" w14:textId="59E78687" w:rsidR="000A5E3E" w:rsidRPr="003445F3" w:rsidRDefault="000A5E3E" w:rsidP="000A5E3E">
      <w:pPr>
        <w:widowControl w:val="0"/>
        <w:autoSpaceDE w:val="0"/>
        <w:autoSpaceDN w:val="0"/>
        <w:adjustRightInd w:val="0"/>
        <w:ind w:left="480" w:hanging="480"/>
        <w:jc w:val="both"/>
        <w:rPr>
          <w:rFonts w:ascii="Arial" w:hAnsi="Arial" w:cs="Arial"/>
          <w:noProof/>
        </w:rPr>
      </w:pPr>
      <w:r w:rsidRPr="003445F3">
        <w:rPr>
          <w:rFonts w:ascii="Arial" w:hAnsi="Arial" w:cs="Arial"/>
          <w:lang w:eastAsia="en-ID"/>
        </w:rPr>
        <w:fldChar w:fldCharType="begin" w:fldLock="1"/>
      </w:r>
      <w:r w:rsidRPr="003445F3">
        <w:rPr>
          <w:rFonts w:ascii="Arial" w:hAnsi="Arial" w:cs="Arial"/>
          <w:lang w:eastAsia="en-ID"/>
        </w:rPr>
        <w:instrText xml:space="preserve">ADDIN Mendeley Bibliography CSL_BIBLIOGRAPHY </w:instrText>
      </w:r>
      <w:r w:rsidRPr="003445F3">
        <w:rPr>
          <w:rFonts w:ascii="Arial" w:hAnsi="Arial" w:cs="Arial"/>
          <w:lang w:eastAsia="en-ID"/>
        </w:rPr>
        <w:fldChar w:fldCharType="separate"/>
      </w:r>
      <w:r w:rsidRPr="003445F3">
        <w:rPr>
          <w:rFonts w:ascii="Arial" w:hAnsi="Arial" w:cs="Arial"/>
          <w:noProof/>
          <w:szCs w:val="24"/>
        </w:rPr>
        <w:t xml:space="preserve">Itan, I. (2020). Peran Manajemen Laba Memediasi Hubungan Antara CSR, GCG Dan Kinerja Perusahaan Keluarga. </w:t>
      </w:r>
      <w:r w:rsidRPr="003445F3">
        <w:rPr>
          <w:rFonts w:ascii="Arial" w:hAnsi="Arial" w:cs="Arial"/>
          <w:i/>
          <w:iCs/>
          <w:noProof/>
          <w:szCs w:val="24"/>
        </w:rPr>
        <w:t>Jurnal Ecodemica: Jurnal Ekonomi, Manajemen, Dan Bisnis</w:t>
      </w:r>
      <w:r w:rsidRPr="003445F3">
        <w:rPr>
          <w:rFonts w:ascii="Arial" w:hAnsi="Arial" w:cs="Arial"/>
          <w:noProof/>
          <w:szCs w:val="24"/>
        </w:rPr>
        <w:t xml:space="preserve">, </w:t>
      </w:r>
      <w:r w:rsidRPr="003445F3">
        <w:rPr>
          <w:rFonts w:ascii="Arial" w:hAnsi="Arial" w:cs="Arial"/>
          <w:i/>
          <w:iCs/>
          <w:noProof/>
          <w:szCs w:val="24"/>
        </w:rPr>
        <w:t>4</w:t>
      </w:r>
      <w:r w:rsidRPr="003445F3">
        <w:rPr>
          <w:rFonts w:ascii="Arial" w:hAnsi="Arial" w:cs="Arial"/>
          <w:noProof/>
          <w:szCs w:val="24"/>
        </w:rPr>
        <w:t>(2), 318–329. https://doi.org/10.31294/jeco.v4i2.8146</w:t>
      </w:r>
    </w:p>
    <w:p w14:paraId="551CA05A" w14:textId="14B1D548" w:rsidR="008777A2" w:rsidRPr="003445F3" w:rsidRDefault="000A5E3E" w:rsidP="000A5E3E">
      <w:pPr>
        <w:ind w:left="720" w:hanging="720"/>
        <w:jc w:val="both"/>
        <w:rPr>
          <w:rFonts w:ascii="Arial" w:hAnsi="Arial" w:cs="Arial"/>
        </w:rPr>
      </w:pPr>
      <w:r w:rsidRPr="003445F3">
        <w:rPr>
          <w:rFonts w:ascii="Arial" w:hAnsi="Arial" w:cs="Arial"/>
          <w:lang w:eastAsia="en-ID"/>
        </w:rPr>
        <w:fldChar w:fldCharType="end"/>
      </w:r>
      <w:r w:rsidR="008777A2" w:rsidRPr="003445F3">
        <w:rPr>
          <w:rFonts w:ascii="Arial" w:hAnsi="Arial" w:cs="Arial"/>
        </w:rPr>
        <w:t xml:space="preserve">Iii, B. A. B., &amp; </w:t>
      </w:r>
      <w:proofErr w:type="spellStart"/>
      <w:r w:rsidR="008777A2" w:rsidRPr="003445F3">
        <w:rPr>
          <w:rFonts w:ascii="Arial" w:hAnsi="Arial" w:cs="Arial"/>
        </w:rPr>
        <w:t>Penelitian</w:t>
      </w:r>
      <w:proofErr w:type="spellEnd"/>
      <w:r w:rsidR="008777A2" w:rsidRPr="003445F3">
        <w:rPr>
          <w:rFonts w:ascii="Arial" w:hAnsi="Arial" w:cs="Arial"/>
        </w:rPr>
        <w:t xml:space="preserve">, M. (2020). </w:t>
      </w:r>
      <w:proofErr w:type="spellStart"/>
      <w:r w:rsidR="008777A2" w:rsidRPr="003445F3">
        <w:rPr>
          <w:rFonts w:ascii="Arial" w:hAnsi="Arial" w:cs="Arial"/>
        </w:rPr>
        <w:t>Aprillina</w:t>
      </w:r>
      <w:proofErr w:type="spellEnd"/>
      <w:r w:rsidR="008777A2" w:rsidRPr="003445F3">
        <w:rPr>
          <w:rFonts w:ascii="Arial" w:hAnsi="Arial" w:cs="Arial"/>
        </w:rPr>
        <w:t xml:space="preserve"> Nur </w:t>
      </w:r>
      <w:proofErr w:type="spellStart"/>
      <w:r w:rsidR="008777A2" w:rsidRPr="003445F3">
        <w:rPr>
          <w:rFonts w:ascii="Arial" w:hAnsi="Arial" w:cs="Arial"/>
        </w:rPr>
        <w:t>Afnilis</w:t>
      </w:r>
      <w:proofErr w:type="spellEnd"/>
      <w:r w:rsidR="008777A2" w:rsidRPr="003445F3">
        <w:rPr>
          <w:rFonts w:ascii="Arial" w:hAnsi="Arial" w:cs="Arial"/>
        </w:rPr>
        <w:t xml:space="preserve">, 2020 PENGARUH GOOD CORPORATE GOVERNANCE TERHADAP NILAI PERUSAHAAN DENGAN KINERJA KEUANGAN SEBAGAI VARIABEL PEMODERASI </w:t>
      </w:r>
      <w:proofErr w:type="spellStart"/>
      <w:r w:rsidR="008777A2" w:rsidRPr="003445F3">
        <w:rPr>
          <w:rFonts w:ascii="Arial" w:hAnsi="Arial" w:cs="Arial"/>
        </w:rPr>
        <w:t>Universitas</w:t>
      </w:r>
      <w:proofErr w:type="spellEnd"/>
      <w:r w:rsidR="008777A2" w:rsidRPr="003445F3">
        <w:rPr>
          <w:rFonts w:ascii="Arial" w:hAnsi="Arial" w:cs="Arial"/>
        </w:rPr>
        <w:t xml:space="preserve"> Pendidikan Indonesia | repository.upi.edu | perpustakaan.upi.edu. 65–80.</w:t>
      </w:r>
    </w:p>
    <w:p w14:paraId="37377BFB" w14:textId="0518F347" w:rsidR="00160B07" w:rsidRPr="003445F3" w:rsidRDefault="00160B07" w:rsidP="008777A2">
      <w:pPr>
        <w:ind w:left="720" w:hanging="720"/>
        <w:jc w:val="both"/>
        <w:rPr>
          <w:rFonts w:ascii="Arial" w:hAnsi="Arial" w:cs="Arial"/>
        </w:rPr>
      </w:pPr>
      <w:proofErr w:type="spellStart"/>
      <w:r w:rsidRPr="003445F3">
        <w:rPr>
          <w:rFonts w:ascii="Arial" w:hAnsi="Arial" w:cs="Arial"/>
        </w:rPr>
        <w:t>Innayah</w:t>
      </w:r>
      <w:proofErr w:type="spellEnd"/>
      <w:r w:rsidRPr="003445F3">
        <w:rPr>
          <w:rFonts w:ascii="Arial" w:hAnsi="Arial" w:cs="Arial"/>
        </w:rPr>
        <w:t xml:space="preserve">, M. N., </w:t>
      </w:r>
      <w:proofErr w:type="spellStart"/>
      <w:r w:rsidRPr="003445F3">
        <w:rPr>
          <w:rFonts w:ascii="Arial" w:hAnsi="Arial" w:cs="Arial"/>
        </w:rPr>
        <w:t>Pratama</w:t>
      </w:r>
      <w:proofErr w:type="spellEnd"/>
      <w:r w:rsidRPr="003445F3">
        <w:rPr>
          <w:rFonts w:ascii="Arial" w:hAnsi="Arial" w:cs="Arial"/>
        </w:rPr>
        <w:t xml:space="preserve">, B. C., &amp; </w:t>
      </w:r>
      <w:proofErr w:type="spellStart"/>
      <w:r w:rsidRPr="003445F3">
        <w:rPr>
          <w:rFonts w:ascii="Arial" w:hAnsi="Arial" w:cs="Arial"/>
        </w:rPr>
        <w:t>Tubastuvi</w:t>
      </w:r>
      <w:proofErr w:type="spellEnd"/>
      <w:r w:rsidRPr="003445F3">
        <w:rPr>
          <w:rFonts w:ascii="Arial" w:hAnsi="Arial" w:cs="Arial"/>
        </w:rPr>
        <w:t>, N. (2021). Board Diversity and Its Effects on Performance and Risk: A Study in Banking Firms in Indonesia, Journal of Accounting and Investment, 22(1), 206-220.</w:t>
      </w:r>
    </w:p>
    <w:p w14:paraId="4640757C" w14:textId="3F263120" w:rsidR="008777A2" w:rsidRPr="003445F3" w:rsidRDefault="008777A2" w:rsidP="008777A2">
      <w:pPr>
        <w:ind w:left="720" w:hanging="720"/>
        <w:jc w:val="both"/>
        <w:rPr>
          <w:rFonts w:ascii="Arial" w:hAnsi="Arial" w:cs="Arial"/>
        </w:rPr>
      </w:pPr>
      <w:proofErr w:type="spellStart"/>
      <w:r w:rsidRPr="003445F3">
        <w:rPr>
          <w:rFonts w:ascii="Arial" w:hAnsi="Arial" w:cs="Arial"/>
        </w:rPr>
        <w:t>Innayah</w:t>
      </w:r>
      <w:proofErr w:type="spellEnd"/>
      <w:r w:rsidRPr="003445F3">
        <w:rPr>
          <w:rFonts w:ascii="Arial" w:hAnsi="Arial" w:cs="Arial"/>
        </w:rPr>
        <w:t xml:space="preserve">, M. </w:t>
      </w:r>
      <w:proofErr w:type="spellStart"/>
      <w:r w:rsidRPr="003445F3">
        <w:rPr>
          <w:rFonts w:ascii="Arial" w:hAnsi="Arial" w:cs="Arial"/>
        </w:rPr>
        <w:t>nurul</w:t>
      </w:r>
      <w:proofErr w:type="spellEnd"/>
      <w:r w:rsidRPr="003445F3">
        <w:rPr>
          <w:rFonts w:ascii="Arial" w:hAnsi="Arial" w:cs="Arial"/>
        </w:rPr>
        <w:t xml:space="preserve">, </w:t>
      </w:r>
      <w:proofErr w:type="spellStart"/>
      <w:r w:rsidRPr="003445F3">
        <w:rPr>
          <w:rFonts w:ascii="Arial" w:hAnsi="Arial" w:cs="Arial"/>
        </w:rPr>
        <w:t>Arofah</w:t>
      </w:r>
      <w:proofErr w:type="spellEnd"/>
      <w:r w:rsidRPr="003445F3">
        <w:rPr>
          <w:rFonts w:ascii="Arial" w:hAnsi="Arial" w:cs="Arial"/>
        </w:rPr>
        <w:t xml:space="preserve">, R. U., &amp; </w:t>
      </w:r>
      <w:proofErr w:type="spellStart"/>
      <w:r w:rsidRPr="003445F3">
        <w:rPr>
          <w:rFonts w:ascii="Arial" w:hAnsi="Arial" w:cs="Arial"/>
        </w:rPr>
        <w:t>Cinintya</w:t>
      </w:r>
      <w:proofErr w:type="spellEnd"/>
      <w:r w:rsidRPr="003445F3">
        <w:rPr>
          <w:rFonts w:ascii="Arial" w:hAnsi="Arial" w:cs="Arial"/>
        </w:rPr>
        <w:t xml:space="preserve"> </w:t>
      </w:r>
      <w:proofErr w:type="spellStart"/>
      <w:r w:rsidRPr="003445F3">
        <w:rPr>
          <w:rFonts w:ascii="Arial" w:hAnsi="Arial" w:cs="Arial"/>
        </w:rPr>
        <w:t>Pratama</w:t>
      </w:r>
      <w:proofErr w:type="spellEnd"/>
      <w:r w:rsidRPr="003445F3">
        <w:rPr>
          <w:rFonts w:ascii="Arial" w:hAnsi="Arial" w:cs="Arial"/>
        </w:rPr>
        <w:t>, B. (2023). Does Social Responsibility Affect Performance of Islamic Bank in Indonesia? the Role of Board Diversity. Management Analysis Journal, 12(2), 232–241. http://maj.unnes.ac.id</w:t>
      </w:r>
    </w:p>
    <w:p w14:paraId="31E7F941"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lastRenderedPageBreak/>
        <w:t>Isik</w:t>
      </w:r>
      <w:proofErr w:type="spellEnd"/>
      <w:r w:rsidRPr="003445F3">
        <w:rPr>
          <w:rFonts w:ascii="Arial" w:hAnsi="Arial" w:cs="Arial"/>
        </w:rPr>
        <w:t>, O., &amp; Ince, A. R. (2016). Board size, board composition and performance: An investigation on Turkish banks. International Business Research, 9(2), 74-84.</w:t>
      </w:r>
    </w:p>
    <w:p w14:paraId="2B51F8F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Kahloul</w:t>
      </w:r>
      <w:proofErr w:type="spellEnd"/>
      <w:r w:rsidRPr="003445F3">
        <w:rPr>
          <w:rFonts w:ascii="Arial" w:hAnsi="Arial" w:cs="Arial"/>
        </w:rPr>
        <w:t xml:space="preserve">, I., </w:t>
      </w:r>
      <w:proofErr w:type="spellStart"/>
      <w:r w:rsidRPr="003445F3">
        <w:rPr>
          <w:rFonts w:ascii="Arial" w:hAnsi="Arial" w:cs="Arial"/>
        </w:rPr>
        <w:t>Sbai</w:t>
      </w:r>
      <w:proofErr w:type="spellEnd"/>
      <w:r w:rsidRPr="003445F3">
        <w:rPr>
          <w:rFonts w:ascii="Arial" w:hAnsi="Arial" w:cs="Arial"/>
        </w:rPr>
        <w:t xml:space="preserve">, H., &amp; </w:t>
      </w:r>
      <w:proofErr w:type="spellStart"/>
      <w:r w:rsidRPr="003445F3">
        <w:rPr>
          <w:rFonts w:ascii="Arial" w:hAnsi="Arial" w:cs="Arial"/>
        </w:rPr>
        <w:t>Grira</w:t>
      </w:r>
      <w:proofErr w:type="spellEnd"/>
      <w:r w:rsidRPr="003445F3">
        <w:rPr>
          <w:rFonts w:ascii="Arial" w:hAnsi="Arial" w:cs="Arial"/>
        </w:rPr>
        <w:t>, J. (2022). Does Corporate Social Responsibility reporting improve financial performance? The moderating role of board diversity and gender composition. The Quarterly Review of Economics and Finance, 84, 305-314.</w:t>
      </w:r>
    </w:p>
    <w:p w14:paraId="02C93171"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Kakanda</w:t>
      </w:r>
      <w:proofErr w:type="spellEnd"/>
      <w:r w:rsidRPr="003445F3">
        <w:rPr>
          <w:rFonts w:ascii="Arial" w:hAnsi="Arial" w:cs="Arial"/>
        </w:rPr>
        <w:t xml:space="preserve">, M. M., Salim, B., &amp; </w:t>
      </w:r>
      <w:proofErr w:type="spellStart"/>
      <w:r w:rsidRPr="003445F3">
        <w:rPr>
          <w:rFonts w:ascii="Arial" w:hAnsi="Arial" w:cs="Arial"/>
        </w:rPr>
        <w:t>Chandren</w:t>
      </w:r>
      <w:proofErr w:type="spellEnd"/>
      <w:r w:rsidRPr="003445F3">
        <w:rPr>
          <w:rFonts w:ascii="Arial" w:hAnsi="Arial" w:cs="Arial"/>
        </w:rPr>
        <w:t>, S. (2016). Review of the Relationship between Board Attributes and Firm Performance. Asian Journal of Finance &amp; Accounting, 8(1), 168. https://doi.org/10.5296/ajfa.v8i1.9319</w:t>
      </w:r>
    </w:p>
    <w:p w14:paraId="7B7A6C60" w14:textId="77777777" w:rsidR="008777A2" w:rsidRPr="003445F3" w:rsidRDefault="008777A2" w:rsidP="008777A2">
      <w:pPr>
        <w:ind w:left="720" w:hanging="720"/>
        <w:jc w:val="both"/>
        <w:rPr>
          <w:rFonts w:ascii="Arial" w:hAnsi="Arial" w:cs="Arial"/>
        </w:rPr>
      </w:pPr>
      <w:r w:rsidRPr="003445F3">
        <w:rPr>
          <w:rFonts w:ascii="Arial" w:hAnsi="Arial" w:cs="Arial"/>
        </w:rPr>
        <w:t>Khan, I., Khan, I., Khan, I. U., Suleman, S., &amp; Ali, S. (2023). Board diversity on firm performance from resource-based view perspective: new evidence from Pakistan. International Journal of Productivity and Performance Management, (ahead-of-print).</w:t>
      </w:r>
    </w:p>
    <w:p w14:paraId="229CA527"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Kristantiningtyas</w:t>
      </w:r>
      <w:proofErr w:type="spellEnd"/>
      <w:r w:rsidRPr="003445F3">
        <w:rPr>
          <w:rFonts w:ascii="Arial" w:hAnsi="Arial" w:cs="Arial"/>
        </w:rPr>
        <w:t xml:space="preserve">, D., &amp; </w:t>
      </w:r>
      <w:proofErr w:type="spellStart"/>
      <w:r w:rsidRPr="003445F3">
        <w:rPr>
          <w:rFonts w:ascii="Arial" w:hAnsi="Arial" w:cs="Arial"/>
        </w:rPr>
        <w:t>Dewi</w:t>
      </w:r>
      <w:proofErr w:type="spellEnd"/>
      <w:r w:rsidRPr="003445F3">
        <w:rPr>
          <w:rFonts w:ascii="Arial" w:hAnsi="Arial" w:cs="Arial"/>
        </w:rPr>
        <w:t>, M. R. K. (2024). The Effect of Liquidity, Leverage and Company Size on Company Value with Corporate Social Responsibility as a Mediating Variable.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w:t>
      </w:r>
      <w:proofErr w:type="spellStart"/>
      <w:r w:rsidRPr="003445F3">
        <w:rPr>
          <w:rFonts w:ascii="Arial" w:hAnsi="Arial" w:cs="Arial"/>
        </w:rPr>
        <w:t>Kesatuan</w:t>
      </w:r>
      <w:proofErr w:type="spellEnd"/>
      <w:r w:rsidRPr="003445F3">
        <w:rPr>
          <w:rFonts w:ascii="Arial" w:hAnsi="Arial" w:cs="Arial"/>
        </w:rPr>
        <w:t>, 12(1), 117-125.</w:t>
      </w:r>
    </w:p>
    <w:p w14:paraId="5C896B2F" w14:textId="66C89D22" w:rsidR="00BE6117" w:rsidRDefault="00BE6117" w:rsidP="008777A2">
      <w:pPr>
        <w:ind w:left="720" w:hanging="720"/>
        <w:jc w:val="both"/>
        <w:rPr>
          <w:rFonts w:ascii="Arial" w:hAnsi="Arial" w:cs="Arial"/>
        </w:rPr>
      </w:pPr>
      <w:r>
        <w:t xml:space="preserve">Li, X., Chen, Y., &amp; Zhang, L. (2025). Corporate social responsibility and financial performance: A meta-analysis across emerging markets. </w:t>
      </w:r>
      <w:r>
        <w:rPr>
          <w:rStyle w:val="Emphasis"/>
        </w:rPr>
        <w:t>Journal of Business Research, 174</w:t>
      </w:r>
      <w:r>
        <w:t>, 114295.</w:t>
      </w:r>
    </w:p>
    <w:p w14:paraId="6E78808A" w14:textId="02FDC55E" w:rsidR="008777A2" w:rsidRPr="003445F3" w:rsidRDefault="008777A2" w:rsidP="008777A2">
      <w:pPr>
        <w:ind w:left="720" w:hanging="720"/>
        <w:jc w:val="both"/>
        <w:rPr>
          <w:rFonts w:ascii="Arial" w:hAnsi="Arial" w:cs="Arial"/>
        </w:rPr>
      </w:pPr>
      <w:proofErr w:type="spellStart"/>
      <w:r w:rsidRPr="003445F3">
        <w:rPr>
          <w:rFonts w:ascii="Arial" w:hAnsi="Arial" w:cs="Arial"/>
        </w:rPr>
        <w:t>Lubis</w:t>
      </w:r>
      <w:proofErr w:type="spellEnd"/>
      <w:r w:rsidRPr="003445F3">
        <w:rPr>
          <w:rFonts w:ascii="Arial" w:hAnsi="Arial" w:cs="Arial"/>
        </w:rPr>
        <w:t xml:space="preserve">, A., &amp; </w:t>
      </w:r>
      <w:proofErr w:type="spellStart"/>
      <w:r w:rsidRPr="003445F3">
        <w:rPr>
          <w:rFonts w:ascii="Arial" w:hAnsi="Arial" w:cs="Arial"/>
        </w:rPr>
        <w:t>Hanum</w:t>
      </w:r>
      <w:proofErr w:type="spellEnd"/>
      <w:r w:rsidRPr="003445F3">
        <w:rPr>
          <w:rFonts w:ascii="Arial" w:hAnsi="Arial" w:cs="Arial"/>
        </w:rPr>
        <w:t xml:space="preserve">, N. (2021). Corporate Social Responsibility and Financial Performance: Evidence from Indonesian Islamic Banking Sector.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xml:space="preserve"> Islam, 9(2), 120–133.</w:t>
      </w:r>
    </w:p>
    <w:p w14:paraId="1FE810E4"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Malik, H. B., </w:t>
      </w:r>
      <w:proofErr w:type="spellStart"/>
      <w:r w:rsidRPr="003445F3">
        <w:rPr>
          <w:rFonts w:ascii="Arial" w:hAnsi="Arial" w:cs="Arial"/>
        </w:rPr>
        <w:t>Akmaludin</w:t>
      </w:r>
      <w:proofErr w:type="spellEnd"/>
      <w:r w:rsidRPr="003445F3">
        <w:rPr>
          <w:rFonts w:ascii="Arial" w:hAnsi="Arial" w:cs="Arial"/>
        </w:rPr>
        <w:t xml:space="preserve">, I., &amp; </w:t>
      </w:r>
      <w:proofErr w:type="spellStart"/>
      <w:r w:rsidRPr="003445F3">
        <w:rPr>
          <w:rFonts w:ascii="Arial" w:hAnsi="Arial" w:cs="Arial"/>
        </w:rPr>
        <w:t>Asayesh</w:t>
      </w:r>
      <w:proofErr w:type="spellEnd"/>
      <w:r w:rsidRPr="003445F3">
        <w:rPr>
          <w:rFonts w:ascii="Arial" w:hAnsi="Arial" w:cs="Arial"/>
        </w:rPr>
        <w:t>, H. (2024). The Influence of Sharia Supervisory Board Characteristics on the Financial Performance of Islamic Banks. Journal of Islamic Economics Perspectives, 6(1), 24-46.</w:t>
      </w:r>
    </w:p>
    <w:p w14:paraId="24DCBDE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Manyaga</w:t>
      </w:r>
      <w:proofErr w:type="spellEnd"/>
      <w:r w:rsidRPr="003445F3">
        <w:rPr>
          <w:rFonts w:ascii="Arial" w:hAnsi="Arial" w:cs="Arial"/>
        </w:rPr>
        <w:t xml:space="preserve">, C. B., Muturi, W., &amp; </w:t>
      </w:r>
      <w:proofErr w:type="spellStart"/>
      <w:r w:rsidRPr="003445F3">
        <w:rPr>
          <w:rFonts w:ascii="Arial" w:hAnsi="Arial" w:cs="Arial"/>
        </w:rPr>
        <w:t>Oluoch</w:t>
      </w:r>
      <w:proofErr w:type="spellEnd"/>
      <w:r w:rsidRPr="003445F3">
        <w:rPr>
          <w:rFonts w:ascii="Arial" w:hAnsi="Arial" w:cs="Arial"/>
        </w:rPr>
        <w:t>, O. (2020). Board gender diversity and financial performance of commercial banks in Kenya. Journal of Finance and Accounting, 8(1), 1-10.</w:t>
      </w:r>
    </w:p>
    <w:p w14:paraId="436D9D1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Mariyantini</w:t>
      </w:r>
      <w:proofErr w:type="spellEnd"/>
      <w:r w:rsidRPr="003445F3">
        <w:rPr>
          <w:rFonts w:ascii="Arial" w:hAnsi="Arial" w:cs="Arial"/>
        </w:rPr>
        <w:t xml:space="preserve">, N. L. P. N., &amp; Putri, I. G. A. M. A. D. (2018). </w:t>
      </w:r>
      <w:proofErr w:type="spellStart"/>
      <w:r w:rsidRPr="003445F3">
        <w:rPr>
          <w:rFonts w:ascii="Arial" w:hAnsi="Arial" w:cs="Arial"/>
        </w:rPr>
        <w:t>Pengaruh</w:t>
      </w:r>
      <w:proofErr w:type="spellEnd"/>
      <w:r w:rsidRPr="003445F3">
        <w:rPr>
          <w:rFonts w:ascii="Arial" w:hAnsi="Arial" w:cs="Arial"/>
        </w:rPr>
        <w:t xml:space="preserve"> CSR dan Intellectual Capital Pada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BEI </w:t>
      </w:r>
      <w:proofErr w:type="spellStart"/>
      <w:r w:rsidRPr="003445F3">
        <w:rPr>
          <w:rFonts w:ascii="Arial" w:hAnsi="Arial" w:cs="Arial"/>
        </w:rPr>
        <w:t>Periode</w:t>
      </w:r>
      <w:proofErr w:type="spellEnd"/>
      <w:r w:rsidRPr="003445F3">
        <w:rPr>
          <w:rFonts w:ascii="Arial" w:hAnsi="Arial" w:cs="Arial"/>
        </w:rPr>
        <w:t xml:space="preserve"> 2013-2016. E-</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w:t>
      </w:r>
      <w:proofErr w:type="spellStart"/>
      <w:r w:rsidRPr="003445F3">
        <w:rPr>
          <w:rFonts w:ascii="Arial" w:hAnsi="Arial" w:cs="Arial"/>
        </w:rPr>
        <w:t>Universitas</w:t>
      </w:r>
      <w:proofErr w:type="spellEnd"/>
      <w:r w:rsidRPr="003445F3">
        <w:rPr>
          <w:rFonts w:ascii="Arial" w:hAnsi="Arial" w:cs="Arial"/>
        </w:rPr>
        <w:t xml:space="preserve"> </w:t>
      </w:r>
      <w:proofErr w:type="spellStart"/>
      <w:r w:rsidRPr="003445F3">
        <w:rPr>
          <w:rFonts w:ascii="Arial" w:hAnsi="Arial" w:cs="Arial"/>
        </w:rPr>
        <w:t>Udayana</w:t>
      </w:r>
      <w:proofErr w:type="spellEnd"/>
      <w:r w:rsidRPr="003445F3">
        <w:rPr>
          <w:rFonts w:ascii="Arial" w:hAnsi="Arial" w:cs="Arial"/>
        </w:rPr>
        <w:t>, 23(2), 1171-1200.</w:t>
      </w:r>
    </w:p>
    <w:p w14:paraId="5F31075F"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Maryanti</w:t>
      </w:r>
      <w:proofErr w:type="spellEnd"/>
      <w:r w:rsidRPr="003445F3">
        <w:rPr>
          <w:rFonts w:ascii="Arial" w:hAnsi="Arial" w:cs="Arial"/>
        </w:rPr>
        <w:t xml:space="preserve">, E., &amp; </w:t>
      </w:r>
      <w:proofErr w:type="spellStart"/>
      <w:r w:rsidRPr="003445F3">
        <w:rPr>
          <w:rFonts w:ascii="Arial" w:hAnsi="Arial" w:cs="Arial"/>
        </w:rPr>
        <w:t>Fithri</w:t>
      </w:r>
      <w:proofErr w:type="spellEnd"/>
      <w:r w:rsidRPr="003445F3">
        <w:rPr>
          <w:rFonts w:ascii="Arial" w:hAnsi="Arial" w:cs="Arial"/>
        </w:rPr>
        <w:t xml:space="preserve">, W. N. (2017). Corporate social </w:t>
      </w:r>
      <w:proofErr w:type="spellStart"/>
      <w:r w:rsidRPr="003445F3">
        <w:rPr>
          <w:rFonts w:ascii="Arial" w:hAnsi="Arial" w:cs="Arial"/>
        </w:rPr>
        <w:t>responsibilty</w:t>
      </w:r>
      <w:proofErr w:type="spellEnd"/>
      <w:r w:rsidRPr="003445F3">
        <w:rPr>
          <w:rFonts w:ascii="Arial" w:hAnsi="Arial" w:cs="Arial"/>
        </w:rPr>
        <w:t xml:space="preserve">, good corporate governance,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lingkungan</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dan </w:t>
      </w:r>
      <w:proofErr w:type="spellStart"/>
      <w:r w:rsidRPr="003445F3">
        <w:rPr>
          <w:rFonts w:ascii="Arial" w:hAnsi="Arial" w:cs="Arial"/>
        </w:rPr>
        <w:t>pengaruhnya</w:t>
      </w:r>
      <w:proofErr w:type="spellEnd"/>
      <w:r w:rsidRPr="003445F3">
        <w:rPr>
          <w:rFonts w:ascii="Arial" w:hAnsi="Arial" w:cs="Arial"/>
        </w:rPr>
        <w:t xml:space="preserve"> pada </w:t>
      </w:r>
      <w:proofErr w:type="spellStart"/>
      <w:r w:rsidRPr="003445F3">
        <w:rPr>
          <w:rFonts w:ascii="Arial" w:hAnsi="Arial" w:cs="Arial"/>
        </w:rPr>
        <w:t>nilai</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Journal of Accounting Science, 1(1), 21-37.</w:t>
      </w:r>
    </w:p>
    <w:p w14:paraId="76F4BD4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Maryatmi</w:t>
      </w:r>
      <w:proofErr w:type="spellEnd"/>
      <w:r w:rsidRPr="003445F3">
        <w:rPr>
          <w:rFonts w:ascii="Arial" w:hAnsi="Arial" w:cs="Arial"/>
        </w:rPr>
        <w:t xml:space="preserve">, I. Y., &amp; Mohammad Hatta </w:t>
      </w:r>
      <w:proofErr w:type="spellStart"/>
      <w:r w:rsidRPr="003445F3">
        <w:rPr>
          <w:rFonts w:ascii="Arial" w:hAnsi="Arial" w:cs="Arial"/>
        </w:rPr>
        <w:t>Fahamsyah</w:t>
      </w:r>
      <w:proofErr w:type="spellEnd"/>
      <w:r w:rsidRPr="003445F3">
        <w:rPr>
          <w:rFonts w:ascii="Arial" w:hAnsi="Arial" w:cs="Arial"/>
        </w:rPr>
        <w:t xml:space="preserve">. (2023).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Dengan</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Corporate Social </w:t>
      </w:r>
      <w:proofErr w:type="spellStart"/>
      <w:r w:rsidRPr="003445F3">
        <w:rPr>
          <w:rFonts w:ascii="Arial" w:hAnsi="Arial" w:cs="Arial"/>
        </w:rPr>
        <w:t>Responbility</w:t>
      </w:r>
      <w:proofErr w:type="spellEnd"/>
      <w:r w:rsidRPr="003445F3">
        <w:rPr>
          <w:rFonts w:ascii="Arial" w:hAnsi="Arial" w:cs="Arial"/>
        </w:rPr>
        <w:t xml:space="preserve"> Dan Good Corporate Governance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Variabel</w:t>
      </w:r>
      <w:proofErr w:type="spellEnd"/>
      <w:r w:rsidRPr="003445F3">
        <w:rPr>
          <w:rFonts w:ascii="Arial" w:hAnsi="Arial" w:cs="Arial"/>
        </w:rPr>
        <w:t xml:space="preserve"> </w:t>
      </w:r>
      <w:proofErr w:type="spellStart"/>
      <w:r w:rsidRPr="003445F3">
        <w:rPr>
          <w:rFonts w:ascii="Arial" w:hAnsi="Arial" w:cs="Arial"/>
        </w:rPr>
        <w:t>Pemoderasi</w:t>
      </w:r>
      <w:proofErr w:type="spellEnd"/>
      <w:r w:rsidRPr="003445F3">
        <w:rPr>
          <w:rFonts w:ascii="Arial" w:hAnsi="Arial" w:cs="Arial"/>
        </w:rPr>
        <w:t>. JEMSI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Manajemen</w:t>
      </w:r>
      <w:proofErr w:type="spellEnd"/>
      <w:r w:rsidRPr="003445F3">
        <w:rPr>
          <w:rFonts w:ascii="Arial" w:hAnsi="Arial" w:cs="Arial"/>
        </w:rPr>
        <w:t xml:space="preserve">, Dan </w:t>
      </w:r>
      <w:proofErr w:type="spellStart"/>
      <w:r w:rsidRPr="003445F3">
        <w:rPr>
          <w:rFonts w:ascii="Arial" w:hAnsi="Arial" w:cs="Arial"/>
        </w:rPr>
        <w:t>Akuntansi</w:t>
      </w:r>
      <w:proofErr w:type="spellEnd"/>
      <w:r w:rsidRPr="003445F3">
        <w:rPr>
          <w:rFonts w:ascii="Arial" w:hAnsi="Arial" w:cs="Arial"/>
        </w:rPr>
        <w:t>), 9(4), 1324–1335. https://doi.org/10.35870/jemsi.v9i4.1297</w:t>
      </w:r>
    </w:p>
    <w:p w14:paraId="260EFB21"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Maulana, M. A., </w:t>
      </w:r>
      <w:proofErr w:type="spellStart"/>
      <w:r w:rsidRPr="003445F3">
        <w:rPr>
          <w:rFonts w:ascii="Arial" w:hAnsi="Arial" w:cs="Arial"/>
        </w:rPr>
        <w:t>Rivanda</w:t>
      </w:r>
      <w:proofErr w:type="spellEnd"/>
      <w:r w:rsidRPr="003445F3">
        <w:rPr>
          <w:rFonts w:ascii="Arial" w:hAnsi="Arial" w:cs="Arial"/>
        </w:rPr>
        <w:t xml:space="preserve">, A. K., &amp; </w:t>
      </w:r>
      <w:proofErr w:type="spellStart"/>
      <w:r w:rsidRPr="003445F3">
        <w:rPr>
          <w:rFonts w:ascii="Arial" w:hAnsi="Arial" w:cs="Arial"/>
        </w:rPr>
        <w:t>Nugraha</w:t>
      </w:r>
      <w:proofErr w:type="spellEnd"/>
      <w:r w:rsidRPr="003445F3">
        <w:rPr>
          <w:rFonts w:ascii="Arial" w:hAnsi="Arial" w:cs="Arial"/>
        </w:rPr>
        <w:t xml:space="preserve">, G. (2025). The Effect of Good Corporate Governance (GCG) and Bank Size on Financial Performance with Non-Performing Financing (NPF) as a Moderating Variable in Islamic Banking in 2019-2023.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Teknologi</w:t>
      </w:r>
      <w:proofErr w:type="spellEnd"/>
      <w:r w:rsidRPr="003445F3">
        <w:rPr>
          <w:rFonts w:ascii="Arial" w:hAnsi="Arial" w:cs="Arial"/>
        </w:rPr>
        <w:t xml:space="preserve"> Dan </w:t>
      </w:r>
      <w:proofErr w:type="spellStart"/>
      <w:r w:rsidRPr="003445F3">
        <w:rPr>
          <w:rFonts w:ascii="Arial" w:hAnsi="Arial" w:cs="Arial"/>
        </w:rPr>
        <w:t>Bisnis</w:t>
      </w:r>
      <w:proofErr w:type="spellEnd"/>
      <w:r w:rsidRPr="003445F3">
        <w:rPr>
          <w:rFonts w:ascii="Arial" w:hAnsi="Arial" w:cs="Arial"/>
        </w:rPr>
        <w:t xml:space="preserve"> (JETBIS), 4(2), 46–61. https://doi.org/10.57185/jetbis.v4i2.178</w:t>
      </w:r>
    </w:p>
    <w:p w14:paraId="27C4F7D5" w14:textId="77777777" w:rsidR="008777A2" w:rsidRPr="003445F3" w:rsidRDefault="008777A2" w:rsidP="008777A2">
      <w:pPr>
        <w:ind w:left="720" w:hanging="720"/>
        <w:jc w:val="both"/>
        <w:rPr>
          <w:rFonts w:ascii="Arial" w:hAnsi="Arial" w:cs="Arial"/>
        </w:rPr>
      </w:pPr>
      <w:r w:rsidRPr="003445F3">
        <w:rPr>
          <w:rFonts w:ascii="Arial" w:hAnsi="Arial" w:cs="Arial"/>
        </w:rPr>
        <w:t xml:space="preserve">Maulana, M. A., </w:t>
      </w:r>
      <w:proofErr w:type="spellStart"/>
      <w:r w:rsidRPr="003445F3">
        <w:rPr>
          <w:rFonts w:ascii="Arial" w:hAnsi="Arial" w:cs="Arial"/>
        </w:rPr>
        <w:t>Rivanda</w:t>
      </w:r>
      <w:proofErr w:type="spellEnd"/>
      <w:r w:rsidRPr="003445F3">
        <w:rPr>
          <w:rFonts w:ascii="Arial" w:hAnsi="Arial" w:cs="Arial"/>
        </w:rPr>
        <w:t xml:space="preserve">, A. K., &amp; </w:t>
      </w:r>
      <w:proofErr w:type="spellStart"/>
      <w:r w:rsidRPr="003445F3">
        <w:rPr>
          <w:rFonts w:ascii="Arial" w:hAnsi="Arial" w:cs="Arial"/>
        </w:rPr>
        <w:t>Nugraha</w:t>
      </w:r>
      <w:proofErr w:type="spellEnd"/>
      <w:r w:rsidRPr="003445F3">
        <w:rPr>
          <w:rFonts w:ascii="Arial" w:hAnsi="Arial" w:cs="Arial"/>
        </w:rPr>
        <w:t>, G. (2025). The Effect of Good Corporate Governance (GCG) and Bank Size on Financial Performance with Non-Performing Financing (NPF) as a Moderating Variable in Islamic Banking in 2019-2023.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Teknologi</w:t>
      </w:r>
      <w:proofErr w:type="spellEnd"/>
      <w:r w:rsidRPr="003445F3">
        <w:rPr>
          <w:rFonts w:ascii="Arial" w:hAnsi="Arial" w:cs="Arial"/>
        </w:rPr>
        <w:t xml:space="preserve"> dan </w:t>
      </w:r>
      <w:proofErr w:type="spellStart"/>
      <w:r w:rsidRPr="003445F3">
        <w:rPr>
          <w:rFonts w:ascii="Arial" w:hAnsi="Arial" w:cs="Arial"/>
        </w:rPr>
        <w:t>Bisnis</w:t>
      </w:r>
      <w:proofErr w:type="spellEnd"/>
      <w:r w:rsidRPr="003445F3">
        <w:rPr>
          <w:rFonts w:ascii="Arial" w:hAnsi="Arial" w:cs="Arial"/>
        </w:rPr>
        <w:t xml:space="preserve"> (JETBIS), 4(2), 46-61.</w:t>
      </w:r>
    </w:p>
    <w:p w14:paraId="4A646DDC" w14:textId="77777777" w:rsidR="008777A2" w:rsidRPr="003445F3" w:rsidRDefault="008777A2" w:rsidP="008777A2">
      <w:pPr>
        <w:ind w:left="720" w:hanging="720"/>
        <w:jc w:val="both"/>
        <w:rPr>
          <w:rFonts w:ascii="Arial" w:hAnsi="Arial" w:cs="Arial"/>
        </w:rPr>
      </w:pPr>
      <w:r w:rsidRPr="003445F3">
        <w:rPr>
          <w:rFonts w:ascii="Arial" w:hAnsi="Arial" w:cs="Arial"/>
        </w:rPr>
        <w:t>Mendonca, A., &amp; Haque, F. (2020, January). Impact of Corporate Governance Mechanisms on Financial Performance, Risk-Taking and Basel Compliance of Islamic Banks. In 5th International Conference on Emerging Research Paradigms in Business and Social Sciences 2020.</w:t>
      </w:r>
    </w:p>
    <w:p w14:paraId="09D775B4"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Mukhibad</w:t>
      </w:r>
      <w:proofErr w:type="spellEnd"/>
      <w:r w:rsidRPr="003445F3">
        <w:rPr>
          <w:rFonts w:ascii="Arial" w:hAnsi="Arial" w:cs="Arial"/>
        </w:rPr>
        <w:t xml:space="preserve">, H., </w:t>
      </w:r>
      <w:proofErr w:type="spellStart"/>
      <w:r w:rsidRPr="003445F3">
        <w:rPr>
          <w:rFonts w:ascii="Arial" w:hAnsi="Arial" w:cs="Arial"/>
        </w:rPr>
        <w:t>Muthmainah</w:t>
      </w:r>
      <w:proofErr w:type="spellEnd"/>
      <w:r w:rsidRPr="003445F3">
        <w:rPr>
          <w:rFonts w:ascii="Arial" w:hAnsi="Arial" w:cs="Arial"/>
        </w:rPr>
        <w:t xml:space="preserve">, M., &amp; </w:t>
      </w:r>
      <w:proofErr w:type="spellStart"/>
      <w:r w:rsidRPr="003445F3">
        <w:rPr>
          <w:rFonts w:ascii="Arial" w:hAnsi="Arial" w:cs="Arial"/>
        </w:rPr>
        <w:t>Andraeny</w:t>
      </w:r>
      <w:proofErr w:type="spellEnd"/>
      <w:r w:rsidRPr="003445F3">
        <w:rPr>
          <w:rFonts w:ascii="Arial" w:hAnsi="Arial" w:cs="Arial"/>
        </w:rPr>
        <w:t>, D. (2020). The Role of Corporate Social Responsibility Disclosure in Improving Financial Performance (Case study in Indonesian Islamic Bank). Al-</w:t>
      </w:r>
      <w:proofErr w:type="spellStart"/>
      <w:proofErr w:type="gramStart"/>
      <w:r w:rsidRPr="003445F3">
        <w:rPr>
          <w:rFonts w:ascii="Arial" w:hAnsi="Arial" w:cs="Arial"/>
        </w:rPr>
        <w:t>Uqud</w:t>
      </w:r>
      <w:proofErr w:type="spellEnd"/>
      <w:r w:rsidRPr="003445F3">
        <w:rPr>
          <w:rFonts w:ascii="Arial" w:hAnsi="Arial" w:cs="Arial"/>
        </w:rPr>
        <w:t> :</w:t>
      </w:r>
      <w:proofErr w:type="gramEnd"/>
      <w:r w:rsidRPr="003445F3">
        <w:rPr>
          <w:rFonts w:ascii="Arial" w:hAnsi="Arial" w:cs="Arial"/>
        </w:rPr>
        <w:t xml:space="preserve"> Journal of Islamic Economics, 4(2), 162. https://doi.org/10.26740/al-uqud.v4n2.p162-173</w:t>
      </w:r>
    </w:p>
    <w:p w14:paraId="29CB39A2"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Mulyani</w:t>
      </w:r>
      <w:proofErr w:type="spellEnd"/>
      <w:r w:rsidRPr="003445F3">
        <w:rPr>
          <w:rFonts w:ascii="Arial" w:hAnsi="Arial" w:cs="Arial"/>
        </w:rPr>
        <w:t xml:space="preserve">, A. (2022).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Pengungkapan</w:t>
      </w:r>
      <w:proofErr w:type="spellEnd"/>
      <w:r w:rsidRPr="003445F3">
        <w:rPr>
          <w:rFonts w:ascii="Arial" w:hAnsi="Arial" w:cs="Arial"/>
        </w:rPr>
        <w:t xml:space="preserve"> Global Reporting Initiative Standard (</w:t>
      </w:r>
      <w:proofErr w:type="spellStart"/>
      <w:r w:rsidRPr="003445F3">
        <w:rPr>
          <w:rFonts w:ascii="Arial" w:hAnsi="Arial" w:cs="Arial"/>
        </w:rPr>
        <w:t>Gri</w:t>
      </w:r>
      <w:proofErr w:type="spellEnd"/>
      <w:r w:rsidRPr="003445F3">
        <w:rPr>
          <w:rFonts w:ascii="Arial" w:hAnsi="Arial" w:cs="Arial"/>
        </w:rPr>
        <w:t xml:space="preserve"> Standard) Pada </w:t>
      </w:r>
      <w:proofErr w:type="spellStart"/>
      <w:r w:rsidRPr="003445F3">
        <w:rPr>
          <w:rFonts w:ascii="Arial" w:hAnsi="Arial" w:cs="Arial"/>
        </w:rPr>
        <w:t>Laporan</w:t>
      </w:r>
      <w:proofErr w:type="spellEnd"/>
      <w:r w:rsidRPr="003445F3">
        <w:rPr>
          <w:rFonts w:ascii="Arial" w:hAnsi="Arial" w:cs="Arial"/>
        </w:rPr>
        <w:t xml:space="preserve"> </w:t>
      </w:r>
      <w:proofErr w:type="spellStart"/>
      <w:r w:rsidRPr="003445F3">
        <w:rPr>
          <w:rFonts w:ascii="Arial" w:hAnsi="Arial" w:cs="Arial"/>
        </w:rPr>
        <w:t>Keberlanjutan</w:t>
      </w:r>
      <w:proofErr w:type="spellEnd"/>
      <w:r w:rsidRPr="003445F3">
        <w:rPr>
          <w:rFonts w:ascii="Arial" w:hAnsi="Arial" w:cs="Arial"/>
        </w:rPr>
        <w:t xml:space="preserve"> Perusahaan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w:t>
      </w:r>
      <w:r w:rsidRPr="003445F3">
        <w:rPr>
          <w:rFonts w:ascii="Arial" w:hAnsi="Arial" w:cs="Arial"/>
        </w:rPr>
        <w:lastRenderedPageBreak/>
        <w:t xml:space="preserve">Di Bei </w:t>
      </w:r>
      <w:proofErr w:type="spellStart"/>
      <w:r w:rsidRPr="003445F3">
        <w:rPr>
          <w:rFonts w:ascii="Arial" w:hAnsi="Arial" w:cs="Arial"/>
        </w:rPr>
        <w:t>Tahun</w:t>
      </w:r>
      <w:proofErr w:type="spellEnd"/>
      <w:r w:rsidRPr="003445F3">
        <w:rPr>
          <w:rFonts w:ascii="Arial" w:hAnsi="Arial" w:cs="Arial"/>
        </w:rPr>
        <w:t xml:space="preserve"> 2019-2020.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Publikasi</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Dan </w:t>
      </w:r>
      <w:proofErr w:type="spellStart"/>
      <w:r w:rsidRPr="003445F3">
        <w:rPr>
          <w:rFonts w:ascii="Arial" w:hAnsi="Arial" w:cs="Arial"/>
        </w:rPr>
        <w:t>Akuntansi</w:t>
      </w:r>
      <w:proofErr w:type="spellEnd"/>
      <w:r w:rsidRPr="003445F3">
        <w:rPr>
          <w:rFonts w:ascii="Arial" w:hAnsi="Arial" w:cs="Arial"/>
        </w:rPr>
        <w:t>, 2(3), 274–284. https://doi.org/10.51903/jupea.v2i3.361</w:t>
      </w:r>
    </w:p>
    <w:p w14:paraId="746EBB0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Musah</w:t>
      </w:r>
      <w:proofErr w:type="spellEnd"/>
      <w:r w:rsidRPr="003445F3">
        <w:rPr>
          <w:rFonts w:ascii="Arial" w:hAnsi="Arial" w:cs="Arial"/>
        </w:rPr>
        <w:t xml:space="preserve">, A., &amp; </w:t>
      </w:r>
      <w:proofErr w:type="spellStart"/>
      <w:r w:rsidRPr="003445F3">
        <w:rPr>
          <w:rFonts w:ascii="Arial" w:hAnsi="Arial" w:cs="Arial"/>
        </w:rPr>
        <w:t>Adutwumwaa</w:t>
      </w:r>
      <w:proofErr w:type="spellEnd"/>
      <w:r w:rsidRPr="003445F3">
        <w:rPr>
          <w:rFonts w:ascii="Arial" w:hAnsi="Arial" w:cs="Arial"/>
        </w:rPr>
        <w:t>, M. Y. (2021). The effect of corporate governance on financial performance of rural banks in Ghana. International Journal of Financial, Accounting, and Management, 2(4), 305-319.</w:t>
      </w:r>
    </w:p>
    <w:p w14:paraId="5709670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Nomran</w:t>
      </w:r>
      <w:proofErr w:type="spellEnd"/>
      <w:r w:rsidRPr="003445F3">
        <w:rPr>
          <w:rFonts w:ascii="Arial" w:hAnsi="Arial" w:cs="Arial"/>
        </w:rPr>
        <w:t xml:space="preserve">, N. M., &amp; </w:t>
      </w:r>
      <w:proofErr w:type="spellStart"/>
      <w:r w:rsidRPr="003445F3">
        <w:rPr>
          <w:rFonts w:ascii="Arial" w:hAnsi="Arial" w:cs="Arial"/>
        </w:rPr>
        <w:t>Haron</w:t>
      </w:r>
      <w:proofErr w:type="spellEnd"/>
      <w:r w:rsidRPr="003445F3">
        <w:rPr>
          <w:rFonts w:ascii="Arial" w:hAnsi="Arial" w:cs="Arial"/>
        </w:rPr>
        <w:t xml:space="preserve">, R. (2020). </w:t>
      </w:r>
      <w:proofErr w:type="spellStart"/>
      <w:r w:rsidRPr="003445F3">
        <w:rPr>
          <w:rFonts w:ascii="Arial" w:hAnsi="Arial" w:cs="Arial"/>
        </w:rPr>
        <w:t>Shari’ah</w:t>
      </w:r>
      <w:proofErr w:type="spellEnd"/>
      <w:r w:rsidRPr="003445F3">
        <w:rPr>
          <w:rFonts w:ascii="Arial" w:hAnsi="Arial" w:cs="Arial"/>
        </w:rPr>
        <w:t xml:space="preserve"> supervisory board’s size impact on performance in the Islamic banking industry: An empirical investigation of the optimal board size across jurisdictions. Journal of Islamic Accounting and Business Research, 11(1), 110–129. https://doi.org/10.1108/JIABR-05-2017-0070</w:t>
      </w:r>
    </w:p>
    <w:p w14:paraId="1EC1C0EC"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Nomran</w:t>
      </w:r>
      <w:proofErr w:type="spellEnd"/>
      <w:r w:rsidRPr="003445F3">
        <w:rPr>
          <w:rFonts w:ascii="Arial" w:hAnsi="Arial" w:cs="Arial"/>
        </w:rPr>
        <w:t xml:space="preserve">, N. M., &amp; </w:t>
      </w:r>
      <w:proofErr w:type="spellStart"/>
      <w:r w:rsidRPr="003445F3">
        <w:rPr>
          <w:rFonts w:ascii="Arial" w:hAnsi="Arial" w:cs="Arial"/>
        </w:rPr>
        <w:t>Haron</w:t>
      </w:r>
      <w:proofErr w:type="spellEnd"/>
      <w:r w:rsidRPr="003445F3">
        <w:rPr>
          <w:rFonts w:ascii="Arial" w:hAnsi="Arial" w:cs="Arial"/>
        </w:rPr>
        <w:t xml:space="preserve">, R. (2020). </w:t>
      </w:r>
      <w:proofErr w:type="spellStart"/>
      <w:r w:rsidRPr="003445F3">
        <w:rPr>
          <w:rFonts w:ascii="Arial" w:hAnsi="Arial" w:cs="Arial"/>
        </w:rPr>
        <w:t>Shari’ah</w:t>
      </w:r>
      <w:proofErr w:type="spellEnd"/>
      <w:r w:rsidRPr="003445F3">
        <w:rPr>
          <w:rFonts w:ascii="Arial" w:hAnsi="Arial" w:cs="Arial"/>
        </w:rPr>
        <w:t xml:space="preserve"> supervisory board’s size impact on performance in the Islamic banking industry: An empirical investigation of the optimal board size across jurisdictions. Journal of Islamic Accounting and Business Research, 11(1), 110-129.</w:t>
      </w:r>
    </w:p>
    <w:p w14:paraId="0A12E79E" w14:textId="062FE411" w:rsidR="008777A2" w:rsidRPr="003445F3" w:rsidRDefault="008777A2" w:rsidP="008777A2">
      <w:pPr>
        <w:ind w:left="720" w:hanging="720"/>
        <w:jc w:val="both"/>
        <w:rPr>
          <w:rFonts w:ascii="Arial" w:hAnsi="Arial" w:cs="Arial"/>
        </w:rPr>
      </w:pPr>
      <w:proofErr w:type="spellStart"/>
      <w:r w:rsidRPr="003445F3">
        <w:rPr>
          <w:rFonts w:ascii="Arial" w:hAnsi="Arial" w:cs="Arial"/>
        </w:rPr>
        <w:t>Nur’aini</w:t>
      </w:r>
      <w:proofErr w:type="spellEnd"/>
      <w:r w:rsidRPr="003445F3">
        <w:rPr>
          <w:rFonts w:ascii="Arial" w:hAnsi="Arial" w:cs="Arial"/>
        </w:rPr>
        <w:t xml:space="preserve">., M. S., &amp; </w:t>
      </w:r>
      <w:proofErr w:type="spellStart"/>
      <w:r w:rsidRPr="003445F3">
        <w:rPr>
          <w:rFonts w:ascii="Arial" w:hAnsi="Arial" w:cs="Arial"/>
        </w:rPr>
        <w:t>Rohman</w:t>
      </w:r>
      <w:proofErr w:type="spellEnd"/>
      <w:r w:rsidRPr="003445F3">
        <w:rPr>
          <w:rFonts w:ascii="Arial" w:hAnsi="Arial" w:cs="Arial"/>
        </w:rPr>
        <w:t xml:space="preserve">, A. (2024). </w:t>
      </w:r>
      <w:proofErr w:type="spellStart"/>
      <w:r w:rsidRPr="003445F3">
        <w:rPr>
          <w:rFonts w:ascii="Arial" w:hAnsi="Arial" w:cs="Arial"/>
        </w:rPr>
        <w:t>Analisis</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w:t>
      </w:r>
      <w:proofErr w:type="spellStart"/>
      <w:r w:rsidRPr="003445F3">
        <w:rPr>
          <w:rFonts w:ascii="Arial" w:hAnsi="Arial" w:cs="Arial"/>
        </w:rPr>
        <w:t>Studi</w:t>
      </w:r>
      <w:proofErr w:type="spellEnd"/>
      <w:r w:rsidRPr="003445F3">
        <w:rPr>
          <w:rFonts w:ascii="Arial" w:hAnsi="Arial" w:cs="Arial"/>
        </w:rPr>
        <w:t xml:space="preserve"> </w:t>
      </w:r>
      <w:proofErr w:type="spellStart"/>
      <w:r w:rsidRPr="003445F3">
        <w:rPr>
          <w:rFonts w:ascii="Arial" w:hAnsi="Arial" w:cs="Arial"/>
        </w:rPr>
        <w:t>Empiris</w:t>
      </w:r>
      <w:proofErr w:type="spellEnd"/>
      <w:r w:rsidRPr="003445F3">
        <w:rPr>
          <w:rFonts w:ascii="Arial" w:hAnsi="Arial" w:cs="Arial"/>
        </w:rPr>
        <w:t xml:space="preserve"> Pada Perusahaan </w:t>
      </w:r>
      <w:proofErr w:type="spellStart"/>
      <w:r w:rsidRPr="003445F3">
        <w:rPr>
          <w:rFonts w:ascii="Arial" w:hAnsi="Arial" w:cs="Arial"/>
        </w:rPr>
        <w:t>Sektor</w:t>
      </w:r>
      <w:proofErr w:type="spellEnd"/>
      <w:r w:rsidRPr="003445F3">
        <w:rPr>
          <w:rFonts w:ascii="Arial" w:hAnsi="Arial" w:cs="Arial"/>
        </w:rPr>
        <w:t xml:space="preserve"> </w:t>
      </w:r>
      <w:proofErr w:type="spellStart"/>
      <w:r w:rsidRPr="003445F3">
        <w:rPr>
          <w:rFonts w:ascii="Arial" w:hAnsi="Arial" w:cs="Arial"/>
        </w:rPr>
        <w:t>Perbankan</w:t>
      </w:r>
      <w:proofErr w:type="spellEnd"/>
      <w:r w:rsidRPr="003445F3">
        <w:rPr>
          <w:rFonts w:ascii="Arial" w:hAnsi="Arial" w:cs="Arial"/>
        </w:rPr>
        <w:t xml:space="preserve"> Yang </w:t>
      </w:r>
      <w:proofErr w:type="spellStart"/>
      <w:r w:rsidRPr="003445F3">
        <w:rPr>
          <w:rFonts w:ascii="Arial" w:hAnsi="Arial" w:cs="Arial"/>
        </w:rPr>
        <w:t>Terdaftar</w:t>
      </w:r>
      <w:proofErr w:type="spellEnd"/>
      <w:r w:rsidRPr="003445F3">
        <w:rPr>
          <w:rFonts w:ascii="Arial" w:hAnsi="Arial" w:cs="Arial"/>
        </w:rPr>
        <w:t xml:space="preserve"> Di Bursa </w:t>
      </w:r>
      <w:proofErr w:type="spellStart"/>
      <w:r w:rsidRPr="003445F3">
        <w:rPr>
          <w:rFonts w:ascii="Arial" w:hAnsi="Arial" w:cs="Arial"/>
        </w:rPr>
        <w:t>Efek</w:t>
      </w:r>
      <w:proofErr w:type="spellEnd"/>
      <w:r w:rsidRPr="003445F3">
        <w:rPr>
          <w:rFonts w:ascii="Arial" w:hAnsi="Arial" w:cs="Arial"/>
        </w:rPr>
        <w:t xml:space="preserve"> Indonesia </w:t>
      </w:r>
      <w:proofErr w:type="spellStart"/>
      <w:r w:rsidRPr="003445F3">
        <w:rPr>
          <w:rFonts w:ascii="Arial" w:hAnsi="Arial" w:cs="Arial"/>
        </w:rPr>
        <w:t>Tahun</w:t>
      </w:r>
      <w:proofErr w:type="spellEnd"/>
      <w:r w:rsidRPr="003445F3">
        <w:rPr>
          <w:rFonts w:ascii="Arial" w:hAnsi="Arial" w:cs="Arial"/>
        </w:rPr>
        <w:t xml:space="preserve"> 2021-2023). </w:t>
      </w:r>
      <w:proofErr w:type="spellStart"/>
      <w:r w:rsidRPr="003445F3">
        <w:rPr>
          <w:rFonts w:ascii="Arial" w:hAnsi="Arial" w:cs="Arial"/>
        </w:rPr>
        <w:t>Diponegoro</w:t>
      </w:r>
      <w:proofErr w:type="spellEnd"/>
      <w:r w:rsidRPr="003445F3">
        <w:rPr>
          <w:rFonts w:ascii="Arial" w:hAnsi="Arial" w:cs="Arial"/>
        </w:rPr>
        <w:t xml:space="preserve"> Journal of Accounting, 13(3), 1–15. </w:t>
      </w:r>
      <w:hyperlink r:id="rId20" w:history="1">
        <w:r w:rsidR="00AE096E" w:rsidRPr="003445F3">
          <w:rPr>
            <w:rStyle w:val="Hyperlink"/>
            <w:rFonts w:ascii="Arial" w:hAnsi="Arial" w:cs="Arial"/>
          </w:rPr>
          <w:t>http://ejournal-s1.undip.ac.id/index.php/accounting</w:t>
        </w:r>
      </w:hyperlink>
    </w:p>
    <w:p w14:paraId="56CA570B" w14:textId="2E0651B7" w:rsidR="00AE096E" w:rsidRPr="003445F3" w:rsidRDefault="00AE096E" w:rsidP="008777A2">
      <w:pPr>
        <w:ind w:left="720" w:hanging="720"/>
        <w:jc w:val="both"/>
        <w:rPr>
          <w:rFonts w:ascii="Arial" w:hAnsi="Arial" w:cs="Arial"/>
        </w:rPr>
      </w:pPr>
      <w:proofErr w:type="spellStart"/>
      <w:r w:rsidRPr="003445F3">
        <w:rPr>
          <w:rFonts w:ascii="Arial" w:hAnsi="Arial" w:cs="Arial"/>
        </w:rPr>
        <w:t>Nwude</w:t>
      </w:r>
      <w:proofErr w:type="spellEnd"/>
      <w:r w:rsidRPr="003445F3">
        <w:rPr>
          <w:rFonts w:ascii="Arial" w:hAnsi="Arial" w:cs="Arial"/>
        </w:rPr>
        <w:t xml:space="preserve">, E., &amp; </w:t>
      </w:r>
      <w:proofErr w:type="spellStart"/>
      <w:r w:rsidRPr="003445F3">
        <w:rPr>
          <w:rFonts w:ascii="Arial" w:hAnsi="Arial" w:cs="Arial"/>
        </w:rPr>
        <w:t>Nwude</w:t>
      </w:r>
      <w:proofErr w:type="spellEnd"/>
      <w:r w:rsidRPr="003445F3">
        <w:rPr>
          <w:rFonts w:ascii="Arial" w:hAnsi="Arial" w:cs="Arial"/>
        </w:rPr>
        <w:t xml:space="preserve">, C. (2021). Board Structure and Corporate Social Responsibility: Evidence </w:t>
      </w:r>
      <w:proofErr w:type="gramStart"/>
      <w:r w:rsidRPr="003445F3">
        <w:rPr>
          <w:rFonts w:ascii="Arial" w:hAnsi="Arial" w:cs="Arial"/>
        </w:rPr>
        <w:t>From</w:t>
      </w:r>
      <w:proofErr w:type="gramEnd"/>
      <w:r w:rsidRPr="003445F3">
        <w:rPr>
          <w:rFonts w:ascii="Arial" w:hAnsi="Arial" w:cs="Arial"/>
        </w:rPr>
        <w:t xml:space="preserve"> Developing Economy. SAGE Open, 11. </w:t>
      </w:r>
      <w:hyperlink r:id="rId21" w:history="1">
        <w:r w:rsidRPr="003445F3">
          <w:rPr>
            <w:rStyle w:val="Hyperlink"/>
            <w:rFonts w:ascii="Arial" w:hAnsi="Arial" w:cs="Arial"/>
          </w:rPr>
          <w:t>https://doi.org/10.1177/2158244020988543</w:t>
        </w:r>
      </w:hyperlink>
    </w:p>
    <w:p w14:paraId="124C4FA0"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Palupi</w:t>
      </w:r>
      <w:proofErr w:type="spellEnd"/>
      <w:r w:rsidRPr="003445F3">
        <w:rPr>
          <w:rFonts w:ascii="Arial" w:hAnsi="Arial" w:cs="Arial"/>
        </w:rPr>
        <w:t xml:space="preserve">, S. E. (2024).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Gcg</w:t>
      </w:r>
      <w:proofErr w:type="spellEnd"/>
      <w:r w:rsidRPr="003445F3">
        <w:rPr>
          <w:rFonts w:ascii="Arial" w:hAnsi="Arial" w:cs="Arial"/>
        </w:rPr>
        <w:t xml:space="preserve">) Dan </w:t>
      </w:r>
      <w:proofErr w:type="spellStart"/>
      <w:r w:rsidRPr="003445F3">
        <w:rPr>
          <w:rFonts w:ascii="Arial" w:hAnsi="Arial" w:cs="Arial"/>
        </w:rPr>
        <w:t>Ukuran</w:t>
      </w:r>
      <w:proofErr w:type="spellEnd"/>
      <w:r w:rsidRPr="003445F3">
        <w:rPr>
          <w:rFonts w:ascii="Arial" w:hAnsi="Arial" w:cs="Arial"/>
        </w:rPr>
        <w:t xml:space="preserve"> Perusahaan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Bank </w:t>
      </w:r>
      <w:proofErr w:type="spellStart"/>
      <w:r w:rsidRPr="003445F3">
        <w:rPr>
          <w:rFonts w:ascii="Arial" w:hAnsi="Arial" w:cs="Arial"/>
        </w:rPr>
        <w:t>Umum</w:t>
      </w:r>
      <w:proofErr w:type="spellEnd"/>
      <w:r w:rsidRPr="003445F3">
        <w:rPr>
          <w:rFonts w:ascii="Arial" w:hAnsi="Arial" w:cs="Arial"/>
        </w:rPr>
        <w:t xml:space="preserve"> Syariah </w:t>
      </w:r>
      <w:proofErr w:type="spellStart"/>
      <w:r w:rsidRPr="003445F3">
        <w:rPr>
          <w:rFonts w:ascii="Arial" w:hAnsi="Arial" w:cs="Arial"/>
        </w:rPr>
        <w:t>Tahun</w:t>
      </w:r>
      <w:proofErr w:type="spellEnd"/>
      <w:r w:rsidRPr="003445F3">
        <w:rPr>
          <w:rFonts w:ascii="Arial" w:hAnsi="Arial" w:cs="Arial"/>
        </w:rPr>
        <w:t xml:space="preserve"> 2018-2022. </w:t>
      </w:r>
      <w:proofErr w:type="spellStart"/>
      <w:proofErr w:type="gramStart"/>
      <w:r w:rsidRPr="003445F3">
        <w:rPr>
          <w:rFonts w:ascii="Arial" w:hAnsi="Arial" w:cs="Arial"/>
        </w:rPr>
        <w:t>Kybernologi</w:t>
      </w:r>
      <w:proofErr w:type="spellEnd"/>
      <w:r w:rsidRPr="003445F3">
        <w:rPr>
          <w:rFonts w:ascii="Arial" w:hAnsi="Arial" w:cs="Arial"/>
        </w:rPr>
        <w:t> :</w:t>
      </w:r>
      <w:proofErr w:type="gram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w:t>
      </w:r>
      <w:proofErr w:type="spellStart"/>
      <w:r w:rsidRPr="003445F3">
        <w:rPr>
          <w:rFonts w:ascii="Arial" w:hAnsi="Arial" w:cs="Arial"/>
        </w:rPr>
        <w:t>Pemerintahan</w:t>
      </w:r>
      <w:proofErr w:type="spellEnd"/>
      <w:r w:rsidRPr="003445F3">
        <w:rPr>
          <w:rFonts w:ascii="Arial" w:hAnsi="Arial" w:cs="Arial"/>
        </w:rPr>
        <w:t xml:space="preserve"> Dan </w:t>
      </w:r>
      <w:proofErr w:type="spellStart"/>
      <w:r w:rsidRPr="003445F3">
        <w:rPr>
          <w:rFonts w:ascii="Arial" w:hAnsi="Arial" w:cs="Arial"/>
        </w:rPr>
        <w:t>Administrasi</w:t>
      </w:r>
      <w:proofErr w:type="spellEnd"/>
      <w:r w:rsidRPr="003445F3">
        <w:rPr>
          <w:rFonts w:ascii="Arial" w:hAnsi="Arial" w:cs="Arial"/>
        </w:rPr>
        <w:t xml:space="preserve"> </w:t>
      </w:r>
      <w:proofErr w:type="spellStart"/>
      <w:r w:rsidRPr="003445F3">
        <w:rPr>
          <w:rFonts w:ascii="Arial" w:hAnsi="Arial" w:cs="Arial"/>
        </w:rPr>
        <w:t>Publik</w:t>
      </w:r>
      <w:proofErr w:type="spellEnd"/>
      <w:r w:rsidRPr="003445F3">
        <w:rPr>
          <w:rFonts w:ascii="Arial" w:hAnsi="Arial" w:cs="Arial"/>
        </w:rPr>
        <w:t>, 2(1), 150–158. https://journal.wiyatapublisher.or.id/index.php/kybernology</w:t>
      </w:r>
    </w:p>
    <w:p w14:paraId="14975B95"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Prasojo</w:t>
      </w:r>
      <w:proofErr w:type="spellEnd"/>
      <w:r w:rsidRPr="003445F3">
        <w:rPr>
          <w:rFonts w:ascii="Arial" w:hAnsi="Arial" w:cs="Arial"/>
        </w:rPr>
        <w:t xml:space="preserve">, P., </w:t>
      </w:r>
      <w:proofErr w:type="spellStart"/>
      <w:r w:rsidRPr="003445F3">
        <w:rPr>
          <w:rFonts w:ascii="Arial" w:hAnsi="Arial" w:cs="Arial"/>
        </w:rPr>
        <w:t>Muhfiatun</w:t>
      </w:r>
      <w:proofErr w:type="spellEnd"/>
      <w:r w:rsidRPr="003445F3">
        <w:rPr>
          <w:rFonts w:ascii="Arial" w:hAnsi="Arial" w:cs="Arial"/>
        </w:rPr>
        <w:t xml:space="preserve">, M., </w:t>
      </w:r>
      <w:proofErr w:type="spellStart"/>
      <w:r w:rsidRPr="003445F3">
        <w:rPr>
          <w:rFonts w:ascii="Arial" w:hAnsi="Arial" w:cs="Arial"/>
        </w:rPr>
        <w:t>Syarifah</w:t>
      </w:r>
      <w:proofErr w:type="spellEnd"/>
      <w:r w:rsidRPr="003445F3">
        <w:rPr>
          <w:rFonts w:ascii="Arial" w:hAnsi="Arial" w:cs="Arial"/>
        </w:rPr>
        <w:t xml:space="preserve">, L., &amp; Rosman, R. (2025). Conformity of Indonesian Islamic bank CSR practices with </w:t>
      </w:r>
      <w:proofErr w:type="spellStart"/>
      <w:r w:rsidRPr="003445F3">
        <w:rPr>
          <w:rFonts w:ascii="Arial" w:hAnsi="Arial" w:cs="Arial"/>
        </w:rPr>
        <w:t>maqashid</w:t>
      </w:r>
      <w:proofErr w:type="spellEnd"/>
      <w:r w:rsidRPr="003445F3">
        <w:rPr>
          <w:rFonts w:ascii="Arial" w:hAnsi="Arial" w:cs="Arial"/>
        </w:rPr>
        <w:t xml:space="preserve"> shariah rules. Journal of Islamic Marketing, (ahead-of-print).</w:t>
      </w:r>
    </w:p>
    <w:p w14:paraId="0DA12E4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Pratama</w:t>
      </w:r>
      <w:proofErr w:type="spellEnd"/>
      <w:r w:rsidRPr="003445F3">
        <w:rPr>
          <w:rFonts w:ascii="Arial" w:hAnsi="Arial" w:cs="Arial"/>
        </w:rPr>
        <w:t xml:space="preserve">, A., </w:t>
      </w:r>
      <w:proofErr w:type="spellStart"/>
      <w:r w:rsidRPr="003445F3">
        <w:rPr>
          <w:rFonts w:ascii="Arial" w:hAnsi="Arial" w:cs="Arial"/>
        </w:rPr>
        <w:t>Pratama</w:t>
      </w:r>
      <w:proofErr w:type="spellEnd"/>
      <w:r w:rsidRPr="003445F3">
        <w:rPr>
          <w:rFonts w:ascii="Arial" w:hAnsi="Arial" w:cs="Arial"/>
        </w:rPr>
        <w:t xml:space="preserve">, B. C., </w:t>
      </w:r>
      <w:proofErr w:type="spellStart"/>
      <w:r w:rsidRPr="003445F3">
        <w:rPr>
          <w:rFonts w:ascii="Arial" w:hAnsi="Arial" w:cs="Arial"/>
        </w:rPr>
        <w:t>Wahyuni</w:t>
      </w:r>
      <w:proofErr w:type="spellEnd"/>
      <w:r w:rsidRPr="003445F3">
        <w:rPr>
          <w:rFonts w:ascii="Arial" w:hAnsi="Arial" w:cs="Arial"/>
        </w:rPr>
        <w:t xml:space="preserve">, S., &amp; </w:t>
      </w:r>
      <w:proofErr w:type="spellStart"/>
      <w:r w:rsidRPr="003445F3">
        <w:rPr>
          <w:rFonts w:ascii="Arial" w:hAnsi="Arial" w:cs="Arial"/>
        </w:rPr>
        <w:t>Hapsari</w:t>
      </w:r>
      <w:proofErr w:type="spellEnd"/>
      <w:r w:rsidRPr="003445F3">
        <w:rPr>
          <w:rFonts w:ascii="Arial" w:hAnsi="Arial" w:cs="Arial"/>
        </w:rPr>
        <w:t>, I. (2024). Moderating Effect of Intellectual Capital Components on the Relationship between ESG Scores and Firm Financial Performance. Asian Journal of Economics, Business and Accounting, 24(6), 477–495. https://doi.org/10.9734/ajeba/2024/v24i61375</w:t>
      </w:r>
    </w:p>
    <w:p w14:paraId="2E6BD4A5" w14:textId="0F75EA02"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Putri, I., &amp; </w:t>
      </w:r>
      <w:proofErr w:type="spellStart"/>
      <w:r w:rsidRPr="003445F3">
        <w:rPr>
          <w:rFonts w:ascii="Arial" w:hAnsi="Arial" w:cs="Arial"/>
          <w:color w:val="222222"/>
          <w:shd w:val="clear" w:color="auto" w:fill="FFFFFF"/>
        </w:rPr>
        <w:t>Innayah</w:t>
      </w:r>
      <w:proofErr w:type="spellEnd"/>
      <w:r w:rsidRPr="003445F3">
        <w:rPr>
          <w:rFonts w:ascii="Arial" w:hAnsi="Arial" w:cs="Arial"/>
          <w:color w:val="222222"/>
          <w:shd w:val="clear" w:color="auto" w:fill="FFFFFF"/>
        </w:rPr>
        <w:t xml:space="preserve">, M. N. (2020). The Effect </w:t>
      </w:r>
      <w:proofErr w:type="gramStart"/>
      <w:r w:rsidRPr="003445F3">
        <w:rPr>
          <w:rFonts w:ascii="Arial" w:hAnsi="Arial" w:cs="Arial"/>
          <w:color w:val="222222"/>
          <w:shd w:val="clear" w:color="auto" w:fill="FFFFFF"/>
        </w:rPr>
        <w:t>Of</w:t>
      </w:r>
      <w:proofErr w:type="gramEnd"/>
      <w:r w:rsidRPr="003445F3">
        <w:rPr>
          <w:rFonts w:ascii="Arial" w:hAnsi="Arial" w:cs="Arial"/>
          <w:color w:val="222222"/>
          <w:shd w:val="clear" w:color="auto" w:fill="FFFFFF"/>
        </w:rPr>
        <w:t xml:space="preserve"> Enterprise Risk Management Disclosure, Intellectual Capital Disclosure, Independent Board Of Commissioners, Board Of Director And Audit Committee Towards Firm Value. </w:t>
      </w:r>
      <w:proofErr w:type="spellStart"/>
      <w:r w:rsidRPr="003445F3">
        <w:rPr>
          <w:rFonts w:ascii="Arial" w:hAnsi="Arial" w:cs="Arial"/>
          <w:i/>
          <w:iCs/>
          <w:color w:val="222222"/>
          <w:shd w:val="clear" w:color="auto" w:fill="FFFFFF"/>
        </w:rPr>
        <w:t>Jurnal</w:t>
      </w:r>
      <w:proofErr w:type="spellEnd"/>
      <w:r w:rsidRPr="003445F3">
        <w:rPr>
          <w:rFonts w:ascii="Arial" w:hAnsi="Arial" w:cs="Arial"/>
          <w:i/>
          <w:iCs/>
          <w:color w:val="222222"/>
          <w:shd w:val="clear" w:color="auto" w:fill="FFFFFF"/>
        </w:rPr>
        <w:t xml:space="preserve"> </w:t>
      </w:r>
      <w:proofErr w:type="spellStart"/>
      <w:r w:rsidRPr="003445F3">
        <w:rPr>
          <w:rFonts w:ascii="Arial" w:hAnsi="Arial" w:cs="Arial"/>
          <w:i/>
          <w:iCs/>
          <w:color w:val="222222"/>
          <w:shd w:val="clear" w:color="auto" w:fill="FFFFFF"/>
        </w:rPr>
        <w:t>Manajemen</w:t>
      </w:r>
      <w:proofErr w:type="spellEnd"/>
      <w:r w:rsidRPr="003445F3">
        <w:rPr>
          <w:rFonts w:ascii="Arial" w:hAnsi="Arial" w:cs="Arial"/>
          <w:i/>
          <w:iCs/>
          <w:color w:val="222222"/>
          <w:shd w:val="clear" w:color="auto" w:fill="FFFFFF"/>
        </w:rPr>
        <w:t xml:space="preserve"> Dan </w:t>
      </w:r>
      <w:proofErr w:type="spellStart"/>
      <w:r w:rsidRPr="003445F3">
        <w:rPr>
          <w:rFonts w:ascii="Arial" w:hAnsi="Arial" w:cs="Arial"/>
          <w:i/>
          <w:iCs/>
          <w:color w:val="222222"/>
          <w:shd w:val="clear" w:color="auto" w:fill="FFFFFF"/>
        </w:rPr>
        <w:t>Keuangan</w:t>
      </w:r>
      <w:proofErr w:type="spellEnd"/>
      <w:r w:rsidRPr="003445F3">
        <w:rPr>
          <w:rFonts w:ascii="Arial" w:hAnsi="Arial" w:cs="Arial"/>
          <w:color w:val="222222"/>
          <w:shd w:val="clear" w:color="auto" w:fill="FFFFFF"/>
        </w:rPr>
        <w:t>, </w:t>
      </w:r>
      <w:r w:rsidRPr="003445F3">
        <w:rPr>
          <w:rFonts w:ascii="Arial" w:hAnsi="Arial" w:cs="Arial"/>
          <w:i/>
          <w:iCs/>
          <w:color w:val="222222"/>
          <w:shd w:val="clear" w:color="auto" w:fill="FFFFFF"/>
        </w:rPr>
        <w:t>9</w:t>
      </w:r>
      <w:r w:rsidRPr="003445F3">
        <w:rPr>
          <w:rFonts w:ascii="Arial" w:hAnsi="Arial" w:cs="Arial"/>
          <w:color w:val="222222"/>
          <w:shd w:val="clear" w:color="auto" w:fill="FFFFFF"/>
        </w:rPr>
        <w:t>(1), 60-72.</w:t>
      </w:r>
    </w:p>
    <w:p w14:paraId="7B79611C" w14:textId="6E939298" w:rsidR="008777A2" w:rsidRPr="003445F3" w:rsidRDefault="008777A2" w:rsidP="008777A2">
      <w:pPr>
        <w:ind w:left="720" w:hanging="720"/>
        <w:jc w:val="both"/>
        <w:rPr>
          <w:rFonts w:ascii="Arial" w:hAnsi="Arial" w:cs="Arial"/>
        </w:rPr>
      </w:pPr>
      <w:proofErr w:type="spellStart"/>
      <w:r w:rsidRPr="003445F3">
        <w:rPr>
          <w:rFonts w:ascii="Arial" w:hAnsi="Arial" w:cs="Arial"/>
        </w:rPr>
        <w:t>Priansyah</w:t>
      </w:r>
      <w:proofErr w:type="spellEnd"/>
      <w:r w:rsidRPr="003445F3">
        <w:rPr>
          <w:rFonts w:ascii="Arial" w:hAnsi="Arial" w:cs="Arial"/>
        </w:rPr>
        <w:t xml:space="preserve">, D., Hafizi, M. R., Hanafi, A., &amp; </w:t>
      </w:r>
      <w:proofErr w:type="spellStart"/>
      <w:r w:rsidRPr="003445F3">
        <w:rPr>
          <w:rFonts w:ascii="Arial" w:hAnsi="Arial" w:cs="Arial"/>
        </w:rPr>
        <w:t>Misra</w:t>
      </w:r>
      <w:proofErr w:type="spellEnd"/>
      <w:r w:rsidRPr="003445F3">
        <w:rPr>
          <w:rFonts w:ascii="Arial" w:hAnsi="Arial" w:cs="Arial"/>
        </w:rPr>
        <w:t xml:space="preserve">, I. (2024). </w:t>
      </w:r>
      <w:proofErr w:type="spellStart"/>
      <w:r w:rsidRPr="003445F3">
        <w:rPr>
          <w:rFonts w:ascii="Arial" w:hAnsi="Arial" w:cs="Arial"/>
        </w:rPr>
        <w:t>Pengaruh</w:t>
      </w:r>
      <w:proofErr w:type="spellEnd"/>
      <w:r w:rsidRPr="003445F3">
        <w:rPr>
          <w:rFonts w:ascii="Arial" w:hAnsi="Arial" w:cs="Arial"/>
        </w:rPr>
        <w:t xml:space="preserve"> Board Diversity Dan Firm Size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Bank </w:t>
      </w:r>
      <w:proofErr w:type="spellStart"/>
      <w:r w:rsidRPr="003445F3">
        <w:rPr>
          <w:rFonts w:ascii="Arial" w:hAnsi="Arial" w:cs="Arial"/>
        </w:rPr>
        <w:t>Umum</w:t>
      </w:r>
      <w:proofErr w:type="spellEnd"/>
      <w:r w:rsidRPr="003445F3">
        <w:rPr>
          <w:rFonts w:ascii="Arial" w:hAnsi="Arial" w:cs="Arial"/>
        </w:rPr>
        <w:t xml:space="preserve"> Syariah (Bus) </w:t>
      </w:r>
      <w:proofErr w:type="spellStart"/>
      <w:r w:rsidRPr="003445F3">
        <w:rPr>
          <w:rFonts w:ascii="Arial" w:hAnsi="Arial" w:cs="Arial"/>
        </w:rPr>
        <w:t>Tahun</w:t>
      </w:r>
      <w:proofErr w:type="spellEnd"/>
      <w:r w:rsidRPr="003445F3">
        <w:rPr>
          <w:rFonts w:ascii="Arial" w:hAnsi="Arial" w:cs="Arial"/>
        </w:rPr>
        <w:t xml:space="preserve"> 2017-2023.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w:t>
      </w:r>
      <w:proofErr w:type="spellStart"/>
      <w:r w:rsidRPr="003445F3">
        <w:rPr>
          <w:rFonts w:ascii="Arial" w:hAnsi="Arial" w:cs="Arial"/>
        </w:rPr>
        <w:t>Mahasiswa</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9(3), 180–187. https://doi.org/10.24815/jimeka.v9i3.31254</w:t>
      </w:r>
    </w:p>
    <w:p w14:paraId="7A8F7105"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Prihantono</w:t>
      </w:r>
      <w:proofErr w:type="spellEnd"/>
      <w:r w:rsidRPr="003445F3">
        <w:rPr>
          <w:rFonts w:ascii="Arial" w:hAnsi="Arial" w:cs="Arial"/>
        </w:rPr>
        <w:t xml:space="preserve">, </w:t>
      </w:r>
      <w:proofErr w:type="spellStart"/>
      <w:r w:rsidRPr="003445F3">
        <w:rPr>
          <w:rFonts w:ascii="Arial" w:hAnsi="Arial" w:cs="Arial"/>
        </w:rPr>
        <w:t>Sukardi</w:t>
      </w:r>
      <w:proofErr w:type="spellEnd"/>
      <w:r w:rsidRPr="003445F3">
        <w:rPr>
          <w:rFonts w:ascii="Arial" w:hAnsi="Arial" w:cs="Arial"/>
        </w:rPr>
        <w:t xml:space="preserve">, B., </w:t>
      </w:r>
      <w:proofErr w:type="spellStart"/>
      <w:r w:rsidRPr="003445F3">
        <w:rPr>
          <w:rFonts w:ascii="Arial" w:hAnsi="Arial" w:cs="Arial"/>
        </w:rPr>
        <w:t>Riyani</w:t>
      </w:r>
      <w:proofErr w:type="spellEnd"/>
      <w:r w:rsidRPr="003445F3">
        <w:rPr>
          <w:rFonts w:ascii="Arial" w:hAnsi="Arial" w:cs="Arial"/>
        </w:rPr>
        <w:t xml:space="preserve">, &amp; </w:t>
      </w:r>
      <w:proofErr w:type="spellStart"/>
      <w:r w:rsidRPr="003445F3">
        <w:rPr>
          <w:rFonts w:ascii="Arial" w:hAnsi="Arial" w:cs="Arial"/>
        </w:rPr>
        <w:t>Kurniati</w:t>
      </w:r>
      <w:proofErr w:type="spellEnd"/>
      <w:r w:rsidRPr="003445F3">
        <w:rPr>
          <w:rFonts w:ascii="Arial" w:hAnsi="Arial" w:cs="Arial"/>
        </w:rPr>
        <w:t xml:space="preserve">, P. (2024). Linkage </w:t>
      </w:r>
      <w:proofErr w:type="spellStart"/>
      <w:r w:rsidRPr="003445F3">
        <w:rPr>
          <w:rFonts w:ascii="Arial" w:hAnsi="Arial" w:cs="Arial"/>
        </w:rPr>
        <w:t>Islamicity</w:t>
      </w:r>
      <w:proofErr w:type="spellEnd"/>
      <w:r w:rsidRPr="003445F3">
        <w:rPr>
          <w:rFonts w:ascii="Arial" w:hAnsi="Arial" w:cs="Arial"/>
        </w:rPr>
        <w:t xml:space="preserve"> Performance Index and Islamic Corporate Governance </w:t>
      </w:r>
      <w:proofErr w:type="spellStart"/>
      <w:r w:rsidRPr="003445F3">
        <w:rPr>
          <w:rFonts w:ascii="Arial" w:hAnsi="Arial" w:cs="Arial"/>
        </w:rPr>
        <w:t>throught</w:t>
      </w:r>
      <w:proofErr w:type="spellEnd"/>
      <w:r w:rsidRPr="003445F3">
        <w:rPr>
          <w:rFonts w:ascii="Arial" w:hAnsi="Arial" w:cs="Arial"/>
        </w:rPr>
        <w:t xml:space="preserve"> Financial Health Performance of Indonesian Islamic Banks. International Journal of Islamic Business and Economics (IJIBEC), 8(1), 57–77. https://doi.org/10.28918/ijibec.v8i1.6872</w:t>
      </w:r>
    </w:p>
    <w:p w14:paraId="6BEFC4C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Pungkisiwi</w:t>
      </w:r>
      <w:proofErr w:type="spellEnd"/>
      <w:r w:rsidRPr="003445F3">
        <w:rPr>
          <w:rFonts w:ascii="Arial" w:hAnsi="Arial" w:cs="Arial"/>
        </w:rPr>
        <w:t xml:space="preserve">, Y., &amp; </w:t>
      </w:r>
      <w:proofErr w:type="spellStart"/>
      <w:r w:rsidRPr="003445F3">
        <w:rPr>
          <w:rFonts w:ascii="Arial" w:hAnsi="Arial" w:cs="Arial"/>
        </w:rPr>
        <w:t>Hermanto</w:t>
      </w:r>
      <w:proofErr w:type="spellEnd"/>
      <w:r w:rsidRPr="003445F3">
        <w:rPr>
          <w:rFonts w:ascii="Arial" w:hAnsi="Arial" w:cs="Arial"/>
        </w:rPr>
        <w:t xml:space="preserve">, H. (2024). The Effect of Corporate Social Responsibility as a Moderating Variable on Determinants of Banking Profitability in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Ilmiah</w:t>
      </w:r>
      <w:proofErr w:type="spellEnd"/>
      <w:r w:rsidRPr="003445F3">
        <w:rPr>
          <w:rFonts w:ascii="Arial" w:hAnsi="Arial" w:cs="Arial"/>
        </w:rPr>
        <w:t xml:space="preserve"> Global Education, 5(1), 622–634. https://doi.org/10.55681/jige.v5i1.2464</w:t>
      </w:r>
    </w:p>
    <w:p w14:paraId="685CD8C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Purwanto</w:t>
      </w:r>
      <w:proofErr w:type="spellEnd"/>
      <w:r w:rsidRPr="003445F3">
        <w:rPr>
          <w:rFonts w:ascii="Arial" w:hAnsi="Arial" w:cs="Arial"/>
        </w:rPr>
        <w:t xml:space="preserve">, P., Putra, A. P., Putri, G. A., &amp; </w:t>
      </w:r>
      <w:proofErr w:type="spellStart"/>
      <w:r w:rsidRPr="003445F3">
        <w:rPr>
          <w:rFonts w:ascii="Arial" w:hAnsi="Arial" w:cs="Arial"/>
        </w:rPr>
        <w:t>Pratiwi</w:t>
      </w:r>
      <w:proofErr w:type="spellEnd"/>
      <w:r w:rsidRPr="003445F3">
        <w:rPr>
          <w:rFonts w:ascii="Arial" w:hAnsi="Arial" w:cs="Arial"/>
        </w:rPr>
        <w:t xml:space="preserve">, E. (2021). </w:t>
      </w:r>
      <w:proofErr w:type="spellStart"/>
      <w:r w:rsidRPr="003445F3">
        <w:rPr>
          <w:rFonts w:ascii="Arial" w:hAnsi="Arial" w:cs="Arial"/>
        </w:rPr>
        <w:t>Pengaruh</w:t>
      </w:r>
      <w:proofErr w:type="spellEnd"/>
      <w:r w:rsidRPr="003445F3">
        <w:rPr>
          <w:rFonts w:ascii="Arial" w:hAnsi="Arial" w:cs="Arial"/>
        </w:rPr>
        <w:t xml:space="preserve"> Good Corporate Governance (GCG) dan </w:t>
      </w:r>
      <w:proofErr w:type="spellStart"/>
      <w:r w:rsidRPr="003445F3">
        <w:rPr>
          <w:rFonts w:ascii="Arial" w:hAnsi="Arial" w:cs="Arial"/>
        </w:rPr>
        <w:t>Coporate</w:t>
      </w:r>
      <w:proofErr w:type="spellEnd"/>
      <w:r w:rsidRPr="003445F3">
        <w:rPr>
          <w:rFonts w:ascii="Arial" w:hAnsi="Arial" w:cs="Arial"/>
        </w:rPr>
        <w:t xml:space="preserve"> Social </w:t>
      </w:r>
      <w:proofErr w:type="spellStart"/>
      <w:r w:rsidRPr="003445F3">
        <w:rPr>
          <w:rFonts w:ascii="Arial" w:hAnsi="Arial" w:cs="Arial"/>
        </w:rPr>
        <w:t>Responsbility</w:t>
      </w:r>
      <w:proofErr w:type="spellEnd"/>
      <w:r w:rsidRPr="003445F3">
        <w:rPr>
          <w:rFonts w:ascii="Arial" w:hAnsi="Arial" w:cs="Arial"/>
        </w:rPr>
        <w:t xml:space="preserve"> (CSR) </w:t>
      </w:r>
      <w:proofErr w:type="spellStart"/>
      <w:r w:rsidRPr="003445F3">
        <w:rPr>
          <w:rFonts w:ascii="Arial" w:hAnsi="Arial" w:cs="Arial"/>
        </w:rPr>
        <w:t>Terhadap</w:t>
      </w:r>
      <w:proofErr w:type="spellEnd"/>
      <w:r w:rsidRPr="003445F3">
        <w:rPr>
          <w:rFonts w:ascii="Arial" w:hAnsi="Arial" w:cs="Arial"/>
        </w:rPr>
        <w:t xml:space="preserve"> Nilai Perusahaan. Journal of Business Finance and Economics, 2.</w:t>
      </w:r>
    </w:p>
    <w:p w14:paraId="4CF596C6" w14:textId="77777777" w:rsidR="008777A2" w:rsidRPr="003445F3" w:rsidRDefault="008777A2" w:rsidP="008777A2">
      <w:pPr>
        <w:ind w:left="720" w:hanging="720"/>
        <w:jc w:val="both"/>
        <w:rPr>
          <w:rFonts w:ascii="Arial" w:hAnsi="Arial" w:cs="Arial"/>
        </w:rPr>
      </w:pPr>
      <w:r w:rsidRPr="003445F3">
        <w:rPr>
          <w:rFonts w:ascii="Arial" w:hAnsi="Arial" w:cs="Arial"/>
        </w:rPr>
        <w:t xml:space="preserve">Putra, R. H. (2017). </w:t>
      </w:r>
      <w:proofErr w:type="spellStart"/>
      <w:r w:rsidRPr="003445F3">
        <w:rPr>
          <w:rFonts w:ascii="Arial" w:hAnsi="Arial" w:cs="Arial"/>
        </w:rPr>
        <w:t>Pengaruh</w:t>
      </w:r>
      <w:proofErr w:type="spellEnd"/>
      <w:r w:rsidRPr="003445F3">
        <w:rPr>
          <w:rFonts w:ascii="Arial" w:hAnsi="Arial" w:cs="Arial"/>
        </w:rPr>
        <w:t xml:space="preserve"> Tata </w:t>
      </w:r>
      <w:proofErr w:type="spellStart"/>
      <w:r w:rsidRPr="003445F3">
        <w:rPr>
          <w:rFonts w:ascii="Arial" w:hAnsi="Arial" w:cs="Arial"/>
        </w:rPr>
        <w:t>Kelola</w:t>
      </w:r>
      <w:proofErr w:type="spellEnd"/>
      <w:r w:rsidRPr="003445F3">
        <w:rPr>
          <w:rFonts w:ascii="Arial" w:hAnsi="Arial" w:cs="Arial"/>
        </w:rPr>
        <w:t xml:space="preserve"> Perusahaan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Perusahaan.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Ilmu</w:t>
      </w:r>
      <w:proofErr w:type="spellEnd"/>
      <w:r w:rsidRPr="003445F3">
        <w:rPr>
          <w:rFonts w:ascii="Arial" w:hAnsi="Arial" w:cs="Arial"/>
        </w:rPr>
        <w:t xml:space="preserve"> Dan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6(8), 1–15. http://jurnalmahasiswa.stiesia.ac.id/index.php/jira/article/view/1516/1531</w:t>
      </w:r>
    </w:p>
    <w:p w14:paraId="04A5F829"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Qoyum</w:t>
      </w:r>
      <w:proofErr w:type="spellEnd"/>
      <w:r w:rsidRPr="003445F3">
        <w:rPr>
          <w:rFonts w:ascii="Arial" w:hAnsi="Arial" w:cs="Arial"/>
        </w:rPr>
        <w:t xml:space="preserve">, M. S. dan Q. (2017a). The Impact of Good Corporate </w:t>
      </w:r>
      <w:proofErr w:type="gramStart"/>
      <w:r w:rsidRPr="003445F3">
        <w:rPr>
          <w:rFonts w:ascii="Arial" w:hAnsi="Arial" w:cs="Arial"/>
        </w:rPr>
        <w:t>Governance ,</w:t>
      </w:r>
      <w:proofErr w:type="gramEnd"/>
      <w:r w:rsidRPr="003445F3">
        <w:rPr>
          <w:rFonts w:ascii="Arial" w:hAnsi="Arial" w:cs="Arial"/>
        </w:rPr>
        <w:t xml:space="preserve"> Company Size </w:t>
      </w:r>
      <w:proofErr w:type="spellStart"/>
      <w:r w:rsidRPr="003445F3">
        <w:rPr>
          <w:rFonts w:ascii="Arial" w:hAnsi="Arial" w:cs="Arial"/>
        </w:rPr>
        <w:t>nn</w:t>
      </w:r>
      <w:proofErr w:type="spellEnd"/>
      <w:r w:rsidRPr="003445F3">
        <w:rPr>
          <w:rFonts w:ascii="Arial" w:hAnsi="Arial" w:cs="Arial"/>
        </w:rPr>
        <w:t xml:space="preserve"> Corporate Social Responsibility Disclosure. Case Study of Islamic Banking in Indonesia, 10(1), 130–159. https://doi.org/10.21043/iqtishadia.v10i1.2549</w:t>
      </w:r>
    </w:p>
    <w:p w14:paraId="6E2DE248" w14:textId="77777777" w:rsidR="008777A2" w:rsidRPr="003445F3" w:rsidRDefault="008777A2" w:rsidP="008777A2">
      <w:pPr>
        <w:ind w:left="720" w:hanging="720"/>
        <w:jc w:val="both"/>
        <w:rPr>
          <w:rFonts w:ascii="Arial" w:hAnsi="Arial" w:cs="Arial"/>
        </w:rPr>
      </w:pPr>
      <w:r w:rsidRPr="003445F3">
        <w:rPr>
          <w:rFonts w:ascii="Arial" w:hAnsi="Arial" w:cs="Arial"/>
        </w:rPr>
        <w:lastRenderedPageBreak/>
        <w:t>Rabbani, M. R., Kiran, M., Bhuiyan, A. B., &amp; Al-</w:t>
      </w:r>
      <w:proofErr w:type="spellStart"/>
      <w:r w:rsidRPr="003445F3">
        <w:rPr>
          <w:rFonts w:ascii="Arial" w:hAnsi="Arial" w:cs="Arial"/>
        </w:rPr>
        <w:t>Hiyari</w:t>
      </w:r>
      <w:proofErr w:type="spellEnd"/>
      <w:r w:rsidRPr="003445F3">
        <w:rPr>
          <w:rFonts w:ascii="Arial" w:hAnsi="Arial" w:cs="Arial"/>
        </w:rPr>
        <w:t>, A. (2024). Does diversity in top management and boards affect ESG performance? Evidence from Islamic and conventional banks in the MENA region. International Journal of Islamic and Middle Eastern Finance and Management, 17(6), 1244-1266.</w:t>
      </w:r>
    </w:p>
    <w:p w14:paraId="30F79D8C" w14:textId="42E66F76" w:rsidR="00BE6117" w:rsidRDefault="00BE6117" w:rsidP="008777A2">
      <w:pPr>
        <w:ind w:left="720" w:hanging="720"/>
        <w:jc w:val="both"/>
        <w:rPr>
          <w:rFonts w:ascii="Arial" w:hAnsi="Arial" w:cs="Arial"/>
        </w:rPr>
      </w:pPr>
      <w:r>
        <w:t xml:space="preserve">Rabbani, R., Rana, S., &amp; Khan, M. (2024). Gender diversity, ESG and financial performance in Islamic and conventional banks: Comparative insights. </w:t>
      </w:r>
      <w:r>
        <w:rPr>
          <w:rStyle w:val="Emphasis"/>
        </w:rPr>
        <w:t>International Journal of Islamic and Middle Eastern Finance and Management, 17</w:t>
      </w:r>
      <w:r>
        <w:t>(1), 33–54.</w:t>
      </w:r>
    </w:p>
    <w:p w14:paraId="714ED67F" w14:textId="466F2552" w:rsidR="008777A2" w:rsidRPr="003445F3" w:rsidRDefault="008777A2" w:rsidP="008777A2">
      <w:pPr>
        <w:ind w:left="720" w:hanging="720"/>
        <w:jc w:val="both"/>
        <w:rPr>
          <w:rFonts w:ascii="Arial" w:hAnsi="Arial" w:cs="Arial"/>
        </w:rPr>
      </w:pPr>
      <w:r w:rsidRPr="003445F3">
        <w:rPr>
          <w:rFonts w:ascii="Arial" w:hAnsi="Arial" w:cs="Arial"/>
        </w:rPr>
        <w:t xml:space="preserve">Rahim, S. A. (2025).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terhadap</w:t>
      </w:r>
      <w:proofErr w:type="spellEnd"/>
      <w:r w:rsidRPr="003445F3">
        <w:rPr>
          <w:rFonts w:ascii="Arial" w:hAnsi="Arial" w:cs="Arial"/>
        </w:rPr>
        <w:t xml:space="preserve"> Financial Sustainability </w:t>
      </w:r>
      <w:proofErr w:type="spellStart"/>
      <w:r w:rsidRPr="003445F3">
        <w:rPr>
          <w:rFonts w:ascii="Arial" w:hAnsi="Arial" w:cs="Arial"/>
        </w:rPr>
        <w:t>dengan</w:t>
      </w:r>
      <w:proofErr w:type="spellEnd"/>
      <w:r w:rsidRPr="003445F3">
        <w:rPr>
          <w:rFonts w:ascii="Arial" w:hAnsi="Arial" w:cs="Arial"/>
        </w:rPr>
        <w:t xml:space="preserve"> Financial Stability </w:t>
      </w:r>
      <w:proofErr w:type="spellStart"/>
      <w:r w:rsidRPr="003445F3">
        <w:rPr>
          <w:rFonts w:ascii="Arial" w:hAnsi="Arial" w:cs="Arial"/>
        </w:rPr>
        <w:t>sebagai</w:t>
      </w:r>
      <w:proofErr w:type="spellEnd"/>
      <w:r w:rsidRPr="003445F3">
        <w:rPr>
          <w:rFonts w:ascii="Arial" w:hAnsi="Arial" w:cs="Arial"/>
        </w:rPr>
        <w:t xml:space="preserve"> </w:t>
      </w:r>
      <w:proofErr w:type="spellStart"/>
      <w:r w:rsidRPr="003445F3">
        <w:rPr>
          <w:rFonts w:ascii="Arial" w:hAnsi="Arial" w:cs="Arial"/>
        </w:rPr>
        <w:t>Mediasi</w:t>
      </w:r>
      <w:proofErr w:type="spellEnd"/>
      <w:r w:rsidRPr="003445F3">
        <w:rPr>
          <w:rFonts w:ascii="Arial" w:hAnsi="Arial" w:cs="Arial"/>
        </w:rPr>
        <w:t xml:space="preserve"> pada Bank Syariah di Indonesia 2019–2023. UIN Malang.</w:t>
      </w:r>
    </w:p>
    <w:p w14:paraId="7887A72A" w14:textId="77777777" w:rsidR="008777A2" w:rsidRPr="003445F3" w:rsidRDefault="008777A2" w:rsidP="008777A2">
      <w:pPr>
        <w:ind w:left="720" w:hanging="720"/>
        <w:jc w:val="both"/>
        <w:rPr>
          <w:rFonts w:ascii="Arial" w:hAnsi="Arial" w:cs="Arial"/>
        </w:rPr>
      </w:pPr>
      <w:r w:rsidRPr="003445F3">
        <w:rPr>
          <w:rFonts w:ascii="Arial" w:hAnsi="Arial" w:cs="Arial"/>
        </w:rPr>
        <w:t xml:space="preserve">Rahim, S. A., &amp; </w:t>
      </w:r>
      <w:proofErr w:type="spellStart"/>
      <w:r w:rsidRPr="003445F3">
        <w:rPr>
          <w:rFonts w:ascii="Arial" w:hAnsi="Arial" w:cs="Arial"/>
        </w:rPr>
        <w:t>Aisyah</w:t>
      </w:r>
      <w:proofErr w:type="spellEnd"/>
      <w:r w:rsidRPr="003445F3">
        <w:rPr>
          <w:rFonts w:ascii="Arial" w:hAnsi="Arial" w:cs="Arial"/>
        </w:rPr>
        <w:t>, E. N. (2025). Corporate Social Responsibility, Good Corporate Governance and Financial Sustainability: A Financial Stability Role. Asian Journal of Economics, Business and Accounting, 25(2), 231–242. https://doi.org/10.9734/ajeba/2025/v25i21677</w:t>
      </w:r>
    </w:p>
    <w:p w14:paraId="15FB7042" w14:textId="72ACFD77" w:rsidR="00160B07" w:rsidRPr="003445F3" w:rsidRDefault="00160B07" w:rsidP="008777A2">
      <w:pPr>
        <w:ind w:left="720" w:hanging="720"/>
        <w:jc w:val="both"/>
        <w:rPr>
          <w:rFonts w:ascii="Arial" w:hAnsi="Arial" w:cs="Arial"/>
        </w:rPr>
      </w:pPr>
      <w:r w:rsidRPr="003445F3">
        <w:rPr>
          <w:rFonts w:ascii="Arial" w:hAnsi="Arial" w:cs="Arial"/>
          <w:color w:val="222222"/>
          <w:shd w:val="clear" w:color="auto" w:fill="FFFFFF"/>
        </w:rPr>
        <w:t xml:space="preserve">Ramadhan, H. F., </w:t>
      </w:r>
      <w:proofErr w:type="spellStart"/>
      <w:r w:rsidRPr="003445F3">
        <w:rPr>
          <w:rFonts w:ascii="Arial" w:hAnsi="Arial" w:cs="Arial"/>
          <w:color w:val="222222"/>
          <w:shd w:val="clear" w:color="auto" w:fill="FFFFFF"/>
        </w:rPr>
        <w:t>Santoso</w:t>
      </w:r>
      <w:proofErr w:type="spellEnd"/>
      <w:r w:rsidRPr="003445F3">
        <w:rPr>
          <w:rFonts w:ascii="Arial" w:hAnsi="Arial" w:cs="Arial"/>
          <w:color w:val="222222"/>
          <w:shd w:val="clear" w:color="auto" w:fill="FFFFFF"/>
        </w:rPr>
        <w:t xml:space="preserve">, S. B., Fakhruddin, I., &amp; </w:t>
      </w:r>
      <w:proofErr w:type="spellStart"/>
      <w:r w:rsidRPr="003445F3">
        <w:rPr>
          <w:rFonts w:ascii="Arial" w:hAnsi="Arial" w:cs="Arial"/>
          <w:color w:val="222222"/>
          <w:shd w:val="clear" w:color="auto" w:fill="FFFFFF"/>
        </w:rPr>
        <w:t>Pramono</w:t>
      </w:r>
      <w:proofErr w:type="spellEnd"/>
      <w:r w:rsidRPr="003445F3">
        <w:rPr>
          <w:rFonts w:ascii="Arial" w:hAnsi="Arial" w:cs="Arial"/>
          <w:color w:val="222222"/>
          <w:shd w:val="clear" w:color="auto" w:fill="FFFFFF"/>
        </w:rPr>
        <w:t xml:space="preserve">, H. (2025). </w:t>
      </w:r>
      <w:proofErr w:type="spellStart"/>
      <w:r w:rsidRPr="003445F3">
        <w:rPr>
          <w:rFonts w:ascii="Arial" w:hAnsi="Arial" w:cs="Arial"/>
          <w:color w:val="222222"/>
          <w:shd w:val="clear" w:color="auto" w:fill="FFFFFF"/>
        </w:rPr>
        <w:t>Pengaruh</w:t>
      </w:r>
      <w:proofErr w:type="spellEnd"/>
      <w:r w:rsidRPr="003445F3">
        <w:rPr>
          <w:rFonts w:ascii="Arial" w:hAnsi="Arial" w:cs="Arial"/>
          <w:color w:val="222222"/>
          <w:shd w:val="clear" w:color="auto" w:fill="FFFFFF"/>
        </w:rPr>
        <w:t xml:space="preserve"> Corporate Social Responsibility (CSR), </w:t>
      </w:r>
      <w:proofErr w:type="spellStart"/>
      <w:r w:rsidRPr="003445F3">
        <w:rPr>
          <w:rFonts w:ascii="Arial" w:hAnsi="Arial" w:cs="Arial"/>
          <w:color w:val="222222"/>
          <w:shd w:val="clear" w:color="auto" w:fill="FFFFFF"/>
        </w:rPr>
        <w:t>Ukuran</w:t>
      </w:r>
      <w:proofErr w:type="spellEnd"/>
      <w:r w:rsidRPr="003445F3">
        <w:rPr>
          <w:rFonts w:ascii="Arial" w:hAnsi="Arial" w:cs="Arial"/>
          <w:color w:val="222222"/>
          <w:shd w:val="clear" w:color="auto" w:fill="FFFFFF"/>
        </w:rPr>
        <w:t xml:space="preserve"> Perusahaan dan Nilai Perusahaan </w:t>
      </w:r>
      <w:proofErr w:type="spellStart"/>
      <w:r w:rsidRPr="003445F3">
        <w:rPr>
          <w:rFonts w:ascii="Arial" w:hAnsi="Arial" w:cs="Arial"/>
          <w:color w:val="222222"/>
          <w:shd w:val="clear" w:color="auto" w:fill="FFFFFF"/>
        </w:rPr>
        <w:t>Terhadap</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Kinerja</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Keuangan</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Studi</w:t>
      </w:r>
      <w:proofErr w:type="spellEnd"/>
      <w:r w:rsidRPr="003445F3">
        <w:rPr>
          <w:rFonts w:ascii="Arial" w:hAnsi="Arial" w:cs="Arial"/>
          <w:color w:val="222222"/>
          <w:shd w:val="clear" w:color="auto" w:fill="FFFFFF"/>
        </w:rPr>
        <w:t xml:space="preserve"> Pada Perusahaan Yang </w:t>
      </w:r>
      <w:proofErr w:type="spellStart"/>
      <w:r w:rsidRPr="003445F3">
        <w:rPr>
          <w:rFonts w:ascii="Arial" w:hAnsi="Arial" w:cs="Arial"/>
          <w:color w:val="222222"/>
          <w:shd w:val="clear" w:color="auto" w:fill="FFFFFF"/>
        </w:rPr>
        <w:t>Termasuk</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Dalam</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Indeks</w:t>
      </w:r>
      <w:proofErr w:type="spellEnd"/>
      <w:r w:rsidRPr="003445F3">
        <w:rPr>
          <w:rFonts w:ascii="Arial" w:hAnsi="Arial" w:cs="Arial"/>
          <w:color w:val="222222"/>
          <w:shd w:val="clear" w:color="auto" w:fill="FFFFFF"/>
        </w:rPr>
        <w:t xml:space="preserve"> </w:t>
      </w:r>
      <w:proofErr w:type="spellStart"/>
      <w:r w:rsidRPr="003445F3">
        <w:rPr>
          <w:rFonts w:ascii="Arial" w:hAnsi="Arial" w:cs="Arial"/>
          <w:color w:val="222222"/>
          <w:shd w:val="clear" w:color="auto" w:fill="FFFFFF"/>
        </w:rPr>
        <w:t>Saham</w:t>
      </w:r>
      <w:proofErr w:type="spellEnd"/>
      <w:r w:rsidRPr="003445F3">
        <w:rPr>
          <w:rFonts w:ascii="Arial" w:hAnsi="Arial" w:cs="Arial"/>
          <w:color w:val="222222"/>
          <w:shd w:val="clear" w:color="auto" w:fill="FFFFFF"/>
        </w:rPr>
        <w:t xml:space="preserve"> Syariah IDX Growth Sharia </w:t>
      </w:r>
      <w:proofErr w:type="spellStart"/>
      <w:r w:rsidRPr="003445F3">
        <w:rPr>
          <w:rFonts w:ascii="Arial" w:hAnsi="Arial" w:cs="Arial"/>
          <w:color w:val="222222"/>
          <w:shd w:val="clear" w:color="auto" w:fill="FFFFFF"/>
        </w:rPr>
        <w:t>Tahun</w:t>
      </w:r>
      <w:proofErr w:type="spellEnd"/>
      <w:r w:rsidRPr="003445F3">
        <w:rPr>
          <w:rFonts w:ascii="Arial" w:hAnsi="Arial" w:cs="Arial"/>
          <w:color w:val="222222"/>
          <w:shd w:val="clear" w:color="auto" w:fill="FFFFFF"/>
        </w:rPr>
        <w:t xml:space="preserve"> 2021-2023). </w:t>
      </w:r>
      <w:r w:rsidRPr="003445F3">
        <w:rPr>
          <w:rFonts w:ascii="Arial" w:hAnsi="Arial" w:cs="Arial"/>
          <w:i/>
          <w:iCs/>
          <w:color w:val="222222"/>
          <w:shd w:val="clear" w:color="auto" w:fill="FFFFFF"/>
        </w:rPr>
        <w:t>Journal of Accounting and Finance Management</w:t>
      </w:r>
      <w:r w:rsidRPr="003445F3">
        <w:rPr>
          <w:rFonts w:ascii="Arial" w:hAnsi="Arial" w:cs="Arial"/>
          <w:color w:val="222222"/>
          <w:shd w:val="clear" w:color="auto" w:fill="FFFFFF"/>
        </w:rPr>
        <w:t>, </w:t>
      </w:r>
      <w:r w:rsidRPr="003445F3">
        <w:rPr>
          <w:rFonts w:ascii="Arial" w:hAnsi="Arial" w:cs="Arial"/>
          <w:i/>
          <w:iCs/>
          <w:color w:val="222222"/>
          <w:shd w:val="clear" w:color="auto" w:fill="FFFFFF"/>
        </w:rPr>
        <w:t>5</w:t>
      </w:r>
      <w:r w:rsidRPr="003445F3">
        <w:rPr>
          <w:rFonts w:ascii="Arial" w:hAnsi="Arial" w:cs="Arial"/>
          <w:color w:val="222222"/>
          <w:shd w:val="clear" w:color="auto" w:fill="FFFFFF"/>
        </w:rPr>
        <w:t>(6), 1723-1733.</w:t>
      </w:r>
    </w:p>
    <w:p w14:paraId="0724FF28" w14:textId="6028BD85" w:rsidR="008777A2" w:rsidRPr="003445F3" w:rsidRDefault="008777A2" w:rsidP="008777A2">
      <w:pPr>
        <w:ind w:left="720" w:hanging="720"/>
        <w:jc w:val="both"/>
        <w:rPr>
          <w:rFonts w:ascii="Arial" w:hAnsi="Arial" w:cs="Arial"/>
        </w:rPr>
      </w:pPr>
      <w:proofErr w:type="spellStart"/>
      <w:r w:rsidRPr="003445F3">
        <w:rPr>
          <w:rFonts w:ascii="Arial" w:hAnsi="Arial" w:cs="Arial"/>
        </w:rPr>
        <w:t>Ramadhani</w:t>
      </w:r>
      <w:proofErr w:type="spellEnd"/>
      <w:r w:rsidRPr="003445F3">
        <w:rPr>
          <w:rFonts w:ascii="Arial" w:hAnsi="Arial" w:cs="Arial"/>
        </w:rPr>
        <w:t xml:space="preserve">, W., &amp; </w:t>
      </w:r>
      <w:proofErr w:type="spellStart"/>
      <w:r w:rsidRPr="003445F3">
        <w:rPr>
          <w:rFonts w:ascii="Arial" w:hAnsi="Arial" w:cs="Arial"/>
        </w:rPr>
        <w:t>Serly</w:t>
      </w:r>
      <w:proofErr w:type="spellEnd"/>
      <w:r w:rsidRPr="003445F3">
        <w:rPr>
          <w:rFonts w:ascii="Arial" w:hAnsi="Arial" w:cs="Arial"/>
        </w:rPr>
        <w:t xml:space="preserve">, V. (2023).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Ukuran</w:t>
      </w:r>
      <w:proofErr w:type="spellEnd"/>
      <w:r w:rsidRPr="003445F3">
        <w:rPr>
          <w:rFonts w:ascii="Arial" w:hAnsi="Arial" w:cs="Arial"/>
        </w:rPr>
        <w:t xml:space="preserve"> Dewan </w:t>
      </w:r>
      <w:proofErr w:type="spellStart"/>
      <w:r w:rsidRPr="003445F3">
        <w:rPr>
          <w:rFonts w:ascii="Arial" w:hAnsi="Arial" w:cs="Arial"/>
        </w:rPr>
        <w:t>Direksi</w:t>
      </w:r>
      <w:proofErr w:type="spellEnd"/>
      <w:r w:rsidRPr="003445F3">
        <w:rPr>
          <w:rFonts w:ascii="Arial" w:hAnsi="Arial" w:cs="Arial"/>
        </w:rPr>
        <w:t xml:space="preserve"> dan Islamic Corporate Social Responsibility </w:t>
      </w:r>
      <w:proofErr w:type="spellStart"/>
      <w:r w:rsidRPr="003445F3">
        <w:rPr>
          <w:rFonts w:ascii="Arial" w:hAnsi="Arial" w:cs="Arial"/>
        </w:rPr>
        <w:t>terhadap</w:t>
      </w:r>
      <w:proofErr w:type="spellEnd"/>
      <w:r w:rsidRPr="003445F3">
        <w:rPr>
          <w:rFonts w:ascii="Arial" w:hAnsi="Arial" w:cs="Arial"/>
        </w:rPr>
        <w:t xml:space="preserve"> Nilai Perusahaan: </w:t>
      </w:r>
      <w:proofErr w:type="spellStart"/>
      <w:r w:rsidRPr="003445F3">
        <w:rPr>
          <w:rFonts w:ascii="Arial" w:hAnsi="Arial" w:cs="Arial"/>
        </w:rPr>
        <w:t>Studi</w:t>
      </w:r>
      <w:proofErr w:type="spellEnd"/>
      <w:r w:rsidRPr="003445F3">
        <w:rPr>
          <w:rFonts w:ascii="Arial" w:hAnsi="Arial" w:cs="Arial"/>
        </w:rPr>
        <w:t xml:space="preserve"> pada Bank Syariah yang </w:t>
      </w:r>
      <w:proofErr w:type="spellStart"/>
      <w:r w:rsidRPr="003445F3">
        <w:rPr>
          <w:rFonts w:ascii="Arial" w:hAnsi="Arial" w:cs="Arial"/>
        </w:rPr>
        <w:t>Terdaftar</w:t>
      </w:r>
      <w:proofErr w:type="spellEnd"/>
      <w:r w:rsidRPr="003445F3">
        <w:rPr>
          <w:rFonts w:ascii="Arial" w:hAnsi="Arial" w:cs="Arial"/>
        </w:rPr>
        <w:t xml:space="preserve"> di OJK </w:t>
      </w:r>
      <w:proofErr w:type="spellStart"/>
      <w:r w:rsidRPr="003445F3">
        <w:rPr>
          <w:rFonts w:ascii="Arial" w:hAnsi="Arial" w:cs="Arial"/>
        </w:rPr>
        <w:t>Tahun</w:t>
      </w:r>
      <w:proofErr w:type="spellEnd"/>
      <w:r w:rsidRPr="003445F3">
        <w:rPr>
          <w:rFonts w:ascii="Arial" w:hAnsi="Arial" w:cs="Arial"/>
        </w:rPr>
        <w:t xml:space="preserve"> 2016-2020.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Nuansa</w:t>
      </w:r>
      <w:proofErr w:type="spellEnd"/>
      <w:r w:rsidRPr="003445F3">
        <w:rPr>
          <w:rFonts w:ascii="Arial" w:hAnsi="Arial" w:cs="Arial"/>
        </w:rPr>
        <w:t xml:space="preserve"> </w:t>
      </w:r>
      <w:proofErr w:type="spellStart"/>
      <w:r w:rsidRPr="003445F3">
        <w:rPr>
          <w:rFonts w:ascii="Arial" w:hAnsi="Arial" w:cs="Arial"/>
        </w:rPr>
        <w:t>Karya</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1(1), 60–68. https://doi.org/10.24036/jnka.v1i1.8</w:t>
      </w:r>
    </w:p>
    <w:p w14:paraId="315D4F9D" w14:textId="77777777" w:rsidR="008777A2" w:rsidRPr="003445F3" w:rsidRDefault="008777A2" w:rsidP="008777A2">
      <w:pPr>
        <w:ind w:left="720" w:hanging="720"/>
        <w:jc w:val="both"/>
        <w:rPr>
          <w:rFonts w:ascii="Arial" w:hAnsi="Arial" w:cs="Arial"/>
        </w:rPr>
      </w:pPr>
      <w:r w:rsidRPr="003445F3">
        <w:rPr>
          <w:rFonts w:ascii="Arial" w:hAnsi="Arial" w:cs="Arial"/>
        </w:rPr>
        <w:t xml:space="preserve">Ridwan, R., &amp; </w:t>
      </w:r>
      <w:proofErr w:type="spellStart"/>
      <w:r w:rsidRPr="003445F3">
        <w:rPr>
          <w:rFonts w:ascii="Arial" w:hAnsi="Arial" w:cs="Arial"/>
        </w:rPr>
        <w:t>Mayapada</w:t>
      </w:r>
      <w:proofErr w:type="spellEnd"/>
      <w:r w:rsidRPr="003445F3">
        <w:rPr>
          <w:rFonts w:ascii="Arial" w:hAnsi="Arial" w:cs="Arial"/>
        </w:rPr>
        <w:t>, A. G. (2022). Does sharia governance influence corporate social responsibility disclosure in Indonesia Islamic banks? Journal of Sustainable Finance and Investment, 12(2), 299–318. https://doi.org/10.1080/20430795.2020.1749819</w:t>
      </w:r>
    </w:p>
    <w:p w14:paraId="3C3A313E" w14:textId="029CEBF0" w:rsidR="00AE096E" w:rsidRPr="003445F3" w:rsidRDefault="00AE096E" w:rsidP="008777A2">
      <w:pPr>
        <w:ind w:left="720" w:hanging="720"/>
        <w:jc w:val="both"/>
        <w:rPr>
          <w:rFonts w:ascii="Arial" w:hAnsi="Arial" w:cs="Arial"/>
        </w:rPr>
      </w:pPr>
      <w:r w:rsidRPr="003445F3">
        <w:rPr>
          <w:rFonts w:ascii="Arial" w:hAnsi="Arial" w:cs="Arial"/>
        </w:rPr>
        <w:t xml:space="preserve">Rossi, M., </w:t>
      </w:r>
      <w:proofErr w:type="spellStart"/>
      <w:r w:rsidRPr="003445F3">
        <w:rPr>
          <w:rFonts w:ascii="Arial" w:hAnsi="Arial" w:cs="Arial"/>
        </w:rPr>
        <w:t>Chouaibi</w:t>
      </w:r>
      <w:proofErr w:type="spellEnd"/>
      <w:r w:rsidRPr="003445F3">
        <w:rPr>
          <w:rFonts w:ascii="Arial" w:hAnsi="Arial" w:cs="Arial"/>
        </w:rPr>
        <w:t xml:space="preserve">, J., </w:t>
      </w:r>
      <w:proofErr w:type="spellStart"/>
      <w:r w:rsidRPr="003445F3">
        <w:rPr>
          <w:rFonts w:ascii="Arial" w:hAnsi="Arial" w:cs="Arial"/>
        </w:rPr>
        <w:t>Chouaibi</w:t>
      </w:r>
      <w:proofErr w:type="spellEnd"/>
      <w:r w:rsidRPr="003445F3">
        <w:rPr>
          <w:rFonts w:ascii="Arial" w:hAnsi="Arial" w:cs="Arial"/>
        </w:rPr>
        <w:t xml:space="preserve">, S., Jilani, W., &amp; </w:t>
      </w:r>
      <w:proofErr w:type="spellStart"/>
      <w:r w:rsidRPr="003445F3">
        <w:rPr>
          <w:rFonts w:ascii="Arial" w:hAnsi="Arial" w:cs="Arial"/>
        </w:rPr>
        <w:t>Chouaibi</w:t>
      </w:r>
      <w:proofErr w:type="spellEnd"/>
      <w:r w:rsidRPr="003445F3">
        <w:rPr>
          <w:rFonts w:ascii="Arial" w:hAnsi="Arial" w:cs="Arial"/>
        </w:rPr>
        <w:t xml:space="preserve">, Y. (2021). Does a Board Characteristic Moderate the Relationship between CSR Practices and Financial Performance? Evidence from European ESG Firms. Journal of Risk and Financial Management. </w:t>
      </w:r>
      <w:hyperlink r:id="rId22" w:history="1">
        <w:r w:rsidRPr="003445F3">
          <w:rPr>
            <w:rStyle w:val="Hyperlink"/>
            <w:rFonts w:ascii="Arial" w:hAnsi="Arial" w:cs="Arial"/>
          </w:rPr>
          <w:t>https://doi.org/10.3390/jrfm14080354</w:t>
        </w:r>
      </w:hyperlink>
    </w:p>
    <w:p w14:paraId="5D089BDC" w14:textId="7E4B48C3" w:rsidR="00C43A0F" w:rsidRPr="00C43A0F" w:rsidRDefault="00274146" w:rsidP="008777A2">
      <w:pPr>
        <w:ind w:left="720" w:hanging="720"/>
        <w:jc w:val="both"/>
        <w:rPr>
          <w:rFonts w:ascii="Arial" w:hAnsi="Arial" w:cs="Arial"/>
        </w:rPr>
      </w:pPr>
      <w:hyperlink r:id="rId23" w:tooltip="Md. Abdur Rouf" w:history="1">
        <w:r w:rsidR="00C43A0F" w:rsidRPr="00C43A0F">
          <w:rPr>
            <w:rStyle w:val="Hyperlink"/>
            <w:rFonts w:ascii="Arial" w:hAnsi="Arial" w:cs="Arial"/>
            <w:color w:val="auto"/>
            <w:shd w:val="clear" w:color="auto" w:fill="FFFFFF"/>
          </w:rPr>
          <w:t>Rouf, M.A.</w:t>
        </w:r>
      </w:hyperlink>
      <w:r w:rsidR="00C43A0F" w:rsidRPr="00C43A0F">
        <w:rPr>
          <w:rFonts w:ascii="Arial" w:hAnsi="Arial" w:cs="Arial"/>
          <w:shd w:val="clear" w:color="auto" w:fill="FFFFFF"/>
        </w:rPr>
        <w:t> and </w:t>
      </w:r>
      <w:hyperlink r:id="rId24" w:tooltip="Md. Alamgir Hossan" w:history="1">
        <w:r w:rsidR="00C43A0F" w:rsidRPr="00C43A0F">
          <w:rPr>
            <w:rStyle w:val="Hyperlink"/>
            <w:rFonts w:ascii="Arial" w:hAnsi="Arial" w:cs="Arial"/>
            <w:color w:val="auto"/>
            <w:shd w:val="clear" w:color="auto" w:fill="FFFFFF"/>
          </w:rPr>
          <w:t>Hossan, M.A.</w:t>
        </w:r>
      </w:hyperlink>
      <w:r w:rsidR="00C43A0F" w:rsidRPr="00C43A0F">
        <w:rPr>
          <w:rFonts w:ascii="Arial" w:hAnsi="Arial" w:cs="Arial"/>
          <w:shd w:val="clear" w:color="auto" w:fill="FFFFFF"/>
        </w:rPr>
        <w:t> (2021), "The effects of board size and board composition on CSR disclosure: a study of banking sectors in Bangladesh", </w:t>
      </w:r>
      <w:hyperlink r:id="rId25" w:history="1">
        <w:r w:rsidR="00C43A0F" w:rsidRPr="00C43A0F">
          <w:rPr>
            <w:rStyle w:val="Hyperlink"/>
            <w:rFonts w:ascii="Arial" w:hAnsi="Arial" w:cs="Arial"/>
            <w:i/>
            <w:iCs/>
            <w:color w:val="auto"/>
          </w:rPr>
          <w:t>International Journal of Ethics and Systems</w:t>
        </w:r>
      </w:hyperlink>
      <w:r w:rsidR="00C43A0F" w:rsidRPr="00C43A0F">
        <w:rPr>
          <w:rFonts w:ascii="Arial" w:hAnsi="Arial" w:cs="Arial"/>
          <w:shd w:val="clear" w:color="auto" w:fill="FFFFFF"/>
        </w:rPr>
        <w:t>, Vol. 37 No. 1, pp. 105-121. </w:t>
      </w:r>
      <w:hyperlink r:id="rId26" w:tooltip="DOI: https://doi.org/10.1108/IJOES-06-2020-0079" w:history="1">
        <w:r w:rsidR="00C43A0F" w:rsidRPr="00C43A0F">
          <w:rPr>
            <w:rStyle w:val="Hyperlink"/>
            <w:rFonts w:ascii="Arial" w:hAnsi="Arial" w:cs="Arial"/>
            <w:color w:val="auto"/>
            <w:shd w:val="clear" w:color="auto" w:fill="FFFFFF"/>
          </w:rPr>
          <w:t>https://doi.org/10.1108/IJOES-06-2020-0079</w:t>
        </w:r>
      </w:hyperlink>
    </w:p>
    <w:p w14:paraId="63C408B5" w14:textId="408F85B1" w:rsidR="008777A2" w:rsidRPr="003445F3" w:rsidRDefault="008777A2" w:rsidP="008777A2">
      <w:pPr>
        <w:ind w:left="720" w:hanging="720"/>
        <w:jc w:val="both"/>
        <w:rPr>
          <w:rFonts w:ascii="Arial" w:hAnsi="Arial" w:cs="Arial"/>
        </w:rPr>
      </w:pPr>
      <w:proofErr w:type="spellStart"/>
      <w:r w:rsidRPr="003445F3">
        <w:rPr>
          <w:rFonts w:ascii="Arial" w:hAnsi="Arial" w:cs="Arial"/>
        </w:rPr>
        <w:t>Roziq</w:t>
      </w:r>
      <w:proofErr w:type="spellEnd"/>
      <w:r w:rsidRPr="003445F3">
        <w:rPr>
          <w:rFonts w:ascii="Arial" w:hAnsi="Arial" w:cs="Arial"/>
        </w:rPr>
        <w:t xml:space="preserve">, A., &amp; </w:t>
      </w:r>
      <w:proofErr w:type="spellStart"/>
      <w:r w:rsidRPr="003445F3">
        <w:rPr>
          <w:rFonts w:ascii="Arial" w:hAnsi="Arial" w:cs="Arial"/>
        </w:rPr>
        <w:t>Ilma</w:t>
      </w:r>
      <w:proofErr w:type="spellEnd"/>
      <w:r w:rsidRPr="003445F3">
        <w:rPr>
          <w:rFonts w:ascii="Arial" w:hAnsi="Arial" w:cs="Arial"/>
        </w:rPr>
        <w:t xml:space="preserve"> Ahmad, Z. (2024). Enhancing performance: minimizing risk in Islamic banks in Indonesia. Cogent Business and Management, 11(1). https://doi.org/10.1080/23311975.2023.2294519</w:t>
      </w:r>
    </w:p>
    <w:p w14:paraId="728EFD50" w14:textId="63C3252D" w:rsidR="008777A2" w:rsidRPr="003445F3" w:rsidRDefault="008777A2" w:rsidP="008777A2">
      <w:pPr>
        <w:ind w:left="720" w:hanging="720"/>
        <w:jc w:val="both"/>
        <w:rPr>
          <w:rFonts w:ascii="Arial" w:hAnsi="Arial" w:cs="Arial"/>
        </w:rPr>
      </w:pPr>
      <w:proofErr w:type="spellStart"/>
      <w:r w:rsidRPr="003445F3">
        <w:rPr>
          <w:rFonts w:ascii="Arial" w:hAnsi="Arial" w:cs="Arial"/>
        </w:rPr>
        <w:t>Rusmawati</w:t>
      </w:r>
      <w:proofErr w:type="spellEnd"/>
      <w:r w:rsidRPr="003445F3">
        <w:rPr>
          <w:rFonts w:ascii="Arial" w:hAnsi="Arial" w:cs="Arial"/>
        </w:rPr>
        <w:t xml:space="preserve">, Z., </w:t>
      </w:r>
      <w:proofErr w:type="spellStart"/>
      <w:r w:rsidRPr="003445F3">
        <w:rPr>
          <w:rFonts w:ascii="Arial" w:hAnsi="Arial" w:cs="Arial"/>
        </w:rPr>
        <w:t>Mauliddah</w:t>
      </w:r>
      <w:proofErr w:type="spellEnd"/>
      <w:r w:rsidRPr="003445F3">
        <w:rPr>
          <w:rFonts w:ascii="Arial" w:hAnsi="Arial" w:cs="Arial"/>
        </w:rPr>
        <w:t>, N., &amp; Sari, T. A. M. (2025). The Mediating Role of Financial Performance on The Influence of Corporate Social Responsibility and Good Corporate Governance on Firm Value. SENTRALISASI, 14(1), 183-201.</w:t>
      </w:r>
    </w:p>
    <w:p w14:paraId="0134D165" w14:textId="0386D1BC" w:rsidR="00C46BBC" w:rsidRDefault="00C46BBC" w:rsidP="008777A2">
      <w:pPr>
        <w:ind w:left="720" w:hanging="720"/>
        <w:jc w:val="both"/>
        <w:rPr>
          <w:rFonts w:ascii="Arial" w:hAnsi="Arial" w:cs="Arial"/>
        </w:rPr>
      </w:pPr>
      <w:proofErr w:type="spellStart"/>
      <w:r>
        <w:rPr>
          <w:rFonts w:ascii="Arial" w:hAnsi="Arial" w:cs="Arial"/>
          <w:color w:val="222222"/>
          <w:shd w:val="clear" w:color="auto" w:fill="FFFFFF"/>
        </w:rPr>
        <w:t>Sehen</w:t>
      </w:r>
      <w:proofErr w:type="spellEnd"/>
      <w:r>
        <w:rPr>
          <w:rFonts w:ascii="Arial" w:hAnsi="Arial" w:cs="Arial"/>
          <w:color w:val="222222"/>
          <w:shd w:val="clear" w:color="auto" w:fill="FFFFFF"/>
        </w:rPr>
        <w:t xml:space="preserve"> Issa, J., </w:t>
      </w:r>
      <w:proofErr w:type="spellStart"/>
      <w:r>
        <w:rPr>
          <w:rFonts w:ascii="Arial" w:hAnsi="Arial" w:cs="Arial"/>
          <w:color w:val="222222"/>
          <w:shd w:val="clear" w:color="auto" w:fill="FFFFFF"/>
        </w:rPr>
        <w:t>Abbaszadeh</w:t>
      </w:r>
      <w:proofErr w:type="spellEnd"/>
      <w:r>
        <w:rPr>
          <w:rFonts w:ascii="Arial" w:hAnsi="Arial" w:cs="Arial"/>
          <w:color w:val="222222"/>
          <w:shd w:val="clear" w:color="auto" w:fill="FFFFFF"/>
        </w:rPr>
        <w:t>, M. R., &amp; Salehi, M. (2022). The impact of Islamic banking corporate governance on green banking. </w:t>
      </w:r>
      <w:r>
        <w:rPr>
          <w:rFonts w:ascii="Arial" w:hAnsi="Arial" w:cs="Arial"/>
          <w:i/>
          <w:iCs/>
          <w:color w:val="222222"/>
          <w:shd w:val="clear" w:color="auto" w:fill="FFFFFF"/>
        </w:rPr>
        <w:t>Administrative Sciences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(4), 190.</w:t>
      </w:r>
    </w:p>
    <w:p w14:paraId="507612A1" w14:textId="5D863890" w:rsidR="00AE096E" w:rsidRPr="003445F3" w:rsidRDefault="00AE096E" w:rsidP="008777A2">
      <w:pPr>
        <w:ind w:left="720" w:hanging="720"/>
        <w:jc w:val="both"/>
        <w:rPr>
          <w:rFonts w:ascii="Arial" w:hAnsi="Arial" w:cs="Arial"/>
        </w:rPr>
      </w:pPr>
      <w:r w:rsidRPr="003445F3">
        <w:rPr>
          <w:rFonts w:ascii="Arial" w:hAnsi="Arial" w:cs="Arial"/>
        </w:rPr>
        <w:t xml:space="preserve">Singh, K., &amp; </w:t>
      </w:r>
      <w:proofErr w:type="spellStart"/>
      <w:r w:rsidRPr="003445F3">
        <w:rPr>
          <w:rFonts w:ascii="Arial" w:hAnsi="Arial" w:cs="Arial"/>
        </w:rPr>
        <w:t>Misra</w:t>
      </w:r>
      <w:proofErr w:type="spellEnd"/>
      <w:r w:rsidRPr="003445F3">
        <w:rPr>
          <w:rFonts w:ascii="Arial" w:hAnsi="Arial" w:cs="Arial"/>
        </w:rPr>
        <w:t xml:space="preserve">, M. (2021). Linking Corporate Social Responsibility (CSR) and Organizational Performance: the moderating effect of corporate reputation. European Research on Management and Business Economics. </w:t>
      </w:r>
      <w:hyperlink r:id="rId27" w:history="1">
        <w:r w:rsidRPr="003445F3">
          <w:rPr>
            <w:rStyle w:val="Hyperlink"/>
            <w:rFonts w:ascii="Arial" w:hAnsi="Arial" w:cs="Arial"/>
          </w:rPr>
          <w:t>https://doi.org/10.1016/j.iedeen.2020.100139</w:t>
        </w:r>
      </w:hyperlink>
    </w:p>
    <w:p w14:paraId="7298E60A"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Sulhan</w:t>
      </w:r>
      <w:proofErr w:type="spellEnd"/>
      <w:r w:rsidRPr="003445F3">
        <w:rPr>
          <w:rFonts w:ascii="Arial" w:hAnsi="Arial" w:cs="Arial"/>
        </w:rPr>
        <w:t xml:space="preserve">, M., &amp; </w:t>
      </w:r>
      <w:proofErr w:type="spellStart"/>
      <w:r w:rsidRPr="003445F3">
        <w:rPr>
          <w:rFonts w:ascii="Arial" w:hAnsi="Arial" w:cs="Arial"/>
        </w:rPr>
        <w:t>Pratomo</w:t>
      </w:r>
      <w:proofErr w:type="spellEnd"/>
      <w:r w:rsidRPr="003445F3">
        <w:rPr>
          <w:rFonts w:ascii="Arial" w:hAnsi="Arial" w:cs="Arial"/>
        </w:rPr>
        <w:t>, A. S. (2020). Analysis of The Impact of Financial Performance on Company Value with Corporate Social Responsibility and Good Corporate Governance as Moderating Variables. Management and Economic Journal (MEC-J), 4(2), 163–174. https://doi.org/10.18860/mec-j.v4i2.8196</w:t>
      </w:r>
    </w:p>
    <w:p w14:paraId="6EBDF0C3"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Sunata</w:t>
      </w:r>
      <w:proofErr w:type="spellEnd"/>
      <w:r w:rsidRPr="003445F3">
        <w:rPr>
          <w:rFonts w:ascii="Arial" w:hAnsi="Arial" w:cs="Arial"/>
        </w:rPr>
        <w:t xml:space="preserve">, U., &amp; </w:t>
      </w:r>
      <w:proofErr w:type="spellStart"/>
      <w:r w:rsidRPr="003445F3">
        <w:rPr>
          <w:rFonts w:ascii="Arial" w:hAnsi="Arial" w:cs="Arial"/>
        </w:rPr>
        <w:t>Özdemir</w:t>
      </w:r>
      <w:proofErr w:type="spellEnd"/>
      <w:r w:rsidRPr="003445F3">
        <w:rPr>
          <w:rFonts w:ascii="Arial" w:hAnsi="Arial" w:cs="Arial"/>
        </w:rPr>
        <w:t>, A. C. (2021). CSR Implementations in refugee education: the case of Syrians in Turkey. Social Responsibility Journal, 17(7), 952-965.</w:t>
      </w:r>
    </w:p>
    <w:p w14:paraId="211C167F" w14:textId="5B3B8653" w:rsidR="00160B07" w:rsidRPr="003445F3" w:rsidRDefault="00160B07" w:rsidP="008777A2">
      <w:pPr>
        <w:ind w:left="720" w:hanging="720"/>
        <w:jc w:val="both"/>
        <w:rPr>
          <w:rFonts w:ascii="Arial" w:hAnsi="Arial" w:cs="Arial"/>
        </w:rPr>
      </w:pPr>
      <w:proofErr w:type="spellStart"/>
      <w:r w:rsidRPr="003445F3">
        <w:rPr>
          <w:rFonts w:ascii="Arial" w:hAnsi="Arial" w:cs="Arial"/>
          <w:color w:val="222222"/>
          <w:shd w:val="clear" w:color="auto" w:fill="FFFFFF"/>
        </w:rPr>
        <w:t>Syafira</w:t>
      </w:r>
      <w:proofErr w:type="spellEnd"/>
      <w:r w:rsidRPr="003445F3">
        <w:rPr>
          <w:rFonts w:ascii="Arial" w:hAnsi="Arial" w:cs="Arial"/>
          <w:color w:val="222222"/>
          <w:shd w:val="clear" w:color="auto" w:fill="FFFFFF"/>
        </w:rPr>
        <w:t xml:space="preserve">, A. T., </w:t>
      </w:r>
      <w:proofErr w:type="spellStart"/>
      <w:r w:rsidRPr="003445F3">
        <w:rPr>
          <w:rFonts w:ascii="Arial" w:hAnsi="Arial" w:cs="Arial"/>
          <w:color w:val="222222"/>
          <w:shd w:val="clear" w:color="auto" w:fill="FFFFFF"/>
        </w:rPr>
        <w:t>Pratama</w:t>
      </w:r>
      <w:proofErr w:type="spellEnd"/>
      <w:r w:rsidRPr="003445F3">
        <w:rPr>
          <w:rFonts w:ascii="Arial" w:hAnsi="Arial" w:cs="Arial"/>
          <w:color w:val="222222"/>
          <w:shd w:val="clear" w:color="auto" w:fill="FFFFFF"/>
        </w:rPr>
        <w:t xml:space="preserve">, B. C., </w:t>
      </w:r>
      <w:proofErr w:type="spellStart"/>
      <w:r w:rsidRPr="003445F3">
        <w:rPr>
          <w:rFonts w:ascii="Arial" w:hAnsi="Arial" w:cs="Arial"/>
          <w:color w:val="222222"/>
          <w:shd w:val="clear" w:color="auto" w:fill="FFFFFF"/>
        </w:rPr>
        <w:t>Pramono</w:t>
      </w:r>
      <w:proofErr w:type="spellEnd"/>
      <w:r w:rsidRPr="003445F3">
        <w:rPr>
          <w:rFonts w:ascii="Arial" w:hAnsi="Arial" w:cs="Arial"/>
          <w:color w:val="222222"/>
          <w:shd w:val="clear" w:color="auto" w:fill="FFFFFF"/>
        </w:rPr>
        <w:t xml:space="preserve">, H., &amp; </w:t>
      </w:r>
      <w:proofErr w:type="spellStart"/>
      <w:r w:rsidRPr="003445F3">
        <w:rPr>
          <w:rFonts w:ascii="Arial" w:hAnsi="Arial" w:cs="Arial"/>
          <w:color w:val="222222"/>
          <w:shd w:val="clear" w:color="auto" w:fill="FFFFFF"/>
        </w:rPr>
        <w:t>Mudjiyanti</w:t>
      </w:r>
      <w:proofErr w:type="spellEnd"/>
      <w:r w:rsidRPr="003445F3">
        <w:rPr>
          <w:rFonts w:ascii="Arial" w:hAnsi="Arial" w:cs="Arial"/>
          <w:color w:val="222222"/>
          <w:shd w:val="clear" w:color="auto" w:fill="FFFFFF"/>
        </w:rPr>
        <w:t xml:space="preserve">, R. (2021). THE EFFECT OF INTELLECTUAL CAPITAL, CORPORATE GOVERNANCE, GENDER OF DIRECTORS, AGE OF DIRECTORS, AND EDUCATIONAL BACKGROUND OF </w:t>
      </w:r>
      <w:r w:rsidRPr="003445F3">
        <w:rPr>
          <w:rFonts w:ascii="Arial" w:hAnsi="Arial" w:cs="Arial"/>
          <w:color w:val="222222"/>
          <w:shd w:val="clear" w:color="auto" w:fill="FFFFFF"/>
        </w:rPr>
        <w:lastRenderedPageBreak/>
        <w:t>DIRECTORS TOWARDS FINANCIAL PERFORMANCE. </w:t>
      </w:r>
      <w:r w:rsidRPr="003445F3">
        <w:rPr>
          <w:rFonts w:ascii="Arial" w:hAnsi="Arial" w:cs="Arial"/>
          <w:i/>
          <w:iCs/>
          <w:color w:val="222222"/>
          <w:shd w:val="clear" w:color="auto" w:fill="FFFFFF"/>
        </w:rPr>
        <w:t>International Journal of Economics, Business and Accounting Research (IJEBAR)</w:t>
      </w:r>
      <w:r w:rsidRPr="003445F3">
        <w:rPr>
          <w:rFonts w:ascii="Arial" w:hAnsi="Arial" w:cs="Arial"/>
          <w:color w:val="222222"/>
          <w:shd w:val="clear" w:color="auto" w:fill="FFFFFF"/>
        </w:rPr>
        <w:t>, </w:t>
      </w:r>
      <w:r w:rsidRPr="003445F3">
        <w:rPr>
          <w:rFonts w:ascii="Arial" w:hAnsi="Arial" w:cs="Arial"/>
          <w:i/>
          <w:iCs/>
          <w:color w:val="222222"/>
          <w:shd w:val="clear" w:color="auto" w:fill="FFFFFF"/>
        </w:rPr>
        <w:t>5</w:t>
      </w:r>
      <w:r w:rsidRPr="003445F3">
        <w:rPr>
          <w:rFonts w:ascii="Arial" w:hAnsi="Arial" w:cs="Arial"/>
          <w:color w:val="222222"/>
          <w:shd w:val="clear" w:color="auto" w:fill="FFFFFF"/>
        </w:rPr>
        <w:t>(4).</w:t>
      </w:r>
    </w:p>
    <w:p w14:paraId="07CA4EAC" w14:textId="1A288FA9" w:rsidR="008777A2" w:rsidRPr="003445F3" w:rsidRDefault="008777A2" w:rsidP="008777A2">
      <w:pPr>
        <w:ind w:left="720" w:hanging="720"/>
        <w:jc w:val="both"/>
        <w:rPr>
          <w:rFonts w:ascii="Arial" w:hAnsi="Arial" w:cs="Arial"/>
        </w:rPr>
      </w:pPr>
      <w:proofErr w:type="spellStart"/>
      <w:r w:rsidRPr="003445F3">
        <w:rPr>
          <w:rFonts w:ascii="Arial" w:hAnsi="Arial" w:cs="Arial"/>
        </w:rPr>
        <w:t>Syiami</w:t>
      </w:r>
      <w:proofErr w:type="spellEnd"/>
      <w:r w:rsidRPr="003445F3">
        <w:rPr>
          <w:rFonts w:ascii="Arial" w:hAnsi="Arial" w:cs="Arial"/>
        </w:rPr>
        <w:t xml:space="preserve">, S. S., &amp; </w:t>
      </w:r>
      <w:proofErr w:type="spellStart"/>
      <w:r w:rsidRPr="003445F3">
        <w:rPr>
          <w:rFonts w:ascii="Arial" w:hAnsi="Arial" w:cs="Arial"/>
        </w:rPr>
        <w:t>Muflih</w:t>
      </w:r>
      <w:proofErr w:type="spellEnd"/>
      <w:r w:rsidRPr="003445F3">
        <w:rPr>
          <w:rFonts w:ascii="Arial" w:hAnsi="Arial" w:cs="Arial"/>
        </w:rPr>
        <w:t xml:space="preserve">, M. (2024). Determinants of Islamic Banking Financial Performance: Analyzing the Role of </w:t>
      </w:r>
      <w:proofErr w:type="spellStart"/>
      <w:r w:rsidRPr="003445F3">
        <w:rPr>
          <w:rFonts w:ascii="Arial" w:hAnsi="Arial" w:cs="Arial"/>
        </w:rPr>
        <w:t>Csr</w:t>
      </w:r>
      <w:proofErr w:type="spellEnd"/>
      <w:r w:rsidRPr="003445F3">
        <w:rPr>
          <w:rFonts w:ascii="Arial" w:hAnsi="Arial" w:cs="Arial"/>
        </w:rPr>
        <w:t xml:space="preserve">, Zakat, and </w:t>
      </w:r>
      <w:proofErr w:type="spellStart"/>
      <w:r w:rsidRPr="003445F3">
        <w:rPr>
          <w:rFonts w:ascii="Arial" w:hAnsi="Arial" w:cs="Arial"/>
        </w:rPr>
        <w:t>Gcg</w:t>
      </w:r>
      <w:proofErr w:type="spellEnd"/>
      <w:r w:rsidRPr="003445F3">
        <w:rPr>
          <w:rFonts w:ascii="Arial" w:hAnsi="Arial" w:cs="Arial"/>
        </w:rPr>
        <w:t xml:space="preserve"> in Indonesia and Malaysia. </w:t>
      </w:r>
      <w:proofErr w:type="spellStart"/>
      <w:r w:rsidRPr="003445F3">
        <w:rPr>
          <w:rFonts w:ascii="Arial" w:hAnsi="Arial" w:cs="Arial"/>
        </w:rPr>
        <w:t>Berkala</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xml:space="preserve"> Indonesia, 9(1), 69–79. https://doi.org/10.20473/baki.v9i1.48656</w:t>
      </w:r>
    </w:p>
    <w:p w14:paraId="5A4BD649" w14:textId="0ED53820" w:rsidR="00BE6117" w:rsidRDefault="00BE6117" w:rsidP="008777A2">
      <w:pPr>
        <w:ind w:left="720" w:hanging="720"/>
        <w:jc w:val="both"/>
        <w:rPr>
          <w:rFonts w:ascii="Arial" w:hAnsi="Arial" w:cs="Arial"/>
        </w:rPr>
      </w:pPr>
      <w:proofErr w:type="spellStart"/>
      <w:r>
        <w:t>Tumewang</w:t>
      </w:r>
      <w:proofErr w:type="spellEnd"/>
      <w:r>
        <w:t xml:space="preserve">, Y., </w:t>
      </w:r>
      <w:proofErr w:type="spellStart"/>
      <w:r>
        <w:t>Siregar</w:t>
      </w:r>
      <w:proofErr w:type="spellEnd"/>
      <w:r>
        <w:t xml:space="preserve">, S. V., &amp; </w:t>
      </w:r>
      <w:proofErr w:type="spellStart"/>
      <w:r>
        <w:t>Handayani</w:t>
      </w:r>
      <w:proofErr w:type="spellEnd"/>
      <w:r>
        <w:t xml:space="preserve">, A. (2024). ESG performance and governance structures in Islamic banks: Evidence from Southeast Asia. </w:t>
      </w:r>
      <w:r>
        <w:rPr>
          <w:rStyle w:val="Emphasis"/>
        </w:rPr>
        <w:t>Corporate Governance: The International Journal of Business in Society, 24</w:t>
      </w:r>
      <w:r>
        <w:t>(2), 254–273.</w:t>
      </w:r>
    </w:p>
    <w:p w14:paraId="7738CA43" w14:textId="2F07D38F" w:rsidR="008777A2" w:rsidRPr="003445F3" w:rsidRDefault="008777A2" w:rsidP="008777A2">
      <w:pPr>
        <w:ind w:left="720" w:hanging="720"/>
        <w:jc w:val="both"/>
        <w:rPr>
          <w:rFonts w:ascii="Arial" w:hAnsi="Arial" w:cs="Arial"/>
        </w:rPr>
      </w:pPr>
      <w:proofErr w:type="spellStart"/>
      <w:r w:rsidRPr="003445F3">
        <w:rPr>
          <w:rFonts w:ascii="Arial" w:hAnsi="Arial" w:cs="Arial"/>
        </w:rPr>
        <w:t>Usamah</w:t>
      </w:r>
      <w:proofErr w:type="spellEnd"/>
      <w:r w:rsidRPr="003445F3">
        <w:rPr>
          <w:rFonts w:ascii="Arial" w:hAnsi="Arial" w:cs="Arial"/>
        </w:rPr>
        <w:t>, U. (2022). THE MODERATION ROLE OF GENDER ON THE FINANCIAL PERFORMANCE OF BAITUT TAMWIL MUHAMMADIYAH IN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Ekonomi</w:t>
      </w:r>
      <w:proofErr w:type="spellEnd"/>
      <w:r w:rsidRPr="003445F3">
        <w:rPr>
          <w:rFonts w:ascii="Arial" w:hAnsi="Arial" w:cs="Arial"/>
        </w:rPr>
        <w:t xml:space="preserve"> &amp; </w:t>
      </w:r>
      <w:proofErr w:type="spellStart"/>
      <w:r w:rsidRPr="003445F3">
        <w:rPr>
          <w:rFonts w:ascii="Arial" w:hAnsi="Arial" w:cs="Arial"/>
        </w:rPr>
        <w:t>Bisnis</w:t>
      </w:r>
      <w:proofErr w:type="spellEnd"/>
      <w:r w:rsidRPr="003445F3">
        <w:rPr>
          <w:rFonts w:ascii="Arial" w:hAnsi="Arial" w:cs="Arial"/>
        </w:rPr>
        <w:t xml:space="preserve"> Islam, 8(1).</w:t>
      </w:r>
    </w:p>
    <w:p w14:paraId="1CBA272A" w14:textId="031DD11B" w:rsidR="00BE6117" w:rsidRDefault="00BE6117" w:rsidP="008777A2">
      <w:pPr>
        <w:ind w:left="720" w:hanging="720"/>
        <w:jc w:val="both"/>
        <w:rPr>
          <w:rFonts w:ascii="Arial" w:hAnsi="Arial" w:cs="Arial"/>
        </w:rPr>
      </w:pPr>
      <w:proofErr w:type="spellStart"/>
      <w:r>
        <w:rPr>
          <w:rFonts w:ascii="Arial" w:hAnsi="Arial" w:cs="Arial"/>
          <w:color w:val="222222"/>
          <w:shd w:val="clear" w:color="auto" w:fill="FFFFFF"/>
        </w:rPr>
        <w:t>Vishwanathan</w:t>
      </w:r>
      <w:proofErr w:type="spellEnd"/>
      <w:r>
        <w:rPr>
          <w:rFonts w:ascii="Arial" w:hAnsi="Arial" w:cs="Arial"/>
          <w:color w:val="222222"/>
          <w:shd w:val="clear" w:color="auto" w:fill="FFFFFF"/>
        </w:rPr>
        <w:t xml:space="preserve">, P., van Oosterhout, H., </w:t>
      </w:r>
      <w:proofErr w:type="spellStart"/>
      <w:r>
        <w:rPr>
          <w:rFonts w:ascii="Arial" w:hAnsi="Arial" w:cs="Arial"/>
          <w:color w:val="222222"/>
          <w:shd w:val="clear" w:color="auto" w:fill="FFFFFF"/>
        </w:rPr>
        <w:t>Heugens</w:t>
      </w:r>
      <w:proofErr w:type="spellEnd"/>
      <w:r>
        <w:rPr>
          <w:rFonts w:ascii="Arial" w:hAnsi="Arial" w:cs="Arial"/>
          <w:color w:val="222222"/>
          <w:shd w:val="clear" w:color="auto" w:fill="FFFFFF"/>
        </w:rPr>
        <w:t>, P. P., Duran, P., &amp; Van Essen, M. (2020). Strategic CSR: A concept building meta</w:t>
      </w:r>
      <w:r>
        <w:rPr>
          <w:rFonts w:ascii="Cambria Math" w:hAnsi="Cambria Math" w:cs="Cambria Math"/>
          <w:color w:val="222222"/>
          <w:shd w:val="clear" w:color="auto" w:fill="FFFFFF"/>
        </w:rPr>
        <w:t>‐</w:t>
      </w:r>
      <w:r>
        <w:rPr>
          <w:rFonts w:ascii="Arial" w:hAnsi="Arial" w:cs="Arial"/>
          <w:color w:val="222222"/>
          <w:shd w:val="clear" w:color="auto" w:fill="FFFFFF"/>
        </w:rPr>
        <w:t>analysis. </w:t>
      </w:r>
      <w:r>
        <w:rPr>
          <w:rFonts w:ascii="Arial" w:hAnsi="Arial" w:cs="Arial"/>
          <w:i/>
          <w:iCs/>
          <w:color w:val="222222"/>
          <w:shd w:val="clear" w:color="auto" w:fill="FFFFFF"/>
        </w:rPr>
        <w:t>Journal of Management studies</w:t>
      </w:r>
      <w:r>
        <w:rPr>
          <w:rFonts w:ascii="Arial" w:hAnsi="Arial" w:cs="Arial"/>
          <w:color w:val="222222"/>
          <w:shd w:val="clear" w:color="auto" w:fill="FFFFFF"/>
        </w:rPr>
        <w:t>, </w:t>
      </w:r>
      <w:r>
        <w:rPr>
          <w:rFonts w:ascii="Arial" w:hAnsi="Arial" w:cs="Arial"/>
          <w:i/>
          <w:iCs/>
          <w:color w:val="222222"/>
          <w:shd w:val="clear" w:color="auto" w:fill="FFFFFF"/>
        </w:rPr>
        <w:t>57</w:t>
      </w:r>
      <w:r>
        <w:rPr>
          <w:rFonts w:ascii="Arial" w:hAnsi="Arial" w:cs="Arial"/>
          <w:color w:val="222222"/>
          <w:shd w:val="clear" w:color="auto" w:fill="FFFFFF"/>
        </w:rPr>
        <w:t>(2), 314-350.</w:t>
      </w:r>
    </w:p>
    <w:p w14:paraId="58B46BDE" w14:textId="63645FC0" w:rsidR="008777A2" w:rsidRPr="003445F3" w:rsidRDefault="008777A2" w:rsidP="008777A2">
      <w:pPr>
        <w:ind w:left="720" w:hanging="720"/>
        <w:jc w:val="both"/>
        <w:rPr>
          <w:rFonts w:ascii="Arial" w:hAnsi="Arial" w:cs="Arial"/>
        </w:rPr>
      </w:pPr>
      <w:proofErr w:type="spellStart"/>
      <w:r w:rsidRPr="003445F3">
        <w:rPr>
          <w:rFonts w:ascii="Arial" w:hAnsi="Arial" w:cs="Arial"/>
        </w:rPr>
        <w:t>Wahyudi</w:t>
      </w:r>
      <w:proofErr w:type="spellEnd"/>
      <w:r w:rsidRPr="003445F3">
        <w:rPr>
          <w:rFonts w:ascii="Arial" w:hAnsi="Arial" w:cs="Arial"/>
        </w:rPr>
        <w:t xml:space="preserve">, D., </w:t>
      </w:r>
      <w:proofErr w:type="spellStart"/>
      <w:r w:rsidRPr="003445F3">
        <w:rPr>
          <w:rFonts w:ascii="Arial" w:hAnsi="Arial" w:cs="Arial"/>
        </w:rPr>
        <w:t>Hasanah</w:t>
      </w:r>
      <w:proofErr w:type="spellEnd"/>
      <w:r w:rsidRPr="003445F3">
        <w:rPr>
          <w:rFonts w:ascii="Arial" w:hAnsi="Arial" w:cs="Arial"/>
        </w:rPr>
        <w:t xml:space="preserve">, E. U., &amp; </w:t>
      </w:r>
      <w:proofErr w:type="spellStart"/>
      <w:r w:rsidRPr="003445F3">
        <w:rPr>
          <w:rFonts w:ascii="Arial" w:hAnsi="Arial" w:cs="Arial"/>
        </w:rPr>
        <w:t>Aulia</w:t>
      </w:r>
      <w:proofErr w:type="spellEnd"/>
      <w:r w:rsidRPr="003445F3">
        <w:rPr>
          <w:rFonts w:ascii="Arial" w:hAnsi="Arial" w:cs="Arial"/>
        </w:rPr>
        <w:t xml:space="preserve">, F. B. (2024). The Impact of Corporate Social Responsibility (CSR) on Performance and Innovation as Mediating Variables (Case Study </w:t>
      </w:r>
      <w:proofErr w:type="gramStart"/>
      <w:r w:rsidRPr="003445F3">
        <w:rPr>
          <w:rFonts w:ascii="Arial" w:hAnsi="Arial" w:cs="Arial"/>
        </w:rPr>
        <w:t>Of</w:t>
      </w:r>
      <w:proofErr w:type="gramEnd"/>
      <w:r w:rsidRPr="003445F3">
        <w:rPr>
          <w:rFonts w:ascii="Arial" w:hAnsi="Arial" w:cs="Arial"/>
        </w:rPr>
        <w:t xml:space="preserve"> Tourism Knowledge Group In Bantul Region). </w:t>
      </w:r>
      <w:proofErr w:type="spellStart"/>
      <w:r w:rsidRPr="003445F3">
        <w:rPr>
          <w:rFonts w:ascii="Arial" w:hAnsi="Arial" w:cs="Arial"/>
        </w:rPr>
        <w:t>Grenze</w:t>
      </w:r>
      <w:proofErr w:type="spellEnd"/>
      <w:r w:rsidRPr="003445F3">
        <w:rPr>
          <w:rFonts w:ascii="Arial" w:hAnsi="Arial" w:cs="Arial"/>
        </w:rPr>
        <w:t xml:space="preserve"> International Journal of Engineering &amp; Technology (GIJET), 10.</w:t>
      </w:r>
    </w:p>
    <w:p w14:paraId="71857A8A" w14:textId="25D302BE" w:rsidR="00040298" w:rsidRPr="003445F3" w:rsidRDefault="00040298" w:rsidP="008777A2">
      <w:pPr>
        <w:ind w:left="720" w:hanging="720"/>
        <w:jc w:val="both"/>
        <w:rPr>
          <w:rFonts w:ascii="Arial" w:hAnsi="Arial" w:cs="Arial"/>
        </w:rPr>
      </w:pPr>
      <w:proofErr w:type="spellStart"/>
      <w:r w:rsidRPr="003445F3">
        <w:rPr>
          <w:rFonts w:ascii="Arial" w:hAnsi="Arial" w:cs="Arial"/>
        </w:rPr>
        <w:t>Widayanti</w:t>
      </w:r>
      <w:proofErr w:type="spellEnd"/>
      <w:r w:rsidRPr="003445F3">
        <w:rPr>
          <w:rFonts w:ascii="Arial" w:hAnsi="Arial" w:cs="Arial"/>
        </w:rPr>
        <w:t xml:space="preserve">, L., </w:t>
      </w:r>
      <w:proofErr w:type="spellStart"/>
      <w:r w:rsidRPr="003445F3">
        <w:rPr>
          <w:rFonts w:ascii="Arial" w:hAnsi="Arial" w:cs="Arial"/>
        </w:rPr>
        <w:t>Inayati</w:t>
      </w:r>
      <w:proofErr w:type="spellEnd"/>
      <w:r w:rsidRPr="003445F3">
        <w:rPr>
          <w:rFonts w:ascii="Arial" w:hAnsi="Arial" w:cs="Arial"/>
        </w:rPr>
        <w:t xml:space="preserve">, N. I., </w:t>
      </w:r>
      <w:proofErr w:type="spellStart"/>
      <w:r w:rsidRPr="003445F3">
        <w:rPr>
          <w:rFonts w:ascii="Arial" w:hAnsi="Arial" w:cs="Arial"/>
        </w:rPr>
        <w:t>Pramono</w:t>
      </w:r>
      <w:proofErr w:type="spellEnd"/>
      <w:r w:rsidRPr="003445F3">
        <w:rPr>
          <w:rFonts w:ascii="Arial" w:hAnsi="Arial" w:cs="Arial"/>
        </w:rPr>
        <w:t xml:space="preserve">, H., &amp; </w:t>
      </w:r>
      <w:proofErr w:type="spellStart"/>
      <w:r w:rsidRPr="003445F3">
        <w:rPr>
          <w:rFonts w:ascii="Arial" w:hAnsi="Arial" w:cs="Arial"/>
        </w:rPr>
        <w:t>Pratama</w:t>
      </w:r>
      <w:proofErr w:type="spellEnd"/>
      <w:r w:rsidRPr="003445F3">
        <w:rPr>
          <w:rFonts w:ascii="Arial" w:hAnsi="Arial" w:cs="Arial"/>
        </w:rPr>
        <w:t xml:space="preserve">, B. C. (2023). </w:t>
      </w:r>
      <w:r w:rsidRPr="003445F3">
        <w:rPr>
          <w:rStyle w:val="Emphasis"/>
          <w:rFonts w:ascii="Arial" w:hAnsi="Arial" w:cs="Arial"/>
        </w:rPr>
        <w:t>The Influence of Profitability, Liquidity, and the Board of Commissioners on CSR.</w:t>
      </w:r>
      <w:r w:rsidRPr="003445F3">
        <w:rPr>
          <w:rFonts w:ascii="Arial" w:hAnsi="Arial" w:cs="Arial"/>
        </w:rPr>
        <w:t xml:space="preserve"> International Journal of Economics, Business and Accounting Research (IJEBAR), 7(4). https://doi.org/10.29040/ijebar.v7i4.11346</w:t>
      </w:r>
    </w:p>
    <w:p w14:paraId="1C9B037C" w14:textId="6C4D6E18" w:rsidR="008777A2" w:rsidRPr="003445F3" w:rsidRDefault="008777A2" w:rsidP="008777A2">
      <w:pPr>
        <w:ind w:left="720" w:hanging="720"/>
        <w:jc w:val="both"/>
        <w:rPr>
          <w:rFonts w:ascii="Arial" w:hAnsi="Arial" w:cs="Arial"/>
        </w:rPr>
      </w:pPr>
      <w:proofErr w:type="spellStart"/>
      <w:r w:rsidRPr="003445F3">
        <w:rPr>
          <w:rFonts w:ascii="Arial" w:hAnsi="Arial" w:cs="Arial"/>
        </w:rPr>
        <w:t>Wijayanti</w:t>
      </w:r>
      <w:proofErr w:type="spellEnd"/>
      <w:r w:rsidRPr="003445F3">
        <w:rPr>
          <w:rFonts w:ascii="Arial" w:hAnsi="Arial" w:cs="Arial"/>
        </w:rPr>
        <w:t xml:space="preserve">, A., </w:t>
      </w:r>
      <w:proofErr w:type="spellStart"/>
      <w:r w:rsidRPr="003445F3">
        <w:rPr>
          <w:rFonts w:ascii="Arial" w:hAnsi="Arial" w:cs="Arial"/>
        </w:rPr>
        <w:t>Wijayanti</w:t>
      </w:r>
      <w:proofErr w:type="spellEnd"/>
      <w:r w:rsidRPr="003445F3">
        <w:rPr>
          <w:rFonts w:ascii="Arial" w:hAnsi="Arial" w:cs="Arial"/>
        </w:rPr>
        <w:t xml:space="preserve">, A., &amp; </w:t>
      </w:r>
      <w:proofErr w:type="spellStart"/>
      <w:r w:rsidRPr="003445F3">
        <w:rPr>
          <w:rFonts w:ascii="Arial" w:hAnsi="Arial" w:cs="Arial"/>
        </w:rPr>
        <w:t>Chomsatu</w:t>
      </w:r>
      <w:proofErr w:type="spellEnd"/>
      <w:r w:rsidRPr="003445F3">
        <w:rPr>
          <w:rFonts w:ascii="Arial" w:hAnsi="Arial" w:cs="Arial"/>
        </w:rPr>
        <w:t xml:space="preserve">, Y. (2017). </w:t>
      </w:r>
      <w:proofErr w:type="spellStart"/>
      <w:r w:rsidRPr="003445F3">
        <w:rPr>
          <w:rFonts w:ascii="Arial" w:hAnsi="Arial" w:cs="Arial"/>
        </w:rPr>
        <w:t>Pengaruh</w:t>
      </w:r>
      <w:proofErr w:type="spellEnd"/>
      <w:r w:rsidRPr="003445F3">
        <w:rPr>
          <w:rFonts w:ascii="Arial" w:hAnsi="Arial" w:cs="Arial"/>
        </w:rPr>
        <w:t xml:space="preserve"> </w:t>
      </w:r>
      <w:proofErr w:type="spellStart"/>
      <w:r w:rsidRPr="003445F3">
        <w:rPr>
          <w:rFonts w:ascii="Arial" w:hAnsi="Arial" w:cs="Arial"/>
        </w:rPr>
        <w:t>karakteristik</w:t>
      </w:r>
      <w:proofErr w:type="spellEnd"/>
      <w:r w:rsidRPr="003445F3">
        <w:rPr>
          <w:rFonts w:ascii="Arial" w:hAnsi="Arial" w:cs="Arial"/>
        </w:rPr>
        <w:t xml:space="preserve"> </w:t>
      </w:r>
      <w:proofErr w:type="spellStart"/>
      <w:r w:rsidRPr="003445F3">
        <w:rPr>
          <w:rFonts w:ascii="Arial" w:hAnsi="Arial" w:cs="Arial"/>
        </w:rPr>
        <w:t>perusahaan</w:t>
      </w:r>
      <w:proofErr w:type="spellEnd"/>
      <w:r w:rsidRPr="003445F3">
        <w:rPr>
          <w:rFonts w:ascii="Arial" w:hAnsi="Arial" w:cs="Arial"/>
        </w:rPr>
        <w:t xml:space="preserve">, GCG dan CSR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penghindaran</w:t>
      </w:r>
      <w:proofErr w:type="spellEnd"/>
      <w:r w:rsidRPr="003445F3">
        <w:rPr>
          <w:rFonts w:ascii="Arial" w:hAnsi="Arial" w:cs="Arial"/>
        </w:rPr>
        <w:t xml:space="preserve"> </w:t>
      </w:r>
      <w:proofErr w:type="spellStart"/>
      <w:r w:rsidRPr="003445F3">
        <w:rPr>
          <w:rFonts w:ascii="Arial" w:hAnsi="Arial" w:cs="Arial"/>
        </w:rPr>
        <w:t>pajak</w:t>
      </w:r>
      <w:proofErr w:type="spellEnd"/>
      <w:r w:rsidRPr="003445F3">
        <w:rPr>
          <w:rFonts w:ascii="Arial" w:hAnsi="Arial" w:cs="Arial"/>
        </w:rPr>
        <w:t>. Journal of Economic and Economic Education, 5(2), 113-27.</w:t>
      </w:r>
    </w:p>
    <w:p w14:paraId="01E16BBD"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Wijayanti</w:t>
      </w:r>
      <w:proofErr w:type="spellEnd"/>
      <w:r w:rsidRPr="003445F3">
        <w:rPr>
          <w:rFonts w:ascii="Arial" w:hAnsi="Arial" w:cs="Arial"/>
        </w:rPr>
        <w:t xml:space="preserve">, R., &amp; </w:t>
      </w:r>
      <w:proofErr w:type="spellStart"/>
      <w:r w:rsidRPr="003445F3">
        <w:rPr>
          <w:rFonts w:ascii="Arial" w:hAnsi="Arial" w:cs="Arial"/>
        </w:rPr>
        <w:t>Setiawan</w:t>
      </w:r>
      <w:proofErr w:type="spellEnd"/>
      <w:r w:rsidRPr="003445F3">
        <w:rPr>
          <w:rFonts w:ascii="Arial" w:hAnsi="Arial" w:cs="Arial"/>
        </w:rPr>
        <w:t>, D. (2022). Social Reporting by Islamic Banks: The Role of Sharia Supervisory Board and the Effect on Firm Performance. Sustainability (Switzerland), 14(17), 1–25. https://doi.org/10.3390/su141710965</w:t>
      </w:r>
    </w:p>
    <w:p w14:paraId="3FEEF446" w14:textId="77777777" w:rsidR="008777A2" w:rsidRPr="003445F3" w:rsidRDefault="008777A2" w:rsidP="008777A2">
      <w:pPr>
        <w:ind w:left="720" w:hanging="720"/>
        <w:jc w:val="both"/>
        <w:rPr>
          <w:rFonts w:ascii="Arial" w:hAnsi="Arial" w:cs="Arial"/>
        </w:rPr>
      </w:pPr>
      <w:r w:rsidRPr="003445F3">
        <w:rPr>
          <w:rFonts w:ascii="Arial" w:hAnsi="Arial" w:cs="Arial"/>
        </w:rPr>
        <w:t xml:space="preserve">Wilda </w:t>
      </w:r>
      <w:proofErr w:type="spellStart"/>
      <w:r w:rsidRPr="003445F3">
        <w:rPr>
          <w:rFonts w:ascii="Arial" w:hAnsi="Arial" w:cs="Arial"/>
        </w:rPr>
        <w:t>Destrilindo</w:t>
      </w:r>
      <w:proofErr w:type="spellEnd"/>
      <w:r w:rsidRPr="003445F3">
        <w:rPr>
          <w:rFonts w:ascii="Arial" w:hAnsi="Arial" w:cs="Arial"/>
        </w:rPr>
        <w:t xml:space="preserve">, A. R. (2024). Wilda </w:t>
      </w:r>
      <w:proofErr w:type="spellStart"/>
      <w:r w:rsidRPr="003445F3">
        <w:rPr>
          <w:rFonts w:ascii="Arial" w:hAnsi="Arial" w:cs="Arial"/>
        </w:rPr>
        <w:t>Destrilindo</w:t>
      </w:r>
      <w:proofErr w:type="spellEnd"/>
      <w:r w:rsidRPr="003445F3">
        <w:rPr>
          <w:rFonts w:ascii="Arial" w:hAnsi="Arial" w:cs="Arial"/>
        </w:rPr>
        <w:t xml:space="preserve">, Abdul </w:t>
      </w:r>
      <w:proofErr w:type="spellStart"/>
      <w:r w:rsidRPr="003445F3">
        <w:rPr>
          <w:rFonts w:ascii="Arial" w:hAnsi="Arial" w:cs="Arial"/>
        </w:rPr>
        <w:t>Rohman</w:t>
      </w:r>
      <w:proofErr w:type="spellEnd"/>
      <w:r w:rsidRPr="003445F3">
        <w:rPr>
          <w:rFonts w:ascii="Arial" w:hAnsi="Arial" w:cs="Arial"/>
        </w:rPr>
        <w:t xml:space="preserve">. </w:t>
      </w:r>
      <w:proofErr w:type="spellStart"/>
      <w:r w:rsidRPr="003445F3">
        <w:rPr>
          <w:rFonts w:ascii="Arial" w:hAnsi="Arial" w:cs="Arial"/>
        </w:rPr>
        <w:t>Pengaruh</w:t>
      </w:r>
      <w:proofErr w:type="spellEnd"/>
      <w:r w:rsidRPr="003445F3">
        <w:rPr>
          <w:rFonts w:ascii="Arial" w:hAnsi="Arial" w:cs="Arial"/>
        </w:rPr>
        <w:t xml:space="preserve"> Good Corporate Governance (</w:t>
      </w:r>
      <w:proofErr w:type="spellStart"/>
      <w:r w:rsidRPr="003445F3">
        <w:rPr>
          <w:rFonts w:ascii="Arial" w:hAnsi="Arial" w:cs="Arial"/>
        </w:rPr>
        <w:t>Gcg</w:t>
      </w:r>
      <w:proofErr w:type="spellEnd"/>
      <w:r w:rsidRPr="003445F3">
        <w:rPr>
          <w:rFonts w:ascii="Arial" w:hAnsi="Arial" w:cs="Arial"/>
        </w:rPr>
        <w:t xml:space="preserve">) </w:t>
      </w:r>
      <w:proofErr w:type="spellStart"/>
      <w:r w:rsidRPr="003445F3">
        <w:rPr>
          <w:rFonts w:ascii="Arial" w:hAnsi="Arial" w:cs="Arial"/>
        </w:rPr>
        <w:t>Terhadap</w:t>
      </w:r>
      <w:proofErr w:type="spellEnd"/>
      <w:r w:rsidRPr="003445F3">
        <w:rPr>
          <w:rFonts w:ascii="Arial" w:hAnsi="Arial" w:cs="Arial"/>
        </w:rPr>
        <w:t xml:space="preserve"> </w:t>
      </w:r>
      <w:proofErr w:type="spellStart"/>
      <w:r w:rsidRPr="003445F3">
        <w:rPr>
          <w:rFonts w:ascii="Arial" w:hAnsi="Arial" w:cs="Arial"/>
        </w:rPr>
        <w:t>Kinerja</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13(4), 1–14. http://ejournal-s1.undip.ac.id/index.php/accounting</w:t>
      </w:r>
    </w:p>
    <w:p w14:paraId="4D1DE744" w14:textId="77777777" w:rsidR="008777A2" w:rsidRPr="003445F3" w:rsidRDefault="008777A2" w:rsidP="008777A2">
      <w:pPr>
        <w:ind w:left="720" w:hanging="720"/>
        <w:jc w:val="both"/>
        <w:rPr>
          <w:rFonts w:ascii="Arial" w:hAnsi="Arial" w:cs="Arial"/>
        </w:rPr>
      </w:pPr>
      <w:r w:rsidRPr="003445F3">
        <w:rPr>
          <w:rFonts w:ascii="Arial" w:hAnsi="Arial" w:cs="Arial"/>
        </w:rPr>
        <w:t>Wu, Y., &amp; Zhu, W. (2021). The role of CSR engagement in customer-company identification and behavioral intention during the COVID-19 pandemic. Frontiers in psychology, 12, 721410.</w:t>
      </w:r>
    </w:p>
    <w:p w14:paraId="0F3DF146"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Yar</w:t>
      </w:r>
      <w:proofErr w:type="spellEnd"/>
      <w:r w:rsidRPr="003445F3">
        <w:rPr>
          <w:rFonts w:ascii="Arial" w:hAnsi="Arial" w:cs="Arial"/>
        </w:rPr>
        <w:t xml:space="preserve">, S., &amp; Ahmed, S. Y. (2020). Impact of board gender diversity on the financial performance of conventional and </w:t>
      </w:r>
      <w:proofErr w:type="spellStart"/>
      <w:r w:rsidRPr="003445F3">
        <w:rPr>
          <w:rFonts w:ascii="Arial" w:hAnsi="Arial" w:cs="Arial"/>
        </w:rPr>
        <w:t>islamic</w:t>
      </w:r>
      <w:proofErr w:type="spellEnd"/>
      <w:r w:rsidRPr="003445F3">
        <w:rPr>
          <w:rFonts w:ascii="Arial" w:hAnsi="Arial" w:cs="Arial"/>
        </w:rPr>
        <w:t xml:space="preserve"> banks–an evidence from Pakistan. MPRA, (98798), 1-28.</w:t>
      </w:r>
    </w:p>
    <w:p w14:paraId="565DCE8A"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Yeni</w:t>
      </w:r>
      <w:proofErr w:type="spellEnd"/>
      <w:r w:rsidRPr="003445F3">
        <w:rPr>
          <w:rFonts w:ascii="Arial" w:hAnsi="Arial" w:cs="Arial"/>
        </w:rPr>
        <w:t xml:space="preserve">, Y., </w:t>
      </w:r>
      <w:proofErr w:type="spellStart"/>
      <w:r w:rsidRPr="003445F3">
        <w:rPr>
          <w:rFonts w:ascii="Arial" w:hAnsi="Arial" w:cs="Arial"/>
        </w:rPr>
        <w:t>Sutarti</w:t>
      </w:r>
      <w:proofErr w:type="spellEnd"/>
      <w:r w:rsidRPr="003445F3">
        <w:rPr>
          <w:rFonts w:ascii="Arial" w:hAnsi="Arial" w:cs="Arial"/>
        </w:rPr>
        <w:t xml:space="preserve">, S., &amp; </w:t>
      </w:r>
      <w:proofErr w:type="spellStart"/>
      <w:r w:rsidRPr="003445F3">
        <w:rPr>
          <w:rFonts w:ascii="Arial" w:hAnsi="Arial" w:cs="Arial"/>
        </w:rPr>
        <w:t>Pamungkas</w:t>
      </w:r>
      <w:proofErr w:type="spellEnd"/>
      <w:r w:rsidRPr="003445F3">
        <w:rPr>
          <w:rFonts w:ascii="Arial" w:hAnsi="Arial" w:cs="Arial"/>
        </w:rPr>
        <w:t>, B. The Effect of Corporate Social Responsibility on Corporate Financial Performance with Non-Financial Aspects as Moderator.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Riset</w:t>
      </w:r>
      <w:proofErr w:type="spellEnd"/>
      <w:r w:rsidRPr="003445F3">
        <w:rPr>
          <w:rFonts w:ascii="Arial" w:hAnsi="Arial" w:cs="Arial"/>
        </w:rPr>
        <w:t xml:space="preserve"> </w:t>
      </w:r>
      <w:proofErr w:type="spellStart"/>
      <w:r w:rsidRPr="003445F3">
        <w:rPr>
          <w:rFonts w:ascii="Arial" w:hAnsi="Arial" w:cs="Arial"/>
        </w:rPr>
        <w:t>Akuntansi</w:t>
      </w:r>
      <w:proofErr w:type="spellEnd"/>
      <w:r w:rsidRPr="003445F3">
        <w:rPr>
          <w:rFonts w:ascii="Arial" w:hAnsi="Arial" w:cs="Arial"/>
        </w:rPr>
        <w:t xml:space="preserve"> dan </w:t>
      </w:r>
      <w:proofErr w:type="spellStart"/>
      <w:r w:rsidRPr="003445F3">
        <w:rPr>
          <w:rFonts w:ascii="Arial" w:hAnsi="Arial" w:cs="Arial"/>
        </w:rPr>
        <w:t>Keuangan</w:t>
      </w:r>
      <w:proofErr w:type="spellEnd"/>
      <w:r w:rsidRPr="003445F3">
        <w:rPr>
          <w:rFonts w:ascii="Arial" w:hAnsi="Arial" w:cs="Arial"/>
        </w:rPr>
        <w:t>, 12(3), 1205-1242.</w:t>
      </w:r>
    </w:p>
    <w:p w14:paraId="67C9623E"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Yulfiswandi</w:t>
      </w:r>
      <w:proofErr w:type="spellEnd"/>
      <w:r w:rsidRPr="003445F3">
        <w:rPr>
          <w:rFonts w:ascii="Arial" w:hAnsi="Arial" w:cs="Arial"/>
        </w:rPr>
        <w:t xml:space="preserve">, &amp; </w:t>
      </w:r>
      <w:proofErr w:type="spellStart"/>
      <w:r w:rsidRPr="003445F3">
        <w:rPr>
          <w:rFonts w:ascii="Arial" w:hAnsi="Arial" w:cs="Arial"/>
        </w:rPr>
        <w:t>Oktris</w:t>
      </w:r>
      <w:proofErr w:type="spellEnd"/>
      <w:r w:rsidRPr="003445F3">
        <w:rPr>
          <w:rFonts w:ascii="Arial" w:hAnsi="Arial" w:cs="Arial"/>
        </w:rPr>
        <w:t xml:space="preserve"> </w:t>
      </w:r>
      <w:proofErr w:type="spellStart"/>
      <w:r w:rsidRPr="003445F3">
        <w:rPr>
          <w:rFonts w:ascii="Arial" w:hAnsi="Arial" w:cs="Arial"/>
        </w:rPr>
        <w:t>Susanti</w:t>
      </w:r>
      <w:proofErr w:type="spellEnd"/>
      <w:r w:rsidRPr="003445F3">
        <w:rPr>
          <w:rFonts w:ascii="Arial" w:hAnsi="Arial" w:cs="Arial"/>
        </w:rPr>
        <w:t xml:space="preserve">. (2024). </w:t>
      </w:r>
      <w:proofErr w:type="spellStart"/>
      <w:r w:rsidRPr="003445F3">
        <w:rPr>
          <w:rFonts w:ascii="Arial" w:hAnsi="Arial" w:cs="Arial"/>
        </w:rPr>
        <w:t>Pengaruh</w:t>
      </w:r>
      <w:proofErr w:type="spellEnd"/>
      <w:r w:rsidRPr="003445F3">
        <w:rPr>
          <w:rFonts w:ascii="Arial" w:hAnsi="Arial" w:cs="Arial"/>
        </w:rPr>
        <w:t xml:space="preserve"> Corporate Governance </w:t>
      </w:r>
      <w:proofErr w:type="spellStart"/>
      <w:r w:rsidRPr="003445F3">
        <w:rPr>
          <w:rFonts w:ascii="Arial" w:hAnsi="Arial" w:cs="Arial"/>
        </w:rPr>
        <w:t>Terhadap</w:t>
      </w:r>
      <w:proofErr w:type="spellEnd"/>
      <w:r w:rsidRPr="003445F3">
        <w:rPr>
          <w:rFonts w:ascii="Arial" w:hAnsi="Arial" w:cs="Arial"/>
        </w:rPr>
        <w:t xml:space="preserve"> Financial Performance Pada Bank </w:t>
      </w:r>
      <w:proofErr w:type="spellStart"/>
      <w:r w:rsidRPr="003445F3">
        <w:rPr>
          <w:rFonts w:ascii="Arial" w:hAnsi="Arial" w:cs="Arial"/>
        </w:rPr>
        <w:t>Umum</w:t>
      </w:r>
      <w:proofErr w:type="spellEnd"/>
      <w:r w:rsidRPr="003445F3">
        <w:rPr>
          <w:rFonts w:ascii="Arial" w:hAnsi="Arial" w:cs="Arial"/>
        </w:rPr>
        <w:t xml:space="preserve"> Syariah </w:t>
      </w:r>
      <w:proofErr w:type="gramStart"/>
      <w:r w:rsidRPr="003445F3">
        <w:rPr>
          <w:rFonts w:ascii="Arial" w:hAnsi="Arial" w:cs="Arial"/>
        </w:rPr>
        <w:t>Di</w:t>
      </w:r>
      <w:proofErr w:type="gramEnd"/>
      <w:r w:rsidRPr="003445F3">
        <w:rPr>
          <w:rFonts w:ascii="Arial" w:hAnsi="Arial" w:cs="Arial"/>
        </w:rPr>
        <w:t xml:space="preserve"> Indonesia.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Ekuilnomi</w:t>
      </w:r>
      <w:proofErr w:type="spellEnd"/>
      <w:r w:rsidRPr="003445F3">
        <w:rPr>
          <w:rFonts w:ascii="Arial" w:hAnsi="Arial" w:cs="Arial"/>
        </w:rPr>
        <w:t>, 6(3), 465–475. https://doi.org/10.36985/w1w9w427</w:t>
      </w:r>
    </w:p>
    <w:p w14:paraId="33CAC3C2" w14:textId="77777777" w:rsidR="008777A2" w:rsidRPr="003445F3" w:rsidRDefault="008777A2" w:rsidP="008777A2">
      <w:pPr>
        <w:ind w:left="720" w:hanging="720"/>
        <w:jc w:val="both"/>
        <w:rPr>
          <w:rFonts w:ascii="Arial" w:hAnsi="Arial" w:cs="Arial"/>
        </w:rPr>
      </w:pPr>
      <w:proofErr w:type="spellStart"/>
      <w:r w:rsidRPr="003445F3">
        <w:rPr>
          <w:rFonts w:ascii="Arial" w:hAnsi="Arial" w:cs="Arial"/>
        </w:rPr>
        <w:t>Yulfiswandi</w:t>
      </w:r>
      <w:proofErr w:type="spellEnd"/>
      <w:r w:rsidRPr="003445F3">
        <w:rPr>
          <w:rFonts w:ascii="Arial" w:hAnsi="Arial" w:cs="Arial"/>
        </w:rPr>
        <w:t xml:space="preserve">, Y., </w:t>
      </w:r>
      <w:proofErr w:type="spellStart"/>
      <w:r w:rsidRPr="003445F3">
        <w:rPr>
          <w:rFonts w:ascii="Arial" w:hAnsi="Arial" w:cs="Arial"/>
        </w:rPr>
        <w:t>Hesniati</w:t>
      </w:r>
      <w:proofErr w:type="spellEnd"/>
      <w:r w:rsidRPr="003445F3">
        <w:rPr>
          <w:rFonts w:ascii="Arial" w:hAnsi="Arial" w:cs="Arial"/>
        </w:rPr>
        <w:t xml:space="preserve">, H., &amp; Elida, S. (2024). The Influence </w:t>
      </w:r>
      <w:proofErr w:type="gramStart"/>
      <w:r w:rsidRPr="003445F3">
        <w:rPr>
          <w:rFonts w:ascii="Arial" w:hAnsi="Arial" w:cs="Arial"/>
        </w:rPr>
        <w:t>Of</w:t>
      </w:r>
      <w:proofErr w:type="gramEnd"/>
      <w:r w:rsidRPr="003445F3">
        <w:rPr>
          <w:rFonts w:ascii="Arial" w:hAnsi="Arial" w:cs="Arial"/>
        </w:rPr>
        <w:t xml:space="preserve"> Corporate Governance on the Performance of Islamic Banks in Indonesia. </w:t>
      </w:r>
      <w:proofErr w:type="spellStart"/>
      <w:r w:rsidRPr="003445F3">
        <w:rPr>
          <w:rFonts w:ascii="Arial" w:hAnsi="Arial" w:cs="Arial"/>
        </w:rPr>
        <w:t>Moneter</w:t>
      </w:r>
      <w:proofErr w:type="spellEnd"/>
      <w:r w:rsidRPr="003445F3">
        <w:rPr>
          <w:rFonts w:ascii="Arial" w:hAnsi="Arial" w:cs="Arial"/>
        </w:rPr>
        <w:t xml:space="preserve">: </w:t>
      </w:r>
      <w:proofErr w:type="spellStart"/>
      <w:r w:rsidRPr="003445F3">
        <w:rPr>
          <w:rFonts w:ascii="Arial" w:hAnsi="Arial" w:cs="Arial"/>
        </w:rPr>
        <w:t>Jurnal</w:t>
      </w:r>
      <w:proofErr w:type="spellEnd"/>
      <w:r w:rsidRPr="003445F3">
        <w:rPr>
          <w:rFonts w:ascii="Arial" w:hAnsi="Arial" w:cs="Arial"/>
        </w:rPr>
        <w:t xml:space="preserve"> </w:t>
      </w:r>
      <w:proofErr w:type="spellStart"/>
      <w:r w:rsidRPr="003445F3">
        <w:rPr>
          <w:rFonts w:ascii="Arial" w:hAnsi="Arial" w:cs="Arial"/>
        </w:rPr>
        <w:t>Keuangan</w:t>
      </w:r>
      <w:proofErr w:type="spellEnd"/>
      <w:r w:rsidRPr="003445F3">
        <w:rPr>
          <w:rFonts w:ascii="Arial" w:hAnsi="Arial" w:cs="Arial"/>
        </w:rPr>
        <w:t xml:space="preserve"> dan </w:t>
      </w:r>
      <w:proofErr w:type="spellStart"/>
      <w:r w:rsidRPr="003445F3">
        <w:rPr>
          <w:rFonts w:ascii="Arial" w:hAnsi="Arial" w:cs="Arial"/>
        </w:rPr>
        <w:t>Perbankan</w:t>
      </w:r>
      <w:proofErr w:type="spellEnd"/>
      <w:r w:rsidRPr="003445F3">
        <w:rPr>
          <w:rFonts w:ascii="Arial" w:hAnsi="Arial" w:cs="Arial"/>
        </w:rPr>
        <w:t>, 12(2), 344-355.</w:t>
      </w:r>
    </w:p>
    <w:p w14:paraId="22ACA110" w14:textId="6C5320D7" w:rsidR="004D4277" w:rsidRPr="003445F3" w:rsidRDefault="004D4277" w:rsidP="008777A2">
      <w:pPr>
        <w:pStyle w:val="Body"/>
        <w:spacing w:after="0"/>
        <w:rPr>
          <w:rFonts w:ascii="Arial" w:hAnsi="Arial" w:cs="Arial"/>
          <w:lang w:val="id-ID"/>
        </w:rPr>
      </w:pPr>
    </w:p>
    <w:p w14:paraId="33D47478" w14:textId="77777777" w:rsidR="002A66BB" w:rsidRPr="003445F3" w:rsidRDefault="002A66BB" w:rsidP="008777A2">
      <w:pPr>
        <w:pStyle w:val="Body"/>
        <w:spacing w:after="0"/>
        <w:rPr>
          <w:rFonts w:ascii="Arial" w:hAnsi="Arial" w:cs="Arial"/>
          <w:lang w:val="id-ID"/>
        </w:rPr>
        <w:sectPr w:rsidR="002A66BB" w:rsidRPr="003445F3" w:rsidSect="00B44B66">
          <w:type w:val="continuous"/>
          <w:pgSz w:w="11907" w:h="16839" w:code="9"/>
          <w:pgMar w:top="1440" w:right="2016" w:bottom="2016" w:left="2016" w:header="720" w:footer="1123" w:gutter="0"/>
          <w:cols w:space="720"/>
          <w:docGrid w:linePitch="272"/>
        </w:sectPr>
      </w:pPr>
    </w:p>
    <w:p w14:paraId="53ABB994" w14:textId="77777777" w:rsidR="00B01FCD" w:rsidRPr="003445F3" w:rsidRDefault="00B01FCD" w:rsidP="00441B6F">
      <w:pPr>
        <w:pStyle w:val="Appendix"/>
        <w:spacing w:after="0"/>
        <w:jc w:val="both"/>
        <w:rPr>
          <w:rFonts w:ascii="Arial" w:hAnsi="Arial" w:cs="Arial"/>
          <w:b w:val="0"/>
        </w:rPr>
      </w:pPr>
    </w:p>
    <w:sectPr w:rsidR="00B01FCD" w:rsidRPr="003445F3" w:rsidSect="00B44B66">
      <w:type w:val="continuous"/>
      <w:pgSz w:w="11907" w:h="16839"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4438" w14:textId="77777777" w:rsidR="00274146" w:rsidRDefault="00274146" w:rsidP="00C37E61">
      <w:r>
        <w:separator/>
      </w:r>
    </w:p>
  </w:endnote>
  <w:endnote w:type="continuationSeparator" w:id="0">
    <w:p w14:paraId="6DC42F85" w14:textId="77777777" w:rsidR="00274146" w:rsidRDefault="002741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0B0C" w14:textId="77777777" w:rsidR="00580E07" w:rsidRDefault="00580E07">
    <w:pPr>
      <w:pStyle w:val="Footer"/>
      <w:rPr>
        <w:rFonts w:ascii="Arial" w:hAnsi="Arial" w:cs="Arial"/>
        <w:sz w:val="16"/>
      </w:rPr>
    </w:pPr>
  </w:p>
  <w:p w14:paraId="084983DC" w14:textId="77777777" w:rsidR="00580E07" w:rsidRDefault="00580E0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75440C1" w14:textId="77777777" w:rsidR="00580E07" w:rsidRDefault="00580E07">
    <w:pPr>
      <w:pStyle w:val="Footer"/>
      <w:rPr>
        <w:rFonts w:ascii="Arial" w:hAnsi="Arial" w:cs="Arial"/>
        <w:sz w:val="16"/>
      </w:rPr>
    </w:pPr>
  </w:p>
  <w:p w14:paraId="4644D792" w14:textId="77777777" w:rsidR="00580E07" w:rsidRPr="009E048A" w:rsidRDefault="00580E07">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5323" w14:textId="77777777" w:rsidR="00580E07" w:rsidRPr="00C37E61" w:rsidRDefault="00580E0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0A81" w14:textId="77777777" w:rsidR="00274146" w:rsidRDefault="00274146" w:rsidP="00C37E61">
      <w:r>
        <w:separator/>
      </w:r>
    </w:p>
  </w:footnote>
  <w:footnote w:type="continuationSeparator" w:id="0">
    <w:p w14:paraId="71826365" w14:textId="77777777" w:rsidR="00274146" w:rsidRDefault="002741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940C" w14:textId="3DFB8C7F" w:rsidR="00580E07" w:rsidRDefault="00274146">
    <w:pPr>
      <w:pStyle w:val="Header"/>
    </w:pPr>
    <w:r>
      <w:rPr>
        <w:noProof/>
      </w:rPr>
      <w:pict w14:anchorId="3617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1" o:spid="_x0000_s2050" type="#_x0000_t136" style="position:absolute;margin-left:0;margin-top:0;width:499.6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3BC0" w14:textId="0A84E058" w:rsidR="00580E07" w:rsidRDefault="00274146">
    <w:pPr>
      <w:pStyle w:val="Header"/>
    </w:pPr>
    <w:r>
      <w:rPr>
        <w:noProof/>
      </w:rPr>
      <w:pict w14:anchorId="6FE6F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2" o:spid="_x0000_s2051" type="#_x0000_t136" style="position:absolute;margin-left:0;margin-top:0;width:499.6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38CC" w14:textId="0576E145" w:rsidR="00580E07" w:rsidRPr="00296529" w:rsidRDefault="00274146" w:rsidP="00296529">
    <w:pPr>
      <w:ind w:left="2160"/>
      <w:jc w:val="center"/>
      <w:rPr>
        <w:rFonts w:ascii="Times New Roman" w:eastAsia="Calibri" w:hAnsi="Times New Roman"/>
        <w:i/>
        <w:sz w:val="18"/>
        <w:szCs w:val="22"/>
      </w:rPr>
    </w:pPr>
    <w:r>
      <w:rPr>
        <w:noProof/>
      </w:rPr>
      <w:pict w14:anchorId="01070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0" o:spid="_x0000_s2049" type="#_x0000_t136" style="position:absolute;left:0;text-align:left;margin-left:0;margin-top:0;width:499.6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21E392" w14:textId="77777777" w:rsidR="00580E07" w:rsidRPr="00296529" w:rsidRDefault="00580E0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241C73" w14:textId="77777777" w:rsidR="00580E07" w:rsidRPr="00296529" w:rsidRDefault="00580E0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643B66" w14:textId="77777777" w:rsidR="00580E07" w:rsidRPr="00296529" w:rsidRDefault="00580E0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4786CE" w14:textId="77777777" w:rsidR="00580E07" w:rsidRDefault="00580E0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B6301" w14:textId="77777777" w:rsidR="00580E07" w:rsidRDefault="00580E0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E1F2DC" w14:textId="77777777" w:rsidR="00580E07" w:rsidRDefault="00580E0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CF79" w14:textId="6ACCB022" w:rsidR="00580E07" w:rsidRDefault="00274146">
    <w:pPr>
      <w:pStyle w:val="Header"/>
    </w:pPr>
    <w:r>
      <w:rPr>
        <w:noProof/>
      </w:rPr>
      <w:pict w14:anchorId="729F7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4" o:spid="_x0000_s2053" type="#_x0000_t136" style="position:absolute;margin-left:0;margin-top:0;width:499.6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A92A" w14:textId="107DB81C" w:rsidR="00580E07" w:rsidRDefault="00274146">
    <w:pPr>
      <w:pStyle w:val="Header"/>
    </w:pPr>
    <w:r>
      <w:rPr>
        <w:noProof/>
      </w:rPr>
      <w:pict w14:anchorId="34E00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5" o:spid="_x0000_s2054" type="#_x0000_t136" style="position:absolute;margin-left:0;margin-top:0;width:499.6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60F0" w14:textId="6DCC0DD5" w:rsidR="00580E07" w:rsidRDefault="00274146">
    <w:pPr>
      <w:pStyle w:val="Header"/>
    </w:pPr>
    <w:r>
      <w:rPr>
        <w:noProof/>
      </w:rPr>
      <w:pict w14:anchorId="18DCE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9393" o:spid="_x0000_s2052" type="#_x0000_t136" style="position:absolute;margin-left:0;margin-top:0;width:499.6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B62A4"/>
    <w:multiLevelType w:val="hybridMultilevel"/>
    <w:tmpl w:val="FB1A9D12"/>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03B271DA"/>
    <w:multiLevelType w:val="hybridMultilevel"/>
    <w:tmpl w:val="166CB554"/>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6995EE4"/>
    <w:multiLevelType w:val="hybridMultilevel"/>
    <w:tmpl w:val="5D5048EE"/>
    <w:lvl w:ilvl="0" w:tplc="43F8EB42">
      <w:start w:val="1"/>
      <w:numFmt w:val="decimal"/>
      <w:lvlText w:val="2. %1"/>
      <w:lvlJc w:val="left"/>
      <w:pPr>
        <w:ind w:left="1505" w:hanging="360"/>
      </w:pPr>
      <w:rPr>
        <w:rFonts w:hint="default"/>
      </w:r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7ED3E9B"/>
    <w:multiLevelType w:val="multilevel"/>
    <w:tmpl w:val="0A7EEEDE"/>
    <w:lvl w:ilvl="0">
      <w:start w:val="2"/>
      <w:numFmt w:val="decimal"/>
      <w:lvlText w:val="%1"/>
      <w:lvlJc w:val="left"/>
      <w:pPr>
        <w:ind w:left="360" w:hanging="360"/>
      </w:pPr>
      <w:rPr>
        <w:rFonts w:hint="default"/>
        <w:b/>
        <w:sz w:val="22"/>
      </w:rPr>
    </w:lvl>
    <w:lvl w:ilvl="1">
      <w:start w:val="2"/>
      <w:numFmt w:val="decimal"/>
      <w:lvlText w:val="%1.%2"/>
      <w:lvlJc w:val="left"/>
      <w:pPr>
        <w:ind w:left="785"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8"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C2176"/>
    <w:multiLevelType w:val="hybridMultilevel"/>
    <w:tmpl w:val="C2969080"/>
    <w:lvl w:ilvl="0" w:tplc="D1BCCA6A">
      <w:start w:val="1"/>
      <w:numFmt w:val="decimal"/>
      <w:lvlText w:val="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9810382"/>
    <w:multiLevelType w:val="hybridMultilevel"/>
    <w:tmpl w:val="FE50FDFC"/>
    <w:lvl w:ilvl="0" w:tplc="65864A3C">
      <w:start w:val="1"/>
      <w:numFmt w:val="decimal"/>
      <w:lvlText w:val="2. %1"/>
      <w:lvlJc w:val="left"/>
      <w:pPr>
        <w:ind w:left="785" w:hanging="360"/>
      </w:pPr>
      <w:rPr>
        <w:rFonts w:hint="default"/>
        <w:b/>
        <w:bCs/>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8" w15:restartNumberingAfterBreak="0">
    <w:nsid w:val="2A4670C2"/>
    <w:multiLevelType w:val="multilevel"/>
    <w:tmpl w:val="25E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6519D"/>
    <w:multiLevelType w:val="hybridMultilevel"/>
    <w:tmpl w:val="755A8FC8"/>
    <w:lvl w:ilvl="0" w:tplc="43F8EB42">
      <w:start w:val="1"/>
      <w:numFmt w:val="decimal"/>
      <w:lvlText w:val="2. %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4A5C74AA"/>
    <w:multiLevelType w:val="hybridMultilevel"/>
    <w:tmpl w:val="F626A364"/>
    <w:lvl w:ilvl="0" w:tplc="67BC1D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50835"/>
    <w:multiLevelType w:val="hybridMultilevel"/>
    <w:tmpl w:val="2FF64322"/>
    <w:lvl w:ilvl="0" w:tplc="D8D400B0">
      <w:start w:val="1"/>
      <w:numFmt w:val="decimal"/>
      <w:lvlText w:val="4.1. %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0443D5"/>
    <w:multiLevelType w:val="hybridMultilevel"/>
    <w:tmpl w:val="FD847CF6"/>
    <w:lvl w:ilvl="0" w:tplc="43F8EB42">
      <w:start w:val="1"/>
      <w:numFmt w:val="decimal"/>
      <w:lvlText w:val="2. %1"/>
      <w:lvlJc w:val="left"/>
      <w:pPr>
        <w:ind w:left="785" w:hanging="360"/>
      </w:pPr>
      <w:rPr>
        <w:rFonts w:hint="default"/>
      </w:rPr>
    </w:lvl>
    <w:lvl w:ilvl="1" w:tplc="38090019" w:tentative="1">
      <w:start w:val="1"/>
      <w:numFmt w:val="lowerLetter"/>
      <w:lvlText w:val="%2."/>
      <w:lvlJc w:val="left"/>
      <w:pPr>
        <w:ind w:left="1145" w:hanging="360"/>
      </w:pPr>
    </w:lvl>
    <w:lvl w:ilvl="2" w:tplc="3809001B" w:tentative="1">
      <w:start w:val="1"/>
      <w:numFmt w:val="lowerRoman"/>
      <w:lvlText w:val="%3."/>
      <w:lvlJc w:val="right"/>
      <w:pPr>
        <w:ind w:left="1865" w:hanging="180"/>
      </w:pPr>
    </w:lvl>
    <w:lvl w:ilvl="3" w:tplc="3809000F" w:tentative="1">
      <w:start w:val="1"/>
      <w:numFmt w:val="decimal"/>
      <w:lvlText w:val="%4."/>
      <w:lvlJc w:val="left"/>
      <w:pPr>
        <w:ind w:left="2585" w:hanging="360"/>
      </w:pPr>
    </w:lvl>
    <w:lvl w:ilvl="4" w:tplc="38090019" w:tentative="1">
      <w:start w:val="1"/>
      <w:numFmt w:val="lowerLetter"/>
      <w:lvlText w:val="%5."/>
      <w:lvlJc w:val="left"/>
      <w:pPr>
        <w:ind w:left="3305" w:hanging="360"/>
      </w:pPr>
    </w:lvl>
    <w:lvl w:ilvl="5" w:tplc="3809001B" w:tentative="1">
      <w:start w:val="1"/>
      <w:numFmt w:val="lowerRoman"/>
      <w:lvlText w:val="%6."/>
      <w:lvlJc w:val="right"/>
      <w:pPr>
        <w:ind w:left="4025" w:hanging="180"/>
      </w:pPr>
    </w:lvl>
    <w:lvl w:ilvl="6" w:tplc="3809000F" w:tentative="1">
      <w:start w:val="1"/>
      <w:numFmt w:val="decimal"/>
      <w:lvlText w:val="%7."/>
      <w:lvlJc w:val="left"/>
      <w:pPr>
        <w:ind w:left="4745" w:hanging="360"/>
      </w:pPr>
    </w:lvl>
    <w:lvl w:ilvl="7" w:tplc="38090019" w:tentative="1">
      <w:start w:val="1"/>
      <w:numFmt w:val="lowerLetter"/>
      <w:lvlText w:val="%8."/>
      <w:lvlJc w:val="left"/>
      <w:pPr>
        <w:ind w:left="5465" w:hanging="360"/>
      </w:pPr>
    </w:lvl>
    <w:lvl w:ilvl="8" w:tplc="3809001B" w:tentative="1">
      <w:start w:val="1"/>
      <w:numFmt w:val="lowerRoman"/>
      <w:lvlText w:val="%9."/>
      <w:lvlJc w:val="right"/>
      <w:pPr>
        <w:ind w:left="6185" w:hanging="180"/>
      </w:pPr>
    </w:lvl>
  </w:abstractNum>
  <w:abstractNum w:abstractNumId="29" w15:restartNumberingAfterBreak="0">
    <w:nsid w:val="61124772"/>
    <w:multiLevelType w:val="hybridMultilevel"/>
    <w:tmpl w:val="610EF2D2"/>
    <w:lvl w:ilvl="0" w:tplc="A30C6B10">
      <w:start w:val="1"/>
      <w:numFmt w:val="decimal"/>
      <w:lvlText w:val="2.2.%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62D97BF8"/>
    <w:multiLevelType w:val="multilevel"/>
    <w:tmpl w:val="81A4F252"/>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6BE4CA0"/>
    <w:multiLevelType w:val="hybridMultilevel"/>
    <w:tmpl w:val="CFEABDB4"/>
    <w:lvl w:ilvl="0" w:tplc="D1BCCA6A">
      <w:start w:val="1"/>
      <w:numFmt w:val="decimal"/>
      <w:lvlText w:val="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6043B99"/>
    <w:multiLevelType w:val="multilevel"/>
    <w:tmpl w:val="157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10"/>
  </w:num>
  <w:num w:numId="7">
    <w:abstractNumId w:val="3"/>
  </w:num>
  <w:num w:numId="8">
    <w:abstractNumId w:val="20"/>
  </w:num>
  <w:num w:numId="9">
    <w:abstractNumId w:val="40"/>
  </w:num>
  <w:num w:numId="10">
    <w:abstractNumId w:val="4"/>
  </w:num>
  <w:num w:numId="11">
    <w:abstractNumId w:val="32"/>
  </w:num>
  <w:num w:numId="12">
    <w:abstractNumId w:val="6"/>
  </w:num>
  <w:num w:numId="13">
    <w:abstractNumId w:val="27"/>
  </w:num>
  <w:num w:numId="14">
    <w:abstractNumId w:val="12"/>
  </w:num>
  <w:num w:numId="15">
    <w:abstractNumId w:val="35"/>
  </w:num>
  <w:num w:numId="16">
    <w:abstractNumId w:val="9"/>
  </w:num>
  <w:num w:numId="17">
    <w:abstractNumId w:val="36"/>
  </w:num>
  <w:num w:numId="18">
    <w:abstractNumId w:val="22"/>
  </w:num>
  <w:num w:numId="19">
    <w:abstractNumId w:val="43"/>
  </w:num>
  <w:num w:numId="20">
    <w:abstractNumId w:val="16"/>
  </w:num>
  <w:num w:numId="21">
    <w:abstractNumId w:val="13"/>
  </w:num>
  <w:num w:numId="22">
    <w:abstractNumId w:val="21"/>
  </w:num>
  <w:num w:numId="23">
    <w:abstractNumId w:val="33"/>
  </w:num>
  <w:num w:numId="24">
    <w:abstractNumId w:val="41"/>
  </w:num>
  <w:num w:numId="25">
    <w:abstractNumId w:val="8"/>
  </w:num>
  <w:num w:numId="26">
    <w:abstractNumId w:val="25"/>
  </w:num>
  <w:num w:numId="27">
    <w:abstractNumId w:val="34"/>
  </w:num>
  <w:num w:numId="28">
    <w:abstractNumId w:val="42"/>
  </w:num>
  <w:num w:numId="29">
    <w:abstractNumId w:val="39"/>
  </w:num>
  <w:num w:numId="30">
    <w:abstractNumId w:val="14"/>
  </w:num>
  <w:num w:numId="31">
    <w:abstractNumId w:val="30"/>
  </w:num>
  <w:num w:numId="32">
    <w:abstractNumId w:val="15"/>
  </w:num>
  <w:num w:numId="33">
    <w:abstractNumId w:val="28"/>
  </w:num>
  <w:num w:numId="34">
    <w:abstractNumId w:val="1"/>
  </w:num>
  <w:num w:numId="35">
    <w:abstractNumId w:val="29"/>
  </w:num>
  <w:num w:numId="36">
    <w:abstractNumId w:val="7"/>
  </w:num>
  <w:num w:numId="37">
    <w:abstractNumId w:val="31"/>
  </w:num>
  <w:num w:numId="38">
    <w:abstractNumId w:val="26"/>
  </w:num>
  <w:num w:numId="39">
    <w:abstractNumId w:val="2"/>
  </w:num>
  <w:num w:numId="40">
    <w:abstractNumId w:val="5"/>
  </w:num>
  <w:num w:numId="41">
    <w:abstractNumId w:val="19"/>
  </w:num>
  <w:num w:numId="42">
    <w:abstractNumId w:val="17"/>
  </w:num>
  <w:num w:numId="43">
    <w:abstractNumId w:val="38"/>
  </w:num>
  <w:num w:numId="44">
    <w:abstractNumId w:val="1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68D5"/>
    <w:rsid w:val="00030174"/>
    <w:rsid w:val="00040298"/>
    <w:rsid w:val="0004579C"/>
    <w:rsid w:val="00055B92"/>
    <w:rsid w:val="000A47FA"/>
    <w:rsid w:val="000A5E3E"/>
    <w:rsid w:val="000A65D3"/>
    <w:rsid w:val="000B1E33"/>
    <w:rsid w:val="000D5A24"/>
    <w:rsid w:val="000D689F"/>
    <w:rsid w:val="000E7B7B"/>
    <w:rsid w:val="000E7D62"/>
    <w:rsid w:val="00103357"/>
    <w:rsid w:val="001134D5"/>
    <w:rsid w:val="00123C9F"/>
    <w:rsid w:val="00126190"/>
    <w:rsid w:val="00130F17"/>
    <w:rsid w:val="001320BF"/>
    <w:rsid w:val="00160B07"/>
    <w:rsid w:val="00163BC4"/>
    <w:rsid w:val="0019039F"/>
    <w:rsid w:val="00191062"/>
    <w:rsid w:val="00192B72"/>
    <w:rsid w:val="001A29D8"/>
    <w:rsid w:val="001A5CAA"/>
    <w:rsid w:val="001B0427"/>
    <w:rsid w:val="001C77E1"/>
    <w:rsid w:val="001D3A51"/>
    <w:rsid w:val="001D63A9"/>
    <w:rsid w:val="001E10D2"/>
    <w:rsid w:val="001E25B4"/>
    <w:rsid w:val="001E44FE"/>
    <w:rsid w:val="001F7421"/>
    <w:rsid w:val="00200595"/>
    <w:rsid w:val="00204835"/>
    <w:rsid w:val="002277A9"/>
    <w:rsid w:val="00231920"/>
    <w:rsid w:val="0023195C"/>
    <w:rsid w:val="0024282C"/>
    <w:rsid w:val="00245382"/>
    <w:rsid w:val="002460DC"/>
    <w:rsid w:val="00250985"/>
    <w:rsid w:val="00251C10"/>
    <w:rsid w:val="002556F6"/>
    <w:rsid w:val="00274146"/>
    <w:rsid w:val="00283105"/>
    <w:rsid w:val="00284C4C"/>
    <w:rsid w:val="00285617"/>
    <w:rsid w:val="00287E68"/>
    <w:rsid w:val="00296529"/>
    <w:rsid w:val="002A66BB"/>
    <w:rsid w:val="002B27FB"/>
    <w:rsid w:val="002B685A"/>
    <w:rsid w:val="002C57D2"/>
    <w:rsid w:val="002E0D56"/>
    <w:rsid w:val="00315186"/>
    <w:rsid w:val="0033343E"/>
    <w:rsid w:val="003445F3"/>
    <w:rsid w:val="003512C2"/>
    <w:rsid w:val="0035465B"/>
    <w:rsid w:val="003577C5"/>
    <w:rsid w:val="00371FB6"/>
    <w:rsid w:val="003763C1"/>
    <w:rsid w:val="00376BBE"/>
    <w:rsid w:val="0039224F"/>
    <w:rsid w:val="003A43A4"/>
    <w:rsid w:val="003A7570"/>
    <w:rsid w:val="003A7E18"/>
    <w:rsid w:val="003C4C86"/>
    <w:rsid w:val="003C6258"/>
    <w:rsid w:val="003E2904"/>
    <w:rsid w:val="003E4EA1"/>
    <w:rsid w:val="00401927"/>
    <w:rsid w:val="0041027F"/>
    <w:rsid w:val="00412475"/>
    <w:rsid w:val="00416DF1"/>
    <w:rsid w:val="00423789"/>
    <w:rsid w:val="00440F43"/>
    <w:rsid w:val="00441B6F"/>
    <w:rsid w:val="0044214D"/>
    <w:rsid w:val="00446221"/>
    <w:rsid w:val="00450E62"/>
    <w:rsid w:val="004539DB"/>
    <w:rsid w:val="00471A80"/>
    <w:rsid w:val="0048072A"/>
    <w:rsid w:val="00482CC9"/>
    <w:rsid w:val="004D305E"/>
    <w:rsid w:val="004D4277"/>
    <w:rsid w:val="004E1082"/>
    <w:rsid w:val="00502516"/>
    <w:rsid w:val="00503180"/>
    <w:rsid w:val="00505F06"/>
    <w:rsid w:val="00506828"/>
    <w:rsid w:val="0053056E"/>
    <w:rsid w:val="0053315D"/>
    <w:rsid w:val="00554FDA"/>
    <w:rsid w:val="00580E07"/>
    <w:rsid w:val="005C2D2B"/>
    <w:rsid w:val="005C784C"/>
    <w:rsid w:val="005D17F6"/>
    <w:rsid w:val="005E5539"/>
    <w:rsid w:val="005E6D68"/>
    <w:rsid w:val="00602BF5"/>
    <w:rsid w:val="00617FDD"/>
    <w:rsid w:val="0062755A"/>
    <w:rsid w:val="00633614"/>
    <w:rsid w:val="00633F68"/>
    <w:rsid w:val="00636EB2"/>
    <w:rsid w:val="006375B8"/>
    <w:rsid w:val="0066510A"/>
    <w:rsid w:val="00673F9F"/>
    <w:rsid w:val="00686953"/>
    <w:rsid w:val="00687DEA"/>
    <w:rsid w:val="00687E67"/>
    <w:rsid w:val="006967F7"/>
    <w:rsid w:val="006973D3"/>
    <w:rsid w:val="006A250C"/>
    <w:rsid w:val="006A790B"/>
    <w:rsid w:val="006B21D3"/>
    <w:rsid w:val="006B57D0"/>
    <w:rsid w:val="006C7913"/>
    <w:rsid w:val="006D1E7D"/>
    <w:rsid w:val="006D30FF"/>
    <w:rsid w:val="006D6940"/>
    <w:rsid w:val="006E32D2"/>
    <w:rsid w:val="006F11EC"/>
    <w:rsid w:val="0070082C"/>
    <w:rsid w:val="0071741A"/>
    <w:rsid w:val="007369E6"/>
    <w:rsid w:val="00746E59"/>
    <w:rsid w:val="00754C9A"/>
    <w:rsid w:val="0075599A"/>
    <w:rsid w:val="00761D52"/>
    <w:rsid w:val="00766C29"/>
    <w:rsid w:val="0077749E"/>
    <w:rsid w:val="00790ADA"/>
    <w:rsid w:val="007C27A8"/>
    <w:rsid w:val="007D2288"/>
    <w:rsid w:val="007D3F2B"/>
    <w:rsid w:val="007E088F"/>
    <w:rsid w:val="007F7B32"/>
    <w:rsid w:val="00804BC2"/>
    <w:rsid w:val="0081431A"/>
    <w:rsid w:val="00816D95"/>
    <w:rsid w:val="0083216F"/>
    <w:rsid w:val="00860000"/>
    <w:rsid w:val="00863BD3"/>
    <w:rsid w:val="008641ED"/>
    <w:rsid w:val="00866D66"/>
    <w:rsid w:val="008671C6"/>
    <w:rsid w:val="00875803"/>
    <w:rsid w:val="008777A2"/>
    <w:rsid w:val="008B459E"/>
    <w:rsid w:val="008E13AE"/>
    <w:rsid w:val="008E1506"/>
    <w:rsid w:val="008E1C0F"/>
    <w:rsid w:val="008E710C"/>
    <w:rsid w:val="008F69D6"/>
    <w:rsid w:val="00902823"/>
    <w:rsid w:val="00915CA6"/>
    <w:rsid w:val="00927834"/>
    <w:rsid w:val="009500A6"/>
    <w:rsid w:val="0095635A"/>
    <w:rsid w:val="00957C18"/>
    <w:rsid w:val="009659BA"/>
    <w:rsid w:val="009745BE"/>
    <w:rsid w:val="009813C4"/>
    <w:rsid w:val="00983040"/>
    <w:rsid w:val="009A5C87"/>
    <w:rsid w:val="009B2ACC"/>
    <w:rsid w:val="009B2BE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695"/>
    <w:rsid w:val="00A27DDF"/>
    <w:rsid w:val="00A32FEE"/>
    <w:rsid w:val="00A347C0"/>
    <w:rsid w:val="00A51431"/>
    <w:rsid w:val="00A539AD"/>
    <w:rsid w:val="00A67D94"/>
    <w:rsid w:val="00A7121D"/>
    <w:rsid w:val="00A94063"/>
    <w:rsid w:val="00AA6219"/>
    <w:rsid w:val="00AA74E0"/>
    <w:rsid w:val="00AB323A"/>
    <w:rsid w:val="00AB703F"/>
    <w:rsid w:val="00AC07DB"/>
    <w:rsid w:val="00AC6BB8"/>
    <w:rsid w:val="00AE008F"/>
    <w:rsid w:val="00AE096E"/>
    <w:rsid w:val="00AF745A"/>
    <w:rsid w:val="00B01FCD"/>
    <w:rsid w:val="00B1776C"/>
    <w:rsid w:val="00B44B66"/>
    <w:rsid w:val="00B50C8F"/>
    <w:rsid w:val="00B52583"/>
    <w:rsid w:val="00B52896"/>
    <w:rsid w:val="00B736B8"/>
    <w:rsid w:val="00B943C0"/>
    <w:rsid w:val="00B95236"/>
    <w:rsid w:val="00B96BD9"/>
    <w:rsid w:val="00BA1B01"/>
    <w:rsid w:val="00BA2641"/>
    <w:rsid w:val="00BB37AA"/>
    <w:rsid w:val="00BB6735"/>
    <w:rsid w:val="00BC53A0"/>
    <w:rsid w:val="00BE6117"/>
    <w:rsid w:val="00BE62AD"/>
    <w:rsid w:val="00BF121F"/>
    <w:rsid w:val="00BF1F80"/>
    <w:rsid w:val="00C166EF"/>
    <w:rsid w:val="00C17EB0"/>
    <w:rsid w:val="00C27F5F"/>
    <w:rsid w:val="00C30A0F"/>
    <w:rsid w:val="00C37E61"/>
    <w:rsid w:val="00C43A0F"/>
    <w:rsid w:val="00C46BBC"/>
    <w:rsid w:val="00C70F1B"/>
    <w:rsid w:val="00C71A47"/>
    <w:rsid w:val="00C7464C"/>
    <w:rsid w:val="00C85588"/>
    <w:rsid w:val="00CB411B"/>
    <w:rsid w:val="00CD6755"/>
    <w:rsid w:val="00CD6856"/>
    <w:rsid w:val="00CE0089"/>
    <w:rsid w:val="00CE793C"/>
    <w:rsid w:val="00CF193C"/>
    <w:rsid w:val="00D173F1"/>
    <w:rsid w:val="00D25741"/>
    <w:rsid w:val="00D357A0"/>
    <w:rsid w:val="00D57032"/>
    <w:rsid w:val="00D67ABC"/>
    <w:rsid w:val="00D74CB0"/>
    <w:rsid w:val="00D8295D"/>
    <w:rsid w:val="00DC2A65"/>
    <w:rsid w:val="00DE15F0"/>
    <w:rsid w:val="00DE5663"/>
    <w:rsid w:val="00DE78AA"/>
    <w:rsid w:val="00DF431C"/>
    <w:rsid w:val="00E053D0"/>
    <w:rsid w:val="00E15994"/>
    <w:rsid w:val="00E247F1"/>
    <w:rsid w:val="00E3114E"/>
    <w:rsid w:val="00E31A70"/>
    <w:rsid w:val="00E35B02"/>
    <w:rsid w:val="00E379BC"/>
    <w:rsid w:val="00E66496"/>
    <w:rsid w:val="00E66B35"/>
    <w:rsid w:val="00E66E10"/>
    <w:rsid w:val="00E769F6"/>
    <w:rsid w:val="00E8407C"/>
    <w:rsid w:val="00E84F3C"/>
    <w:rsid w:val="00EA012C"/>
    <w:rsid w:val="00EA68DE"/>
    <w:rsid w:val="00EB17FB"/>
    <w:rsid w:val="00EB4B3C"/>
    <w:rsid w:val="00EC6A55"/>
    <w:rsid w:val="00ED0288"/>
    <w:rsid w:val="00EE52CB"/>
    <w:rsid w:val="00EF581D"/>
    <w:rsid w:val="00EF7FD8"/>
    <w:rsid w:val="00F06F59"/>
    <w:rsid w:val="00F17988"/>
    <w:rsid w:val="00F469F0"/>
    <w:rsid w:val="00F52071"/>
    <w:rsid w:val="00F53273"/>
    <w:rsid w:val="00F64D5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9FE48EF"/>
  <w15:docId w15:val="{9D5572C0-F503-4F0D-9433-2358B04E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B17FB"/>
    <w:pPr>
      <w:spacing w:before="100" w:beforeAutospacing="1" w:after="100" w:afterAutospacing="1"/>
      <w:jc w:val="both"/>
    </w:pPr>
    <w:rPr>
      <w:rFonts w:ascii="Times New Roman" w:hAnsi="Times New Roman"/>
      <w:sz w:val="24"/>
      <w:szCs w:val="24"/>
      <w:lang w:val="en-ID" w:eastAsia="en-ID"/>
    </w:rPr>
  </w:style>
  <w:style w:type="character" w:customStyle="1" w:styleId="w-fit">
    <w:name w:val="w-fit"/>
    <w:basedOn w:val="DefaultParagraphFont"/>
    <w:rsid w:val="00482CC9"/>
  </w:style>
  <w:style w:type="paragraph" w:styleId="ListParagraph">
    <w:name w:val="List Paragraph"/>
    <w:basedOn w:val="Normal"/>
    <w:uiPriority w:val="34"/>
    <w:qFormat/>
    <w:rsid w:val="00482CC9"/>
    <w:pPr>
      <w:spacing w:before="100" w:beforeAutospacing="1" w:afterAutospacing="1"/>
      <w:ind w:left="720"/>
      <w:contextualSpacing/>
      <w:jc w:val="both"/>
    </w:pPr>
  </w:style>
  <w:style w:type="character" w:styleId="Strong">
    <w:name w:val="Strong"/>
    <w:basedOn w:val="DefaultParagraphFont"/>
    <w:uiPriority w:val="22"/>
    <w:qFormat/>
    <w:rsid w:val="000168D5"/>
    <w:rPr>
      <w:b/>
      <w:bCs/>
    </w:rPr>
  </w:style>
  <w:style w:type="character" w:customStyle="1" w:styleId="UnresolvedMention2">
    <w:name w:val="Unresolved Mention2"/>
    <w:basedOn w:val="DefaultParagraphFont"/>
    <w:uiPriority w:val="99"/>
    <w:semiHidden/>
    <w:unhideWhenUsed/>
    <w:rsid w:val="008777A2"/>
    <w:rPr>
      <w:color w:val="605E5C"/>
      <w:shd w:val="clear" w:color="auto" w:fill="E1DFDD"/>
    </w:rPr>
  </w:style>
  <w:style w:type="character" w:customStyle="1" w:styleId="ts-alignment-element">
    <w:name w:val="ts-alignment-element"/>
    <w:basedOn w:val="DefaultParagraphFont"/>
    <w:rsid w:val="00AE096E"/>
  </w:style>
  <w:style w:type="character" w:styleId="UnresolvedMention">
    <w:name w:val="Unresolved Mention"/>
    <w:basedOn w:val="DefaultParagraphFont"/>
    <w:uiPriority w:val="99"/>
    <w:semiHidden/>
    <w:unhideWhenUsed/>
    <w:rsid w:val="00627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883596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575528">
      <w:bodyDiv w:val="1"/>
      <w:marLeft w:val="0"/>
      <w:marRight w:val="0"/>
      <w:marTop w:val="0"/>
      <w:marBottom w:val="0"/>
      <w:divBdr>
        <w:top w:val="none" w:sz="0" w:space="0" w:color="auto"/>
        <w:left w:val="none" w:sz="0" w:space="0" w:color="auto"/>
        <w:bottom w:val="none" w:sz="0" w:space="0" w:color="auto"/>
        <w:right w:val="none" w:sz="0" w:space="0" w:color="auto"/>
      </w:divBdr>
      <w:divsChild>
        <w:div w:id="395052985">
          <w:marLeft w:val="0"/>
          <w:marRight w:val="0"/>
          <w:marTop w:val="0"/>
          <w:marBottom w:val="0"/>
          <w:divBdr>
            <w:top w:val="none" w:sz="0" w:space="0" w:color="auto"/>
            <w:left w:val="none" w:sz="0" w:space="0" w:color="auto"/>
            <w:bottom w:val="none" w:sz="0" w:space="0" w:color="auto"/>
            <w:right w:val="none" w:sz="0" w:space="0" w:color="auto"/>
          </w:divBdr>
          <w:divsChild>
            <w:div w:id="355270930">
              <w:marLeft w:val="0"/>
              <w:marRight w:val="0"/>
              <w:marTop w:val="0"/>
              <w:marBottom w:val="0"/>
              <w:divBdr>
                <w:top w:val="none" w:sz="0" w:space="0" w:color="auto"/>
                <w:left w:val="none" w:sz="0" w:space="0" w:color="auto"/>
                <w:bottom w:val="none" w:sz="0" w:space="0" w:color="auto"/>
                <w:right w:val="none" w:sz="0" w:space="0" w:color="auto"/>
              </w:divBdr>
              <w:divsChild>
                <w:div w:id="1833181220">
                  <w:marLeft w:val="0"/>
                  <w:marRight w:val="0"/>
                  <w:marTop w:val="0"/>
                  <w:marBottom w:val="0"/>
                  <w:divBdr>
                    <w:top w:val="none" w:sz="0" w:space="0" w:color="auto"/>
                    <w:left w:val="none" w:sz="0" w:space="0" w:color="auto"/>
                    <w:bottom w:val="none" w:sz="0" w:space="0" w:color="auto"/>
                    <w:right w:val="none" w:sz="0" w:space="0" w:color="auto"/>
                  </w:divBdr>
                  <w:divsChild>
                    <w:div w:id="566182546">
                      <w:marLeft w:val="0"/>
                      <w:marRight w:val="0"/>
                      <w:marTop w:val="0"/>
                      <w:marBottom w:val="0"/>
                      <w:divBdr>
                        <w:top w:val="none" w:sz="0" w:space="0" w:color="auto"/>
                        <w:left w:val="none" w:sz="0" w:space="0" w:color="auto"/>
                        <w:bottom w:val="none" w:sz="0" w:space="0" w:color="auto"/>
                        <w:right w:val="none" w:sz="0" w:space="0" w:color="auto"/>
                      </w:divBdr>
                      <w:divsChild>
                        <w:div w:id="1899441696">
                          <w:marLeft w:val="0"/>
                          <w:marRight w:val="0"/>
                          <w:marTop w:val="0"/>
                          <w:marBottom w:val="0"/>
                          <w:divBdr>
                            <w:top w:val="none" w:sz="0" w:space="0" w:color="auto"/>
                            <w:left w:val="none" w:sz="0" w:space="0" w:color="auto"/>
                            <w:bottom w:val="none" w:sz="0" w:space="0" w:color="auto"/>
                            <w:right w:val="none" w:sz="0" w:space="0" w:color="auto"/>
                          </w:divBdr>
                          <w:divsChild>
                            <w:div w:id="1524319079">
                              <w:marLeft w:val="0"/>
                              <w:marRight w:val="0"/>
                              <w:marTop w:val="0"/>
                              <w:marBottom w:val="0"/>
                              <w:divBdr>
                                <w:top w:val="none" w:sz="0" w:space="0" w:color="auto"/>
                                <w:left w:val="none" w:sz="0" w:space="0" w:color="auto"/>
                                <w:bottom w:val="none" w:sz="0" w:space="0" w:color="auto"/>
                                <w:right w:val="none" w:sz="0" w:space="0" w:color="auto"/>
                              </w:divBdr>
                              <w:divsChild>
                                <w:div w:id="1128355244">
                                  <w:marLeft w:val="0"/>
                                  <w:marRight w:val="0"/>
                                  <w:marTop w:val="0"/>
                                  <w:marBottom w:val="0"/>
                                  <w:divBdr>
                                    <w:top w:val="none" w:sz="0" w:space="0" w:color="auto"/>
                                    <w:left w:val="none" w:sz="0" w:space="0" w:color="auto"/>
                                    <w:bottom w:val="none" w:sz="0" w:space="0" w:color="auto"/>
                                    <w:right w:val="none" w:sz="0" w:space="0" w:color="auto"/>
                                  </w:divBdr>
                                  <w:divsChild>
                                    <w:div w:id="852256450">
                                      <w:marLeft w:val="0"/>
                                      <w:marRight w:val="0"/>
                                      <w:marTop w:val="0"/>
                                      <w:marBottom w:val="0"/>
                                      <w:divBdr>
                                        <w:top w:val="none" w:sz="0" w:space="0" w:color="auto"/>
                                        <w:left w:val="none" w:sz="0" w:space="0" w:color="auto"/>
                                        <w:bottom w:val="none" w:sz="0" w:space="0" w:color="auto"/>
                                        <w:right w:val="none" w:sz="0" w:space="0" w:color="auto"/>
                                      </w:divBdr>
                                      <w:divsChild>
                                        <w:div w:id="2145346785">
                                          <w:marLeft w:val="0"/>
                                          <w:marRight w:val="0"/>
                                          <w:marTop w:val="0"/>
                                          <w:marBottom w:val="0"/>
                                          <w:divBdr>
                                            <w:top w:val="none" w:sz="0" w:space="0" w:color="auto"/>
                                            <w:left w:val="none" w:sz="0" w:space="0" w:color="auto"/>
                                            <w:bottom w:val="none" w:sz="0" w:space="0" w:color="auto"/>
                                            <w:right w:val="none" w:sz="0" w:space="0" w:color="auto"/>
                                          </w:divBdr>
                                          <w:divsChild>
                                            <w:div w:id="980697216">
                                              <w:marLeft w:val="0"/>
                                              <w:marRight w:val="0"/>
                                              <w:marTop w:val="0"/>
                                              <w:marBottom w:val="0"/>
                                              <w:divBdr>
                                                <w:top w:val="none" w:sz="0" w:space="0" w:color="auto"/>
                                                <w:left w:val="none" w:sz="0" w:space="0" w:color="auto"/>
                                                <w:bottom w:val="none" w:sz="0" w:space="0" w:color="auto"/>
                                                <w:right w:val="none" w:sz="0" w:space="0" w:color="auto"/>
                                              </w:divBdr>
                                              <w:divsChild>
                                                <w:div w:id="1392121549">
                                                  <w:marLeft w:val="0"/>
                                                  <w:marRight w:val="0"/>
                                                  <w:marTop w:val="0"/>
                                                  <w:marBottom w:val="0"/>
                                                  <w:divBdr>
                                                    <w:top w:val="none" w:sz="0" w:space="0" w:color="auto"/>
                                                    <w:left w:val="none" w:sz="0" w:space="0" w:color="auto"/>
                                                    <w:bottom w:val="none" w:sz="0" w:space="0" w:color="auto"/>
                                                    <w:right w:val="none" w:sz="0" w:space="0" w:color="auto"/>
                                                  </w:divBdr>
                                                  <w:divsChild>
                                                    <w:div w:id="647394611">
                                                      <w:marLeft w:val="0"/>
                                                      <w:marRight w:val="0"/>
                                                      <w:marTop w:val="0"/>
                                                      <w:marBottom w:val="0"/>
                                                      <w:divBdr>
                                                        <w:top w:val="none" w:sz="0" w:space="0" w:color="auto"/>
                                                        <w:left w:val="none" w:sz="0" w:space="0" w:color="auto"/>
                                                        <w:bottom w:val="none" w:sz="0" w:space="0" w:color="auto"/>
                                                        <w:right w:val="none" w:sz="0" w:space="0" w:color="auto"/>
                                                      </w:divBdr>
                                                      <w:divsChild>
                                                        <w:div w:id="797913209">
                                                          <w:marLeft w:val="0"/>
                                                          <w:marRight w:val="0"/>
                                                          <w:marTop w:val="0"/>
                                                          <w:marBottom w:val="0"/>
                                                          <w:divBdr>
                                                            <w:top w:val="none" w:sz="0" w:space="0" w:color="auto"/>
                                                            <w:left w:val="none" w:sz="0" w:space="0" w:color="auto"/>
                                                            <w:bottom w:val="none" w:sz="0" w:space="0" w:color="auto"/>
                                                            <w:right w:val="none" w:sz="0" w:space="0" w:color="auto"/>
                                                          </w:divBdr>
                                                          <w:divsChild>
                                                            <w:div w:id="6995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7814639">
      <w:bodyDiv w:val="1"/>
      <w:marLeft w:val="0"/>
      <w:marRight w:val="0"/>
      <w:marTop w:val="0"/>
      <w:marBottom w:val="0"/>
      <w:divBdr>
        <w:top w:val="none" w:sz="0" w:space="0" w:color="auto"/>
        <w:left w:val="none" w:sz="0" w:space="0" w:color="auto"/>
        <w:bottom w:val="none" w:sz="0" w:space="0" w:color="auto"/>
        <w:right w:val="none" w:sz="0" w:space="0" w:color="auto"/>
      </w:divBdr>
      <w:divsChild>
        <w:div w:id="393822451">
          <w:marLeft w:val="0"/>
          <w:marRight w:val="0"/>
          <w:marTop w:val="0"/>
          <w:marBottom w:val="0"/>
          <w:divBdr>
            <w:top w:val="none" w:sz="0" w:space="0" w:color="auto"/>
            <w:left w:val="none" w:sz="0" w:space="0" w:color="auto"/>
            <w:bottom w:val="none" w:sz="0" w:space="0" w:color="auto"/>
            <w:right w:val="none" w:sz="0" w:space="0" w:color="auto"/>
          </w:divBdr>
          <w:divsChild>
            <w:div w:id="99110735">
              <w:marLeft w:val="0"/>
              <w:marRight w:val="0"/>
              <w:marTop w:val="0"/>
              <w:marBottom w:val="0"/>
              <w:divBdr>
                <w:top w:val="none" w:sz="0" w:space="0" w:color="auto"/>
                <w:left w:val="none" w:sz="0" w:space="0" w:color="auto"/>
                <w:bottom w:val="none" w:sz="0" w:space="0" w:color="auto"/>
                <w:right w:val="none" w:sz="0" w:space="0" w:color="auto"/>
              </w:divBdr>
              <w:divsChild>
                <w:div w:id="1555771662">
                  <w:marLeft w:val="0"/>
                  <w:marRight w:val="0"/>
                  <w:marTop w:val="0"/>
                  <w:marBottom w:val="0"/>
                  <w:divBdr>
                    <w:top w:val="none" w:sz="0" w:space="0" w:color="auto"/>
                    <w:left w:val="none" w:sz="0" w:space="0" w:color="auto"/>
                    <w:bottom w:val="none" w:sz="0" w:space="0" w:color="auto"/>
                    <w:right w:val="none" w:sz="0" w:space="0" w:color="auto"/>
                  </w:divBdr>
                  <w:divsChild>
                    <w:div w:id="734082044">
                      <w:marLeft w:val="0"/>
                      <w:marRight w:val="0"/>
                      <w:marTop w:val="0"/>
                      <w:marBottom w:val="0"/>
                      <w:divBdr>
                        <w:top w:val="none" w:sz="0" w:space="0" w:color="auto"/>
                        <w:left w:val="none" w:sz="0" w:space="0" w:color="auto"/>
                        <w:bottom w:val="none" w:sz="0" w:space="0" w:color="auto"/>
                        <w:right w:val="none" w:sz="0" w:space="0" w:color="auto"/>
                      </w:divBdr>
                      <w:divsChild>
                        <w:div w:id="297417406">
                          <w:marLeft w:val="0"/>
                          <w:marRight w:val="0"/>
                          <w:marTop w:val="0"/>
                          <w:marBottom w:val="0"/>
                          <w:divBdr>
                            <w:top w:val="none" w:sz="0" w:space="0" w:color="auto"/>
                            <w:left w:val="none" w:sz="0" w:space="0" w:color="auto"/>
                            <w:bottom w:val="none" w:sz="0" w:space="0" w:color="auto"/>
                            <w:right w:val="none" w:sz="0" w:space="0" w:color="auto"/>
                          </w:divBdr>
                          <w:divsChild>
                            <w:div w:id="1857648529">
                              <w:marLeft w:val="0"/>
                              <w:marRight w:val="0"/>
                              <w:marTop w:val="0"/>
                              <w:marBottom w:val="0"/>
                              <w:divBdr>
                                <w:top w:val="none" w:sz="0" w:space="0" w:color="auto"/>
                                <w:left w:val="none" w:sz="0" w:space="0" w:color="auto"/>
                                <w:bottom w:val="none" w:sz="0" w:space="0" w:color="auto"/>
                                <w:right w:val="none" w:sz="0" w:space="0" w:color="auto"/>
                              </w:divBdr>
                              <w:divsChild>
                                <w:div w:id="129710350">
                                  <w:marLeft w:val="0"/>
                                  <w:marRight w:val="0"/>
                                  <w:marTop w:val="0"/>
                                  <w:marBottom w:val="0"/>
                                  <w:divBdr>
                                    <w:top w:val="none" w:sz="0" w:space="0" w:color="auto"/>
                                    <w:left w:val="none" w:sz="0" w:space="0" w:color="auto"/>
                                    <w:bottom w:val="none" w:sz="0" w:space="0" w:color="auto"/>
                                    <w:right w:val="none" w:sz="0" w:space="0" w:color="auto"/>
                                  </w:divBdr>
                                  <w:divsChild>
                                    <w:div w:id="1559122379">
                                      <w:marLeft w:val="0"/>
                                      <w:marRight w:val="0"/>
                                      <w:marTop w:val="0"/>
                                      <w:marBottom w:val="0"/>
                                      <w:divBdr>
                                        <w:top w:val="none" w:sz="0" w:space="0" w:color="auto"/>
                                        <w:left w:val="none" w:sz="0" w:space="0" w:color="auto"/>
                                        <w:bottom w:val="none" w:sz="0" w:space="0" w:color="auto"/>
                                        <w:right w:val="none" w:sz="0" w:space="0" w:color="auto"/>
                                      </w:divBdr>
                                      <w:divsChild>
                                        <w:div w:id="165219074">
                                          <w:marLeft w:val="0"/>
                                          <w:marRight w:val="0"/>
                                          <w:marTop w:val="0"/>
                                          <w:marBottom w:val="0"/>
                                          <w:divBdr>
                                            <w:top w:val="none" w:sz="0" w:space="0" w:color="auto"/>
                                            <w:left w:val="none" w:sz="0" w:space="0" w:color="auto"/>
                                            <w:bottom w:val="none" w:sz="0" w:space="0" w:color="auto"/>
                                            <w:right w:val="none" w:sz="0" w:space="0" w:color="auto"/>
                                          </w:divBdr>
                                          <w:divsChild>
                                            <w:div w:id="745419059">
                                              <w:marLeft w:val="0"/>
                                              <w:marRight w:val="0"/>
                                              <w:marTop w:val="0"/>
                                              <w:marBottom w:val="0"/>
                                              <w:divBdr>
                                                <w:top w:val="none" w:sz="0" w:space="0" w:color="auto"/>
                                                <w:left w:val="none" w:sz="0" w:space="0" w:color="auto"/>
                                                <w:bottom w:val="none" w:sz="0" w:space="0" w:color="auto"/>
                                                <w:right w:val="none" w:sz="0" w:space="0" w:color="auto"/>
                                              </w:divBdr>
                                              <w:divsChild>
                                                <w:div w:id="1449471891">
                                                  <w:marLeft w:val="0"/>
                                                  <w:marRight w:val="0"/>
                                                  <w:marTop w:val="0"/>
                                                  <w:marBottom w:val="0"/>
                                                  <w:divBdr>
                                                    <w:top w:val="none" w:sz="0" w:space="0" w:color="auto"/>
                                                    <w:left w:val="none" w:sz="0" w:space="0" w:color="auto"/>
                                                    <w:bottom w:val="none" w:sz="0" w:space="0" w:color="auto"/>
                                                    <w:right w:val="none" w:sz="0" w:space="0" w:color="auto"/>
                                                  </w:divBdr>
                                                  <w:divsChild>
                                                    <w:div w:id="1878814887">
                                                      <w:marLeft w:val="0"/>
                                                      <w:marRight w:val="0"/>
                                                      <w:marTop w:val="0"/>
                                                      <w:marBottom w:val="0"/>
                                                      <w:divBdr>
                                                        <w:top w:val="none" w:sz="0" w:space="0" w:color="auto"/>
                                                        <w:left w:val="none" w:sz="0" w:space="0" w:color="auto"/>
                                                        <w:bottom w:val="none" w:sz="0" w:space="0" w:color="auto"/>
                                                        <w:right w:val="none" w:sz="0" w:space="0" w:color="auto"/>
                                                      </w:divBdr>
                                                      <w:divsChild>
                                                        <w:div w:id="796459651">
                                                          <w:marLeft w:val="0"/>
                                                          <w:marRight w:val="0"/>
                                                          <w:marTop w:val="0"/>
                                                          <w:marBottom w:val="0"/>
                                                          <w:divBdr>
                                                            <w:top w:val="none" w:sz="0" w:space="0" w:color="auto"/>
                                                            <w:left w:val="none" w:sz="0" w:space="0" w:color="auto"/>
                                                            <w:bottom w:val="none" w:sz="0" w:space="0" w:color="auto"/>
                                                            <w:right w:val="none" w:sz="0" w:space="0" w:color="auto"/>
                                                          </w:divBdr>
                                                          <w:divsChild>
                                                            <w:div w:id="1113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797194">
      <w:bodyDiv w:val="1"/>
      <w:marLeft w:val="0"/>
      <w:marRight w:val="0"/>
      <w:marTop w:val="0"/>
      <w:marBottom w:val="0"/>
      <w:divBdr>
        <w:top w:val="none" w:sz="0" w:space="0" w:color="auto"/>
        <w:left w:val="none" w:sz="0" w:space="0" w:color="auto"/>
        <w:bottom w:val="none" w:sz="0" w:space="0" w:color="auto"/>
        <w:right w:val="none" w:sz="0" w:space="0" w:color="auto"/>
      </w:divBdr>
      <w:divsChild>
        <w:div w:id="258342914">
          <w:marLeft w:val="0"/>
          <w:marRight w:val="0"/>
          <w:marTop w:val="0"/>
          <w:marBottom w:val="0"/>
          <w:divBdr>
            <w:top w:val="none" w:sz="0" w:space="0" w:color="auto"/>
            <w:left w:val="none" w:sz="0" w:space="0" w:color="auto"/>
            <w:bottom w:val="none" w:sz="0" w:space="0" w:color="auto"/>
            <w:right w:val="none" w:sz="0" w:space="0" w:color="auto"/>
          </w:divBdr>
          <w:divsChild>
            <w:div w:id="2009862329">
              <w:marLeft w:val="0"/>
              <w:marRight w:val="0"/>
              <w:marTop w:val="0"/>
              <w:marBottom w:val="0"/>
              <w:divBdr>
                <w:top w:val="none" w:sz="0" w:space="0" w:color="auto"/>
                <w:left w:val="none" w:sz="0" w:space="0" w:color="auto"/>
                <w:bottom w:val="none" w:sz="0" w:space="0" w:color="auto"/>
                <w:right w:val="none" w:sz="0" w:space="0" w:color="auto"/>
              </w:divBdr>
              <w:divsChild>
                <w:div w:id="1356232772">
                  <w:marLeft w:val="0"/>
                  <w:marRight w:val="0"/>
                  <w:marTop w:val="0"/>
                  <w:marBottom w:val="0"/>
                  <w:divBdr>
                    <w:top w:val="none" w:sz="0" w:space="0" w:color="auto"/>
                    <w:left w:val="none" w:sz="0" w:space="0" w:color="auto"/>
                    <w:bottom w:val="none" w:sz="0" w:space="0" w:color="auto"/>
                    <w:right w:val="none" w:sz="0" w:space="0" w:color="auto"/>
                  </w:divBdr>
                  <w:divsChild>
                    <w:div w:id="963078173">
                      <w:marLeft w:val="0"/>
                      <w:marRight w:val="0"/>
                      <w:marTop w:val="0"/>
                      <w:marBottom w:val="0"/>
                      <w:divBdr>
                        <w:top w:val="none" w:sz="0" w:space="0" w:color="auto"/>
                        <w:left w:val="none" w:sz="0" w:space="0" w:color="auto"/>
                        <w:bottom w:val="none" w:sz="0" w:space="0" w:color="auto"/>
                        <w:right w:val="none" w:sz="0" w:space="0" w:color="auto"/>
                      </w:divBdr>
                      <w:divsChild>
                        <w:div w:id="123086328">
                          <w:marLeft w:val="0"/>
                          <w:marRight w:val="0"/>
                          <w:marTop w:val="0"/>
                          <w:marBottom w:val="0"/>
                          <w:divBdr>
                            <w:top w:val="none" w:sz="0" w:space="0" w:color="auto"/>
                            <w:left w:val="none" w:sz="0" w:space="0" w:color="auto"/>
                            <w:bottom w:val="none" w:sz="0" w:space="0" w:color="auto"/>
                            <w:right w:val="none" w:sz="0" w:space="0" w:color="auto"/>
                          </w:divBdr>
                          <w:divsChild>
                            <w:div w:id="1852911239">
                              <w:marLeft w:val="0"/>
                              <w:marRight w:val="0"/>
                              <w:marTop w:val="0"/>
                              <w:marBottom w:val="0"/>
                              <w:divBdr>
                                <w:top w:val="none" w:sz="0" w:space="0" w:color="auto"/>
                                <w:left w:val="none" w:sz="0" w:space="0" w:color="auto"/>
                                <w:bottom w:val="none" w:sz="0" w:space="0" w:color="auto"/>
                                <w:right w:val="none" w:sz="0" w:space="0" w:color="auto"/>
                              </w:divBdr>
                              <w:divsChild>
                                <w:div w:id="2041782734">
                                  <w:marLeft w:val="0"/>
                                  <w:marRight w:val="0"/>
                                  <w:marTop w:val="0"/>
                                  <w:marBottom w:val="0"/>
                                  <w:divBdr>
                                    <w:top w:val="none" w:sz="0" w:space="0" w:color="auto"/>
                                    <w:left w:val="none" w:sz="0" w:space="0" w:color="auto"/>
                                    <w:bottom w:val="none" w:sz="0" w:space="0" w:color="auto"/>
                                    <w:right w:val="none" w:sz="0" w:space="0" w:color="auto"/>
                                  </w:divBdr>
                                  <w:divsChild>
                                    <w:div w:id="1586066173">
                                      <w:marLeft w:val="0"/>
                                      <w:marRight w:val="0"/>
                                      <w:marTop w:val="0"/>
                                      <w:marBottom w:val="0"/>
                                      <w:divBdr>
                                        <w:top w:val="none" w:sz="0" w:space="0" w:color="auto"/>
                                        <w:left w:val="none" w:sz="0" w:space="0" w:color="auto"/>
                                        <w:bottom w:val="none" w:sz="0" w:space="0" w:color="auto"/>
                                        <w:right w:val="none" w:sz="0" w:space="0" w:color="auto"/>
                                      </w:divBdr>
                                      <w:divsChild>
                                        <w:div w:id="1229612248">
                                          <w:marLeft w:val="0"/>
                                          <w:marRight w:val="0"/>
                                          <w:marTop w:val="0"/>
                                          <w:marBottom w:val="0"/>
                                          <w:divBdr>
                                            <w:top w:val="none" w:sz="0" w:space="0" w:color="auto"/>
                                            <w:left w:val="none" w:sz="0" w:space="0" w:color="auto"/>
                                            <w:bottom w:val="none" w:sz="0" w:space="0" w:color="auto"/>
                                            <w:right w:val="none" w:sz="0" w:space="0" w:color="auto"/>
                                          </w:divBdr>
                                          <w:divsChild>
                                            <w:div w:id="1464808223">
                                              <w:marLeft w:val="0"/>
                                              <w:marRight w:val="0"/>
                                              <w:marTop w:val="0"/>
                                              <w:marBottom w:val="0"/>
                                              <w:divBdr>
                                                <w:top w:val="none" w:sz="0" w:space="0" w:color="auto"/>
                                                <w:left w:val="none" w:sz="0" w:space="0" w:color="auto"/>
                                                <w:bottom w:val="none" w:sz="0" w:space="0" w:color="auto"/>
                                                <w:right w:val="none" w:sz="0" w:space="0" w:color="auto"/>
                                              </w:divBdr>
                                              <w:divsChild>
                                                <w:div w:id="720977653">
                                                  <w:marLeft w:val="0"/>
                                                  <w:marRight w:val="0"/>
                                                  <w:marTop w:val="0"/>
                                                  <w:marBottom w:val="0"/>
                                                  <w:divBdr>
                                                    <w:top w:val="none" w:sz="0" w:space="0" w:color="auto"/>
                                                    <w:left w:val="none" w:sz="0" w:space="0" w:color="auto"/>
                                                    <w:bottom w:val="none" w:sz="0" w:space="0" w:color="auto"/>
                                                    <w:right w:val="none" w:sz="0" w:space="0" w:color="auto"/>
                                                  </w:divBdr>
                                                  <w:divsChild>
                                                    <w:div w:id="1164590355">
                                                      <w:marLeft w:val="0"/>
                                                      <w:marRight w:val="0"/>
                                                      <w:marTop w:val="0"/>
                                                      <w:marBottom w:val="0"/>
                                                      <w:divBdr>
                                                        <w:top w:val="none" w:sz="0" w:space="0" w:color="auto"/>
                                                        <w:left w:val="none" w:sz="0" w:space="0" w:color="auto"/>
                                                        <w:bottom w:val="none" w:sz="0" w:space="0" w:color="auto"/>
                                                        <w:right w:val="none" w:sz="0" w:space="0" w:color="auto"/>
                                                      </w:divBdr>
                                                      <w:divsChild>
                                                        <w:div w:id="2105764179">
                                                          <w:marLeft w:val="0"/>
                                                          <w:marRight w:val="0"/>
                                                          <w:marTop w:val="0"/>
                                                          <w:marBottom w:val="0"/>
                                                          <w:divBdr>
                                                            <w:top w:val="none" w:sz="0" w:space="0" w:color="auto"/>
                                                            <w:left w:val="none" w:sz="0" w:space="0" w:color="auto"/>
                                                            <w:bottom w:val="none" w:sz="0" w:space="0" w:color="auto"/>
                                                            <w:right w:val="none" w:sz="0" w:space="0" w:color="auto"/>
                                                          </w:divBdr>
                                                          <w:divsChild>
                                                            <w:div w:id="17664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396139">
      <w:bodyDiv w:val="1"/>
      <w:marLeft w:val="0"/>
      <w:marRight w:val="0"/>
      <w:marTop w:val="0"/>
      <w:marBottom w:val="0"/>
      <w:divBdr>
        <w:top w:val="none" w:sz="0" w:space="0" w:color="auto"/>
        <w:left w:val="none" w:sz="0" w:space="0" w:color="auto"/>
        <w:bottom w:val="none" w:sz="0" w:space="0" w:color="auto"/>
        <w:right w:val="none" w:sz="0" w:space="0" w:color="auto"/>
      </w:divBdr>
      <w:divsChild>
        <w:div w:id="486092712">
          <w:marLeft w:val="0"/>
          <w:marRight w:val="0"/>
          <w:marTop w:val="0"/>
          <w:marBottom w:val="0"/>
          <w:divBdr>
            <w:top w:val="none" w:sz="0" w:space="0" w:color="auto"/>
            <w:left w:val="none" w:sz="0" w:space="0" w:color="auto"/>
            <w:bottom w:val="none" w:sz="0" w:space="0" w:color="auto"/>
            <w:right w:val="none" w:sz="0" w:space="0" w:color="auto"/>
          </w:divBdr>
          <w:divsChild>
            <w:div w:id="1034228951">
              <w:marLeft w:val="0"/>
              <w:marRight w:val="0"/>
              <w:marTop w:val="0"/>
              <w:marBottom w:val="0"/>
              <w:divBdr>
                <w:top w:val="none" w:sz="0" w:space="0" w:color="auto"/>
                <w:left w:val="none" w:sz="0" w:space="0" w:color="auto"/>
                <w:bottom w:val="none" w:sz="0" w:space="0" w:color="auto"/>
                <w:right w:val="none" w:sz="0" w:space="0" w:color="auto"/>
              </w:divBdr>
              <w:divsChild>
                <w:div w:id="772358310">
                  <w:marLeft w:val="0"/>
                  <w:marRight w:val="0"/>
                  <w:marTop w:val="0"/>
                  <w:marBottom w:val="0"/>
                  <w:divBdr>
                    <w:top w:val="none" w:sz="0" w:space="0" w:color="auto"/>
                    <w:left w:val="none" w:sz="0" w:space="0" w:color="auto"/>
                    <w:bottom w:val="none" w:sz="0" w:space="0" w:color="auto"/>
                    <w:right w:val="none" w:sz="0" w:space="0" w:color="auto"/>
                  </w:divBdr>
                  <w:divsChild>
                    <w:div w:id="238951440">
                      <w:marLeft w:val="0"/>
                      <w:marRight w:val="0"/>
                      <w:marTop w:val="0"/>
                      <w:marBottom w:val="0"/>
                      <w:divBdr>
                        <w:top w:val="none" w:sz="0" w:space="0" w:color="auto"/>
                        <w:left w:val="none" w:sz="0" w:space="0" w:color="auto"/>
                        <w:bottom w:val="none" w:sz="0" w:space="0" w:color="auto"/>
                        <w:right w:val="none" w:sz="0" w:space="0" w:color="auto"/>
                      </w:divBdr>
                      <w:divsChild>
                        <w:div w:id="1919627421">
                          <w:marLeft w:val="0"/>
                          <w:marRight w:val="0"/>
                          <w:marTop w:val="0"/>
                          <w:marBottom w:val="0"/>
                          <w:divBdr>
                            <w:top w:val="none" w:sz="0" w:space="0" w:color="auto"/>
                            <w:left w:val="none" w:sz="0" w:space="0" w:color="auto"/>
                            <w:bottom w:val="none" w:sz="0" w:space="0" w:color="auto"/>
                            <w:right w:val="none" w:sz="0" w:space="0" w:color="auto"/>
                          </w:divBdr>
                          <w:divsChild>
                            <w:div w:id="1750347472">
                              <w:marLeft w:val="0"/>
                              <w:marRight w:val="0"/>
                              <w:marTop w:val="0"/>
                              <w:marBottom w:val="0"/>
                              <w:divBdr>
                                <w:top w:val="none" w:sz="0" w:space="0" w:color="auto"/>
                                <w:left w:val="none" w:sz="0" w:space="0" w:color="auto"/>
                                <w:bottom w:val="none" w:sz="0" w:space="0" w:color="auto"/>
                                <w:right w:val="none" w:sz="0" w:space="0" w:color="auto"/>
                              </w:divBdr>
                              <w:divsChild>
                                <w:div w:id="1531529254">
                                  <w:marLeft w:val="0"/>
                                  <w:marRight w:val="0"/>
                                  <w:marTop w:val="0"/>
                                  <w:marBottom w:val="0"/>
                                  <w:divBdr>
                                    <w:top w:val="none" w:sz="0" w:space="0" w:color="auto"/>
                                    <w:left w:val="none" w:sz="0" w:space="0" w:color="auto"/>
                                    <w:bottom w:val="none" w:sz="0" w:space="0" w:color="auto"/>
                                    <w:right w:val="none" w:sz="0" w:space="0" w:color="auto"/>
                                  </w:divBdr>
                                  <w:divsChild>
                                    <w:div w:id="393621333">
                                      <w:marLeft w:val="0"/>
                                      <w:marRight w:val="0"/>
                                      <w:marTop w:val="0"/>
                                      <w:marBottom w:val="0"/>
                                      <w:divBdr>
                                        <w:top w:val="none" w:sz="0" w:space="0" w:color="auto"/>
                                        <w:left w:val="none" w:sz="0" w:space="0" w:color="auto"/>
                                        <w:bottom w:val="none" w:sz="0" w:space="0" w:color="auto"/>
                                        <w:right w:val="none" w:sz="0" w:space="0" w:color="auto"/>
                                      </w:divBdr>
                                      <w:divsChild>
                                        <w:div w:id="386150818">
                                          <w:marLeft w:val="0"/>
                                          <w:marRight w:val="0"/>
                                          <w:marTop w:val="0"/>
                                          <w:marBottom w:val="0"/>
                                          <w:divBdr>
                                            <w:top w:val="none" w:sz="0" w:space="0" w:color="auto"/>
                                            <w:left w:val="none" w:sz="0" w:space="0" w:color="auto"/>
                                            <w:bottom w:val="none" w:sz="0" w:space="0" w:color="auto"/>
                                            <w:right w:val="none" w:sz="0" w:space="0" w:color="auto"/>
                                          </w:divBdr>
                                          <w:divsChild>
                                            <w:div w:id="2112772143">
                                              <w:marLeft w:val="0"/>
                                              <w:marRight w:val="0"/>
                                              <w:marTop w:val="0"/>
                                              <w:marBottom w:val="0"/>
                                              <w:divBdr>
                                                <w:top w:val="none" w:sz="0" w:space="0" w:color="auto"/>
                                                <w:left w:val="none" w:sz="0" w:space="0" w:color="auto"/>
                                                <w:bottom w:val="none" w:sz="0" w:space="0" w:color="auto"/>
                                                <w:right w:val="none" w:sz="0" w:space="0" w:color="auto"/>
                                              </w:divBdr>
                                              <w:divsChild>
                                                <w:div w:id="1086271164">
                                                  <w:marLeft w:val="0"/>
                                                  <w:marRight w:val="0"/>
                                                  <w:marTop w:val="0"/>
                                                  <w:marBottom w:val="0"/>
                                                  <w:divBdr>
                                                    <w:top w:val="none" w:sz="0" w:space="0" w:color="auto"/>
                                                    <w:left w:val="none" w:sz="0" w:space="0" w:color="auto"/>
                                                    <w:bottom w:val="none" w:sz="0" w:space="0" w:color="auto"/>
                                                    <w:right w:val="none" w:sz="0" w:space="0" w:color="auto"/>
                                                  </w:divBdr>
                                                  <w:divsChild>
                                                    <w:div w:id="604651886">
                                                      <w:marLeft w:val="0"/>
                                                      <w:marRight w:val="0"/>
                                                      <w:marTop w:val="0"/>
                                                      <w:marBottom w:val="0"/>
                                                      <w:divBdr>
                                                        <w:top w:val="none" w:sz="0" w:space="0" w:color="auto"/>
                                                        <w:left w:val="none" w:sz="0" w:space="0" w:color="auto"/>
                                                        <w:bottom w:val="none" w:sz="0" w:space="0" w:color="auto"/>
                                                        <w:right w:val="none" w:sz="0" w:space="0" w:color="auto"/>
                                                      </w:divBdr>
                                                      <w:divsChild>
                                                        <w:div w:id="1363558716">
                                                          <w:marLeft w:val="0"/>
                                                          <w:marRight w:val="0"/>
                                                          <w:marTop w:val="0"/>
                                                          <w:marBottom w:val="0"/>
                                                          <w:divBdr>
                                                            <w:top w:val="none" w:sz="0" w:space="0" w:color="auto"/>
                                                            <w:left w:val="none" w:sz="0" w:space="0" w:color="auto"/>
                                                            <w:bottom w:val="none" w:sz="0" w:space="0" w:color="auto"/>
                                                            <w:right w:val="none" w:sz="0" w:space="0" w:color="auto"/>
                                                          </w:divBdr>
                                                          <w:divsChild>
                                                            <w:div w:id="1996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doi.org/10.3390/su12010149" TargetMode="External"/><Relationship Id="rId26" Type="http://schemas.openxmlformats.org/officeDocument/2006/relationships/hyperlink" Target="https://doi.org/10.1108/IJOES-06-2020-0079" TargetMode="External"/><Relationship Id="rId3" Type="http://schemas.openxmlformats.org/officeDocument/2006/relationships/styles" Target="styles.xml"/><Relationship Id="rId21" Type="http://schemas.openxmlformats.org/officeDocument/2006/relationships/hyperlink" Target="https://doi.org/10.1177/2158244020988543"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hyperlink" Target="https://www.emerald.com/insight/publication/issn/2514-9369"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ejournal-s1.undip.ac.id/index.php/accoun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merald.com/insight/search?q=Md.%20Alamgir%20Hossan"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emerald.com/insight/search?q=Md.%20Abdur%20Rouf"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doi.org/10.6007/ijarbss/v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doi.org/10.3390/jrfm14080354" TargetMode="External"/><Relationship Id="rId27" Type="http://schemas.openxmlformats.org/officeDocument/2006/relationships/hyperlink" Target="https://doi.org/10.1016/j.iedeen.2020.100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533-7F15-4369-8B33-41DFA5ED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467</TotalTime>
  <Pages>21</Pages>
  <Words>12302</Words>
  <Characters>70126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82264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26</cp:revision>
  <cp:lastPrinted>2025-07-04T05:45:00Z</cp:lastPrinted>
  <dcterms:created xsi:type="dcterms:W3CDTF">2025-07-14T03:37:00Z</dcterms:created>
  <dcterms:modified xsi:type="dcterms:W3CDTF">2025-07-23T05:02:00Z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52abff3a-9e39-3e3d-ad64-68ebb38d2100</vt:lpwstr>
  </property>
  <property fmtid="{D5CDD505-2E9C-101B-9397-08002B2CF9AE}" pid="24" name="Mendeley Citation Style_1">
    <vt:lpwstr>http://www.zotero.org/styles/apa</vt:lpwstr>
  </property>
</Properties>
</file>