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4576" w:rsidRPr="00494806" w:rsidRDefault="00214576" w:rsidP="00B24785">
      <w:pPr>
        <w:spacing w:line="240" w:lineRule="auto"/>
        <w:jc w:val="both"/>
        <w:rPr>
          <w:rFonts w:ascii="Times New Roman" w:eastAsia="Calibri" w:hAnsi="Times New Roman" w:cs="Times New Roman"/>
          <w:b/>
          <w:bCs/>
          <w:sz w:val="24"/>
          <w:szCs w:val="24"/>
        </w:rPr>
      </w:pPr>
    </w:p>
    <w:p w:rsidR="00802542" w:rsidRPr="00494806" w:rsidRDefault="00214576" w:rsidP="00B24785">
      <w:pPr>
        <w:spacing w:line="240" w:lineRule="auto"/>
        <w:ind w:left="720"/>
        <w:jc w:val="both"/>
        <w:rPr>
          <w:rFonts w:ascii="Arial" w:eastAsia="Calibri" w:hAnsi="Arial" w:cs="Arial"/>
          <w:b/>
          <w:bCs/>
          <w:sz w:val="36"/>
          <w:szCs w:val="36"/>
        </w:rPr>
      </w:pPr>
      <w:r w:rsidRPr="00494806">
        <w:rPr>
          <w:rFonts w:ascii="Arial" w:eastAsia="Calibri" w:hAnsi="Arial" w:cs="Arial"/>
          <w:b/>
          <w:bCs/>
          <w:sz w:val="36"/>
          <w:szCs w:val="36"/>
        </w:rPr>
        <w:t>F</w:t>
      </w:r>
      <w:r w:rsidR="00B1679E" w:rsidRPr="00494806">
        <w:rPr>
          <w:rFonts w:ascii="Arial" w:eastAsia="Calibri" w:hAnsi="Arial" w:cs="Arial"/>
          <w:b/>
          <w:bCs/>
          <w:sz w:val="36"/>
          <w:szCs w:val="36"/>
        </w:rPr>
        <w:t xml:space="preserve">oreign ownership </w:t>
      </w:r>
      <w:r w:rsidRPr="00494806">
        <w:rPr>
          <w:rFonts w:ascii="Arial" w:eastAsia="Calibri" w:hAnsi="Arial" w:cs="Arial"/>
          <w:b/>
          <w:bCs/>
          <w:sz w:val="36"/>
          <w:szCs w:val="36"/>
        </w:rPr>
        <w:t xml:space="preserve">and </w:t>
      </w:r>
      <w:r w:rsidR="00B1679E" w:rsidRPr="00494806">
        <w:rPr>
          <w:rFonts w:ascii="Arial" w:eastAsia="Calibri" w:hAnsi="Arial" w:cs="Arial"/>
          <w:b/>
          <w:bCs/>
          <w:sz w:val="36"/>
          <w:szCs w:val="36"/>
        </w:rPr>
        <w:t>corporate sustainability disclosure</w:t>
      </w:r>
      <w:r w:rsidRPr="00494806">
        <w:rPr>
          <w:rFonts w:ascii="Arial" w:eastAsia="Calibri" w:hAnsi="Arial" w:cs="Arial"/>
          <w:b/>
          <w:bCs/>
          <w:sz w:val="36"/>
          <w:szCs w:val="36"/>
        </w:rPr>
        <w:t xml:space="preserve"> practices among </w:t>
      </w:r>
      <w:r w:rsidR="00CD1E7E" w:rsidRPr="00494806">
        <w:rPr>
          <w:rFonts w:ascii="Arial" w:eastAsia="Calibri" w:hAnsi="Arial" w:cs="Arial"/>
          <w:b/>
          <w:bCs/>
          <w:sz w:val="36"/>
          <w:szCs w:val="36"/>
        </w:rPr>
        <w:t xml:space="preserve">East African Community </w:t>
      </w:r>
      <w:r w:rsidRPr="00494806">
        <w:rPr>
          <w:rFonts w:ascii="Arial" w:eastAsia="Calibri" w:hAnsi="Arial" w:cs="Arial"/>
          <w:b/>
          <w:bCs/>
          <w:sz w:val="36"/>
          <w:szCs w:val="36"/>
        </w:rPr>
        <w:t>listed firms</w:t>
      </w:r>
    </w:p>
    <w:p w:rsidR="00EA1433" w:rsidRPr="00494806" w:rsidRDefault="00EA1433" w:rsidP="00EA1433">
      <w:pPr>
        <w:pStyle w:val="Affiliation"/>
        <w:spacing w:after="0" w:line="240" w:lineRule="auto"/>
        <w:rPr>
          <w:rFonts w:ascii="Arial" w:hAnsi="Arial" w:cs="Arial"/>
          <w:i/>
        </w:rPr>
      </w:pPr>
    </w:p>
    <w:p w:rsidR="00802542" w:rsidRPr="00494806" w:rsidRDefault="00802542" w:rsidP="00B24785">
      <w:pPr>
        <w:spacing w:line="240" w:lineRule="auto"/>
        <w:jc w:val="both"/>
        <w:rPr>
          <w:rFonts w:ascii="Times New Roman" w:eastAsia="Calibri" w:hAnsi="Times New Roman" w:cs="Times New Roman"/>
          <w:b/>
          <w:bCs/>
          <w:sz w:val="24"/>
          <w:szCs w:val="24"/>
        </w:rPr>
      </w:pPr>
    </w:p>
    <w:p w:rsidR="00802542" w:rsidRPr="00494806" w:rsidRDefault="00802542" w:rsidP="00B24785">
      <w:pPr>
        <w:spacing w:line="240" w:lineRule="auto"/>
        <w:ind w:left="2880" w:firstLine="720"/>
        <w:jc w:val="both"/>
        <w:rPr>
          <w:rFonts w:ascii="Times New Roman" w:eastAsia="Calibri" w:hAnsi="Times New Roman" w:cs="Times New Roman"/>
          <w:b/>
          <w:bCs/>
          <w:sz w:val="24"/>
          <w:szCs w:val="24"/>
        </w:rPr>
      </w:pPr>
      <w:r w:rsidRPr="00494806">
        <w:rPr>
          <w:rFonts w:ascii="Times New Roman" w:eastAsia="Calibri" w:hAnsi="Times New Roman" w:cs="Times New Roman"/>
          <w:b/>
          <w:bCs/>
          <w:sz w:val="24"/>
          <w:szCs w:val="24"/>
        </w:rPr>
        <w:t>ABSTRACT</w:t>
      </w:r>
    </w:p>
    <w:p w:rsidR="00EA1433" w:rsidRPr="00494806" w:rsidRDefault="00EA1433" w:rsidP="00B24785">
      <w:pPr>
        <w:spacing w:line="240" w:lineRule="auto"/>
        <w:jc w:val="both"/>
        <w:rPr>
          <w:rFonts w:ascii="Arial" w:eastAsia="Calibri" w:hAnsi="Arial" w:cs="Arial"/>
          <w:sz w:val="20"/>
          <w:szCs w:val="20"/>
        </w:rPr>
      </w:pPr>
      <w:r w:rsidRPr="00494806">
        <w:rPr>
          <w:rFonts w:ascii="Arial" w:eastAsia="Calibri" w:hAnsi="Arial" w:cs="Arial"/>
          <w:b/>
          <w:bCs/>
          <w:sz w:val="20"/>
          <w:szCs w:val="20"/>
        </w:rPr>
        <w:t>Aim</w:t>
      </w:r>
      <w:r w:rsidRPr="00494806">
        <w:rPr>
          <w:rFonts w:ascii="Arial" w:eastAsia="Calibri" w:hAnsi="Arial" w:cs="Arial"/>
          <w:sz w:val="20"/>
          <w:szCs w:val="20"/>
        </w:rPr>
        <w:t xml:space="preserve">: </w:t>
      </w:r>
      <w:r w:rsidR="007E5CA5" w:rsidRPr="00494806">
        <w:rPr>
          <w:rFonts w:ascii="Arial" w:eastAsia="Calibri" w:hAnsi="Arial" w:cs="Arial"/>
          <w:sz w:val="20"/>
          <w:szCs w:val="20"/>
        </w:rPr>
        <w:t>The objective of this study is to investigate the potential impacts of foreign ownership on the corporate sustainability disclosure</w:t>
      </w:r>
      <w:r w:rsidR="00ED0D2D">
        <w:rPr>
          <w:rFonts w:ascii="Arial" w:eastAsia="Calibri" w:hAnsi="Arial" w:cs="Arial"/>
          <w:sz w:val="20"/>
          <w:szCs w:val="20"/>
        </w:rPr>
        <w:t xml:space="preserve"> (CSD)</w:t>
      </w:r>
      <w:r w:rsidR="007E5CA5" w:rsidRPr="00494806">
        <w:rPr>
          <w:rFonts w:ascii="Arial" w:eastAsia="Calibri" w:hAnsi="Arial" w:cs="Arial"/>
          <w:sz w:val="20"/>
          <w:szCs w:val="20"/>
        </w:rPr>
        <w:t xml:space="preserve"> </w:t>
      </w:r>
      <w:r w:rsidR="00B24785" w:rsidRPr="00494806">
        <w:rPr>
          <w:rFonts w:ascii="Arial" w:eastAsia="Calibri" w:hAnsi="Arial" w:cs="Arial"/>
          <w:sz w:val="20"/>
          <w:szCs w:val="20"/>
        </w:rPr>
        <w:t>among listed firms in the East Africa Community (EAC) partner states</w:t>
      </w:r>
      <w:r w:rsidR="007E5CA5" w:rsidRPr="00494806">
        <w:rPr>
          <w:rFonts w:ascii="Arial" w:eastAsia="Calibri" w:hAnsi="Arial" w:cs="Arial"/>
          <w:sz w:val="20"/>
          <w:szCs w:val="20"/>
        </w:rPr>
        <w:t xml:space="preserve">. </w:t>
      </w:r>
    </w:p>
    <w:p w:rsidR="00EA1433" w:rsidRPr="00494806" w:rsidRDefault="00EA1433" w:rsidP="00B24785">
      <w:pPr>
        <w:spacing w:line="240" w:lineRule="auto"/>
        <w:jc w:val="both"/>
        <w:rPr>
          <w:rFonts w:ascii="Arial" w:eastAsia="Calibri" w:hAnsi="Arial" w:cs="Arial"/>
          <w:sz w:val="20"/>
          <w:szCs w:val="20"/>
        </w:rPr>
      </w:pPr>
      <w:r w:rsidRPr="00494806">
        <w:rPr>
          <w:rFonts w:ascii="Arial" w:eastAsia="Calibri" w:hAnsi="Arial" w:cs="Arial"/>
          <w:b/>
          <w:bCs/>
          <w:sz w:val="20"/>
          <w:szCs w:val="20"/>
        </w:rPr>
        <w:t>Methodology:</w:t>
      </w:r>
      <w:r w:rsidRPr="00494806">
        <w:rPr>
          <w:rFonts w:ascii="Arial" w:eastAsia="Calibri" w:hAnsi="Arial" w:cs="Arial"/>
          <w:sz w:val="20"/>
          <w:szCs w:val="20"/>
        </w:rPr>
        <w:t xml:space="preserve"> </w:t>
      </w:r>
      <w:r w:rsidR="007E5CA5" w:rsidRPr="00367CDE">
        <w:rPr>
          <w:rFonts w:ascii="Arial" w:eastAsia="Calibri" w:hAnsi="Arial" w:cs="Arial"/>
          <w:sz w:val="20"/>
          <w:szCs w:val="20"/>
          <w:highlight w:val="yellow"/>
        </w:rPr>
        <w:t xml:space="preserve">The study employed </w:t>
      </w:r>
      <w:r w:rsidR="0029487B" w:rsidRPr="00367CDE">
        <w:rPr>
          <w:rFonts w:ascii="Arial" w:eastAsia="Calibri" w:hAnsi="Arial" w:cs="Arial"/>
          <w:sz w:val="20"/>
          <w:szCs w:val="20"/>
          <w:highlight w:val="yellow"/>
        </w:rPr>
        <w:t xml:space="preserve">panel </w:t>
      </w:r>
      <w:r w:rsidR="007E5CA5" w:rsidRPr="00367CDE">
        <w:rPr>
          <w:rFonts w:ascii="Arial" w:eastAsia="Calibri" w:hAnsi="Arial" w:cs="Arial"/>
          <w:sz w:val="20"/>
          <w:szCs w:val="20"/>
          <w:highlight w:val="yellow"/>
        </w:rPr>
        <w:t>data from the year 201</w:t>
      </w:r>
      <w:r w:rsidR="0029487B" w:rsidRPr="00367CDE">
        <w:rPr>
          <w:rFonts w:ascii="Arial" w:eastAsia="Calibri" w:hAnsi="Arial" w:cs="Arial"/>
          <w:sz w:val="20"/>
          <w:szCs w:val="20"/>
          <w:highlight w:val="yellow"/>
        </w:rPr>
        <w:t>2</w:t>
      </w:r>
      <w:r w:rsidR="007E5CA5" w:rsidRPr="00367CDE">
        <w:rPr>
          <w:rFonts w:ascii="Arial" w:eastAsia="Calibri" w:hAnsi="Arial" w:cs="Arial"/>
          <w:sz w:val="20"/>
          <w:szCs w:val="20"/>
          <w:highlight w:val="yellow"/>
        </w:rPr>
        <w:t xml:space="preserve"> to 202</w:t>
      </w:r>
      <w:r w:rsidR="0029487B" w:rsidRPr="00367CDE">
        <w:rPr>
          <w:rFonts w:ascii="Arial" w:eastAsia="Calibri" w:hAnsi="Arial" w:cs="Arial"/>
          <w:sz w:val="20"/>
          <w:szCs w:val="20"/>
          <w:highlight w:val="yellow"/>
        </w:rPr>
        <w:t>2</w:t>
      </w:r>
      <w:r w:rsidR="007462E2" w:rsidRPr="00367CDE">
        <w:rPr>
          <w:rFonts w:ascii="Arial" w:eastAsia="Calibri" w:hAnsi="Arial" w:cs="Arial"/>
          <w:sz w:val="20"/>
          <w:szCs w:val="20"/>
          <w:highlight w:val="yellow"/>
        </w:rPr>
        <w:t xml:space="preserve"> that was extracted from 55 firms listed in EAC’s partner states stock/securities exchanges</w:t>
      </w:r>
      <w:r w:rsidR="00B24785" w:rsidRPr="00367CDE">
        <w:rPr>
          <w:rFonts w:ascii="Arial" w:eastAsia="Calibri" w:hAnsi="Arial" w:cs="Arial"/>
          <w:sz w:val="20"/>
          <w:szCs w:val="20"/>
          <w:highlight w:val="yellow"/>
        </w:rPr>
        <w:t>. Th</w:t>
      </w:r>
      <w:r w:rsidR="007E5CA5" w:rsidRPr="00367CDE">
        <w:rPr>
          <w:rFonts w:ascii="Arial" w:eastAsia="Calibri" w:hAnsi="Arial" w:cs="Arial"/>
          <w:sz w:val="20"/>
          <w:szCs w:val="20"/>
          <w:highlight w:val="yellow"/>
        </w:rPr>
        <w:t>e data on foreign ownership and corporate sustainability disclosure</w:t>
      </w:r>
      <w:r w:rsidR="00ED0D2D" w:rsidRPr="00367CDE">
        <w:rPr>
          <w:rFonts w:ascii="Arial" w:eastAsia="Calibri" w:hAnsi="Arial" w:cs="Arial"/>
          <w:sz w:val="20"/>
          <w:szCs w:val="20"/>
          <w:highlight w:val="yellow"/>
        </w:rPr>
        <w:t xml:space="preserve"> was</w:t>
      </w:r>
      <w:r w:rsidR="007E5CA5" w:rsidRPr="00367CDE">
        <w:rPr>
          <w:rFonts w:ascii="Arial" w:eastAsia="Calibri" w:hAnsi="Arial" w:cs="Arial"/>
          <w:sz w:val="20"/>
          <w:szCs w:val="20"/>
          <w:highlight w:val="yellow"/>
        </w:rPr>
        <w:t xml:space="preserve"> obtained from the </w:t>
      </w:r>
      <w:r w:rsidR="00ED0D2D" w:rsidRPr="00367CDE">
        <w:rPr>
          <w:rFonts w:ascii="Arial" w:eastAsia="Calibri" w:hAnsi="Arial" w:cs="Arial"/>
          <w:sz w:val="20"/>
          <w:szCs w:val="20"/>
          <w:highlight w:val="yellow"/>
        </w:rPr>
        <w:t xml:space="preserve">individual </w:t>
      </w:r>
      <w:r w:rsidR="007E5CA5" w:rsidRPr="00367CDE">
        <w:rPr>
          <w:rFonts w:ascii="Arial" w:eastAsia="Calibri" w:hAnsi="Arial" w:cs="Arial"/>
          <w:sz w:val="20"/>
          <w:szCs w:val="20"/>
          <w:highlight w:val="yellow"/>
        </w:rPr>
        <w:t>firm’s annual reports</w:t>
      </w:r>
      <w:r w:rsidR="00ED0D2D" w:rsidRPr="00367CDE">
        <w:rPr>
          <w:rFonts w:ascii="Arial" w:eastAsia="Calibri" w:hAnsi="Arial" w:cs="Arial"/>
          <w:sz w:val="20"/>
          <w:szCs w:val="20"/>
          <w:highlight w:val="yellow"/>
        </w:rPr>
        <w:t xml:space="preserve"> and </w:t>
      </w:r>
      <w:r w:rsidR="0029487B" w:rsidRPr="00367CDE">
        <w:rPr>
          <w:rFonts w:ascii="Arial" w:eastAsia="Calibri" w:hAnsi="Arial" w:cs="Arial"/>
          <w:sz w:val="20"/>
          <w:szCs w:val="20"/>
          <w:highlight w:val="yellow"/>
        </w:rPr>
        <w:t xml:space="preserve">the </w:t>
      </w:r>
      <w:r w:rsidR="00ED0D2D" w:rsidRPr="00367CDE">
        <w:rPr>
          <w:rFonts w:ascii="Arial" w:eastAsia="Calibri" w:hAnsi="Arial" w:cs="Arial"/>
          <w:sz w:val="20"/>
          <w:szCs w:val="20"/>
          <w:highlight w:val="yellow"/>
        </w:rPr>
        <w:t>standalone sustainability reports. While,</w:t>
      </w:r>
      <w:r w:rsidR="00B24785" w:rsidRPr="00367CDE">
        <w:rPr>
          <w:rFonts w:ascii="Arial" w:eastAsia="Calibri" w:hAnsi="Arial" w:cs="Arial"/>
          <w:sz w:val="20"/>
          <w:szCs w:val="20"/>
          <w:highlight w:val="yellow"/>
        </w:rPr>
        <w:t xml:space="preserve"> corporate sustainability was measured using </w:t>
      </w:r>
      <w:r w:rsidR="007E5CA5" w:rsidRPr="00367CDE">
        <w:rPr>
          <w:rFonts w:ascii="Arial" w:eastAsia="Calibri" w:hAnsi="Arial" w:cs="Arial"/>
          <w:sz w:val="20"/>
          <w:szCs w:val="20"/>
          <w:highlight w:val="yellow"/>
        </w:rPr>
        <w:t>the global reporting initiatives (GRI</w:t>
      </w:r>
      <w:r w:rsidR="00ED0D2D" w:rsidRPr="00367CDE">
        <w:rPr>
          <w:rFonts w:ascii="Arial" w:eastAsia="Calibri" w:hAnsi="Arial" w:cs="Arial"/>
          <w:sz w:val="20"/>
          <w:szCs w:val="20"/>
          <w:highlight w:val="yellow"/>
        </w:rPr>
        <w:t>-4</w:t>
      </w:r>
      <w:r w:rsidR="007E5CA5" w:rsidRPr="00367CDE">
        <w:rPr>
          <w:rFonts w:ascii="Arial" w:eastAsia="Calibri" w:hAnsi="Arial" w:cs="Arial"/>
          <w:sz w:val="20"/>
          <w:szCs w:val="20"/>
          <w:highlight w:val="yellow"/>
        </w:rPr>
        <w:t xml:space="preserve">) </w:t>
      </w:r>
      <w:r w:rsidR="00B24785" w:rsidRPr="00367CDE">
        <w:rPr>
          <w:rFonts w:ascii="Arial" w:eastAsia="Calibri" w:hAnsi="Arial" w:cs="Arial"/>
          <w:sz w:val="20"/>
          <w:szCs w:val="20"/>
          <w:highlight w:val="yellow"/>
        </w:rPr>
        <w:t>content analysis</w:t>
      </w:r>
      <w:r w:rsidR="007E5CA5" w:rsidRPr="00367CDE">
        <w:rPr>
          <w:rFonts w:ascii="Arial" w:eastAsia="Calibri" w:hAnsi="Arial" w:cs="Arial"/>
          <w:sz w:val="20"/>
          <w:szCs w:val="20"/>
          <w:highlight w:val="yellow"/>
        </w:rPr>
        <w:t>. This study employed the OL</w:t>
      </w:r>
      <w:r w:rsidR="00B24785" w:rsidRPr="00367CDE">
        <w:rPr>
          <w:rFonts w:ascii="Arial" w:eastAsia="Calibri" w:hAnsi="Arial" w:cs="Arial"/>
          <w:sz w:val="20"/>
          <w:szCs w:val="20"/>
          <w:highlight w:val="yellow"/>
        </w:rPr>
        <w:t>S and</w:t>
      </w:r>
      <w:r w:rsidR="007E5CA5" w:rsidRPr="00367CDE">
        <w:rPr>
          <w:rFonts w:ascii="Arial" w:eastAsia="Calibri" w:hAnsi="Arial" w:cs="Arial"/>
          <w:sz w:val="20"/>
          <w:szCs w:val="20"/>
          <w:highlight w:val="yellow"/>
        </w:rPr>
        <w:t xml:space="preserve"> the fixed effect</w:t>
      </w:r>
      <w:r w:rsidR="00ED0D2D" w:rsidRPr="00367CDE">
        <w:rPr>
          <w:rFonts w:ascii="Arial" w:eastAsia="Calibri" w:hAnsi="Arial" w:cs="Arial"/>
          <w:sz w:val="20"/>
          <w:szCs w:val="20"/>
          <w:highlight w:val="yellow"/>
        </w:rPr>
        <w:t xml:space="preserve"> panel data regression mode</w:t>
      </w:r>
      <w:r w:rsidR="00ED0D2D">
        <w:rPr>
          <w:rFonts w:ascii="Arial" w:eastAsia="Calibri" w:hAnsi="Arial" w:cs="Arial"/>
          <w:sz w:val="20"/>
          <w:szCs w:val="20"/>
        </w:rPr>
        <w:t>l</w:t>
      </w:r>
      <w:r w:rsidR="007E5CA5" w:rsidRPr="00494806">
        <w:rPr>
          <w:rFonts w:ascii="Arial" w:eastAsia="Calibri" w:hAnsi="Arial" w:cs="Arial"/>
          <w:sz w:val="20"/>
          <w:szCs w:val="20"/>
        </w:rPr>
        <w:t xml:space="preserve">. </w:t>
      </w:r>
    </w:p>
    <w:p w:rsidR="00EA1433" w:rsidRPr="00494806" w:rsidRDefault="00EA1433" w:rsidP="00B24785">
      <w:pPr>
        <w:spacing w:line="240" w:lineRule="auto"/>
        <w:jc w:val="both"/>
        <w:rPr>
          <w:rFonts w:ascii="Arial" w:eastAsia="Calibri" w:hAnsi="Arial" w:cs="Arial"/>
          <w:sz w:val="20"/>
          <w:szCs w:val="20"/>
        </w:rPr>
      </w:pPr>
      <w:r w:rsidRPr="00C911C6">
        <w:rPr>
          <w:rFonts w:ascii="Arial" w:eastAsia="Calibri" w:hAnsi="Arial" w:cs="Arial"/>
          <w:b/>
          <w:bCs/>
          <w:sz w:val="20"/>
          <w:szCs w:val="20"/>
        </w:rPr>
        <w:t>Results</w:t>
      </w:r>
      <w:r w:rsidRPr="00494806">
        <w:rPr>
          <w:rFonts w:ascii="Arial" w:eastAsia="Calibri" w:hAnsi="Arial" w:cs="Arial"/>
          <w:sz w:val="20"/>
          <w:szCs w:val="20"/>
        </w:rPr>
        <w:t xml:space="preserve">: </w:t>
      </w:r>
      <w:r w:rsidR="007E5CA5" w:rsidRPr="00494806">
        <w:rPr>
          <w:rFonts w:ascii="Arial" w:eastAsia="Calibri" w:hAnsi="Arial" w:cs="Arial"/>
          <w:sz w:val="20"/>
          <w:szCs w:val="20"/>
        </w:rPr>
        <w:t>The empirical results indicate</w:t>
      </w:r>
      <w:r w:rsidR="00ED0D2D">
        <w:rPr>
          <w:rFonts w:ascii="Arial" w:eastAsia="Calibri" w:hAnsi="Arial" w:cs="Arial"/>
          <w:sz w:val="20"/>
          <w:szCs w:val="20"/>
        </w:rPr>
        <w:t>d</w:t>
      </w:r>
      <w:r w:rsidR="007E5CA5" w:rsidRPr="00494806">
        <w:rPr>
          <w:rFonts w:ascii="Arial" w:eastAsia="Calibri" w:hAnsi="Arial" w:cs="Arial"/>
          <w:sz w:val="20"/>
          <w:szCs w:val="20"/>
        </w:rPr>
        <w:t xml:space="preserve"> that foreign ownership ha</w:t>
      </w:r>
      <w:r w:rsidR="00ED0D2D">
        <w:rPr>
          <w:rFonts w:ascii="Arial" w:eastAsia="Calibri" w:hAnsi="Arial" w:cs="Arial"/>
          <w:sz w:val="20"/>
          <w:szCs w:val="20"/>
        </w:rPr>
        <w:t>d a positive and</w:t>
      </w:r>
      <w:r w:rsidR="007E5CA5" w:rsidRPr="00494806">
        <w:rPr>
          <w:rFonts w:ascii="Arial" w:eastAsia="Calibri" w:hAnsi="Arial" w:cs="Arial"/>
          <w:sz w:val="20"/>
          <w:szCs w:val="20"/>
        </w:rPr>
        <w:t xml:space="preserve"> significant </w:t>
      </w:r>
      <w:r w:rsidR="00ED0D2D">
        <w:rPr>
          <w:rFonts w:ascii="Arial" w:eastAsia="Calibri" w:hAnsi="Arial" w:cs="Arial"/>
          <w:sz w:val="20"/>
          <w:szCs w:val="20"/>
        </w:rPr>
        <w:t>effect</w:t>
      </w:r>
      <w:r w:rsidR="007E5CA5" w:rsidRPr="00494806">
        <w:rPr>
          <w:rFonts w:ascii="Arial" w:eastAsia="Calibri" w:hAnsi="Arial" w:cs="Arial"/>
          <w:sz w:val="20"/>
          <w:szCs w:val="20"/>
        </w:rPr>
        <w:t xml:space="preserve"> on CSD. Whereas having an individual assessment, we found that foreign ownership is positively associated with </w:t>
      </w:r>
      <w:r w:rsidRPr="00494806">
        <w:rPr>
          <w:rFonts w:ascii="Arial" w:eastAsia="Calibri" w:hAnsi="Arial" w:cs="Arial"/>
          <w:sz w:val="20"/>
          <w:szCs w:val="20"/>
        </w:rPr>
        <w:t xml:space="preserve">corporate sustainability </w:t>
      </w:r>
      <w:r w:rsidR="007E5CA5" w:rsidRPr="00494806">
        <w:rPr>
          <w:rFonts w:ascii="Arial" w:eastAsia="Calibri" w:hAnsi="Arial" w:cs="Arial"/>
          <w:sz w:val="20"/>
          <w:szCs w:val="20"/>
        </w:rPr>
        <w:t xml:space="preserve">disclosure </w:t>
      </w:r>
      <w:r w:rsidRPr="00494806">
        <w:rPr>
          <w:rFonts w:ascii="Arial" w:eastAsia="Calibri" w:hAnsi="Arial" w:cs="Arial"/>
          <w:sz w:val="20"/>
          <w:szCs w:val="20"/>
        </w:rPr>
        <w:t>practices</w:t>
      </w:r>
      <w:r w:rsidR="007E5CA5" w:rsidRPr="00494806">
        <w:rPr>
          <w:rFonts w:ascii="Arial" w:eastAsia="Calibri" w:hAnsi="Arial" w:cs="Arial"/>
          <w:sz w:val="20"/>
          <w:szCs w:val="20"/>
        </w:rPr>
        <w:t xml:space="preserve">. </w:t>
      </w:r>
    </w:p>
    <w:p w:rsidR="00367CDE" w:rsidRDefault="00EA1433" w:rsidP="00B24785">
      <w:pPr>
        <w:spacing w:line="240" w:lineRule="auto"/>
        <w:jc w:val="both"/>
        <w:rPr>
          <w:rFonts w:ascii="Arial" w:eastAsia="Calibri" w:hAnsi="Arial" w:cs="Arial"/>
          <w:sz w:val="20"/>
          <w:szCs w:val="20"/>
        </w:rPr>
      </w:pPr>
      <w:r w:rsidRPr="00494806">
        <w:rPr>
          <w:rFonts w:ascii="Arial" w:eastAsia="Calibri" w:hAnsi="Arial" w:cs="Arial"/>
          <w:b/>
          <w:bCs/>
          <w:sz w:val="20"/>
          <w:szCs w:val="20"/>
        </w:rPr>
        <w:t>Conclusion</w:t>
      </w:r>
      <w:r w:rsidRPr="00494806">
        <w:rPr>
          <w:rFonts w:ascii="Arial" w:eastAsia="Calibri" w:hAnsi="Arial" w:cs="Arial"/>
          <w:sz w:val="20"/>
          <w:szCs w:val="20"/>
        </w:rPr>
        <w:t xml:space="preserve">: </w:t>
      </w:r>
      <w:r w:rsidR="00367CDE" w:rsidRPr="00367CDE">
        <w:rPr>
          <w:rFonts w:ascii="Arial" w:eastAsia="Calibri" w:hAnsi="Arial" w:cs="Arial"/>
          <w:sz w:val="20"/>
          <w:szCs w:val="20"/>
        </w:rPr>
        <w:t>Based on the findings, the study concluded that foreign ownership effectively improves sustainability disclosure practices among firms in developing regions such as EAC.  This could be attributed to the fact that foreign investors demand more corporate disclosure and transparency to lessen information asymmetry.</w:t>
      </w:r>
    </w:p>
    <w:p w:rsidR="00B24785" w:rsidRPr="00494806" w:rsidRDefault="00C911C6" w:rsidP="00B24785">
      <w:pPr>
        <w:spacing w:line="240" w:lineRule="auto"/>
        <w:jc w:val="both"/>
        <w:rPr>
          <w:rFonts w:ascii="Arial" w:eastAsia="Calibri" w:hAnsi="Arial" w:cs="Arial"/>
          <w:sz w:val="20"/>
          <w:szCs w:val="20"/>
        </w:rPr>
      </w:pPr>
      <w:r w:rsidRPr="00C911C6">
        <w:rPr>
          <w:rFonts w:ascii="Arial" w:eastAsia="Calibri" w:hAnsi="Arial" w:cs="Arial"/>
          <w:b/>
          <w:bCs/>
          <w:sz w:val="20"/>
          <w:szCs w:val="20"/>
        </w:rPr>
        <w:t>Implication</w:t>
      </w:r>
      <w:r>
        <w:rPr>
          <w:rFonts w:ascii="Arial" w:eastAsia="Calibri" w:hAnsi="Arial" w:cs="Arial"/>
          <w:sz w:val="20"/>
          <w:szCs w:val="20"/>
        </w:rPr>
        <w:t xml:space="preserve">: </w:t>
      </w:r>
      <w:r w:rsidR="007E5CA5" w:rsidRPr="00494806">
        <w:rPr>
          <w:rFonts w:ascii="Arial" w:eastAsia="Calibri" w:hAnsi="Arial" w:cs="Arial"/>
          <w:sz w:val="20"/>
          <w:szCs w:val="20"/>
        </w:rPr>
        <w:t xml:space="preserve">Results from this study have </w:t>
      </w:r>
      <w:r w:rsidR="00B24785" w:rsidRPr="00494806">
        <w:rPr>
          <w:rFonts w:ascii="Arial" w:eastAsia="Calibri" w:hAnsi="Arial" w:cs="Arial"/>
          <w:sz w:val="20"/>
          <w:szCs w:val="20"/>
        </w:rPr>
        <w:t>practical</w:t>
      </w:r>
      <w:r w:rsidR="007E5CA5" w:rsidRPr="00494806">
        <w:rPr>
          <w:rFonts w:ascii="Arial" w:eastAsia="Calibri" w:hAnsi="Arial" w:cs="Arial"/>
          <w:sz w:val="20"/>
          <w:szCs w:val="20"/>
        </w:rPr>
        <w:t xml:space="preserve">, theoretical, and policy implications. </w:t>
      </w:r>
      <w:r w:rsidR="00B24785" w:rsidRPr="00494806">
        <w:rPr>
          <w:rFonts w:ascii="Arial" w:eastAsia="Calibri" w:hAnsi="Arial" w:cs="Arial"/>
          <w:sz w:val="20"/>
          <w:szCs w:val="20"/>
        </w:rPr>
        <w:t>For instance,</w:t>
      </w:r>
      <w:r w:rsidR="007E5CA5" w:rsidRPr="00494806">
        <w:rPr>
          <w:rFonts w:ascii="Arial" w:eastAsia="Calibri" w:hAnsi="Arial" w:cs="Arial"/>
          <w:sz w:val="20"/>
          <w:szCs w:val="20"/>
        </w:rPr>
        <w:t xml:space="preserve"> regulatory institutions need to reconsider the policy guidelines subject to ownership and activism of foreign shareholders in both </w:t>
      </w:r>
      <w:r w:rsidR="00B24785" w:rsidRPr="00494806">
        <w:rPr>
          <w:rFonts w:ascii="Arial" w:eastAsia="Calibri" w:hAnsi="Arial" w:cs="Arial"/>
          <w:sz w:val="20"/>
          <w:szCs w:val="20"/>
        </w:rPr>
        <w:t>among listed firms</w:t>
      </w:r>
      <w:r w:rsidR="007E5CA5" w:rsidRPr="00494806">
        <w:rPr>
          <w:rFonts w:ascii="Arial" w:eastAsia="Calibri" w:hAnsi="Arial" w:cs="Arial"/>
          <w:sz w:val="20"/>
          <w:szCs w:val="20"/>
        </w:rPr>
        <w:t xml:space="preserve"> to enhance the sustainability disclosure practices. </w:t>
      </w:r>
      <w:r w:rsidR="00B24785" w:rsidRPr="00494806">
        <w:rPr>
          <w:rFonts w:ascii="Arial" w:eastAsia="Calibri" w:hAnsi="Arial" w:cs="Arial"/>
          <w:sz w:val="20"/>
          <w:szCs w:val="20"/>
        </w:rPr>
        <w:t xml:space="preserve"> On the other hands, corporate managers should embrace disclosure practices that are in line with ownership types.</w:t>
      </w:r>
      <w:r>
        <w:rPr>
          <w:rFonts w:ascii="Arial" w:eastAsia="Calibri" w:hAnsi="Arial" w:cs="Arial"/>
          <w:sz w:val="20"/>
          <w:szCs w:val="20"/>
        </w:rPr>
        <w:t xml:space="preserve"> From </w:t>
      </w:r>
      <w:r w:rsidRPr="00C911C6">
        <w:rPr>
          <w:rFonts w:ascii="Arial" w:eastAsia="Calibri" w:hAnsi="Arial" w:cs="Arial"/>
          <w:sz w:val="20"/>
          <w:szCs w:val="20"/>
          <w:highlight w:val="yellow"/>
        </w:rPr>
        <w:t>a scientific perspective, the paper adds to the emerging literature on ownership structure and corporate social and environmental performance</w:t>
      </w:r>
      <w:r>
        <w:rPr>
          <w:rFonts w:ascii="Arial" w:eastAsia="Calibri" w:hAnsi="Arial" w:cs="Arial"/>
          <w:sz w:val="20"/>
          <w:szCs w:val="20"/>
        </w:rPr>
        <w:t>.</w:t>
      </w:r>
    </w:p>
    <w:p w:rsidR="000A3B4C" w:rsidRDefault="00B24785" w:rsidP="00B24785">
      <w:pPr>
        <w:spacing w:line="240" w:lineRule="auto"/>
        <w:jc w:val="both"/>
        <w:rPr>
          <w:rFonts w:ascii="Arial" w:eastAsia="Calibri" w:hAnsi="Arial" w:cs="Arial"/>
          <w:b/>
          <w:bCs/>
          <w:sz w:val="20"/>
          <w:szCs w:val="20"/>
        </w:rPr>
      </w:pPr>
      <w:r w:rsidRPr="00494806">
        <w:rPr>
          <w:rFonts w:ascii="Arial" w:eastAsia="Calibri" w:hAnsi="Arial" w:cs="Arial"/>
          <w:b/>
          <w:bCs/>
          <w:sz w:val="20"/>
          <w:szCs w:val="20"/>
        </w:rPr>
        <w:t>Keyword: Corporate sustainability disclosure, GRI, foreign ownership, East Africa Community</w:t>
      </w:r>
    </w:p>
    <w:p w:rsidR="000A3B4C" w:rsidRDefault="000A3B4C" w:rsidP="00B24785">
      <w:pPr>
        <w:spacing w:line="240" w:lineRule="auto"/>
        <w:jc w:val="both"/>
        <w:rPr>
          <w:rFonts w:ascii="Arial" w:eastAsia="Calibri" w:hAnsi="Arial" w:cs="Arial"/>
          <w:b/>
          <w:bCs/>
          <w:sz w:val="20"/>
          <w:szCs w:val="20"/>
        </w:rPr>
      </w:pPr>
    </w:p>
    <w:p w:rsidR="000A3B4C" w:rsidRDefault="000A3B4C" w:rsidP="00B24785">
      <w:pPr>
        <w:spacing w:line="240" w:lineRule="auto"/>
        <w:jc w:val="both"/>
        <w:rPr>
          <w:rFonts w:ascii="Arial" w:eastAsia="Calibri" w:hAnsi="Arial" w:cs="Arial"/>
          <w:b/>
          <w:bCs/>
          <w:sz w:val="20"/>
          <w:szCs w:val="20"/>
        </w:rPr>
      </w:pPr>
    </w:p>
    <w:p w:rsidR="000A3B4C" w:rsidRPr="00494806" w:rsidRDefault="000A3B4C" w:rsidP="00B24785">
      <w:pPr>
        <w:spacing w:line="240" w:lineRule="auto"/>
        <w:jc w:val="both"/>
        <w:rPr>
          <w:rFonts w:ascii="Arial" w:eastAsia="Calibri" w:hAnsi="Arial" w:cs="Arial"/>
          <w:b/>
          <w:bCs/>
          <w:sz w:val="20"/>
          <w:szCs w:val="20"/>
        </w:rPr>
      </w:pPr>
    </w:p>
    <w:p w:rsidR="007E5CA5" w:rsidRPr="00494806" w:rsidRDefault="007E5CA5" w:rsidP="00B24785">
      <w:pPr>
        <w:pStyle w:val="ListParagraph"/>
        <w:numPr>
          <w:ilvl w:val="0"/>
          <w:numId w:val="1"/>
        </w:numPr>
        <w:spacing w:line="240" w:lineRule="auto"/>
        <w:jc w:val="both"/>
        <w:rPr>
          <w:rFonts w:ascii="Arial" w:eastAsia="Calibri" w:hAnsi="Arial" w:cs="Arial"/>
          <w:b/>
          <w:bCs/>
        </w:rPr>
      </w:pPr>
      <w:r w:rsidRPr="00494806">
        <w:rPr>
          <w:rFonts w:ascii="Arial" w:eastAsia="Calibri" w:hAnsi="Arial" w:cs="Arial"/>
          <w:b/>
          <w:bCs/>
        </w:rPr>
        <w:t xml:space="preserve">Introduction </w:t>
      </w:r>
    </w:p>
    <w:p w:rsidR="00D12EF8" w:rsidRPr="00494806" w:rsidRDefault="00D12EF8" w:rsidP="00B24785">
      <w:pPr>
        <w:spacing w:line="240" w:lineRule="auto"/>
        <w:jc w:val="both"/>
        <w:rPr>
          <w:rFonts w:ascii="Arial" w:eastAsia="Calibri" w:hAnsi="Arial" w:cs="Arial"/>
          <w:sz w:val="20"/>
          <w:szCs w:val="20"/>
        </w:rPr>
      </w:pPr>
    </w:p>
    <w:p w:rsidR="00C911C6" w:rsidRDefault="00201452" w:rsidP="00B24785">
      <w:pPr>
        <w:spacing w:line="240" w:lineRule="auto"/>
        <w:jc w:val="both"/>
        <w:rPr>
          <w:rFonts w:ascii="Arial" w:eastAsia="Calibri" w:hAnsi="Arial" w:cs="Arial"/>
          <w:sz w:val="20"/>
          <w:szCs w:val="20"/>
        </w:rPr>
      </w:pPr>
      <w:r>
        <w:rPr>
          <w:rFonts w:ascii="Arial" w:eastAsia="Calibri" w:hAnsi="Arial" w:cs="Arial"/>
          <w:sz w:val="20"/>
          <w:szCs w:val="20"/>
        </w:rPr>
        <w:t>“</w:t>
      </w:r>
      <w:r w:rsidR="00D12EF8" w:rsidRPr="00494806">
        <w:rPr>
          <w:rFonts w:ascii="Arial" w:eastAsia="Calibri" w:hAnsi="Arial" w:cs="Arial"/>
          <w:sz w:val="20"/>
          <w:szCs w:val="20"/>
        </w:rPr>
        <w:t>In the past two decades, corporations have been exposed to extensive pressure from society and regulators (e.g. Carbon Disclosure Project (CDP), the Kyoto Protocol of the United Nations Framework Convention on Climate Change) for higher accountability on climate change and environmental issues</w:t>
      </w:r>
      <w:r>
        <w:rPr>
          <w:rFonts w:ascii="Arial" w:eastAsia="Calibri" w:hAnsi="Arial" w:cs="Arial"/>
          <w:sz w:val="20"/>
          <w:szCs w:val="20"/>
        </w:rPr>
        <w:t>”</w:t>
      </w:r>
      <w:r w:rsidR="005478D3" w:rsidRPr="00494806">
        <w:rPr>
          <w:rFonts w:ascii="Arial" w:eastAsia="Calibri" w:hAnsi="Arial" w:cs="Arial"/>
          <w:sz w:val="20"/>
          <w:szCs w:val="20"/>
        </w:rPr>
        <w:t xml:space="preserve"> (</w:t>
      </w:r>
      <w:proofErr w:type="spellStart"/>
      <w:r w:rsidR="005478D3" w:rsidRPr="00494806">
        <w:rPr>
          <w:rFonts w:ascii="Arial" w:eastAsia="Calibri" w:hAnsi="Arial" w:cs="Arial"/>
          <w:sz w:val="20"/>
          <w:szCs w:val="20"/>
        </w:rPr>
        <w:t>Toukabri</w:t>
      </w:r>
      <w:proofErr w:type="spellEnd"/>
      <w:r w:rsidR="005478D3" w:rsidRPr="00494806">
        <w:rPr>
          <w:rFonts w:ascii="Arial" w:eastAsia="Calibri" w:hAnsi="Arial" w:cs="Arial"/>
          <w:sz w:val="20"/>
          <w:szCs w:val="20"/>
        </w:rPr>
        <w:t xml:space="preserve">, 2024). </w:t>
      </w:r>
      <w:r>
        <w:rPr>
          <w:rFonts w:ascii="Arial" w:eastAsia="Calibri" w:hAnsi="Arial" w:cs="Arial"/>
          <w:sz w:val="20"/>
          <w:szCs w:val="20"/>
        </w:rPr>
        <w:t>“</w:t>
      </w:r>
      <w:r w:rsidR="00D12EF8" w:rsidRPr="00494806">
        <w:rPr>
          <w:rFonts w:ascii="Arial" w:eastAsia="Calibri" w:hAnsi="Arial" w:cs="Arial"/>
          <w:sz w:val="20"/>
          <w:szCs w:val="20"/>
        </w:rPr>
        <w:t>As a consequence of these worldwide calls, firms’ sensitivity and awareness of environmental issues have increased significantly. Given that firms’ reputation and existence in the market at stake</w:t>
      </w:r>
      <w:r>
        <w:rPr>
          <w:rFonts w:ascii="Arial" w:eastAsia="Calibri" w:hAnsi="Arial" w:cs="Arial"/>
          <w:sz w:val="20"/>
          <w:szCs w:val="20"/>
        </w:rPr>
        <w:t>”</w:t>
      </w:r>
      <w:r w:rsidR="00D12EF8" w:rsidRPr="00494806">
        <w:rPr>
          <w:rFonts w:ascii="Arial" w:eastAsia="Calibri" w:hAnsi="Arial" w:cs="Arial"/>
          <w:sz w:val="20"/>
          <w:szCs w:val="20"/>
        </w:rPr>
        <w:t xml:space="preserve"> (</w:t>
      </w:r>
      <w:proofErr w:type="spellStart"/>
      <w:r w:rsidR="00D12EF8" w:rsidRPr="00494806">
        <w:rPr>
          <w:rFonts w:ascii="Arial" w:eastAsia="Calibri" w:hAnsi="Arial" w:cs="Arial"/>
          <w:sz w:val="20"/>
          <w:szCs w:val="20"/>
        </w:rPr>
        <w:t>Dintimala</w:t>
      </w:r>
      <w:proofErr w:type="spellEnd"/>
      <w:r w:rsidR="00D12EF8" w:rsidRPr="00494806">
        <w:rPr>
          <w:rFonts w:ascii="Arial" w:eastAsia="Calibri" w:hAnsi="Arial" w:cs="Arial"/>
          <w:sz w:val="20"/>
          <w:szCs w:val="20"/>
        </w:rPr>
        <w:t xml:space="preserve"> </w:t>
      </w:r>
      <w:r w:rsidR="00EF7E9D" w:rsidRPr="00494806">
        <w:rPr>
          <w:rFonts w:ascii="Arial" w:eastAsia="Calibri" w:hAnsi="Arial" w:cs="Arial"/>
          <w:sz w:val="20"/>
          <w:szCs w:val="20"/>
        </w:rPr>
        <w:t>&amp;</w:t>
      </w:r>
      <w:r w:rsidR="00D12EF8" w:rsidRPr="00494806">
        <w:rPr>
          <w:rFonts w:ascii="Arial" w:eastAsia="Calibri" w:hAnsi="Arial" w:cs="Arial"/>
          <w:sz w:val="20"/>
          <w:szCs w:val="20"/>
        </w:rPr>
        <w:t xml:space="preserve"> </w:t>
      </w:r>
      <w:proofErr w:type="spellStart"/>
      <w:r w:rsidR="00D12EF8" w:rsidRPr="00494806">
        <w:rPr>
          <w:rFonts w:ascii="Arial" w:eastAsia="Calibri" w:hAnsi="Arial" w:cs="Arial"/>
          <w:sz w:val="20"/>
          <w:szCs w:val="20"/>
        </w:rPr>
        <w:t>Amril</w:t>
      </w:r>
      <w:proofErr w:type="spellEnd"/>
      <w:r w:rsidR="00D12EF8" w:rsidRPr="00494806">
        <w:rPr>
          <w:rFonts w:ascii="Arial" w:eastAsia="Calibri" w:hAnsi="Arial" w:cs="Arial"/>
          <w:sz w:val="20"/>
          <w:szCs w:val="20"/>
        </w:rPr>
        <w:t xml:space="preserve">, 2018), </w:t>
      </w:r>
      <w:r>
        <w:rPr>
          <w:rFonts w:ascii="Arial" w:eastAsia="Calibri" w:hAnsi="Arial" w:cs="Arial"/>
          <w:sz w:val="20"/>
          <w:szCs w:val="20"/>
        </w:rPr>
        <w:t>“</w:t>
      </w:r>
      <w:r w:rsidR="00D12EF8" w:rsidRPr="00494806">
        <w:rPr>
          <w:rFonts w:ascii="Arial" w:eastAsia="Calibri" w:hAnsi="Arial" w:cs="Arial"/>
          <w:sz w:val="20"/>
          <w:szCs w:val="20"/>
        </w:rPr>
        <w:t xml:space="preserve">in addition to increasing sensitivity and awareness, to provide a positive signal on the market, firms also direct their attention in communicating their environmental actions with their stakeholders. Consequently, more and more firms start with enhanced disclosures on environmental </w:t>
      </w:r>
      <w:proofErr w:type="spellStart"/>
      <w:proofErr w:type="gramStart"/>
      <w:r w:rsidR="00D12EF8" w:rsidRPr="00494806">
        <w:rPr>
          <w:rFonts w:ascii="Arial" w:eastAsia="Calibri" w:hAnsi="Arial" w:cs="Arial"/>
          <w:sz w:val="20"/>
          <w:szCs w:val="20"/>
        </w:rPr>
        <w:t>issues.</w:t>
      </w:r>
      <w:r w:rsidR="00EE6428" w:rsidRPr="00494806">
        <w:rPr>
          <w:rFonts w:ascii="Arial" w:eastAsia="Calibri" w:hAnsi="Arial" w:cs="Arial"/>
          <w:sz w:val="20"/>
          <w:szCs w:val="20"/>
        </w:rPr>
        <w:t>Environmental</w:t>
      </w:r>
      <w:proofErr w:type="spellEnd"/>
      <w:proofErr w:type="gramEnd"/>
      <w:r w:rsidR="00EE6428" w:rsidRPr="00494806">
        <w:rPr>
          <w:rFonts w:ascii="Arial" w:eastAsia="Calibri" w:hAnsi="Arial" w:cs="Arial"/>
          <w:sz w:val="20"/>
          <w:szCs w:val="20"/>
        </w:rPr>
        <w:t xml:space="preserve"> sustainability reporting is an important means of accelerating transparency and </w:t>
      </w:r>
      <w:r w:rsidR="00EE6428" w:rsidRPr="00494806">
        <w:rPr>
          <w:rFonts w:ascii="Arial" w:eastAsia="Calibri" w:hAnsi="Arial" w:cs="Arial"/>
          <w:sz w:val="20"/>
          <w:szCs w:val="20"/>
        </w:rPr>
        <w:lastRenderedPageBreak/>
        <w:t>informing stakeholders about organizations’ short- and long-term strategies and policies regarding the natural environment</w:t>
      </w:r>
      <w:r>
        <w:rPr>
          <w:rFonts w:ascii="Arial" w:eastAsia="Calibri" w:hAnsi="Arial" w:cs="Arial"/>
          <w:sz w:val="20"/>
          <w:szCs w:val="20"/>
        </w:rPr>
        <w:t>”</w:t>
      </w:r>
      <w:r w:rsidR="00EE6428" w:rsidRPr="00494806">
        <w:rPr>
          <w:rFonts w:ascii="Arial" w:eastAsia="Calibri" w:hAnsi="Arial" w:cs="Arial"/>
          <w:sz w:val="20"/>
          <w:szCs w:val="20"/>
        </w:rPr>
        <w:t xml:space="preserve"> (Perrault </w:t>
      </w:r>
      <w:r w:rsidR="00FA1E26" w:rsidRPr="00494806">
        <w:rPr>
          <w:rFonts w:ascii="Arial" w:eastAsia="Calibri" w:hAnsi="Arial" w:cs="Arial"/>
          <w:sz w:val="20"/>
          <w:szCs w:val="20"/>
        </w:rPr>
        <w:t>&amp;</w:t>
      </w:r>
      <w:r w:rsidR="00EE6428" w:rsidRPr="00494806">
        <w:rPr>
          <w:rFonts w:ascii="Arial" w:eastAsia="Calibri" w:hAnsi="Arial" w:cs="Arial"/>
          <w:sz w:val="20"/>
          <w:szCs w:val="20"/>
        </w:rPr>
        <w:t xml:space="preserve"> Clark 2016). </w:t>
      </w:r>
      <w:r>
        <w:rPr>
          <w:rFonts w:ascii="Arial" w:eastAsia="Calibri" w:hAnsi="Arial" w:cs="Arial"/>
          <w:sz w:val="20"/>
          <w:szCs w:val="20"/>
        </w:rPr>
        <w:t>“</w:t>
      </w:r>
      <w:r w:rsidR="00EE6428" w:rsidRPr="00494806">
        <w:rPr>
          <w:rFonts w:ascii="Arial" w:eastAsia="Calibri" w:hAnsi="Arial" w:cs="Arial"/>
          <w:sz w:val="20"/>
          <w:szCs w:val="20"/>
        </w:rPr>
        <w:t>It is also evident that environmental issues have become an important parameter for firms to gain a competitive business advantage and reputation</w:t>
      </w:r>
      <w:r>
        <w:rPr>
          <w:rFonts w:ascii="Arial" w:eastAsia="Calibri" w:hAnsi="Arial" w:cs="Arial"/>
          <w:sz w:val="20"/>
          <w:szCs w:val="20"/>
        </w:rPr>
        <w:t>”</w:t>
      </w:r>
      <w:r w:rsidR="00EE6428" w:rsidRPr="00494806">
        <w:rPr>
          <w:rFonts w:ascii="Arial" w:eastAsia="Calibri" w:hAnsi="Arial" w:cs="Arial"/>
          <w:sz w:val="20"/>
          <w:szCs w:val="20"/>
        </w:rPr>
        <w:t xml:space="preserve"> (</w:t>
      </w:r>
      <w:r w:rsidR="00FA1E26" w:rsidRPr="00494806">
        <w:rPr>
          <w:rFonts w:ascii="Arial" w:eastAsia="Calibri" w:hAnsi="Arial" w:cs="Arial"/>
          <w:sz w:val="20"/>
          <w:szCs w:val="20"/>
        </w:rPr>
        <w:t>Xuetong et al., 2024</w:t>
      </w:r>
      <w:r w:rsidR="00EE6428" w:rsidRPr="00494806">
        <w:rPr>
          <w:rFonts w:ascii="Arial" w:eastAsia="Calibri" w:hAnsi="Arial" w:cs="Arial"/>
          <w:sz w:val="20"/>
          <w:szCs w:val="20"/>
        </w:rPr>
        <w:t xml:space="preserve">). Further, de Villiers et al. (2011) identified </w:t>
      </w:r>
      <w:r>
        <w:rPr>
          <w:rFonts w:ascii="Arial" w:eastAsia="Calibri" w:hAnsi="Arial" w:cs="Arial"/>
          <w:sz w:val="20"/>
          <w:szCs w:val="20"/>
        </w:rPr>
        <w:t>“</w:t>
      </w:r>
      <w:r w:rsidR="00EE6428" w:rsidRPr="00494806">
        <w:rPr>
          <w:rFonts w:ascii="Arial" w:eastAsia="Calibri" w:hAnsi="Arial" w:cs="Arial"/>
          <w:sz w:val="20"/>
          <w:szCs w:val="20"/>
        </w:rPr>
        <w:t>two reasons for increased environmental sustainability performance in the last decade. First, firms with environmental sustainability are more likely to gain better economic performance. Second, environmental sustainability reporting enhances organizations’ internal and external legitimacy by implementing recognized standards, such as Global Reporting Initiative (GRI) and the ISO 26000. Moreover, corporate sustainability reporting has recently gained momentum with academics, managers, and government policymakers in three core values—economic, environmental, and societal—similar to the triple bottom line concept</w:t>
      </w:r>
      <w:r>
        <w:rPr>
          <w:rFonts w:ascii="Arial" w:eastAsia="Calibri" w:hAnsi="Arial" w:cs="Arial"/>
          <w:sz w:val="20"/>
          <w:szCs w:val="20"/>
        </w:rPr>
        <w:t>”</w:t>
      </w:r>
      <w:r w:rsidR="00EE6428" w:rsidRPr="00494806">
        <w:rPr>
          <w:rFonts w:ascii="Arial" w:eastAsia="Calibri" w:hAnsi="Arial" w:cs="Arial"/>
          <w:sz w:val="20"/>
          <w:szCs w:val="20"/>
        </w:rPr>
        <w:t xml:space="preserve"> (Elkington 1998). </w:t>
      </w:r>
      <w:r>
        <w:rPr>
          <w:rFonts w:ascii="Arial" w:eastAsia="Calibri" w:hAnsi="Arial" w:cs="Arial"/>
          <w:sz w:val="20"/>
          <w:szCs w:val="20"/>
        </w:rPr>
        <w:t>“</w:t>
      </w:r>
      <w:r w:rsidR="00EE6428" w:rsidRPr="00C911C6">
        <w:rPr>
          <w:rFonts w:ascii="Arial" w:eastAsia="Calibri" w:hAnsi="Arial" w:cs="Arial"/>
          <w:sz w:val="20"/>
          <w:szCs w:val="20"/>
          <w:highlight w:val="yellow"/>
        </w:rPr>
        <w:t xml:space="preserve">Prior researchers have argued </w:t>
      </w:r>
      <w:proofErr w:type="gramStart"/>
      <w:r w:rsidR="00EE6428" w:rsidRPr="00C911C6">
        <w:rPr>
          <w:rFonts w:ascii="Arial" w:eastAsia="Calibri" w:hAnsi="Arial" w:cs="Arial"/>
          <w:sz w:val="20"/>
          <w:szCs w:val="20"/>
          <w:highlight w:val="yellow"/>
        </w:rPr>
        <w:t xml:space="preserve">that </w:t>
      </w:r>
      <w:r w:rsidR="00725565">
        <w:rPr>
          <w:rFonts w:ascii="Arial" w:eastAsia="Calibri" w:hAnsi="Arial" w:cs="Arial"/>
          <w:sz w:val="20"/>
          <w:szCs w:val="20"/>
          <w:highlight w:val="yellow"/>
        </w:rPr>
        <w:t xml:space="preserve"> corporate</w:t>
      </w:r>
      <w:proofErr w:type="gramEnd"/>
      <w:r w:rsidR="00725565">
        <w:rPr>
          <w:rFonts w:ascii="Arial" w:eastAsia="Calibri" w:hAnsi="Arial" w:cs="Arial"/>
          <w:sz w:val="20"/>
          <w:szCs w:val="20"/>
          <w:highlight w:val="yellow"/>
        </w:rPr>
        <w:t xml:space="preserve"> </w:t>
      </w:r>
      <w:r w:rsidR="00EE6428" w:rsidRPr="00C911C6">
        <w:rPr>
          <w:rFonts w:ascii="Arial" w:eastAsia="Calibri" w:hAnsi="Arial" w:cs="Arial"/>
          <w:sz w:val="20"/>
          <w:szCs w:val="20"/>
          <w:highlight w:val="yellow"/>
        </w:rPr>
        <w:t xml:space="preserve">social and environmental information </w:t>
      </w:r>
      <w:r w:rsidR="00725565">
        <w:rPr>
          <w:rFonts w:ascii="Arial" w:eastAsia="Calibri" w:hAnsi="Arial" w:cs="Arial"/>
          <w:sz w:val="20"/>
          <w:szCs w:val="20"/>
          <w:highlight w:val="yellow"/>
        </w:rPr>
        <w:t>practices</w:t>
      </w:r>
      <w:r w:rsidR="00EE6428" w:rsidRPr="00C911C6">
        <w:rPr>
          <w:rFonts w:ascii="Arial" w:eastAsia="Calibri" w:hAnsi="Arial" w:cs="Arial"/>
          <w:sz w:val="20"/>
          <w:szCs w:val="20"/>
          <w:highlight w:val="yellow"/>
        </w:rPr>
        <w:t xml:space="preserve"> not only</w:t>
      </w:r>
      <w:r w:rsidR="00725565">
        <w:rPr>
          <w:rFonts w:ascii="Arial" w:eastAsia="Calibri" w:hAnsi="Arial" w:cs="Arial"/>
          <w:sz w:val="20"/>
          <w:szCs w:val="20"/>
          <w:highlight w:val="yellow"/>
        </w:rPr>
        <w:t xml:space="preserve"> enhance an</w:t>
      </w:r>
      <w:r w:rsidR="00EE6428" w:rsidRPr="00C911C6">
        <w:rPr>
          <w:rFonts w:ascii="Arial" w:eastAsia="Calibri" w:hAnsi="Arial" w:cs="Arial"/>
          <w:sz w:val="20"/>
          <w:szCs w:val="20"/>
          <w:highlight w:val="yellow"/>
        </w:rPr>
        <w:t xml:space="preserve"> organizations’ reputations</w:t>
      </w:r>
      <w:r w:rsidR="00EE6428" w:rsidRPr="00494806">
        <w:rPr>
          <w:rFonts w:ascii="Arial" w:eastAsia="Calibri" w:hAnsi="Arial" w:cs="Arial"/>
          <w:sz w:val="20"/>
          <w:szCs w:val="20"/>
        </w:rPr>
        <w:t xml:space="preserve"> and management’s decision-making capacity regarding environmental policies and strategies, but also their visibility to diverse stakeholders regarding pollution, energy conversion, human rights, and community development issues</w:t>
      </w:r>
      <w:r>
        <w:rPr>
          <w:rFonts w:ascii="Arial" w:eastAsia="Calibri" w:hAnsi="Arial" w:cs="Arial"/>
          <w:sz w:val="20"/>
          <w:szCs w:val="20"/>
        </w:rPr>
        <w:t>”</w:t>
      </w:r>
      <w:r w:rsidR="00EE6428" w:rsidRPr="00494806">
        <w:rPr>
          <w:rFonts w:ascii="Arial" w:eastAsia="Calibri" w:hAnsi="Arial" w:cs="Arial"/>
          <w:sz w:val="20"/>
          <w:szCs w:val="20"/>
        </w:rPr>
        <w:t xml:space="preserve"> (Perrault and Clark 2016; de Villiers et al. 2011; Comyns 2016</w:t>
      </w:r>
      <w:r w:rsidR="00C911C6">
        <w:rPr>
          <w:rFonts w:ascii="Arial" w:eastAsia="Calibri" w:hAnsi="Arial" w:cs="Arial"/>
          <w:sz w:val="20"/>
          <w:szCs w:val="20"/>
        </w:rPr>
        <w:t xml:space="preserve">; </w:t>
      </w:r>
      <w:r w:rsidR="00C911C6" w:rsidRPr="00C911C6">
        <w:rPr>
          <w:rFonts w:ascii="Arial" w:eastAsia="Calibri" w:hAnsi="Arial" w:cs="Arial"/>
          <w:sz w:val="20"/>
          <w:szCs w:val="20"/>
          <w:highlight w:val="yellow"/>
        </w:rPr>
        <w:t>Barbosa et al., 2025).</w:t>
      </w:r>
    </w:p>
    <w:p w:rsidR="00EE6428" w:rsidRPr="00494806" w:rsidRDefault="00201452" w:rsidP="00B24785">
      <w:pPr>
        <w:spacing w:line="240" w:lineRule="auto"/>
        <w:jc w:val="both"/>
        <w:rPr>
          <w:rFonts w:ascii="Arial" w:eastAsia="Calibri" w:hAnsi="Arial" w:cs="Arial"/>
          <w:sz w:val="20"/>
          <w:szCs w:val="20"/>
        </w:rPr>
      </w:pPr>
      <w:r>
        <w:rPr>
          <w:rFonts w:ascii="Arial" w:eastAsia="Calibri" w:hAnsi="Arial" w:cs="Arial"/>
          <w:sz w:val="20"/>
          <w:szCs w:val="20"/>
        </w:rPr>
        <w:t>“</w:t>
      </w:r>
      <w:r w:rsidR="00EE6428" w:rsidRPr="00494806">
        <w:rPr>
          <w:rFonts w:ascii="Arial" w:eastAsia="Calibri" w:hAnsi="Arial" w:cs="Arial"/>
          <w:sz w:val="20"/>
          <w:szCs w:val="20"/>
        </w:rPr>
        <w:t>Agency theory suggests that increased ESRP practices reduce the agency problem between managers and foreign shareholders, as they hold a high proportion of shares and possess different values and knowledge</w:t>
      </w:r>
      <w:r>
        <w:rPr>
          <w:rFonts w:ascii="Arial" w:eastAsia="Calibri" w:hAnsi="Arial" w:cs="Arial"/>
          <w:sz w:val="20"/>
          <w:szCs w:val="20"/>
        </w:rPr>
        <w:t>”</w:t>
      </w:r>
      <w:r w:rsidR="00EE6428" w:rsidRPr="00494806">
        <w:rPr>
          <w:rFonts w:ascii="Arial" w:eastAsia="Calibri" w:hAnsi="Arial" w:cs="Arial"/>
          <w:sz w:val="20"/>
          <w:szCs w:val="20"/>
        </w:rPr>
        <w:t xml:space="preserve"> (Jensen and Meckling 1976; </w:t>
      </w:r>
      <w:proofErr w:type="spellStart"/>
      <w:r w:rsidR="00EE6428" w:rsidRPr="00494806">
        <w:rPr>
          <w:rFonts w:ascii="Arial" w:eastAsia="Calibri" w:hAnsi="Arial" w:cs="Arial"/>
          <w:sz w:val="20"/>
          <w:szCs w:val="20"/>
        </w:rPr>
        <w:t>Harjoto</w:t>
      </w:r>
      <w:proofErr w:type="spellEnd"/>
      <w:r w:rsidR="00EE6428" w:rsidRPr="00494806">
        <w:rPr>
          <w:rFonts w:ascii="Arial" w:eastAsia="Calibri" w:hAnsi="Arial" w:cs="Arial"/>
          <w:sz w:val="20"/>
          <w:szCs w:val="20"/>
        </w:rPr>
        <w:t xml:space="preserve"> and Jo 2011; Khan et al. 2013; Oh et al. 2011). </w:t>
      </w:r>
      <w:r>
        <w:rPr>
          <w:rFonts w:ascii="Arial" w:eastAsia="Calibri" w:hAnsi="Arial" w:cs="Arial"/>
          <w:sz w:val="20"/>
          <w:szCs w:val="20"/>
        </w:rPr>
        <w:t>“</w:t>
      </w:r>
      <w:r w:rsidR="00EE6428" w:rsidRPr="00494806">
        <w:rPr>
          <w:rFonts w:ascii="Arial" w:eastAsia="Calibri" w:hAnsi="Arial" w:cs="Arial"/>
          <w:sz w:val="20"/>
          <w:szCs w:val="20"/>
        </w:rPr>
        <w:t>The resource dependency theory also posits that foreign shareowners with diversified experience form different cultures to play pivotal roles in nominating board representatives, and thus, require more information disclosure</w:t>
      </w:r>
      <w:r>
        <w:rPr>
          <w:rFonts w:ascii="Arial" w:eastAsia="Calibri" w:hAnsi="Arial" w:cs="Arial"/>
          <w:sz w:val="20"/>
          <w:szCs w:val="20"/>
        </w:rPr>
        <w:t>”</w:t>
      </w:r>
      <w:r w:rsidR="00EE6428" w:rsidRPr="00494806">
        <w:rPr>
          <w:rFonts w:ascii="Arial" w:eastAsia="Calibri" w:hAnsi="Arial" w:cs="Arial"/>
          <w:sz w:val="20"/>
          <w:szCs w:val="20"/>
        </w:rPr>
        <w:t xml:space="preserve"> (Khan et al. 2013; Oh et al. 2011). </w:t>
      </w:r>
      <w:r>
        <w:rPr>
          <w:rFonts w:ascii="Arial" w:eastAsia="Calibri" w:hAnsi="Arial" w:cs="Arial"/>
          <w:sz w:val="20"/>
          <w:szCs w:val="20"/>
        </w:rPr>
        <w:t>“</w:t>
      </w:r>
      <w:r w:rsidR="00EE6428" w:rsidRPr="00494806">
        <w:rPr>
          <w:rFonts w:ascii="Arial" w:eastAsia="Calibri" w:hAnsi="Arial" w:cs="Arial"/>
          <w:sz w:val="20"/>
          <w:szCs w:val="20"/>
        </w:rPr>
        <w:t>As an influential group of diverse shareholder groups, foreign investors also act as company watchdogs and maintain relationships with national and international environmental activist groups. Moreover, home (or foreign) countries’ legal and ethical regulations also influence their legitimization with foreign (or home) countries’ social values and expectations</w:t>
      </w:r>
      <w:r>
        <w:rPr>
          <w:rFonts w:ascii="Arial" w:eastAsia="Calibri" w:hAnsi="Arial" w:cs="Arial"/>
          <w:sz w:val="20"/>
          <w:szCs w:val="20"/>
        </w:rPr>
        <w:t>”</w:t>
      </w:r>
      <w:r w:rsidR="00EE6428" w:rsidRPr="00494806">
        <w:rPr>
          <w:rFonts w:ascii="Arial" w:eastAsia="Calibri" w:hAnsi="Arial" w:cs="Arial"/>
          <w:sz w:val="20"/>
          <w:szCs w:val="20"/>
        </w:rPr>
        <w:t xml:space="preserve"> (Faller </w:t>
      </w:r>
      <w:r w:rsidR="00B24785" w:rsidRPr="00494806">
        <w:rPr>
          <w:rFonts w:ascii="Arial" w:eastAsia="Calibri" w:hAnsi="Arial" w:cs="Arial"/>
          <w:sz w:val="20"/>
          <w:szCs w:val="20"/>
        </w:rPr>
        <w:t>&amp;</w:t>
      </w:r>
      <w:r w:rsidR="00EE6428" w:rsidRPr="00494806">
        <w:rPr>
          <w:rFonts w:ascii="Arial" w:eastAsia="Calibri" w:hAnsi="Arial" w:cs="Arial"/>
          <w:sz w:val="20"/>
          <w:szCs w:val="20"/>
        </w:rPr>
        <w:t xml:space="preserve"> Zu </w:t>
      </w:r>
      <w:proofErr w:type="spellStart"/>
      <w:r w:rsidR="00EE6428" w:rsidRPr="00494806">
        <w:rPr>
          <w:rFonts w:ascii="Arial" w:eastAsia="Calibri" w:hAnsi="Arial" w:cs="Arial"/>
          <w:sz w:val="20"/>
          <w:szCs w:val="20"/>
        </w:rPr>
        <w:t>Knyphausen-Aufseß</w:t>
      </w:r>
      <w:proofErr w:type="spellEnd"/>
      <w:r w:rsidR="00EE6428" w:rsidRPr="00494806">
        <w:rPr>
          <w:rFonts w:ascii="Arial" w:eastAsia="Calibri" w:hAnsi="Arial" w:cs="Arial"/>
          <w:sz w:val="20"/>
          <w:szCs w:val="20"/>
        </w:rPr>
        <w:t xml:space="preserve"> 2016). </w:t>
      </w:r>
      <w:r>
        <w:rPr>
          <w:rFonts w:ascii="Arial" w:eastAsia="Calibri" w:hAnsi="Arial" w:cs="Arial"/>
          <w:sz w:val="20"/>
          <w:szCs w:val="20"/>
        </w:rPr>
        <w:t>“</w:t>
      </w:r>
      <w:r w:rsidR="00EE6428" w:rsidRPr="00494806">
        <w:rPr>
          <w:rFonts w:ascii="Arial" w:eastAsia="Calibri" w:hAnsi="Arial" w:cs="Arial"/>
          <w:sz w:val="20"/>
          <w:szCs w:val="20"/>
        </w:rPr>
        <w:t>Additionally, foreign investors concerned with environmental issues will influence domestic companies’ management to comply with environmental regulations and disclose more ESRP information to minimize political costs</w:t>
      </w:r>
      <w:r>
        <w:rPr>
          <w:rFonts w:ascii="Arial" w:eastAsia="Calibri" w:hAnsi="Arial" w:cs="Arial"/>
          <w:sz w:val="20"/>
          <w:szCs w:val="20"/>
        </w:rPr>
        <w:t>”</w:t>
      </w:r>
      <w:r w:rsidR="00EE6428" w:rsidRPr="00494806">
        <w:rPr>
          <w:rFonts w:ascii="Arial" w:eastAsia="Calibri" w:hAnsi="Arial" w:cs="Arial"/>
          <w:sz w:val="20"/>
          <w:szCs w:val="20"/>
        </w:rPr>
        <w:t xml:space="preserve"> (</w:t>
      </w:r>
      <w:proofErr w:type="spellStart"/>
      <w:r w:rsidR="00EE6428" w:rsidRPr="00494806">
        <w:rPr>
          <w:rFonts w:ascii="Arial" w:eastAsia="Calibri" w:hAnsi="Arial" w:cs="Arial"/>
          <w:sz w:val="20"/>
          <w:szCs w:val="20"/>
        </w:rPr>
        <w:t>Gamerschlag</w:t>
      </w:r>
      <w:proofErr w:type="spellEnd"/>
      <w:r w:rsidR="00EE6428" w:rsidRPr="00494806">
        <w:rPr>
          <w:rFonts w:ascii="Arial" w:eastAsia="Calibri" w:hAnsi="Arial" w:cs="Arial"/>
          <w:sz w:val="20"/>
          <w:szCs w:val="20"/>
        </w:rPr>
        <w:t xml:space="preserve"> et al. 2011; Delgado-Márquez et al. 2016). </w:t>
      </w:r>
      <w:r>
        <w:rPr>
          <w:rFonts w:ascii="Arial" w:eastAsia="Calibri" w:hAnsi="Arial" w:cs="Arial"/>
          <w:sz w:val="20"/>
          <w:szCs w:val="20"/>
        </w:rPr>
        <w:t>“</w:t>
      </w:r>
      <w:r w:rsidR="00EE6428" w:rsidRPr="00494806">
        <w:rPr>
          <w:rFonts w:ascii="Arial" w:eastAsia="Calibri" w:hAnsi="Arial" w:cs="Arial"/>
          <w:sz w:val="20"/>
          <w:szCs w:val="20"/>
        </w:rPr>
        <w:t>Prior researchers have also discovered a positive, significant relationship between foreign ownership and disclosure</w:t>
      </w:r>
      <w:r>
        <w:rPr>
          <w:rFonts w:ascii="Arial" w:eastAsia="Calibri" w:hAnsi="Arial" w:cs="Arial"/>
          <w:sz w:val="20"/>
          <w:szCs w:val="20"/>
        </w:rPr>
        <w:t>”</w:t>
      </w:r>
      <w:r w:rsidR="00EE6428" w:rsidRPr="00494806">
        <w:rPr>
          <w:rFonts w:ascii="Arial" w:eastAsia="Calibri" w:hAnsi="Arial" w:cs="Arial"/>
          <w:sz w:val="20"/>
          <w:szCs w:val="20"/>
        </w:rPr>
        <w:t xml:space="preserve"> (</w:t>
      </w:r>
      <w:r w:rsidR="003B6CF6" w:rsidRPr="00494806">
        <w:rPr>
          <w:rFonts w:ascii="Arial" w:eastAsia="Calibri" w:hAnsi="Arial" w:cs="Arial"/>
          <w:sz w:val="20"/>
          <w:szCs w:val="20"/>
        </w:rPr>
        <w:t xml:space="preserve">Al </w:t>
      </w:r>
      <w:proofErr w:type="spellStart"/>
      <w:r w:rsidR="003B6CF6" w:rsidRPr="00494806">
        <w:rPr>
          <w:rFonts w:ascii="Arial" w:eastAsia="Calibri" w:hAnsi="Arial" w:cs="Arial"/>
          <w:sz w:val="20"/>
          <w:szCs w:val="20"/>
        </w:rPr>
        <w:t>Amosh</w:t>
      </w:r>
      <w:proofErr w:type="spellEnd"/>
      <w:r w:rsidR="003B6CF6" w:rsidRPr="00494806">
        <w:rPr>
          <w:rFonts w:ascii="Arial" w:eastAsia="Calibri" w:hAnsi="Arial" w:cs="Arial"/>
          <w:sz w:val="20"/>
          <w:szCs w:val="20"/>
        </w:rPr>
        <w:t xml:space="preserve"> &amp; Khatib, 2022</w:t>
      </w:r>
      <w:proofErr w:type="gramStart"/>
      <w:r w:rsidR="003B6CF6" w:rsidRPr="00494806">
        <w:rPr>
          <w:rFonts w:ascii="Arial" w:eastAsia="Calibri" w:hAnsi="Arial" w:cs="Arial"/>
          <w:sz w:val="20"/>
          <w:szCs w:val="20"/>
        </w:rPr>
        <w:t>).</w:t>
      </w:r>
      <w:r w:rsidR="00EE6428" w:rsidRPr="00494806">
        <w:rPr>
          <w:rFonts w:ascii="Arial" w:eastAsia="Calibri" w:hAnsi="Arial" w:cs="Arial"/>
          <w:sz w:val="20"/>
          <w:szCs w:val="20"/>
        </w:rPr>
        <w:t>.</w:t>
      </w:r>
      <w:proofErr w:type="gramEnd"/>
      <w:r w:rsidR="00EE6428" w:rsidRPr="00494806">
        <w:rPr>
          <w:rFonts w:ascii="Arial" w:eastAsia="Calibri" w:hAnsi="Arial" w:cs="Arial"/>
          <w:sz w:val="20"/>
          <w:szCs w:val="20"/>
        </w:rPr>
        <w:t xml:space="preserve"> Further, Khan et al. (2013) and Khan (2010) discovered a positive relationship between foreign ownership and the CSR disclosure of listed companies in Bangladesh, and concluded that foreign owners are more proactive in their CSR disclosure and the study is consistent to Ganapathy and Kabra 2017 (India). </w:t>
      </w:r>
      <w:r>
        <w:rPr>
          <w:rFonts w:ascii="Arial" w:eastAsia="Calibri" w:hAnsi="Arial" w:cs="Arial"/>
          <w:sz w:val="20"/>
          <w:szCs w:val="20"/>
        </w:rPr>
        <w:t>“</w:t>
      </w:r>
      <w:r w:rsidR="00EE6428" w:rsidRPr="00494806">
        <w:rPr>
          <w:rFonts w:ascii="Arial" w:eastAsia="Calibri" w:hAnsi="Arial" w:cs="Arial"/>
          <w:sz w:val="20"/>
          <w:szCs w:val="20"/>
        </w:rPr>
        <w:t xml:space="preserve">Prior literature indicates that foreign investors can force domestic companies to establish and maintain transparent, strong corporate governance codes of conducts, and push them to disclose </w:t>
      </w:r>
      <w:r w:rsidR="001641A0" w:rsidRPr="00494806">
        <w:rPr>
          <w:rFonts w:ascii="Arial" w:eastAsia="Calibri" w:hAnsi="Arial" w:cs="Arial"/>
          <w:sz w:val="20"/>
          <w:szCs w:val="20"/>
        </w:rPr>
        <w:t>environmental</w:t>
      </w:r>
      <w:r w:rsidR="00EE6428" w:rsidRPr="00494806">
        <w:rPr>
          <w:rFonts w:ascii="Arial" w:eastAsia="Calibri" w:hAnsi="Arial" w:cs="Arial"/>
          <w:sz w:val="20"/>
          <w:szCs w:val="20"/>
        </w:rPr>
        <w:t xml:space="preserve"> information</w:t>
      </w:r>
      <w:r>
        <w:rPr>
          <w:rFonts w:ascii="Arial" w:eastAsia="Calibri" w:hAnsi="Arial" w:cs="Arial"/>
          <w:sz w:val="20"/>
          <w:szCs w:val="20"/>
        </w:rPr>
        <w:t>”</w:t>
      </w:r>
      <w:r w:rsidR="00EE6428" w:rsidRPr="00494806">
        <w:rPr>
          <w:rFonts w:ascii="Arial" w:eastAsia="Calibri" w:hAnsi="Arial" w:cs="Arial"/>
          <w:sz w:val="20"/>
          <w:szCs w:val="20"/>
        </w:rPr>
        <w:t xml:space="preserve"> (</w:t>
      </w:r>
      <w:r w:rsidR="001641A0" w:rsidRPr="00494806">
        <w:rPr>
          <w:rFonts w:ascii="Arial" w:eastAsia="Calibri" w:hAnsi="Arial" w:cs="Arial"/>
          <w:sz w:val="20"/>
          <w:szCs w:val="20"/>
        </w:rPr>
        <w:t>Fan et al, 2024</w:t>
      </w:r>
      <w:r w:rsidR="00EE6428" w:rsidRPr="00494806">
        <w:rPr>
          <w:rFonts w:ascii="Arial" w:eastAsia="Calibri" w:hAnsi="Arial" w:cs="Arial"/>
          <w:sz w:val="20"/>
          <w:szCs w:val="20"/>
        </w:rPr>
        <w:t xml:space="preserve">). </w:t>
      </w:r>
      <w:r>
        <w:rPr>
          <w:rFonts w:ascii="Arial" w:eastAsia="Calibri" w:hAnsi="Arial" w:cs="Arial"/>
          <w:sz w:val="20"/>
          <w:szCs w:val="20"/>
        </w:rPr>
        <w:t>“</w:t>
      </w:r>
      <w:r w:rsidR="00EE6428" w:rsidRPr="00494806">
        <w:rPr>
          <w:rFonts w:ascii="Arial" w:eastAsia="Calibri" w:hAnsi="Arial" w:cs="Arial"/>
          <w:sz w:val="20"/>
          <w:szCs w:val="20"/>
        </w:rPr>
        <w:t>Moreover, prior literature also documents that foreign investors compel management to invest in socially responsible projects and disclose all related environmental information to avoid the risk of losing—or to attain—profit maximization</w:t>
      </w:r>
      <w:r>
        <w:rPr>
          <w:rFonts w:ascii="Arial" w:eastAsia="Calibri" w:hAnsi="Arial" w:cs="Arial"/>
          <w:sz w:val="20"/>
          <w:szCs w:val="20"/>
        </w:rPr>
        <w:t>”</w:t>
      </w:r>
      <w:r w:rsidR="00EE6428" w:rsidRPr="00494806">
        <w:rPr>
          <w:rFonts w:ascii="Arial" w:eastAsia="Calibri" w:hAnsi="Arial" w:cs="Arial"/>
          <w:sz w:val="20"/>
          <w:szCs w:val="20"/>
        </w:rPr>
        <w:t xml:space="preserve"> (</w:t>
      </w:r>
      <w:r w:rsidR="00205118" w:rsidRPr="00494806">
        <w:rPr>
          <w:rFonts w:ascii="Arial" w:eastAsia="Calibri" w:hAnsi="Arial" w:cs="Arial"/>
          <w:sz w:val="20"/>
          <w:szCs w:val="20"/>
        </w:rPr>
        <w:t>Das et al., 2024</w:t>
      </w:r>
      <w:r w:rsidR="00EB538A">
        <w:rPr>
          <w:rFonts w:ascii="Arial" w:eastAsia="Calibri" w:hAnsi="Arial" w:cs="Arial"/>
          <w:sz w:val="20"/>
          <w:szCs w:val="20"/>
        </w:rPr>
        <w:t>;</w:t>
      </w:r>
      <w:r w:rsidR="00EB538A" w:rsidRPr="00EB538A">
        <w:t xml:space="preserve"> </w:t>
      </w:r>
      <w:r w:rsidR="00EB538A" w:rsidRPr="00EB538A">
        <w:rPr>
          <w:rFonts w:ascii="Arial" w:eastAsia="Calibri" w:hAnsi="Arial" w:cs="Arial"/>
          <w:sz w:val="20"/>
          <w:szCs w:val="20"/>
        </w:rPr>
        <w:t>Masud et al. 2018</w:t>
      </w:r>
      <w:r w:rsidR="00EE6428" w:rsidRPr="00494806">
        <w:rPr>
          <w:rFonts w:ascii="Arial" w:eastAsia="Calibri" w:hAnsi="Arial" w:cs="Arial"/>
          <w:sz w:val="20"/>
          <w:szCs w:val="20"/>
        </w:rPr>
        <w:t>).</w:t>
      </w:r>
    </w:p>
    <w:p w:rsidR="007E5CA5" w:rsidRPr="00494806" w:rsidRDefault="00201452" w:rsidP="00B24785">
      <w:pPr>
        <w:spacing w:line="240" w:lineRule="auto"/>
        <w:jc w:val="both"/>
        <w:rPr>
          <w:rFonts w:ascii="Arial" w:eastAsia="Calibri" w:hAnsi="Arial" w:cs="Arial"/>
          <w:sz w:val="20"/>
          <w:szCs w:val="20"/>
        </w:rPr>
      </w:pPr>
      <w:r>
        <w:rPr>
          <w:rFonts w:ascii="Arial" w:eastAsia="Calibri" w:hAnsi="Arial" w:cs="Arial"/>
          <w:sz w:val="20"/>
          <w:szCs w:val="20"/>
        </w:rPr>
        <w:t>“</w:t>
      </w:r>
      <w:r w:rsidR="007E5CA5" w:rsidRPr="00494806">
        <w:rPr>
          <w:rFonts w:ascii="Arial" w:eastAsia="Calibri" w:hAnsi="Arial" w:cs="Arial"/>
          <w:sz w:val="20"/>
          <w:szCs w:val="20"/>
        </w:rPr>
        <w:t>Broad research has been conducted in the environmental sustainability reporting field due to the continuing magnitude of environmental problems and an emphasis on the triple bottom line approach to business management</w:t>
      </w:r>
      <w:r>
        <w:rPr>
          <w:rFonts w:ascii="Arial" w:eastAsia="Calibri" w:hAnsi="Arial" w:cs="Arial"/>
          <w:sz w:val="20"/>
          <w:szCs w:val="20"/>
        </w:rPr>
        <w:t>”</w:t>
      </w:r>
      <w:r w:rsidR="007E5CA5" w:rsidRPr="00494806">
        <w:rPr>
          <w:rFonts w:ascii="Arial" w:eastAsia="Calibri" w:hAnsi="Arial" w:cs="Arial"/>
          <w:sz w:val="20"/>
          <w:szCs w:val="20"/>
        </w:rPr>
        <w:t xml:space="preserve"> (</w:t>
      </w:r>
      <w:r w:rsidR="00EF7E9D" w:rsidRPr="00494806">
        <w:rPr>
          <w:rFonts w:ascii="Arial" w:eastAsia="Calibri" w:hAnsi="Arial" w:cs="Arial"/>
          <w:sz w:val="20"/>
          <w:szCs w:val="20"/>
        </w:rPr>
        <w:t xml:space="preserve">Barker, 2025; </w:t>
      </w:r>
      <w:r w:rsidR="00EF7E9D" w:rsidRPr="00494806">
        <w:rPr>
          <w:rFonts w:ascii="Arial" w:hAnsi="Arial" w:cs="Arial"/>
          <w:sz w:val="20"/>
          <w:szCs w:val="20"/>
        </w:rPr>
        <w:t>Githaiga, 2025; Mol et al., 2025</w:t>
      </w:r>
      <w:r w:rsidR="00EF7E9D" w:rsidRPr="00494806">
        <w:rPr>
          <w:rFonts w:ascii="Arial" w:eastAsia="Calibri" w:hAnsi="Arial" w:cs="Arial"/>
          <w:sz w:val="20"/>
          <w:szCs w:val="20"/>
        </w:rPr>
        <w:t>)</w:t>
      </w:r>
      <w:r w:rsidR="007E5CA5" w:rsidRPr="00494806">
        <w:rPr>
          <w:rFonts w:ascii="Arial" w:eastAsia="Calibri" w:hAnsi="Arial" w:cs="Arial"/>
          <w:sz w:val="20"/>
          <w:szCs w:val="20"/>
        </w:rPr>
        <w:t xml:space="preserve">. </w:t>
      </w:r>
      <w:r>
        <w:rPr>
          <w:rFonts w:ascii="Arial" w:eastAsia="Calibri" w:hAnsi="Arial" w:cs="Arial"/>
          <w:sz w:val="20"/>
          <w:szCs w:val="20"/>
        </w:rPr>
        <w:t>“</w:t>
      </w:r>
      <w:r w:rsidR="007E5CA5" w:rsidRPr="00494806">
        <w:rPr>
          <w:rFonts w:ascii="Arial" w:eastAsia="Calibri" w:hAnsi="Arial" w:cs="Arial"/>
          <w:sz w:val="20"/>
          <w:szCs w:val="20"/>
        </w:rPr>
        <w:t xml:space="preserve">To date, the associations between environmental sustainability and </w:t>
      </w:r>
      <w:r w:rsidR="00EF7E9D" w:rsidRPr="00494806">
        <w:rPr>
          <w:rFonts w:ascii="Arial" w:eastAsia="Calibri" w:hAnsi="Arial" w:cs="Arial"/>
          <w:sz w:val="20"/>
          <w:szCs w:val="20"/>
        </w:rPr>
        <w:t>ownership structure</w:t>
      </w:r>
      <w:r w:rsidR="007E5CA5" w:rsidRPr="00494806">
        <w:rPr>
          <w:rFonts w:ascii="Arial" w:eastAsia="Calibri" w:hAnsi="Arial" w:cs="Arial"/>
          <w:sz w:val="20"/>
          <w:szCs w:val="20"/>
        </w:rPr>
        <w:t xml:space="preserve"> have been empirically analyzed as to developed countries such as Australia, the United Kingdom, Canada, the United States, and other European countries</w:t>
      </w:r>
      <w:r>
        <w:rPr>
          <w:rFonts w:ascii="Arial" w:eastAsia="Calibri" w:hAnsi="Arial" w:cs="Arial"/>
          <w:sz w:val="20"/>
          <w:szCs w:val="20"/>
        </w:rPr>
        <w:t>”</w:t>
      </w:r>
      <w:r w:rsidR="007E5CA5" w:rsidRPr="00494806">
        <w:rPr>
          <w:rFonts w:ascii="Arial" w:eastAsia="Calibri" w:hAnsi="Arial" w:cs="Arial"/>
          <w:sz w:val="20"/>
          <w:szCs w:val="20"/>
        </w:rPr>
        <w:t xml:space="preserve"> </w:t>
      </w:r>
      <w:proofErr w:type="gramStart"/>
      <w:r w:rsidR="00EF7E9D" w:rsidRPr="00494806">
        <w:rPr>
          <w:rFonts w:ascii="Arial" w:eastAsia="Calibri" w:hAnsi="Arial" w:cs="Arial"/>
          <w:sz w:val="20"/>
          <w:szCs w:val="20"/>
        </w:rPr>
        <w:t xml:space="preserve">( </w:t>
      </w:r>
      <w:r w:rsidR="007E5CA5" w:rsidRPr="00494806">
        <w:rPr>
          <w:rFonts w:ascii="Arial" w:eastAsia="Calibri" w:hAnsi="Arial" w:cs="Arial"/>
          <w:sz w:val="20"/>
          <w:szCs w:val="20"/>
        </w:rPr>
        <w:t>Perrault</w:t>
      </w:r>
      <w:proofErr w:type="gramEnd"/>
      <w:r w:rsidR="007E5CA5" w:rsidRPr="00494806">
        <w:rPr>
          <w:rFonts w:ascii="Arial" w:eastAsia="Calibri" w:hAnsi="Arial" w:cs="Arial"/>
          <w:sz w:val="20"/>
          <w:szCs w:val="20"/>
        </w:rPr>
        <w:t xml:space="preserve"> </w:t>
      </w:r>
      <w:r w:rsidR="00EF7E9D" w:rsidRPr="00494806">
        <w:rPr>
          <w:rFonts w:ascii="Arial" w:eastAsia="Calibri" w:hAnsi="Arial" w:cs="Arial"/>
          <w:sz w:val="20"/>
          <w:szCs w:val="20"/>
        </w:rPr>
        <w:t>&amp;</w:t>
      </w:r>
      <w:r w:rsidR="007E5CA5" w:rsidRPr="00494806">
        <w:rPr>
          <w:rFonts w:ascii="Arial" w:eastAsia="Calibri" w:hAnsi="Arial" w:cs="Arial"/>
          <w:sz w:val="20"/>
          <w:szCs w:val="20"/>
        </w:rPr>
        <w:t xml:space="preserve"> Clark 2016; Delgado-Márquez et al. 2016). </w:t>
      </w:r>
      <w:r>
        <w:rPr>
          <w:rFonts w:ascii="Arial" w:eastAsia="Calibri" w:hAnsi="Arial" w:cs="Arial"/>
          <w:sz w:val="20"/>
          <w:szCs w:val="20"/>
        </w:rPr>
        <w:t>“</w:t>
      </w:r>
      <w:r w:rsidR="007E5CA5" w:rsidRPr="00494806">
        <w:rPr>
          <w:rFonts w:ascii="Arial" w:eastAsia="Calibri" w:hAnsi="Arial" w:cs="Arial"/>
          <w:sz w:val="20"/>
          <w:szCs w:val="20"/>
        </w:rPr>
        <w:t>However, developing countries linger far behind</w:t>
      </w:r>
      <w:r w:rsidR="007E5CA5" w:rsidRPr="00494806">
        <w:rPr>
          <w:rFonts w:ascii="Arial" w:hAnsi="Arial" w:cs="Arial"/>
          <w:sz w:val="20"/>
          <w:szCs w:val="20"/>
        </w:rPr>
        <w:t xml:space="preserve"> </w:t>
      </w:r>
      <w:r w:rsidR="007E5CA5" w:rsidRPr="00494806">
        <w:rPr>
          <w:rFonts w:ascii="Arial" w:eastAsia="Calibri" w:hAnsi="Arial" w:cs="Arial"/>
          <w:sz w:val="20"/>
          <w:szCs w:val="20"/>
        </w:rPr>
        <w:t>his research, and especially in the EAC region</w:t>
      </w:r>
      <w:r>
        <w:rPr>
          <w:rFonts w:ascii="Arial" w:eastAsia="Calibri" w:hAnsi="Arial" w:cs="Arial"/>
          <w:sz w:val="20"/>
          <w:szCs w:val="20"/>
        </w:rPr>
        <w:t>”</w:t>
      </w:r>
      <w:r w:rsidR="00EF7E9D" w:rsidRPr="00494806">
        <w:rPr>
          <w:rFonts w:ascii="Arial" w:eastAsia="Calibri" w:hAnsi="Arial" w:cs="Arial"/>
          <w:sz w:val="20"/>
          <w:szCs w:val="20"/>
        </w:rPr>
        <w:t xml:space="preserve"> (</w:t>
      </w:r>
      <w:r w:rsidR="00EF7E9D" w:rsidRPr="00494806">
        <w:rPr>
          <w:rFonts w:ascii="Arial" w:hAnsi="Arial" w:cs="Arial"/>
          <w:sz w:val="20"/>
          <w:szCs w:val="20"/>
        </w:rPr>
        <w:t>Githaiga &amp; Kosgei, 2023).</w:t>
      </w:r>
      <w:r w:rsidR="006D207C" w:rsidRPr="00494806">
        <w:rPr>
          <w:rFonts w:ascii="Arial" w:hAnsi="Arial" w:cs="Arial"/>
          <w:sz w:val="20"/>
          <w:szCs w:val="20"/>
        </w:rPr>
        <w:t xml:space="preserve"> </w:t>
      </w:r>
      <w:r>
        <w:rPr>
          <w:rFonts w:ascii="Arial" w:hAnsi="Arial" w:cs="Arial"/>
          <w:sz w:val="20"/>
          <w:szCs w:val="20"/>
        </w:rPr>
        <w:t>“</w:t>
      </w:r>
      <w:r w:rsidR="006D207C" w:rsidRPr="00494806">
        <w:rPr>
          <w:rFonts w:ascii="Arial" w:hAnsi="Arial" w:cs="Arial"/>
          <w:sz w:val="20"/>
          <w:szCs w:val="20"/>
        </w:rPr>
        <w:t>Hence, this study seeks to examine the effect of foreign ownership on corporate sustainability disclosure among firms listed in the East Africa Community (EAC), which is a developing region. EAC c</w:t>
      </w:r>
      <w:r w:rsidR="007E5CA5" w:rsidRPr="00494806">
        <w:rPr>
          <w:rFonts w:ascii="Arial" w:eastAsia="Calibri" w:hAnsi="Arial" w:cs="Arial"/>
          <w:sz w:val="20"/>
          <w:szCs w:val="20"/>
        </w:rPr>
        <w:t xml:space="preserve">onsists of eight countries—Kenya, Uganda, Tanzania, the Rwanda, Somalia, DRC Congo, Burundi, and Sri South Sudan—with a population of </w:t>
      </w:r>
      <w:r w:rsidR="002E53F6" w:rsidRPr="00494806">
        <w:rPr>
          <w:rFonts w:ascii="Arial" w:eastAsia="Calibri" w:hAnsi="Arial" w:cs="Arial"/>
          <w:sz w:val="20"/>
          <w:szCs w:val="20"/>
        </w:rPr>
        <w:t>331.1 million</w:t>
      </w:r>
      <w:r w:rsidR="007E5CA5" w:rsidRPr="00494806">
        <w:rPr>
          <w:rFonts w:ascii="Arial" w:eastAsia="Calibri" w:hAnsi="Arial" w:cs="Arial"/>
          <w:sz w:val="20"/>
          <w:szCs w:val="20"/>
        </w:rPr>
        <w:t>, equivalent to 4.</w:t>
      </w:r>
      <w:r w:rsidR="002E53F6" w:rsidRPr="00494806">
        <w:rPr>
          <w:rFonts w:ascii="Arial" w:eastAsia="Calibri" w:hAnsi="Arial" w:cs="Arial"/>
          <w:sz w:val="20"/>
          <w:szCs w:val="20"/>
        </w:rPr>
        <w:t>1</w:t>
      </w:r>
      <w:r w:rsidR="007E5CA5" w:rsidRPr="00494806">
        <w:rPr>
          <w:rFonts w:ascii="Arial" w:eastAsia="Calibri" w:hAnsi="Arial" w:cs="Arial"/>
          <w:sz w:val="20"/>
          <w:szCs w:val="20"/>
        </w:rPr>
        <w:t>% of the world’s population</w:t>
      </w:r>
      <w:r>
        <w:rPr>
          <w:rFonts w:ascii="Arial" w:eastAsia="Calibri" w:hAnsi="Arial" w:cs="Arial"/>
          <w:sz w:val="20"/>
          <w:szCs w:val="20"/>
        </w:rPr>
        <w:t>”</w:t>
      </w:r>
      <w:r w:rsidR="007E5CA5" w:rsidRPr="00494806">
        <w:rPr>
          <w:rFonts w:ascii="Arial" w:eastAsia="Calibri" w:hAnsi="Arial" w:cs="Arial"/>
          <w:sz w:val="20"/>
          <w:szCs w:val="20"/>
        </w:rPr>
        <w:t xml:space="preserve"> (World Bank 2017). </w:t>
      </w:r>
      <w:r>
        <w:rPr>
          <w:rFonts w:ascii="Arial" w:eastAsia="Calibri" w:hAnsi="Arial" w:cs="Arial"/>
          <w:sz w:val="20"/>
          <w:szCs w:val="20"/>
        </w:rPr>
        <w:t>“</w:t>
      </w:r>
      <w:r w:rsidR="007E5CA5" w:rsidRPr="00494806">
        <w:rPr>
          <w:rFonts w:ascii="Arial" w:eastAsia="Calibri" w:hAnsi="Arial" w:cs="Arial"/>
          <w:sz w:val="20"/>
          <w:szCs w:val="20"/>
        </w:rPr>
        <w:t xml:space="preserve">EAC is the fastest-growing region worldwide, with economic growth forecast at </w:t>
      </w:r>
      <w:r w:rsidR="002E53F6" w:rsidRPr="00494806">
        <w:rPr>
          <w:rFonts w:ascii="Arial" w:eastAsia="Calibri" w:hAnsi="Arial" w:cs="Arial"/>
          <w:sz w:val="20"/>
          <w:szCs w:val="20"/>
        </w:rPr>
        <w:t>5</w:t>
      </w:r>
      <w:r w:rsidR="007E5CA5" w:rsidRPr="00494806">
        <w:rPr>
          <w:rFonts w:ascii="Arial" w:eastAsia="Calibri" w:hAnsi="Arial" w:cs="Arial"/>
          <w:sz w:val="20"/>
          <w:szCs w:val="20"/>
        </w:rPr>
        <w:t xml:space="preserve">.3% in </w:t>
      </w:r>
      <w:r w:rsidR="006D207C" w:rsidRPr="00494806">
        <w:rPr>
          <w:rFonts w:ascii="Arial" w:eastAsia="Calibri" w:hAnsi="Arial" w:cs="Arial"/>
          <w:sz w:val="20"/>
          <w:szCs w:val="20"/>
        </w:rPr>
        <w:t>2024</w:t>
      </w:r>
      <w:r>
        <w:rPr>
          <w:rFonts w:ascii="Arial" w:eastAsia="Calibri" w:hAnsi="Arial" w:cs="Arial"/>
          <w:sz w:val="20"/>
          <w:szCs w:val="20"/>
        </w:rPr>
        <w:t>”</w:t>
      </w:r>
      <w:r w:rsidR="007E5CA5" w:rsidRPr="00494806">
        <w:rPr>
          <w:rFonts w:ascii="Arial" w:eastAsia="Calibri" w:hAnsi="Arial" w:cs="Arial"/>
          <w:sz w:val="20"/>
          <w:szCs w:val="20"/>
        </w:rPr>
        <w:t xml:space="preserve"> (World Bank </w:t>
      </w:r>
      <w:r w:rsidR="002E53F6" w:rsidRPr="00494806">
        <w:rPr>
          <w:rFonts w:ascii="Arial" w:eastAsia="Calibri" w:hAnsi="Arial" w:cs="Arial"/>
          <w:sz w:val="20"/>
          <w:szCs w:val="20"/>
        </w:rPr>
        <w:t>2023</w:t>
      </w:r>
      <w:r w:rsidR="007E5CA5" w:rsidRPr="00494806">
        <w:rPr>
          <w:rFonts w:ascii="Arial" w:eastAsia="Calibri" w:hAnsi="Arial" w:cs="Arial"/>
          <w:sz w:val="20"/>
          <w:szCs w:val="20"/>
        </w:rPr>
        <w:t>). Most of the EAC countries are being affected by global warming as sea levels and temperatures rise.</w:t>
      </w:r>
    </w:p>
    <w:p w:rsidR="006D207C" w:rsidRPr="00494806" w:rsidRDefault="006D207C" w:rsidP="00B24785">
      <w:pPr>
        <w:spacing w:line="240" w:lineRule="auto"/>
        <w:jc w:val="both"/>
        <w:rPr>
          <w:rFonts w:ascii="Arial" w:eastAsia="Calibri" w:hAnsi="Arial" w:cs="Arial"/>
          <w:sz w:val="20"/>
          <w:szCs w:val="20"/>
        </w:rPr>
      </w:pPr>
      <w:r w:rsidRPr="00494806">
        <w:rPr>
          <w:rFonts w:ascii="Arial" w:eastAsia="Calibri" w:hAnsi="Arial" w:cs="Arial"/>
          <w:sz w:val="20"/>
          <w:szCs w:val="20"/>
        </w:rPr>
        <w:t>The rest of the paper is organized as follows. The next section presents the hypothesis development. Section 3 discusses the methodology. Section 4 the findings and discussions. Section 5 concludes.</w:t>
      </w:r>
    </w:p>
    <w:p w:rsidR="007B22E4" w:rsidRPr="00494806" w:rsidRDefault="007B22E4" w:rsidP="00B24785">
      <w:pPr>
        <w:spacing w:line="240" w:lineRule="auto"/>
        <w:jc w:val="both"/>
        <w:rPr>
          <w:rFonts w:ascii="Arial" w:eastAsia="Calibri" w:hAnsi="Arial" w:cs="Arial"/>
        </w:rPr>
      </w:pPr>
    </w:p>
    <w:p w:rsidR="00802542" w:rsidRPr="00494806" w:rsidRDefault="00802542" w:rsidP="00B24785">
      <w:pPr>
        <w:pStyle w:val="ListParagraph"/>
        <w:numPr>
          <w:ilvl w:val="0"/>
          <w:numId w:val="1"/>
        </w:numPr>
        <w:spacing w:line="240" w:lineRule="auto"/>
        <w:jc w:val="both"/>
        <w:rPr>
          <w:rFonts w:ascii="Arial" w:eastAsia="Calibri" w:hAnsi="Arial" w:cs="Arial"/>
          <w:b/>
          <w:bCs/>
        </w:rPr>
      </w:pPr>
      <w:r w:rsidRPr="00494806">
        <w:rPr>
          <w:rFonts w:ascii="Arial" w:eastAsia="Calibri" w:hAnsi="Arial" w:cs="Arial"/>
          <w:b/>
          <w:bCs/>
        </w:rPr>
        <w:lastRenderedPageBreak/>
        <w:t>Review of literature and hypothesis development</w:t>
      </w:r>
    </w:p>
    <w:p w:rsidR="002E53F6" w:rsidRPr="00494806" w:rsidRDefault="002E53F6" w:rsidP="00B24785">
      <w:pPr>
        <w:spacing w:line="240" w:lineRule="auto"/>
        <w:jc w:val="both"/>
        <w:rPr>
          <w:rFonts w:ascii="Arial" w:hAnsi="Arial" w:cs="Arial"/>
          <w:sz w:val="20"/>
          <w:szCs w:val="20"/>
        </w:rPr>
      </w:pPr>
      <w:r w:rsidRPr="00494806">
        <w:rPr>
          <w:rFonts w:ascii="Arial" w:hAnsi="Arial" w:cs="Arial"/>
          <w:sz w:val="20"/>
          <w:szCs w:val="20"/>
        </w:rPr>
        <w:t xml:space="preserve">Previous studies indicate that ownership structure serves as a governance mechanism influencing corporate behavior, strategic decisions, performance, and value </w:t>
      </w:r>
      <w:r w:rsidR="002025DB" w:rsidRPr="00494806">
        <w:rPr>
          <w:rFonts w:ascii="Arial" w:hAnsi="Arial" w:cs="Arial"/>
          <w:sz w:val="20"/>
          <w:szCs w:val="20"/>
        </w:rPr>
        <w:t xml:space="preserve">Wang et al., 2023; </w:t>
      </w:r>
      <w:proofErr w:type="spellStart"/>
      <w:r w:rsidR="002025DB" w:rsidRPr="00494806">
        <w:rPr>
          <w:rFonts w:ascii="Arial" w:hAnsi="Arial" w:cs="Arial"/>
          <w:sz w:val="20"/>
          <w:szCs w:val="20"/>
        </w:rPr>
        <w:t>Kavadis</w:t>
      </w:r>
      <w:proofErr w:type="spellEnd"/>
      <w:r w:rsidR="002025DB" w:rsidRPr="00494806">
        <w:rPr>
          <w:rFonts w:ascii="Arial" w:hAnsi="Arial" w:cs="Arial"/>
          <w:sz w:val="20"/>
          <w:szCs w:val="20"/>
        </w:rPr>
        <w:t xml:space="preserve"> &amp; Thomsen, 2023). </w:t>
      </w:r>
      <w:r w:rsidRPr="00494806">
        <w:rPr>
          <w:rFonts w:ascii="Arial" w:hAnsi="Arial" w:cs="Arial"/>
          <w:sz w:val="20"/>
          <w:szCs w:val="20"/>
        </w:rPr>
        <w:t>Foreign shareholders can affect internal business practices (</w:t>
      </w:r>
      <w:r w:rsidR="002025DB" w:rsidRPr="00494806">
        <w:rPr>
          <w:rFonts w:ascii="Arial" w:hAnsi="Arial" w:cs="Arial"/>
          <w:sz w:val="20"/>
          <w:szCs w:val="20"/>
        </w:rPr>
        <w:t>Huang et al., 2023</w:t>
      </w:r>
      <w:r w:rsidRPr="00494806">
        <w:rPr>
          <w:rFonts w:ascii="Arial" w:hAnsi="Arial" w:cs="Arial"/>
          <w:sz w:val="20"/>
          <w:szCs w:val="20"/>
        </w:rPr>
        <w:t>) and may enhance performance (</w:t>
      </w:r>
      <w:proofErr w:type="spellStart"/>
      <w:r w:rsidR="002025DB" w:rsidRPr="00494806">
        <w:rPr>
          <w:rFonts w:ascii="Arial" w:hAnsi="Arial" w:cs="Arial"/>
          <w:sz w:val="20"/>
          <w:szCs w:val="20"/>
        </w:rPr>
        <w:t>Roedder</w:t>
      </w:r>
      <w:proofErr w:type="spellEnd"/>
      <w:r w:rsidR="002025DB" w:rsidRPr="00494806">
        <w:rPr>
          <w:rFonts w:ascii="Arial" w:hAnsi="Arial" w:cs="Arial"/>
          <w:sz w:val="20"/>
          <w:szCs w:val="20"/>
        </w:rPr>
        <w:t xml:space="preserve"> &amp; Schmid, 2025</w:t>
      </w:r>
      <w:r w:rsidRPr="00494806">
        <w:rPr>
          <w:rFonts w:ascii="Arial" w:hAnsi="Arial" w:cs="Arial"/>
          <w:sz w:val="20"/>
          <w:szCs w:val="20"/>
        </w:rPr>
        <w:t>). Western methodologies introduced by foreign investors may affect trends in CSR execution within enterprises in emerging nations (</w:t>
      </w:r>
      <w:proofErr w:type="spellStart"/>
      <w:r w:rsidR="002025DB" w:rsidRPr="00494806">
        <w:rPr>
          <w:rFonts w:ascii="Arial" w:hAnsi="Arial" w:cs="Arial"/>
          <w:sz w:val="20"/>
          <w:szCs w:val="20"/>
        </w:rPr>
        <w:t>Tokas</w:t>
      </w:r>
      <w:proofErr w:type="spellEnd"/>
      <w:r w:rsidR="002025DB" w:rsidRPr="00494806">
        <w:rPr>
          <w:rFonts w:ascii="Arial" w:hAnsi="Arial" w:cs="Arial"/>
          <w:sz w:val="20"/>
          <w:szCs w:val="20"/>
        </w:rPr>
        <w:t xml:space="preserve"> &amp; Yadav, 2023</w:t>
      </w:r>
      <w:r w:rsidRPr="00494806">
        <w:rPr>
          <w:rFonts w:ascii="Arial" w:hAnsi="Arial" w:cs="Arial"/>
          <w:sz w:val="20"/>
          <w:szCs w:val="20"/>
        </w:rPr>
        <w:t xml:space="preserve">). Robust corporate governance frameworks and political institutions, along with a lack of corruption, significantly influence socially responsible conduct in firms from emerging nations via foreign ownership (Claessens </w:t>
      </w:r>
      <w:r w:rsidR="002025DB" w:rsidRPr="00494806">
        <w:rPr>
          <w:rFonts w:ascii="Arial" w:hAnsi="Arial" w:cs="Arial"/>
          <w:sz w:val="20"/>
          <w:szCs w:val="20"/>
        </w:rPr>
        <w:t>&amp;</w:t>
      </w:r>
      <w:r w:rsidRPr="00494806">
        <w:rPr>
          <w:rFonts w:ascii="Arial" w:hAnsi="Arial" w:cs="Arial"/>
          <w:sz w:val="20"/>
          <w:szCs w:val="20"/>
        </w:rPr>
        <w:t xml:space="preserve"> </w:t>
      </w:r>
      <w:proofErr w:type="spellStart"/>
      <w:r w:rsidRPr="00494806">
        <w:rPr>
          <w:rFonts w:ascii="Arial" w:hAnsi="Arial" w:cs="Arial"/>
          <w:sz w:val="20"/>
          <w:szCs w:val="20"/>
        </w:rPr>
        <w:t>Yurtoglu</w:t>
      </w:r>
      <w:proofErr w:type="spellEnd"/>
      <w:r w:rsidRPr="00494806">
        <w:rPr>
          <w:rFonts w:ascii="Arial" w:hAnsi="Arial" w:cs="Arial"/>
          <w:sz w:val="20"/>
          <w:szCs w:val="20"/>
        </w:rPr>
        <w:t xml:space="preserve">, 2013). Foreign investors foster transparent corporate governance, hence motivating corporations to participate in CSR initiatives (Oh et al., 2011). Chapple </w:t>
      </w:r>
      <w:r w:rsidR="002025DB" w:rsidRPr="00494806">
        <w:rPr>
          <w:rFonts w:ascii="Arial" w:hAnsi="Arial" w:cs="Arial"/>
          <w:sz w:val="20"/>
          <w:szCs w:val="20"/>
        </w:rPr>
        <w:t>and</w:t>
      </w:r>
      <w:r w:rsidRPr="00494806">
        <w:rPr>
          <w:rFonts w:ascii="Arial" w:hAnsi="Arial" w:cs="Arial"/>
          <w:sz w:val="20"/>
          <w:szCs w:val="20"/>
        </w:rPr>
        <w:t xml:space="preserve"> Moon (2005) indicate that globalization and foreign ownership have contributed to the advancement of CSR in Asian nations. Brancato (1997) and </w:t>
      </w:r>
      <w:proofErr w:type="spellStart"/>
      <w:r w:rsidRPr="00494806">
        <w:rPr>
          <w:rFonts w:ascii="Arial" w:hAnsi="Arial" w:cs="Arial"/>
          <w:sz w:val="20"/>
          <w:szCs w:val="20"/>
        </w:rPr>
        <w:t>Huafang</w:t>
      </w:r>
      <w:proofErr w:type="spellEnd"/>
      <w:r w:rsidRPr="00494806">
        <w:rPr>
          <w:rFonts w:ascii="Arial" w:hAnsi="Arial" w:cs="Arial"/>
          <w:sz w:val="20"/>
          <w:szCs w:val="20"/>
        </w:rPr>
        <w:t xml:space="preserve"> and Jianguo (2007) corroborate similar findings, demonstrating that investors from the US and Europe often exert pressure on foreign enterprises to align their CSR policies with their own experience and expertise in the domain. Furthermore, investing in a company from a foreign, particularly rising, nation might entail significant risks, prompting investors to seek various methods to mitigate uncertainty. One alternative is to invest in companies that seek to uphold credibility and legitimacy as responsible societal participants in a collective environment (Jamali </w:t>
      </w:r>
      <w:r w:rsidR="00EF3D1D" w:rsidRPr="00494806">
        <w:rPr>
          <w:rFonts w:ascii="Arial" w:hAnsi="Arial" w:cs="Arial"/>
          <w:sz w:val="20"/>
          <w:szCs w:val="20"/>
        </w:rPr>
        <w:t>&amp;</w:t>
      </w:r>
      <w:r w:rsidRPr="00494806">
        <w:rPr>
          <w:rFonts w:ascii="Arial" w:hAnsi="Arial" w:cs="Arial"/>
          <w:sz w:val="20"/>
          <w:szCs w:val="20"/>
        </w:rPr>
        <w:t xml:space="preserve"> </w:t>
      </w:r>
      <w:proofErr w:type="spellStart"/>
      <w:r w:rsidRPr="00494806">
        <w:rPr>
          <w:rFonts w:ascii="Arial" w:hAnsi="Arial" w:cs="Arial"/>
          <w:sz w:val="20"/>
          <w:szCs w:val="20"/>
        </w:rPr>
        <w:t>Mirshak</w:t>
      </w:r>
      <w:proofErr w:type="spellEnd"/>
      <w:r w:rsidRPr="00494806">
        <w:rPr>
          <w:rFonts w:ascii="Arial" w:hAnsi="Arial" w:cs="Arial"/>
          <w:sz w:val="20"/>
          <w:szCs w:val="20"/>
        </w:rPr>
        <w:t xml:space="preserve">, 2007). Foreign investors typically select companies that voluntarily provide greater transparency, including non-financial information about corporate social responsibility (CSR) (Siegel </w:t>
      </w:r>
      <w:r w:rsidR="00EF3D1D" w:rsidRPr="00494806">
        <w:rPr>
          <w:rFonts w:ascii="Arial" w:hAnsi="Arial" w:cs="Arial"/>
          <w:sz w:val="20"/>
          <w:szCs w:val="20"/>
        </w:rPr>
        <w:t>&amp;</w:t>
      </w:r>
      <w:r w:rsidRPr="00494806">
        <w:rPr>
          <w:rFonts w:ascii="Arial" w:hAnsi="Arial" w:cs="Arial"/>
          <w:sz w:val="20"/>
          <w:szCs w:val="20"/>
        </w:rPr>
        <w:t xml:space="preserve"> Vitaliano, 2007). Consequently, companies from emerging economies strive for alignment between organizational practices and institutional pressures by identifying legitimacy discrepancies and improving transparency to guarantee responsibility to foreign investors (Amran </w:t>
      </w:r>
      <w:r w:rsidR="00EF3D1D" w:rsidRPr="00494806">
        <w:rPr>
          <w:rFonts w:ascii="Arial" w:hAnsi="Arial" w:cs="Arial"/>
          <w:sz w:val="20"/>
          <w:szCs w:val="20"/>
        </w:rPr>
        <w:t>&amp;</w:t>
      </w:r>
      <w:r w:rsidRPr="00494806">
        <w:rPr>
          <w:rFonts w:ascii="Arial" w:hAnsi="Arial" w:cs="Arial"/>
          <w:sz w:val="20"/>
          <w:szCs w:val="20"/>
        </w:rPr>
        <w:t xml:space="preserve"> Devi, 2008). The corporate governance structure and ownership composition are crucial for comprehending organizations' actions in pursuing legitimacy via CSR disclosure.</w:t>
      </w:r>
    </w:p>
    <w:p w:rsidR="002E53F6" w:rsidRPr="00494806" w:rsidRDefault="002E53F6" w:rsidP="00B24785">
      <w:pPr>
        <w:spacing w:line="240" w:lineRule="auto"/>
        <w:jc w:val="both"/>
        <w:rPr>
          <w:rFonts w:ascii="Arial" w:hAnsi="Arial" w:cs="Arial"/>
          <w:sz w:val="20"/>
          <w:szCs w:val="20"/>
          <w:lang w:val="en-GB"/>
        </w:rPr>
      </w:pPr>
      <w:r w:rsidRPr="00494806">
        <w:rPr>
          <w:rFonts w:ascii="Arial" w:hAnsi="Arial" w:cs="Arial"/>
          <w:sz w:val="20"/>
          <w:szCs w:val="20"/>
          <w:lang w:val="en-GB"/>
        </w:rPr>
        <w:t xml:space="preserve">Foreign investors are physically far from investee enterprises and encounter fewer informal channels, along with language, cultural, and legal obstacles. Consequently, overseas investors may experience an informational deficit relative to domestic investors, resulting in additional expenses for information acquisition. Consequently, overseas investors possess a stronger motivation to navigate informational opacity compared to educated domestic investors. Voluntary disclosure serves as a method for conveying information. From a corporate perspective, companies are driven to meet the requirements of international investors, as this might enhance their ability to recruit or retain further foreign capital by broadening their shareholder base. Consequently, diminishing knowledge asymmetry is a primary purpose of foreign investors. </w:t>
      </w:r>
      <w:r w:rsidR="00BC1A8A" w:rsidRPr="00494806">
        <w:rPr>
          <w:rFonts w:ascii="Arial" w:hAnsi="Arial" w:cs="Arial"/>
          <w:sz w:val="20"/>
          <w:szCs w:val="20"/>
          <w:lang w:val="en-GB"/>
        </w:rPr>
        <w:t>Kim et al., (2021)</w:t>
      </w:r>
      <w:r w:rsidRPr="00494806">
        <w:rPr>
          <w:rFonts w:ascii="Arial" w:hAnsi="Arial" w:cs="Arial"/>
          <w:sz w:val="20"/>
          <w:szCs w:val="20"/>
          <w:lang w:val="en-GB"/>
        </w:rPr>
        <w:t xml:space="preserve"> assert that foreign investors serve as information mediators with enhanced capabilities in analysis and interpretation, so mitigating information asymmetry and ultimately augmenting information openness. Bhojraj and Sengupta (2003) posited that foreign investors are adept at gathering and interpreting information. </w:t>
      </w:r>
    </w:p>
    <w:p w:rsidR="002E53F6" w:rsidRPr="00494806" w:rsidRDefault="002E53F6" w:rsidP="00B24785">
      <w:pPr>
        <w:spacing w:line="240" w:lineRule="auto"/>
        <w:jc w:val="both"/>
        <w:rPr>
          <w:rFonts w:ascii="Arial" w:eastAsia="Calibri" w:hAnsi="Arial" w:cs="Arial"/>
          <w:b/>
          <w:bCs/>
          <w:sz w:val="20"/>
          <w:szCs w:val="20"/>
        </w:rPr>
      </w:pPr>
      <w:r w:rsidRPr="00494806">
        <w:rPr>
          <w:rFonts w:ascii="Arial" w:hAnsi="Arial" w:cs="Arial"/>
          <w:sz w:val="20"/>
          <w:szCs w:val="20"/>
          <w:lang w:val="en-GB"/>
        </w:rPr>
        <w:t>Furthermore, the functions of foreign investors are bolstered by the efficient monitoring hypothesis, which asserts that foreign investors possess a greater capacity for gathering, analy</w:t>
      </w:r>
      <w:r w:rsidR="00EF3D1D" w:rsidRPr="00494806">
        <w:rPr>
          <w:rFonts w:ascii="Arial" w:hAnsi="Arial" w:cs="Arial"/>
          <w:sz w:val="20"/>
          <w:szCs w:val="20"/>
          <w:lang w:val="en-GB"/>
        </w:rPr>
        <w:t>s</w:t>
      </w:r>
      <w:r w:rsidRPr="00494806">
        <w:rPr>
          <w:rFonts w:ascii="Arial" w:hAnsi="Arial" w:cs="Arial"/>
          <w:sz w:val="20"/>
          <w:szCs w:val="20"/>
          <w:lang w:val="en-GB"/>
        </w:rPr>
        <w:t>ing, and selling private information. Moreover, foreign investors are perceived as specialized entities possessing advanced research methodologies, substantial resources, and knowledge from prior transactions, in contrast to domestic investors. Moreover, foreign investors are seen as elite information processors possessing important insights that favo</w:t>
      </w:r>
      <w:r w:rsidR="00EF3D1D" w:rsidRPr="00494806">
        <w:rPr>
          <w:rFonts w:ascii="Arial" w:hAnsi="Arial" w:cs="Arial"/>
          <w:sz w:val="20"/>
          <w:szCs w:val="20"/>
          <w:lang w:val="en-GB"/>
        </w:rPr>
        <w:t>u</w:t>
      </w:r>
      <w:r w:rsidRPr="00494806">
        <w:rPr>
          <w:rFonts w:ascii="Arial" w:hAnsi="Arial" w:cs="Arial"/>
          <w:sz w:val="20"/>
          <w:szCs w:val="20"/>
          <w:lang w:val="en-GB"/>
        </w:rPr>
        <w:t>rably influence emerging markets. Foreign investors implement indirect or direct monitoring measures in emerging markets, and irrespective of the method, they enhance corporate governance systems. Aggarwal et al. (201</w:t>
      </w:r>
      <w:r w:rsidR="00BC1A8A" w:rsidRPr="00494806">
        <w:rPr>
          <w:rFonts w:ascii="Arial" w:hAnsi="Arial" w:cs="Arial"/>
          <w:sz w:val="20"/>
          <w:szCs w:val="20"/>
          <w:lang w:val="en-GB"/>
        </w:rPr>
        <w:t>3</w:t>
      </w:r>
      <w:r w:rsidRPr="00494806">
        <w:rPr>
          <w:rFonts w:ascii="Arial" w:hAnsi="Arial" w:cs="Arial"/>
          <w:sz w:val="20"/>
          <w:szCs w:val="20"/>
          <w:lang w:val="en-GB"/>
        </w:rPr>
        <w:t>) discovered that foreign investors can incentivize enterprises to enhance performance by appointing an adequate number of external directors. Moreover, foreign investors possess privileged information as they can obtain confidential insights from the portfolios of their privately engaged analysts. This information is utilized to assess a company's technological capability, a product's market share, and the intrinsic value of a firm's earnings projection. Furthermore, the privately engaged analysts maintain tight relationships with the managers. Foreign investors have allocated substantial resources, and these affiliations are utilized to oversee company management decisions and public policy.</w:t>
      </w:r>
      <w:r w:rsidR="00353D91" w:rsidRPr="00494806">
        <w:rPr>
          <w:rFonts w:ascii="Arial" w:eastAsia="Calibri" w:hAnsi="Arial" w:cs="Arial"/>
          <w:b/>
          <w:bCs/>
          <w:sz w:val="20"/>
          <w:szCs w:val="20"/>
        </w:rPr>
        <w:t xml:space="preserve"> </w:t>
      </w:r>
    </w:p>
    <w:p w:rsidR="00D212D5" w:rsidRPr="00494806" w:rsidRDefault="00201452" w:rsidP="00B24785">
      <w:pPr>
        <w:spacing w:line="240" w:lineRule="auto"/>
        <w:jc w:val="both"/>
        <w:rPr>
          <w:rFonts w:ascii="Arial" w:hAnsi="Arial" w:cs="Arial"/>
          <w:sz w:val="20"/>
          <w:szCs w:val="20"/>
        </w:rPr>
      </w:pPr>
      <w:r>
        <w:rPr>
          <w:rFonts w:ascii="Arial" w:hAnsi="Arial" w:cs="Arial"/>
          <w:sz w:val="20"/>
          <w:szCs w:val="20"/>
        </w:rPr>
        <w:t>“</w:t>
      </w:r>
      <w:r w:rsidR="00D212D5" w:rsidRPr="00494806">
        <w:rPr>
          <w:rFonts w:ascii="Arial" w:hAnsi="Arial" w:cs="Arial"/>
          <w:sz w:val="20"/>
          <w:szCs w:val="20"/>
        </w:rPr>
        <w:t>Agency theory explains the relationship between the owners (shareholders) and management, in which owners appoint management to serve best on their behalf</w:t>
      </w:r>
      <w:r>
        <w:rPr>
          <w:rFonts w:ascii="Arial" w:hAnsi="Arial" w:cs="Arial"/>
          <w:sz w:val="20"/>
          <w:szCs w:val="20"/>
        </w:rPr>
        <w:t>”</w:t>
      </w:r>
      <w:r w:rsidR="00D212D5" w:rsidRPr="00494806">
        <w:rPr>
          <w:rFonts w:ascii="Arial" w:hAnsi="Arial" w:cs="Arial"/>
          <w:sz w:val="20"/>
          <w:szCs w:val="20"/>
        </w:rPr>
        <w:t xml:space="preserve"> (Jensen </w:t>
      </w:r>
      <w:r w:rsidR="00BC1A8A" w:rsidRPr="00494806">
        <w:rPr>
          <w:rFonts w:ascii="Arial" w:hAnsi="Arial" w:cs="Arial"/>
          <w:sz w:val="20"/>
          <w:szCs w:val="20"/>
        </w:rPr>
        <w:t>&amp;</w:t>
      </w:r>
      <w:r w:rsidR="00D212D5" w:rsidRPr="00494806">
        <w:rPr>
          <w:rFonts w:ascii="Arial" w:hAnsi="Arial" w:cs="Arial"/>
          <w:sz w:val="20"/>
          <w:szCs w:val="20"/>
        </w:rPr>
        <w:t xml:space="preserve"> Meckling 1976; Hillman </w:t>
      </w:r>
      <w:r w:rsidR="00BC1A8A" w:rsidRPr="00494806">
        <w:rPr>
          <w:rFonts w:ascii="Arial" w:hAnsi="Arial" w:cs="Arial"/>
          <w:sz w:val="20"/>
          <w:szCs w:val="20"/>
        </w:rPr>
        <w:t>&amp;</w:t>
      </w:r>
      <w:r w:rsidR="00D212D5" w:rsidRPr="00494806">
        <w:rPr>
          <w:rFonts w:ascii="Arial" w:hAnsi="Arial" w:cs="Arial"/>
          <w:sz w:val="20"/>
          <w:szCs w:val="20"/>
        </w:rPr>
        <w:t xml:space="preserve"> Dalziel 2003). However, a conflict exists regarding the goals of the owner and agent due to managers’ inclination </w:t>
      </w:r>
      <w:r w:rsidR="00D212D5" w:rsidRPr="00494806">
        <w:rPr>
          <w:rFonts w:ascii="Arial" w:hAnsi="Arial" w:cs="Arial"/>
          <w:sz w:val="20"/>
          <w:szCs w:val="20"/>
        </w:rPr>
        <w:lastRenderedPageBreak/>
        <w:t xml:space="preserve">toward controlling business policy and strategy to enhance their short-term interests, rather than to make long-term decisions. Further, de Villiers et al. (2011) define </w:t>
      </w:r>
      <w:r>
        <w:rPr>
          <w:rFonts w:ascii="Arial" w:hAnsi="Arial" w:cs="Arial"/>
          <w:sz w:val="20"/>
          <w:szCs w:val="20"/>
        </w:rPr>
        <w:t>“</w:t>
      </w:r>
      <w:r w:rsidR="00D212D5" w:rsidRPr="00494806">
        <w:rPr>
          <w:rFonts w:ascii="Arial" w:hAnsi="Arial" w:cs="Arial"/>
          <w:sz w:val="20"/>
          <w:szCs w:val="20"/>
        </w:rPr>
        <w:t>agency theory in terms of monitoring and incentives, a board is responsible for monitoring the top management’s environmental policy, strategy, investments, and reporting. Thus, the ESRP significantly relates to the firm’s long-term decisions and investments in environmental initiatives as enacted by top management. However, this management may be reluctant to incur expenses, such as R&amp;D expenditures, unless these ensure an immediate financial benefit; management more commonly focuses on short-term investments that will enhance both financial and nonfinancial opportunities</w:t>
      </w:r>
      <w:r>
        <w:rPr>
          <w:rFonts w:ascii="Arial" w:hAnsi="Arial" w:cs="Arial"/>
          <w:sz w:val="20"/>
          <w:szCs w:val="20"/>
        </w:rPr>
        <w:t>”</w:t>
      </w:r>
      <w:r w:rsidR="00D212D5" w:rsidRPr="00494806">
        <w:rPr>
          <w:rFonts w:ascii="Arial" w:hAnsi="Arial" w:cs="Arial"/>
          <w:sz w:val="20"/>
          <w:szCs w:val="20"/>
        </w:rPr>
        <w:t xml:space="preserve"> (Chan et al. 2014; Hillman and Dalziel 2003). </w:t>
      </w:r>
      <w:r>
        <w:rPr>
          <w:rFonts w:ascii="Arial" w:hAnsi="Arial" w:cs="Arial"/>
          <w:sz w:val="20"/>
          <w:szCs w:val="20"/>
        </w:rPr>
        <w:t>“</w:t>
      </w:r>
      <w:r w:rsidR="00D212D5" w:rsidRPr="00494806">
        <w:rPr>
          <w:rFonts w:ascii="Arial" w:hAnsi="Arial" w:cs="Arial"/>
          <w:sz w:val="20"/>
          <w:szCs w:val="20"/>
        </w:rPr>
        <w:t>Moreover, ESRP is considered as an opportunistic, transparent and credible mechanism to reduce information asymmetry between agents and owners. Existing agency conflicts regarding environmental decision can be mitigated by ESRP practices as well as utilizing stakeholder’s advocacy by the management</w:t>
      </w:r>
      <w:r>
        <w:rPr>
          <w:rFonts w:ascii="Arial" w:hAnsi="Arial" w:cs="Arial"/>
          <w:sz w:val="20"/>
          <w:szCs w:val="20"/>
        </w:rPr>
        <w:t>”</w:t>
      </w:r>
      <w:r w:rsidR="00D212D5" w:rsidRPr="00494806">
        <w:rPr>
          <w:rFonts w:ascii="Arial" w:hAnsi="Arial" w:cs="Arial"/>
          <w:sz w:val="20"/>
          <w:szCs w:val="20"/>
        </w:rPr>
        <w:t xml:space="preserve"> (</w:t>
      </w:r>
      <w:proofErr w:type="spellStart"/>
      <w:r w:rsidR="00D212D5" w:rsidRPr="00494806">
        <w:rPr>
          <w:rFonts w:ascii="Arial" w:hAnsi="Arial" w:cs="Arial"/>
          <w:sz w:val="20"/>
          <w:szCs w:val="20"/>
        </w:rPr>
        <w:t>Cespa</w:t>
      </w:r>
      <w:proofErr w:type="spellEnd"/>
      <w:r w:rsidR="00D212D5" w:rsidRPr="00494806">
        <w:rPr>
          <w:rFonts w:ascii="Arial" w:hAnsi="Arial" w:cs="Arial"/>
          <w:sz w:val="20"/>
          <w:szCs w:val="20"/>
        </w:rPr>
        <w:t xml:space="preserve"> and Cestone 2007). </w:t>
      </w:r>
      <w:r>
        <w:rPr>
          <w:rFonts w:ascii="Arial" w:hAnsi="Arial" w:cs="Arial"/>
          <w:sz w:val="20"/>
          <w:szCs w:val="20"/>
        </w:rPr>
        <w:t>“</w:t>
      </w:r>
      <w:r w:rsidR="00D212D5" w:rsidRPr="00494806">
        <w:rPr>
          <w:rFonts w:ascii="Arial" w:hAnsi="Arial" w:cs="Arial"/>
          <w:sz w:val="20"/>
          <w:szCs w:val="20"/>
        </w:rPr>
        <w:t>Therefore, managers’ incentive to engage in ESRP would be larger when corporate governance is stronger. The resource dependency theory also posits that foreign shareowners with diversified experience form different cultures to play pivotal roles in nominating board representatives, and thus, require more information disclosure</w:t>
      </w:r>
      <w:r>
        <w:rPr>
          <w:rFonts w:ascii="Arial" w:hAnsi="Arial" w:cs="Arial"/>
          <w:sz w:val="20"/>
          <w:szCs w:val="20"/>
        </w:rPr>
        <w:t>”</w:t>
      </w:r>
      <w:r w:rsidR="00D212D5" w:rsidRPr="00494806">
        <w:rPr>
          <w:rFonts w:ascii="Arial" w:hAnsi="Arial" w:cs="Arial"/>
          <w:sz w:val="20"/>
          <w:szCs w:val="20"/>
        </w:rPr>
        <w:t xml:space="preserve"> (Khan et al. 2013; Oh et al. 2011). </w:t>
      </w:r>
      <w:r>
        <w:rPr>
          <w:rFonts w:ascii="Arial" w:hAnsi="Arial" w:cs="Arial"/>
          <w:sz w:val="20"/>
          <w:szCs w:val="20"/>
        </w:rPr>
        <w:t>“</w:t>
      </w:r>
      <w:r w:rsidR="00D212D5" w:rsidRPr="00494806">
        <w:rPr>
          <w:rFonts w:ascii="Arial" w:hAnsi="Arial" w:cs="Arial"/>
          <w:sz w:val="20"/>
          <w:szCs w:val="20"/>
        </w:rPr>
        <w:t>As an influential group of diverse shareholder groups, foreign investors also act as company watchdogs and maintain relationships with national and international environmental activist groups. Moreover, home (or foreign) countries’ legal and ethical regulations also influence their legitimization with foreign (or home) countries’ social values and expectations</w:t>
      </w:r>
      <w:r>
        <w:rPr>
          <w:rFonts w:ascii="Arial" w:hAnsi="Arial" w:cs="Arial"/>
          <w:sz w:val="20"/>
          <w:szCs w:val="20"/>
        </w:rPr>
        <w:t>”</w:t>
      </w:r>
      <w:r w:rsidR="00D212D5" w:rsidRPr="00494806">
        <w:rPr>
          <w:rFonts w:ascii="Arial" w:hAnsi="Arial" w:cs="Arial"/>
          <w:sz w:val="20"/>
          <w:szCs w:val="20"/>
        </w:rPr>
        <w:t xml:space="preserve"> (Faller </w:t>
      </w:r>
      <w:r w:rsidR="002025DB" w:rsidRPr="00494806">
        <w:rPr>
          <w:rFonts w:ascii="Arial" w:hAnsi="Arial" w:cs="Arial"/>
          <w:sz w:val="20"/>
          <w:szCs w:val="20"/>
        </w:rPr>
        <w:t>&amp;</w:t>
      </w:r>
      <w:r w:rsidR="00D212D5" w:rsidRPr="00494806">
        <w:rPr>
          <w:rFonts w:ascii="Arial" w:hAnsi="Arial" w:cs="Arial"/>
          <w:sz w:val="20"/>
          <w:szCs w:val="20"/>
        </w:rPr>
        <w:t xml:space="preserve"> Zu </w:t>
      </w:r>
      <w:proofErr w:type="spellStart"/>
      <w:r w:rsidR="00D212D5" w:rsidRPr="00494806">
        <w:rPr>
          <w:rFonts w:ascii="Arial" w:hAnsi="Arial" w:cs="Arial"/>
          <w:sz w:val="20"/>
          <w:szCs w:val="20"/>
        </w:rPr>
        <w:t>Knyphausen-Aufseß</w:t>
      </w:r>
      <w:proofErr w:type="spellEnd"/>
      <w:r w:rsidR="00D212D5" w:rsidRPr="00494806">
        <w:rPr>
          <w:rFonts w:ascii="Arial" w:hAnsi="Arial" w:cs="Arial"/>
          <w:sz w:val="20"/>
          <w:szCs w:val="20"/>
        </w:rPr>
        <w:t xml:space="preserve"> 2016). </w:t>
      </w:r>
      <w:r>
        <w:rPr>
          <w:rFonts w:ascii="Arial" w:hAnsi="Arial" w:cs="Arial"/>
          <w:sz w:val="20"/>
          <w:szCs w:val="20"/>
        </w:rPr>
        <w:t>“</w:t>
      </w:r>
      <w:r w:rsidR="00D212D5" w:rsidRPr="00494806">
        <w:rPr>
          <w:rFonts w:ascii="Arial" w:hAnsi="Arial" w:cs="Arial"/>
          <w:sz w:val="20"/>
          <w:szCs w:val="20"/>
        </w:rPr>
        <w:t>Additionally, foreign investors concerned with environmental issues will influence domestic companies’ management to comply with environmental regulations and disclose more ESRP information to minimize political costs</w:t>
      </w:r>
      <w:r>
        <w:rPr>
          <w:rFonts w:ascii="Arial" w:hAnsi="Arial" w:cs="Arial"/>
          <w:sz w:val="20"/>
          <w:szCs w:val="20"/>
        </w:rPr>
        <w:t>”</w:t>
      </w:r>
      <w:r w:rsidR="00D212D5" w:rsidRPr="00494806">
        <w:rPr>
          <w:rFonts w:ascii="Arial" w:hAnsi="Arial" w:cs="Arial"/>
          <w:sz w:val="20"/>
          <w:szCs w:val="20"/>
        </w:rPr>
        <w:t xml:space="preserve"> (</w:t>
      </w:r>
      <w:proofErr w:type="spellStart"/>
      <w:r w:rsidR="00D212D5" w:rsidRPr="00494806">
        <w:rPr>
          <w:rFonts w:ascii="Arial" w:hAnsi="Arial" w:cs="Arial"/>
          <w:sz w:val="20"/>
          <w:szCs w:val="20"/>
        </w:rPr>
        <w:t>Gamerschlag</w:t>
      </w:r>
      <w:proofErr w:type="spellEnd"/>
      <w:r w:rsidR="00D212D5" w:rsidRPr="00494806">
        <w:rPr>
          <w:rFonts w:ascii="Arial" w:hAnsi="Arial" w:cs="Arial"/>
          <w:sz w:val="20"/>
          <w:szCs w:val="20"/>
        </w:rPr>
        <w:t xml:space="preserve"> et al. 2011; Delgado-Márquez et al. 2016)</w:t>
      </w:r>
    </w:p>
    <w:p w:rsidR="00802542" w:rsidRPr="00494806" w:rsidRDefault="00802542" w:rsidP="00B24785">
      <w:pPr>
        <w:spacing w:after="240" w:line="240" w:lineRule="auto"/>
        <w:jc w:val="both"/>
        <w:rPr>
          <w:rFonts w:ascii="Arial" w:hAnsi="Arial" w:cs="Arial"/>
          <w:sz w:val="20"/>
          <w:szCs w:val="20"/>
        </w:rPr>
      </w:pPr>
      <w:r w:rsidRPr="00494806">
        <w:rPr>
          <w:rFonts w:ascii="Arial" w:hAnsi="Arial" w:cs="Arial"/>
          <w:sz w:val="20"/>
          <w:szCs w:val="20"/>
        </w:rPr>
        <w:t xml:space="preserve">In contrast to local investors, foreign investors experience severe information asymmetry, which causes them to favor domestic stocks, a phenomenon known as "home bias" Lewis (1999). The findings of Lel (2017) and Kim </w:t>
      </w:r>
      <w:r w:rsidRPr="00494806">
        <w:rPr>
          <w:rFonts w:ascii="Arial" w:hAnsi="Arial" w:cs="Arial"/>
          <w:i/>
          <w:sz w:val="20"/>
          <w:szCs w:val="20"/>
        </w:rPr>
        <w:t>et al.,</w:t>
      </w:r>
      <w:r w:rsidRPr="00494806">
        <w:rPr>
          <w:rFonts w:ascii="Arial" w:hAnsi="Arial" w:cs="Arial"/>
          <w:sz w:val="20"/>
          <w:szCs w:val="20"/>
        </w:rPr>
        <w:t xml:space="preserve"> (2016) provide support to this claim by showing that firms with larger agency conflicts and information asymmetries exhibit a greater degree of foreign investor monitoring efficacy. Additionally, according to Kim </w:t>
      </w:r>
      <w:r w:rsidRPr="00494806">
        <w:rPr>
          <w:rFonts w:ascii="Arial" w:hAnsi="Arial" w:cs="Arial"/>
          <w:i/>
          <w:sz w:val="20"/>
          <w:szCs w:val="20"/>
        </w:rPr>
        <w:t>et al.,</w:t>
      </w:r>
      <w:r w:rsidRPr="00494806">
        <w:rPr>
          <w:rFonts w:ascii="Arial" w:hAnsi="Arial" w:cs="Arial"/>
          <w:sz w:val="20"/>
          <w:szCs w:val="20"/>
        </w:rPr>
        <w:t xml:space="preserve"> (2016), </w:t>
      </w:r>
      <w:r w:rsidR="00201452">
        <w:rPr>
          <w:rFonts w:ascii="Arial" w:hAnsi="Arial" w:cs="Arial"/>
          <w:sz w:val="20"/>
          <w:szCs w:val="20"/>
        </w:rPr>
        <w:t>“</w:t>
      </w:r>
      <w:r w:rsidRPr="00494806">
        <w:rPr>
          <w:rFonts w:ascii="Arial" w:hAnsi="Arial" w:cs="Arial"/>
          <w:sz w:val="20"/>
          <w:szCs w:val="20"/>
        </w:rPr>
        <w:t>firms with weak corporate governance systems are more susceptible to the effectiveness of foreign investors' scrutiny. As was previously argued, the basis of foreign investors' investment decisions is the informational deficiencies they suffer in relation to domestic investors. Empirical studies further demonstrate that foreign investors choose equity shares in firms with low information asymmetry over those with high information asymmetry</w:t>
      </w:r>
      <w:r w:rsidR="00201452">
        <w:rPr>
          <w:rFonts w:ascii="Arial" w:hAnsi="Arial" w:cs="Arial"/>
          <w:sz w:val="20"/>
          <w:szCs w:val="20"/>
        </w:rPr>
        <w:t>”</w:t>
      </w:r>
      <w:r w:rsidRPr="00494806">
        <w:rPr>
          <w:rFonts w:ascii="Arial" w:hAnsi="Arial" w:cs="Arial"/>
          <w:sz w:val="20"/>
          <w:szCs w:val="20"/>
        </w:rPr>
        <w:t xml:space="preserve">. For instance, Jiang and Kim (2004) found that </w:t>
      </w:r>
      <w:r w:rsidR="00201452">
        <w:rPr>
          <w:rFonts w:ascii="Arial" w:hAnsi="Arial" w:cs="Arial"/>
          <w:sz w:val="20"/>
          <w:szCs w:val="20"/>
        </w:rPr>
        <w:t>“</w:t>
      </w:r>
      <w:r w:rsidRPr="00494806">
        <w:rPr>
          <w:rFonts w:ascii="Arial" w:hAnsi="Arial" w:cs="Arial"/>
          <w:sz w:val="20"/>
          <w:szCs w:val="20"/>
        </w:rPr>
        <w:t>the information asymmetry between firms and the market is inversely related to foreign ownership using a sample of Japanese companies</w:t>
      </w:r>
      <w:r w:rsidR="00201452">
        <w:rPr>
          <w:rFonts w:ascii="Arial" w:hAnsi="Arial" w:cs="Arial"/>
          <w:sz w:val="20"/>
          <w:szCs w:val="20"/>
        </w:rPr>
        <w:t>”</w:t>
      </w:r>
      <w:r w:rsidRPr="00494806">
        <w:rPr>
          <w:rFonts w:ascii="Arial" w:hAnsi="Arial" w:cs="Arial"/>
          <w:sz w:val="20"/>
          <w:szCs w:val="20"/>
        </w:rPr>
        <w:t xml:space="preserve">. Kang and Stulz (1997) found that </w:t>
      </w:r>
      <w:r w:rsidR="00201452">
        <w:rPr>
          <w:rFonts w:ascii="Arial" w:hAnsi="Arial" w:cs="Arial"/>
          <w:sz w:val="20"/>
          <w:szCs w:val="20"/>
        </w:rPr>
        <w:t>“</w:t>
      </w:r>
      <w:r w:rsidRPr="00494806">
        <w:rPr>
          <w:rFonts w:ascii="Arial" w:hAnsi="Arial" w:cs="Arial"/>
          <w:sz w:val="20"/>
          <w:szCs w:val="20"/>
        </w:rPr>
        <w:t>Japanese foreign investors prefer companies with strong financial performance, low risk and low leverage</w:t>
      </w:r>
      <w:r w:rsidR="00201452">
        <w:rPr>
          <w:rFonts w:ascii="Arial" w:hAnsi="Arial" w:cs="Arial"/>
          <w:sz w:val="20"/>
          <w:szCs w:val="20"/>
        </w:rPr>
        <w:t>”</w:t>
      </w:r>
      <w:r w:rsidRPr="00494806">
        <w:rPr>
          <w:rFonts w:ascii="Arial" w:hAnsi="Arial" w:cs="Arial"/>
          <w:sz w:val="20"/>
          <w:szCs w:val="20"/>
        </w:rPr>
        <w:t xml:space="preserve">. A study by Lin and Shiu (2003) that </w:t>
      </w:r>
      <w:r w:rsidR="00201452">
        <w:rPr>
          <w:rFonts w:ascii="Arial" w:hAnsi="Arial" w:cs="Arial"/>
          <w:sz w:val="20"/>
          <w:szCs w:val="20"/>
        </w:rPr>
        <w:t>“</w:t>
      </w:r>
      <w:r w:rsidRPr="00494806">
        <w:rPr>
          <w:rFonts w:ascii="Arial" w:hAnsi="Arial" w:cs="Arial"/>
          <w:sz w:val="20"/>
          <w:szCs w:val="20"/>
        </w:rPr>
        <w:t>focused on the Taiwan stock market found that foreign investors seem to favor large companies, with low book to market stock and a high export ratio, this phenomenon was attributed to low information asymmetry</w:t>
      </w:r>
      <w:r w:rsidR="00201452">
        <w:rPr>
          <w:rFonts w:ascii="Arial" w:hAnsi="Arial" w:cs="Arial"/>
          <w:sz w:val="20"/>
          <w:szCs w:val="20"/>
        </w:rPr>
        <w:t>”</w:t>
      </w:r>
      <w:r w:rsidRPr="00494806">
        <w:rPr>
          <w:rFonts w:ascii="Arial" w:hAnsi="Arial" w:cs="Arial"/>
          <w:sz w:val="20"/>
          <w:szCs w:val="20"/>
        </w:rPr>
        <w:t xml:space="preserve">. In the Taiwan stock market, a study by Lin and Shiu (2003) found that </w:t>
      </w:r>
      <w:r w:rsidR="00201452">
        <w:rPr>
          <w:rFonts w:ascii="Arial" w:hAnsi="Arial" w:cs="Arial"/>
          <w:sz w:val="20"/>
          <w:szCs w:val="20"/>
        </w:rPr>
        <w:t>“</w:t>
      </w:r>
      <w:r w:rsidRPr="00494806">
        <w:rPr>
          <w:rFonts w:ascii="Arial" w:hAnsi="Arial" w:cs="Arial"/>
          <w:sz w:val="20"/>
          <w:szCs w:val="20"/>
        </w:rPr>
        <w:t>foreign investors appeared to favor large companies with low book to market stock ratios and high export ratios. This investment behavior was attributed to a lack of information asymmetry</w:t>
      </w:r>
      <w:r w:rsidR="00201452">
        <w:rPr>
          <w:rFonts w:ascii="Arial" w:hAnsi="Arial" w:cs="Arial"/>
          <w:sz w:val="20"/>
          <w:szCs w:val="20"/>
        </w:rPr>
        <w:t>”</w:t>
      </w:r>
      <w:r w:rsidRPr="00494806">
        <w:rPr>
          <w:rFonts w:ascii="Arial" w:hAnsi="Arial" w:cs="Arial"/>
          <w:sz w:val="20"/>
          <w:szCs w:val="20"/>
        </w:rPr>
        <w:t>.</w:t>
      </w:r>
    </w:p>
    <w:p w:rsidR="00802542" w:rsidRPr="00494806" w:rsidRDefault="00802542" w:rsidP="00B24785">
      <w:pPr>
        <w:spacing w:after="240" w:line="240" w:lineRule="auto"/>
        <w:jc w:val="both"/>
        <w:rPr>
          <w:rFonts w:ascii="Arial" w:hAnsi="Arial" w:cs="Arial"/>
          <w:sz w:val="20"/>
          <w:szCs w:val="20"/>
        </w:rPr>
      </w:pPr>
      <w:r w:rsidRPr="00494806">
        <w:rPr>
          <w:rFonts w:ascii="Arial" w:hAnsi="Arial" w:cs="Arial"/>
          <w:sz w:val="20"/>
          <w:szCs w:val="20"/>
        </w:rPr>
        <w:t xml:space="preserve">Studies show that other shareholders view the presence of foreign investors in a firm's ownership structure positively, which enhances the profitability and value of the firm.  Using a sample of 10,151 firm-year observations drawn from Taiwanese listed firms over the period 1997 -2015, Kao, Hodgkinson and Jaafar (2018) found that </w:t>
      </w:r>
      <w:r w:rsidR="00201452">
        <w:rPr>
          <w:rFonts w:ascii="Arial" w:hAnsi="Arial" w:cs="Arial"/>
          <w:sz w:val="20"/>
          <w:szCs w:val="20"/>
        </w:rPr>
        <w:t>“</w:t>
      </w:r>
      <w:r w:rsidRPr="00494806">
        <w:rPr>
          <w:rFonts w:ascii="Arial" w:hAnsi="Arial" w:cs="Arial"/>
          <w:sz w:val="20"/>
          <w:szCs w:val="20"/>
        </w:rPr>
        <w:t>foreign ownership had a positive and significant effect on firm performance.  Although there are numerous studies that link foreign ownership to higher firm value, empirical research reveals conflicting results</w:t>
      </w:r>
      <w:r w:rsidR="00201452">
        <w:rPr>
          <w:rFonts w:ascii="Arial" w:hAnsi="Arial" w:cs="Arial"/>
          <w:sz w:val="20"/>
          <w:szCs w:val="20"/>
        </w:rPr>
        <w:t>”</w:t>
      </w:r>
      <w:r w:rsidRPr="00494806">
        <w:rPr>
          <w:rFonts w:ascii="Arial" w:hAnsi="Arial" w:cs="Arial"/>
          <w:sz w:val="20"/>
          <w:szCs w:val="20"/>
        </w:rPr>
        <w:t xml:space="preserve">. Mishra (2014) used </w:t>
      </w:r>
      <w:r w:rsidR="00201452">
        <w:rPr>
          <w:rFonts w:ascii="Arial" w:hAnsi="Arial" w:cs="Arial"/>
          <w:sz w:val="20"/>
          <w:szCs w:val="20"/>
        </w:rPr>
        <w:t>“</w:t>
      </w:r>
      <w:r w:rsidRPr="00494806">
        <w:rPr>
          <w:rFonts w:ascii="Arial" w:hAnsi="Arial" w:cs="Arial"/>
          <w:sz w:val="20"/>
          <w:szCs w:val="20"/>
        </w:rPr>
        <w:t>a sample of Australian firms between 2001 and 2009 and found that foreign institutional ownership had a positive and significant effect on firm value. Conversely, using a sample of 45,617 firm-year observations drawn from 3,141 publicly listed Japanese firms during the 1990–2016 period</w:t>
      </w:r>
      <w:r w:rsidR="00201452">
        <w:rPr>
          <w:rFonts w:ascii="Arial" w:hAnsi="Arial" w:cs="Arial"/>
          <w:sz w:val="20"/>
          <w:szCs w:val="20"/>
        </w:rPr>
        <w:t>”</w:t>
      </w:r>
      <w:r w:rsidRPr="00494806">
        <w:rPr>
          <w:rFonts w:ascii="Arial" w:hAnsi="Arial" w:cs="Arial"/>
          <w:sz w:val="20"/>
          <w:szCs w:val="20"/>
        </w:rPr>
        <w:t xml:space="preserve">, </w:t>
      </w:r>
      <w:proofErr w:type="spellStart"/>
      <w:r w:rsidRPr="00494806">
        <w:rPr>
          <w:rFonts w:ascii="Arial" w:hAnsi="Arial" w:cs="Arial"/>
          <w:sz w:val="20"/>
          <w:szCs w:val="20"/>
        </w:rPr>
        <w:t>Likitwongkajon</w:t>
      </w:r>
      <w:proofErr w:type="spellEnd"/>
      <w:r w:rsidRPr="00494806">
        <w:rPr>
          <w:rFonts w:ascii="Arial" w:hAnsi="Arial" w:cs="Arial"/>
          <w:sz w:val="20"/>
          <w:szCs w:val="20"/>
        </w:rPr>
        <w:t xml:space="preserve"> and </w:t>
      </w:r>
      <w:proofErr w:type="spellStart"/>
      <w:r w:rsidRPr="00494806">
        <w:rPr>
          <w:rFonts w:ascii="Arial" w:hAnsi="Arial" w:cs="Arial"/>
          <w:sz w:val="20"/>
          <w:szCs w:val="20"/>
        </w:rPr>
        <w:t>Vithessonthi</w:t>
      </w:r>
      <w:proofErr w:type="spellEnd"/>
      <w:r w:rsidRPr="00494806">
        <w:rPr>
          <w:rFonts w:ascii="Arial" w:hAnsi="Arial" w:cs="Arial"/>
          <w:sz w:val="20"/>
          <w:szCs w:val="20"/>
        </w:rPr>
        <w:t xml:space="preserve"> (2020) found that foreign ownership was negatively associated with firm value</w:t>
      </w:r>
    </w:p>
    <w:p w:rsidR="0066768F" w:rsidRPr="00E065A9" w:rsidRDefault="00802542" w:rsidP="00B24785">
      <w:pPr>
        <w:spacing w:after="240" w:line="240" w:lineRule="auto"/>
        <w:jc w:val="both"/>
        <w:rPr>
          <w:rFonts w:ascii="Arial" w:hAnsi="Arial" w:cs="Arial"/>
          <w:sz w:val="20"/>
          <w:szCs w:val="20"/>
        </w:rPr>
      </w:pPr>
      <w:r w:rsidRPr="00494806">
        <w:rPr>
          <w:rFonts w:ascii="Arial" w:hAnsi="Arial" w:cs="Arial"/>
          <w:sz w:val="20"/>
          <w:szCs w:val="20"/>
        </w:rPr>
        <w:t xml:space="preserve">Ferris and Park (2005) investigated </w:t>
      </w:r>
      <w:r w:rsidR="00201452">
        <w:rPr>
          <w:rFonts w:ascii="Arial" w:hAnsi="Arial" w:cs="Arial"/>
          <w:sz w:val="20"/>
          <w:szCs w:val="20"/>
        </w:rPr>
        <w:t>“</w:t>
      </w:r>
      <w:r w:rsidRPr="00494806">
        <w:rPr>
          <w:rFonts w:ascii="Arial" w:hAnsi="Arial" w:cs="Arial"/>
          <w:sz w:val="20"/>
          <w:szCs w:val="20"/>
        </w:rPr>
        <w:t xml:space="preserve">the relationship between foreign ownership and business value using data gathered from 945 Japanese enterprises between 1995 and 1997. The findings of this study demonstrated that firm value increased up to a point where foreign ownership was roughly 40%, after which it started to decrease. The authors attributed these findings to the fact that R&amp;D fell as foreign ownership </w:t>
      </w:r>
      <w:r w:rsidRPr="00494806">
        <w:rPr>
          <w:rFonts w:ascii="Arial" w:hAnsi="Arial" w:cs="Arial"/>
          <w:sz w:val="20"/>
          <w:szCs w:val="20"/>
        </w:rPr>
        <w:lastRenderedPageBreak/>
        <w:t>increased. The authors further argued that whereas industrial owners often spend more on R&amp;D domestically, they typically spend less on R&amp;D overseas.</w:t>
      </w:r>
      <w:r w:rsidR="00D93661" w:rsidRPr="00494806">
        <w:rPr>
          <w:rFonts w:ascii="Arial" w:hAnsi="Arial" w:cs="Arial"/>
          <w:sz w:val="20"/>
          <w:szCs w:val="20"/>
        </w:rPr>
        <w:t xml:space="preserve"> </w:t>
      </w:r>
      <w:r w:rsidR="00494806">
        <w:rPr>
          <w:rFonts w:ascii="Arial" w:hAnsi="Arial" w:cs="Arial"/>
          <w:sz w:val="20"/>
          <w:szCs w:val="20"/>
        </w:rPr>
        <w:t xml:space="preserve"> </w:t>
      </w:r>
      <w:r w:rsidR="00E065A9" w:rsidRPr="00494806">
        <w:rPr>
          <w:rFonts w:ascii="Arial" w:hAnsi="Arial" w:cs="Arial"/>
          <w:sz w:val="20"/>
          <w:szCs w:val="20"/>
        </w:rPr>
        <w:t>Using a sample of 145 firm-year observations from 29 listed banks in the Dhaka Stock Exchange (DSE) of Bangladesh from 2016 to 2020 and the generalized method of moments (GMM),</w:t>
      </w:r>
      <w:r w:rsidR="00201452">
        <w:rPr>
          <w:rFonts w:ascii="Arial" w:hAnsi="Arial" w:cs="Arial"/>
          <w:sz w:val="20"/>
          <w:szCs w:val="20"/>
        </w:rPr>
        <w:t>”</w:t>
      </w:r>
      <w:r w:rsidR="00E065A9" w:rsidRPr="00494806">
        <w:rPr>
          <w:rFonts w:ascii="Arial" w:hAnsi="Arial" w:cs="Arial"/>
          <w:sz w:val="20"/>
          <w:szCs w:val="20"/>
        </w:rPr>
        <w:t xml:space="preserve"> Das et al., (2024) found that </w:t>
      </w:r>
      <w:r w:rsidR="00201452">
        <w:rPr>
          <w:rFonts w:ascii="Arial" w:hAnsi="Arial" w:cs="Arial"/>
          <w:sz w:val="20"/>
          <w:szCs w:val="20"/>
        </w:rPr>
        <w:t>“</w:t>
      </w:r>
      <w:r w:rsidR="00E065A9" w:rsidRPr="00494806">
        <w:rPr>
          <w:rFonts w:ascii="Arial" w:hAnsi="Arial" w:cs="Arial"/>
          <w:sz w:val="20"/>
          <w:szCs w:val="20"/>
        </w:rPr>
        <w:t>managerial and foreign ownership, significantly impact SR disclosure. </w:t>
      </w:r>
      <w:r w:rsidR="00494806">
        <w:rPr>
          <w:rFonts w:ascii="Arial" w:hAnsi="Arial" w:cs="Arial"/>
          <w:sz w:val="20"/>
          <w:szCs w:val="20"/>
        </w:rPr>
        <w:t xml:space="preserve"> </w:t>
      </w:r>
      <w:r w:rsidR="00E065A9" w:rsidRPr="00494806">
        <w:rPr>
          <w:rFonts w:ascii="Arial" w:hAnsi="Arial" w:cs="Arial"/>
          <w:sz w:val="20"/>
          <w:szCs w:val="20"/>
        </w:rPr>
        <w:t>Using a large sample of publicly listed firms between 2010 and 2016 in Taiwan where the types of foreign ownership include foreign trust funds, foreign financial institutions and other foreign legal entities,</w:t>
      </w:r>
      <w:r w:rsidR="00201452">
        <w:rPr>
          <w:rFonts w:ascii="Arial" w:hAnsi="Arial" w:cs="Arial"/>
          <w:sz w:val="20"/>
          <w:szCs w:val="20"/>
        </w:rPr>
        <w:t>”</w:t>
      </w:r>
      <w:r w:rsidR="00E065A9" w:rsidRPr="00494806">
        <w:rPr>
          <w:rFonts w:ascii="Arial" w:hAnsi="Arial" w:cs="Arial"/>
          <w:sz w:val="20"/>
          <w:szCs w:val="20"/>
        </w:rPr>
        <w:t xml:space="preserve"> Liou et al., (2023) found </w:t>
      </w:r>
      <w:r w:rsidR="00201452">
        <w:rPr>
          <w:rFonts w:ascii="Arial" w:hAnsi="Arial" w:cs="Arial"/>
          <w:sz w:val="20"/>
          <w:szCs w:val="20"/>
        </w:rPr>
        <w:t>“</w:t>
      </w:r>
      <w:r w:rsidR="00E065A9" w:rsidRPr="00494806">
        <w:rPr>
          <w:rFonts w:ascii="Arial" w:hAnsi="Arial" w:cs="Arial"/>
          <w:sz w:val="20"/>
          <w:szCs w:val="20"/>
        </w:rPr>
        <w:t>a positive association between ownership and sustainability disclosure.</w:t>
      </w:r>
      <w:r w:rsidR="00B24785" w:rsidRPr="00494806">
        <w:rPr>
          <w:rFonts w:ascii="Arial" w:hAnsi="Arial" w:cs="Arial"/>
          <w:sz w:val="20"/>
          <w:szCs w:val="20"/>
        </w:rPr>
        <w:t xml:space="preserve"> </w:t>
      </w:r>
      <w:r w:rsidR="00E065A9" w:rsidRPr="00494806">
        <w:rPr>
          <w:rFonts w:ascii="Arial" w:hAnsi="Arial" w:cs="Arial"/>
          <w:sz w:val="20"/>
          <w:szCs w:val="20"/>
          <w:lang w:val="en-GB"/>
        </w:rPr>
        <w:t xml:space="preserve">By analysing a </w:t>
      </w:r>
      <w:r w:rsidR="00E065A9" w:rsidRPr="00E065A9">
        <w:rPr>
          <w:rFonts w:ascii="Arial" w:hAnsi="Arial" w:cs="Arial"/>
          <w:sz w:val="20"/>
          <w:szCs w:val="20"/>
          <w:lang w:val="en-GB"/>
        </w:rPr>
        <w:t>sample of 1,260 firm-year observations from BRICS for the period 2010–2019</w:t>
      </w:r>
      <w:r w:rsidR="00C547E9" w:rsidRPr="00494806">
        <w:rPr>
          <w:rFonts w:ascii="Arial" w:hAnsi="Arial" w:cs="Arial"/>
          <w:sz w:val="20"/>
          <w:szCs w:val="20"/>
          <w:lang w:val="en-GB"/>
        </w:rPr>
        <w:t xml:space="preserve">, </w:t>
      </w:r>
      <w:r w:rsidR="00E065A9" w:rsidRPr="00E065A9">
        <w:rPr>
          <w:rFonts w:ascii="Arial" w:hAnsi="Arial" w:cs="Arial"/>
          <w:sz w:val="20"/>
          <w:szCs w:val="20"/>
          <w:lang w:val="en-GB"/>
        </w:rPr>
        <w:t xml:space="preserve">the ordinary least squares (OLS) and </w:t>
      </w:r>
      <w:r w:rsidR="00494806" w:rsidRPr="00E065A9">
        <w:rPr>
          <w:rFonts w:ascii="Arial" w:hAnsi="Arial" w:cs="Arial"/>
          <w:sz w:val="20"/>
          <w:szCs w:val="20"/>
          <w:lang w:val="en-GB"/>
        </w:rPr>
        <w:t>instrumental</w:t>
      </w:r>
      <w:r w:rsidR="00E065A9" w:rsidRPr="00E065A9">
        <w:rPr>
          <w:rFonts w:ascii="Arial" w:hAnsi="Arial" w:cs="Arial"/>
          <w:sz w:val="20"/>
          <w:szCs w:val="20"/>
          <w:lang w:val="en-GB"/>
        </w:rPr>
        <w:t xml:space="preserve"> variables (IV) two-stage least squares (2SLS) regressions for data analysis</w:t>
      </w:r>
      <w:r w:rsidR="00C547E9" w:rsidRPr="00494806">
        <w:rPr>
          <w:rFonts w:ascii="Arial" w:hAnsi="Arial" w:cs="Arial"/>
          <w:sz w:val="20"/>
          <w:szCs w:val="20"/>
          <w:lang w:val="en-GB"/>
        </w:rPr>
        <w:t>,</w:t>
      </w:r>
      <w:r w:rsidR="00201452">
        <w:rPr>
          <w:rFonts w:ascii="Arial" w:hAnsi="Arial" w:cs="Arial"/>
          <w:sz w:val="20"/>
          <w:szCs w:val="20"/>
          <w:lang w:val="en-GB"/>
        </w:rPr>
        <w:t>”</w:t>
      </w:r>
      <w:r w:rsidR="00C547E9" w:rsidRPr="00494806">
        <w:rPr>
          <w:rFonts w:ascii="Arial" w:hAnsi="Arial" w:cs="Arial"/>
          <w:sz w:val="20"/>
          <w:szCs w:val="20"/>
          <w:lang w:val="en-GB"/>
        </w:rPr>
        <w:t xml:space="preserve"> </w:t>
      </w:r>
      <w:r w:rsidR="00C547E9" w:rsidRPr="00494806">
        <w:rPr>
          <w:rFonts w:ascii="Arial" w:hAnsi="Arial" w:cs="Arial"/>
          <w:sz w:val="20"/>
          <w:szCs w:val="20"/>
        </w:rPr>
        <w:t>Nuhu and Alam (2024)</w:t>
      </w:r>
      <w:r w:rsidR="00C547E9" w:rsidRPr="00494806">
        <w:rPr>
          <w:rFonts w:ascii="Arial" w:hAnsi="Arial" w:cs="Arial"/>
          <w:sz w:val="20"/>
          <w:szCs w:val="20"/>
          <w:lang w:val="en-GB"/>
        </w:rPr>
        <w:t xml:space="preserve"> </w:t>
      </w:r>
      <w:r w:rsidR="00494806" w:rsidRPr="00494806">
        <w:rPr>
          <w:rFonts w:ascii="Arial" w:hAnsi="Arial" w:cs="Arial"/>
          <w:sz w:val="20"/>
          <w:szCs w:val="20"/>
          <w:lang w:val="en-GB"/>
        </w:rPr>
        <w:t xml:space="preserve">reported </w:t>
      </w:r>
      <w:r w:rsidR="00494806" w:rsidRPr="00E065A9">
        <w:rPr>
          <w:rFonts w:ascii="Arial" w:hAnsi="Arial" w:cs="Arial"/>
          <w:sz w:val="20"/>
          <w:szCs w:val="20"/>
          <w:lang w:val="en-GB"/>
        </w:rPr>
        <w:t>that</w:t>
      </w:r>
      <w:r w:rsidR="00E065A9" w:rsidRPr="00E065A9">
        <w:rPr>
          <w:rFonts w:ascii="Arial" w:hAnsi="Arial" w:cs="Arial"/>
          <w:sz w:val="20"/>
          <w:szCs w:val="20"/>
          <w:lang w:val="en-GB"/>
        </w:rPr>
        <w:t xml:space="preserve"> </w:t>
      </w:r>
      <w:r w:rsidR="00201452">
        <w:rPr>
          <w:rFonts w:ascii="Arial" w:hAnsi="Arial" w:cs="Arial"/>
          <w:sz w:val="20"/>
          <w:szCs w:val="20"/>
          <w:lang w:val="en-GB"/>
        </w:rPr>
        <w:t>“</w:t>
      </w:r>
      <w:r w:rsidR="00E065A9" w:rsidRPr="00E065A9">
        <w:rPr>
          <w:rFonts w:ascii="Arial" w:hAnsi="Arial" w:cs="Arial"/>
          <w:sz w:val="20"/>
          <w:szCs w:val="20"/>
          <w:lang w:val="en-GB"/>
        </w:rPr>
        <w:t xml:space="preserve">foreign ownership, managerial ownership and </w:t>
      </w:r>
      <w:proofErr w:type="spellStart"/>
      <w:r w:rsidR="00E065A9" w:rsidRPr="00E065A9">
        <w:rPr>
          <w:rFonts w:ascii="Arial" w:hAnsi="Arial" w:cs="Arial"/>
          <w:sz w:val="20"/>
          <w:szCs w:val="20"/>
          <w:lang w:val="en-GB"/>
        </w:rPr>
        <w:t>blockholder</w:t>
      </w:r>
      <w:proofErr w:type="spellEnd"/>
      <w:r w:rsidR="00E065A9" w:rsidRPr="00E065A9">
        <w:rPr>
          <w:rFonts w:ascii="Arial" w:hAnsi="Arial" w:cs="Arial"/>
          <w:sz w:val="20"/>
          <w:szCs w:val="20"/>
          <w:lang w:val="en-GB"/>
        </w:rPr>
        <w:t xml:space="preserve"> ownership have a positive and statistically significant impact on the level of </w:t>
      </w:r>
      <w:r w:rsidR="00B24785" w:rsidRPr="00494806">
        <w:rPr>
          <w:rFonts w:ascii="Arial" w:hAnsi="Arial" w:cs="Arial"/>
          <w:sz w:val="20"/>
          <w:szCs w:val="20"/>
          <w:lang w:val="en-GB"/>
        </w:rPr>
        <w:t>sustainability reporting</w:t>
      </w:r>
      <w:r w:rsidR="00E065A9" w:rsidRPr="00E065A9">
        <w:rPr>
          <w:rFonts w:ascii="Arial" w:hAnsi="Arial" w:cs="Arial"/>
          <w:sz w:val="20"/>
          <w:szCs w:val="20"/>
          <w:lang w:val="en-GB"/>
        </w:rPr>
        <w:t>.</w:t>
      </w:r>
      <w:r w:rsidR="00B24785" w:rsidRPr="00494806">
        <w:rPr>
          <w:rFonts w:ascii="Arial" w:hAnsi="Arial" w:cs="Arial"/>
          <w:sz w:val="20"/>
          <w:szCs w:val="20"/>
        </w:rPr>
        <w:t xml:space="preserve"> </w:t>
      </w:r>
      <w:r w:rsidR="0066768F" w:rsidRPr="00494806">
        <w:rPr>
          <w:rFonts w:ascii="Arial" w:hAnsi="Arial" w:cs="Arial"/>
          <w:sz w:val="20"/>
          <w:szCs w:val="20"/>
        </w:rPr>
        <w:t>Employing a sample of 138 firms listed on the Pakistan Stock Exchange for the years 2009–2018</w:t>
      </w:r>
      <w:r w:rsidR="00201452">
        <w:rPr>
          <w:rFonts w:ascii="Arial" w:hAnsi="Arial" w:cs="Arial"/>
          <w:sz w:val="20"/>
          <w:szCs w:val="20"/>
        </w:rPr>
        <w:t>”.</w:t>
      </w:r>
      <w:r w:rsidR="0066768F" w:rsidRPr="00494806">
        <w:rPr>
          <w:rFonts w:ascii="Arial" w:hAnsi="Arial" w:cs="Arial"/>
          <w:sz w:val="20"/>
          <w:szCs w:val="20"/>
        </w:rPr>
        <w:t xml:space="preserve"> Hasan et al., (2022) found that </w:t>
      </w:r>
      <w:r w:rsidR="00201452">
        <w:rPr>
          <w:rFonts w:ascii="Arial" w:hAnsi="Arial" w:cs="Arial"/>
          <w:sz w:val="20"/>
          <w:szCs w:val="20"/>
        </w:rPr>
        <w:t>“</w:t>
      </w:r>
      <w:r w:rsidR="0066768F" w:rsidRPr="00494806">
        <w:rPr>
          <w:rFonts w:ascii="Arial" w:hAnsi="Arial" w:cs="Arial"/>
          <w:sz w:val="20"/>
          <w:szCs w:val="20"/>
        </w:rPr>
        <w:t>gender-diverse boards, larger audit committees and higher institutional ownership are more likely to issue sustainability reports. On the other hand, the authors found that concentrated ownership, managerial ownership, foreign ownership and audit committee independence negatively influence the firms' sustainability reporting decision. Based on the literature, the following hypotheses is formulated:</w:t>
      </w:r>
      <w:r w:rsidR="00201452">
        <w:rPr>
          <w:rFonts w:ascii="Arial" w:hAnsi="Arial" w:cs="Arial"/>
          <w:sz w:val="20"/>
          <w:szCs w:val="20"/>
        </w:rPr>
        <w:t>”</w:t>
      </w:r>
      <w:r w:rsidR="0066768F" w:rsidRPr="00494806">
        <w:rPr>
          <w:rFonts w:ascii="Arial" w:hAnsi="Arial" w:cs="Arial"/>
          <w:sz w:val="20"/>
          <w:szCs w:val="20"/>
        </w:rPr>
        <w:t xml:space="preserve"> </w:t>
      </w:r>
    </w:p>
    <w:p w:rsidR="00D93661" w:rsidRPr="00494806" w:rsidRDefault="00D93661" w:rsidP="00B24785">
      <w:pPr>
        <w:spacing w:after="240" w:line="240" w:lineRule="auto"/>
        <w:jc w:val="both"/>
        <w:rPr>
          <w:rFonts w:ascii="Arial" w:hAnsi="Arial" w:cs="Arial"/>
          <w:sz w:val="20"/>
          <w:szCs w:val="20"/>
        </w:rPr>
      </w:pPr>
      <w:r w:rsidRPr="00494806">
        <w:rPr>
          <w:rFonts w:ascii="Arial" w:hAnsi="Arial" w:cs="Arial"/>
          <w:sz w:val="20"/>
          <w:szCs w:val="20"/>
        </w:rPr>
        <w:t>H1. Foreign ownership is positively associated with corporate sustainability disclosure.</w:t>
      </w:r>
    </w:p>
    <w:p w:rsidR="007D58F1" w:rsidRPr="00494806" w:rsidRDefault="007D58F1" w:rsidP="00B24785">
      <w:pPr>
        <w:spacing w:line="240" w:lineRule="auto"/>
        <w:jc w:val="both"/>
        <w:rPr>
          <w:rFonts w:ascii="Arial" w:eastAsia="Calibri" w:hAnsi="Arial" w:cs="Arial"/>
          <w:b/>
          <w:bCs/>
          <w:sz w:val="20"/>
          <w:szCs w:val="20"/>
        </w:rPr>
      </w:pPr>
    </w:p>
    <w:p w:rsidR="007D58F1" w:rsidRPr="00494806" w:rsidRDefault="007D58F1" w:rsidP="00B24785">
      <w:pPr>
        <w:pStyle w:val="ListParagraph"/>
        <w:numPr>
          <w:ilvl w:val="0"/>
          <w:numId w:val="1"/>
        </w:numPr>
        <w:spacing w:line="240" w:lineRule="auto"/>
        <w:jc w:val="both"/>
        <w:rPr>
          <w:rFonts w:ascii="Arial" w:eastAsia="Calibri" w:hAnsi="Arial" w:cs="Arial"/>
          <w:b/>
          <w:bCs/>
        </w:rPr>
      </w:pPr>
      <w:r w:rsidRPr="00494806">
        <w:rPr>
          <w:rFonts w:ascii="Arial" w:eastAsia="Calibri" w:hAnsi="Arial" w:cs="Arial"/>
          <w:b/>
          <w:bCs/>
        </w:rPr>
        <w:t>Methodology</w:t>
      </w:r>
    </w:p>
    <w:p w:rsidR="007D58F1" w:rsidRPr="00494806" w:rsidRDefault="007D58F1" w:rsidP="00B24785">
      <w:pPr>
        <w:pStyle w:val="ListParagraph"/>
        <w:numPr>
          <w:ilvl w:val="1"/>
          <w:numId w:val="1"/>
        </w:numPr>
        <w:spacing w:line="240" w:lineRule="auto"/>
        <w:jc w:val="both"/>
        <w:rPr>
          <w:rFonts w:ascii="Arial" w:eastAsia="Calibri" w:hAnsi="Arial" w:cs="Arial"/>
          <w:i/>
          <w:iCs/>
          <w:sz w:val="20"/>
          <w:szCs w:val="20"/>
        </w:rPr>
      </w:pPr>
      <w:r w:rsidRPr="00494806">
        <w:rPr>
          <w:rFonts w:ascii="Arial" w:eastAsia="Calibri" w:hAnsi="Arial" w:cs="Arial"/>
          <w:i/>
          <w:iCs/>
          <w:sz w:val="20"/>
          <w:szCs w:val="20"/>
        </w:rPr>
        <w:t>Sample selection</w:t>
      </w:r>
    </w:p>
    <w:p w:rsidR="00431272" w:rsidRPr="00494806" w:rsidRDefault="00431272" w:rsidP="00B24785">
      <w:pPr>
        <w:spacing w:line="240" w:lineRule="auto"/>
        <w:jc w:val="both"/>
        <w:rPr>
          <w:rFonts w:ascii="Arial" w:hAnsi="Arial" w:cs="Arial"/>
          <w:sz w:val="20"/>
          <w:szCs w:val="20"/>
        </w:rPr>
      </w:pPr>
      <w:r w:rsidRPr="00494806">
        <w:rPr>
          <w:rFonts w:ascii="Arial" w:eastAsia="Calibri" w:hAnsi="Arial" w:cs="Arial"/>
          <w:sz w:val="20"/>
          <w:szCs w:val="20"/>
        </w:rPr>
        <w:t xml:space="preserve">The study population consisted of all listed firms in East Africa partner states. Rwanda 10, Kenya 67, Uganda 17 and </w:t>
      </w:r>
      <w:r w:rsidRPr="00494806">
        <w:rPr>
          <w:rFonts w:ascii="Arial" w:eastAsia="Calibri" w:hAnsi="Arial" w:cs="Arial"/>
          <w:bCs/>
          <w:sz w:val="20"/>
          <w:szCs w:val="20"/>
        </w:rPr>
        <w:t xml:space="preserve">Dar-es-salaam Stock Exchange 28.  Exclude Burundi as it doesn't have a securities exchange. </w:t>
      </w:r>
      <w:r w:rsidRPr="00494806">
        <w:rPr>
          <w:rFonts w:ascii="Arial" w:hAnsi="Arial" w:cs="Arial"/>
          <w:sz w:val="20"/>
          <w:szCs w:val="20"/>
        </w:rPr>
        <w:t>The inclusion and exclusion criterion was based on three criteria’s, first is whether the firm has been operating over the study period of 2012 to 2022, secondly the firm should have complete data and has not undergone major restructuring such as merger or acquisition which may impair consistency of the data, thirdly the firms which are cross-listed in the EAC where their financial performance data was be obtained from group accounts where the firm was incorporated. Upon applying the inclusion/exclusion criteria the final sample was 5</w:t>
      </w:r>
      <w:r w:rsidR="0029487B">
        <w:rPr>
          <w:rFonts w:ascii="Arial" w:hAnsi="Arial" w:cs="Arial"/>
          <w:sz w:val="20"/>
          <w:szCs w:val="20"/>
        </w:rPr>
        <w:t>5</w:t>
      </w:r>
      <w:r w:rsidRPr="00494806">
        <w:rPr>
          <w:rFonts w:ascii="Arial" w:hAnsi="Arial" w:cs="Arial"/>
          <w:sz w:val="20"/>
          <w:szCs w:val="20"/>
        </w:rPr>
        <w:t xml:space="preserve"> firms over a period of 11 years that yielded 605 firm-years observations.</w:t>
      </w:r>
    </w:p>
    <w:p w:rsidR="007D58F1" w:rsidRPr="00494806" w:rsidRDefault="007D58F1" w:rsidP="00B24785">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Variable</w:t>
      </w:r>
      <w:r w:rsidR="00B24785" w:rsidRPr="00494806">
        <w:rPr>
          <w:rFonts w:ascii="Arial" w:hAnsi="Arial" w:cs="Arial"/>
          <w:i/>
          <w:iCs/>
          <w:sz w:val="20"/>
          <w:szCs w:val="20"/>
        </w:rPr>
        <w:t>s</w:t>
      </w:r>
      <w:r w:rsidRPr="00494806">
        <w:rPr>
          <w:rFonts w:ascii="Arial" w:hAnsi="Arial" w:cs="Arial"/>
          <w:i/>
          <w:iCs/>
          <w:sz w:val="20"/>
          <w:szCs w:val="20"/>
        </w:rPr>
        <w:t xml:space="preserve"> measurement </w:t>
      </w:r>
    </w:p>
    <w:p w:rsidR="00323D0C" w:rsidRPr="00494806" w:rsidRDefault="009E5737" w:rsidP="00B24785">
      <w:pPr>
        <w:spacing w:before="240" w:line="240" w:lineRule="auto"/>
        <w:jc w:val="both"/>
        <w:rPr>
          <w:rFonts w:ascii="Arial" w:hAnsi="Arial" w:cs="Arial"/>
          <w:sz w:val="20"/>
          <w:szCs w:val="20"/>
        </w:rPr>
      </w:pPr>
      <w:r w:rsidRPr="00494806">
        <w:rPr>
          <w:rFonts w:ascii="Arial" w:hAnsi="Arial" w:cs="Arial"/>
          <w:i/>
          <w:iCs/>
          <w:sz w:val="20"/>
          <w:szCs w:val="20"/>
        </w:rPr>
        <w:t>Dependent variable</w:t>
      </w:r>
      <w:r w:rsidRPr="00494806">
        <w:rPr>
          <w:rFonts w:ascii="Arial" w:hAnsi="Arial" w:cs="Arial"/>
          <w:sz w:val="20"/>
          <w:szCs w:val="20"/>
        </w:rPr>
        <w:t xml:space="preserve">- The proxy variable that will be utilized is </w:t>
      </w:r>
      <w:r w:rsidR="00B71F4E">
        <w:rPr>
          <w:rFonts w:ascii="Arial" w:hAnsi="Arial" w:cs="Arial"/>
          <w:sz w:val="20"/>
          <w:szCs w:val="20"/>
        </w:rPr>
        <w:t>corporate sustainability disclosure</w:t>
      </w:r>
      <w:r w:rsidRPr="00494806">
        <w:rPr>
          <w:rFonts w:ascii="Arial" w:hAnsi="Arial" w:cs="Arial"/>
          <w:sz w:val="20"/>
          <w:szCs w:val="20"/>
        </w:rPr>
        <w:t xml:space="preserve"> (</w:t>
      </w:r>
      <w:r w:rsidR="007727E6">
        <w:rPr>
          <w:rFonts w:ascii="Arial" w:hAnsi="Arial" w:cs="Arial"/>
          <w:sz w:val="20"/>
          <w:szCs w:val="20"/>
        </w:rPr>
        <w:t>CSD).</w:t>
      </w:r>
      <w:r w:rsidR="006D207C" w:rsidRPr="00494806">
        <w:rPr>
          <w:rFonts w:ascii="Arial" w:hAnsi="Arial" w:cs="Arial"/>
          <w:sz w:val="20"/>
          <w:szCs w:val="20"/>
        </w:rPr>
        <w:t xml:space="preserve"> </w:t>
      </w:r>
      <w:r w:rsidR="007727E6">
        <w:rPr>
          <w:rFonts w:ascii="Arial" w:hAnsi="Arial" w:cs="Arial"/>
          <w:sz w:val="20"/>
          <w:szCs w:val="20"/>
        </w:rPr>
        <w:t xml:space="preserve">The study employed the </w:t>
      </w:r>
      <w:r w:rsidR="006D207C" w:rsidRPr="00494806">
        <w:rPr>
          <w:rFonts w:ascii="Arial" w:hAnsi="Arial" w:cs="Arial"/>
          <w:sz w:val="20"/>
          <w:szCs w:val="20"/>
        </w:rPr>
        <w:t>GRI</w:t>
      </w:r>
      <w:r w:rsidR="007727E6">
        <w:rPr>
          <w:rFonts w:ascii="Arial" w:hAnsi="Arial" w:cs="Arial"/>
          <w:sz w:val="20"/>
          <w:szCs w:val="20"/>
        </w:rPr>
        <w:t xml:space="preserve"> content analysis to measure this variable</w:t>
      </w:r>
      <w:r w:rsidR="006D207C" w:rsidRPr="00494806">
        <w:rPr>
          <w:rFonts w:ascii="Arial" w:hAnsi="Arial" w:cs="Arial"/>
          <w:sz w:val="20"/>
          <w:szCs w:val="20"/>
        </w:rPr>
        <w:t>. The GRI</w:t>
      </w:r>
      <w:r w:rsidR="007727E6">
        <w:rPr>
          <w:rFonts w:ascii="Arial" w:hAnsi="Arial" w:cs="Arial"/>
          <w:sz w:val="20"/>
          <w:szCs w:val="20"/>
        </w:rPr>
        <w:t>-</w:t>
      </w:r>
      <w:r w:rsidR="006D207C" w:rsidRPr="00494806">
        <w:rPr>
          <w:rFonts w:ascii="Arial" w:hAnsi="Arial" w:cs="Arial"/>
          <w:sz w:val="20"/>
          <w:szCs w:val="20"/>
        </w:rPr>
        <w:t xml:space="preserve">G4 guidelines are the robust disclosing guidelines </w:t>
      </w:r>
      <w:r w:rsidR="007727E6">
        <w:rPr>
          <w:rFonts w:ascii="Arial" w:hAnsi="Arial" w:cs="Arial"/>
          <w:sz w:val="20"/>
          <w:szCs w:val="20"/>
        </w:rPr>
        <w:t>on corporate economic, social and</w:t>
      </w:r>
      <w:r w:rsidR="006D207C" w:rsidRPr="00494806">
        <w:rPr>
          <w:rFonts w:ascii="Arial" w:hAnsi="Arial" w:cs="Arial"/>
          <w:sz w:val="20"/>
          <w:szCs w:val="20"/>
        </w:rPr>
        <w:t xml:space="preserve"> environmental information (Dissanayake et al. 2016; Comyns 2016</w:t>
      </w:r>
      <w:r w:rsidR="007727E6">
        <w:rPr>
          <w:rFonts w:ascii="Arial" w:hAnsi="Arial" w:cs="Arial"/>
          <w:sz w:val="20"/>
          <w:szCs w:val="20"/>
        </w:rPr>
        <w:t>; Githaiga, 2025</w:t>
      </w:r>
      <w:r w:rsidR="006D207C" w:rsidRPr="00494806">
        <w:rPr>
          <w:rFonts w:ascii="Arial" w:hAnsi="Arial" w:cs="Arial"/>
          <w:sz w:val="20"/>
          <w:szCs w:val="20"/>
        </w:rPr>
        <w:t xml:space="preserve">). This also considers the differences in the numbers of environmental indicators between the G3 and G4 guidelines. </w:t>
      </w:r>
      <w:r w:rsidRPr="00494806">
        <w:rPr>
          <w:rFonts w:ascii="Arial" w:hAnsi="Arial" w:cs="Arial"/>
          <w:sz w:val="20"/>
          <w:szCs w:val="20"/>
        </w:rPr>
        <w:t xml:space="preserve">Report Disclosure Index), which is governed by GRI-G4 guidelines. </w:t>
      </w:r>
      <w:r w:rsidR="006D207C" w:rsidRPr="00494806">
        <w:rPr>
          <w:rFonts w:ascii="Arial" w:hAnsi="Arial" w:cs="Arial"/>
          <w:sz w:val="20"/>
          <w:szCs w:val="20"/>
        </w:rPr>
        <w:t xml:space="preserve"> </w:t>
      </w:r>
      <w:r w:rsidRPr="00494806">
        <w:rPr>
          <w:rFonts w:ascii="Arial" w:hAnsi="Arial" w:cs="Arial"/>
          <w:sz w:val="20"/>
          <w:szCs w:val="20"/>
        </w:rPr>
        <w:t>There are nine disclosures in the economic dimension, thirty in the environmental dimension, and forty in the social dimension. Based on the level “0” none disclosure “1” if mentioned and “2” detailed disclosure.</w:t>
      </w:r>
      <w:r w:rsidR="00323D0C" w:rsidRPr="00494806">
        <w:rPr>
          <w:rFonts w:ascii="Arial" w:hAnsi="Arial" w:cs="Arial"/>
          <w:sz w:val="20"/>
          <w:szCs w:val="20"/>
        </w:rPr>
        <w:t xml:space="preserve"> Hence, a firm’s CSD disclosure is the ratio of the scores obtained to a maximum score of 158 (79*).</w:t>
      </w:r>
    </w:p>
    <w:p w:rsidR="009E5737" w:rsidRPr="00494806" w:rsidRDefault="009E5737" w:rsidP="00B24785">
      <w:pPr>
        <w:spacing w:before="240" w:line="240" w:lineRule="auto"/>
        <w:jc w:val="both"/>
        <w:rPr>
          <w:rFonts w:ascii="Arial" w:hAnsi="Arial" w:cs="Arial"/>
          <w:i/>
          <w:iCs/>
          <w:sz w:val="20"/>
          <w:szCs w:val="20"/>
        </w:rPr>
      </w:pPr>
      <w:r w:rsidRPr="00494806">
        <w:rPr>
          <w:rFonts w:ascii="Arial" w:hAnsi="Arial" w:cs="Arial"/>
          <w:i/>
          <w:iCs/>
          <w:sz w:val="20"/>
          <w:szCs w:val="20"/>
        </w:rPr>
        <w:t>Independent variable</w:t>
      </w:r>
    </w:p>
    <w:p w:rsidR="00353D91" w:rsidRPr="00494806" w:rsidRDefault="00353D91" w:rsidP="00B24785">
      <w:pPr>
        <w:spacing w:before="240" w:line="240" w:lineRule="auto"/>
        <w:jc w:val="both"/>
        <w:rPr>
          <w:rFonts w:ascii="Arial" w:hAnsi="Arial" w:cs="Arial"/>
          <w:sz w:val="20"/>
          <w:szCs w:val="20"/>
        </w:rPr>
      </w:pPr>
      <w:r w:rsidRPr="00494806">
        <w:rPr>
          <w:rFonts w:ascii="Arial" w:hAnsi="Arial" w:cs="Arial"/>
          <w:sz w:val="20"/>
          <w:szCs w:val="20"/>
        </w:rPr>
        <w:t xml:space="preserve">Foreign ownership </w:t>
      </w:r>
      <w:r w:rsidRPr="00494806">
        <w:rPr>
          <w:rFonts w:ascii="Arial" w:hAnsi="Arial" w:cs="Arial"/>
          <w:sz w:val="20"/>
          <w:szCs w:val="20"/>
          <w:shd w:val="clear" w:color="auto" w:fill="FFFFFF"/>
        </w:rPr>
        <w:t>the percentage equity ownership of foreign investors (Takahashi &amp; Yamada, 2021). Foreign ownership therefore signifies the proportion of a firm’s ownership that is in the hands of individual or company who is not the citizen of the country where the company was incorporated.</w:t>
      </w:r>
    </w:p>
    <w:p w:rsidR="009E5737" w:rsidRPr="00494806" w:rsidRDefault="009E5737" w:rsidP="00B24785">
      <w:pPr>
        <w:spacing w:before="240" w:line="240" w:lineRule="auto"/>
        <w:jc w:val="both"/>
        <w:rPr>
          <w:rFonts w:ascii="Arial" w:hAnsi="Arial" w:cs="Arial"/>
          <w:i/>
          <w:iCs/>
          <w:sz w:val="20"/>
          <w:szCs w:val="20"/>
        </w:rPr>
      </w:pPr>
      <w:r w:rsidRPr="00494806">
        <w:rPr>
          <w:rFonts w:ascii="Arial" w:hAnsi="Arial" w:cs="Arial"/>
          <w:i/>
          <w:iCs/>
          <w:sz w:val="20"/>
          <w:szCs w:val="20"/>
        </w:rPr>
        <w:t>Control variables</w:t>
      </w:r>
    </w:p>
    <w:p w:rsidR="00323D0C" w:rsidRPr="00494806" w:rsidRDefault="009E5737" w:rsidP="00B24785">
      <w:pPr>
        <w:spacing w:before="240" w:line="240" w:lineRule="auto"/>
        <w:jc w:val="both"/>
        <w:rPr>
          <w:rFonts w:ascii="Arial" w:hAnsi="Arial" w:cs="Arial"/>
          <w:sz w:val="20"/>
          <w:szCs w:val="20"/>
          <w:lang w:val="en-GB"/>
        </w:rPr>
      </w:pPr>
      <w:r w:rsidRPr="00494806">
        <w:rPr>
          <w:rFonts w:ascii="Arial" w:hAnsi="Arial" w:cs="Arial"/>
          <w:sz w:val="20"/>
          <w:szCs w:val="20"/>
        </w:rPr>
        <w:t>The study incorporated a set of control variables that may affect corporate disclosure practices. Firm age measured as the natural logarithm of the number of years since incorporation (Abdelazim et al.,202</w:t>
      </w:r>
      <w:r w:rsidR="00EF3D1D" w:rsidRPr="00494806">
        <w:rPr>
          <w:rFonts w:ascii="Arial" w:hAnsi="Arial" w:cs="Arial"/>
          <w:sz w:val="20"/>
          <w:szCs w:val="20"/>
        </w:rPr>
        <w:t>5</w:t>
      </w:r>
      <w:r w:rsidRPr="00494806">
        <w:rPr>
          <w:rFonts w:ascii="Arial" w:hAnsi="Arial" w:cs="Arial"/>
          <w:sz w:val="20"/>
          <w:szCs w:val="20"/>
        </w:rPr>
        <w:t xml:space="preserve">). </w:t>
      </w:r>
      <w:r w:rsidR="00EF3D1D" w:rsidRPr="00494806">
        <w:rPr>
          <w:rFonts w:ascii="Arial" w:hAnsi="Arial" w:cs="Arial"/>
          <w:sz w:val="20"/>
          <w:szCs w:val="20"/>
          <w:lang w:val="en-GB"/>
        </w:rPr>
        <w:t xml:space="preserve">Older </w:t>
      </w:r>
      <w:r w:rsidR="00EF3D1D" w:rsidRPr="00494806">
        <w:rPr>
          <w:rFonts w:ascii="Arial" w:hAnsi="Arial" w:cs="Arial"/>
          <w:sz w:val="20"/>
          <w:szCs w:val="20"/>
          <w:lang w:val="en-GB"/>
        </w:rPr>
        <w:lastRenderedPageBreak/>
        <w:t>firms are generally more acquainted with the environment and community in which they function, and their attributes are anticipated to promote responsible citizenship by providing greater transparency regarding sustainability initiatives (</w:t>
      </w:r>
      <w:r w:rsidR="00EF3D1D" w:rsidRPr="00494806">
        <w:rPr>
          <w:rFonts w:ascii="Arial" w:hAnsi="Arial" w:cs="Arial"/>
          <w:sz w:val="20"/>
          <w:szCs w:val="20"/>
        </w:rPr>
        <w:t>Al-</w:t>
      </w:r>
      <w:proofErr w:type="spellStart"/>
      <w:r w:rsidR="00EF3D1D" w:rsidRPr="00494806">
        <w:rPr>
          <w:rFonts w:ascii="Arial" w:hAnsi="Arial" w:cs="Arial"/>
          <w:sz w:val="20"/>
          <w:szCs w:val="20"/>
        </w:rPr>
        <w:t>Qudah</w:t>
      </w:r>
      <w:proofErr w:type="spellEnd"/>
      <w:r w:rsidR="00EF3D1D" w:rsidRPr="00494806">
        <w:rPr>
          <w:rFonts w:ascii="Arial" w:hAnsi="Arial" w:cs="Arial"/>
          <w:sz w:val="20"/>
          <w:szCs w:val="20"/>
        </w:rPr>
        <w:t xml:space="preserve"> &amp; Houcine, 2024). </w:t>
      </w:r>
      <w:r w:rsidR="00EF3D1D" w:rsidRPr="00494806">
        <w:rPr>
          <w:rFonts w:ascii="Arial" w:hAnsi="Arial" w:cs="Arial"/>
          <w:sz w:val="20"/>
          <w:szCs w:val="20"/>
          <w:lang w:val="en-GB"/>
        </w:rPr>
        <w:t xml:space="preserve">Furthermore, older organizations recognize the need of extensive sustainability disclosure in attracting investors and enhancing their reputation. </w:t>
      </w:r>
      <w:r w:rsidRPr="00494806">
        <w:rPr>
          <w:rFonts w:ascii="Arial" w:hAnsi="Arial" w:cs="Arial"/>
          <w:sz w:val="20"/>
          <w:szCs w:val="20"/>
        </w:rPr>
        <w:t>Firm performance measured as the ratio of net profit to total assets (Al-</w:t>
      </w:r>
      <w:proofErr w:type="spellStart"/>
      <w:r w:rsidRPr="00494806">
        <w:rPr>
          <w:rFonts w:ascii="Arial" w:hAnsi="Arial" w:cs="Arial"/>
          <w:sz w:val="20"/>
          <w:szCs w:val="20"/>
        </w:rPr>
        <w:t>Homaidi</w:t>
      </w:r>
      <w:proofErr w:type="spellEnd"/>
      <w:r w:rsidRPr="00494806">
        <w:rPr>
          <w:rFonts w:ascii="Arial" w:hAnsi="Arial" w:cs="Arial"/>
          <w:sz w:val="20"/>
          <w:szCs w:val="20"/>
        </w:rPr>
        <w:t xml:space="preserve"> et al., 2020). </w:t>
      </w:r>
      <w:r w:rsidR="003B6CF6" w:rsidRPr="00494806">
        <w:rPr>
          <w:rFonts w:ascii="Arial" w:hAnsi="Arial" w:cs="Arial"/>
          <w:sz w:val="20"/>
          <w:szCs w:val="20"/>
        </w:rPr>
        <w:t xml:space="preserve">Al </w:t>
      </w:r>
      <w:proofErr w:type="spellStart"/>
      <w:r w:rsidR="003B6CF6" w:rsidRPr="00494806">
        <w:rPr>
          <w:rFonts w:ascii="Arial" w:hAnsi="Arial" w:cs="Arial"/>
          <w:sz w:val="20"/>
          <w:szCs w:val="20"/>
        </w:rPr>
        <w:t>Lawati</w:t>
      </w:r>
      <w:proofErr w:type="spellEnd"/>
      <w:r w:rsidR="003B6CF6" w:rsidRPr="00494806">
        <w:rPr>
          <w:rFonts w:ascii="Arial" w:hAnsi="Arial" w:cs="Arial"/>
          <w:sz w:val="20"/>
          <w:szCs w:val="20"/>
        </w:rPr>
        <w:t xml:space="preserve"> et al., (2023) found that profitable firms disclose more environmental information. </w:t>
      </w:r>
      <w:r w:rsidRPr="00494806">
        <w:rPr>
          <w:rFonts w:ascii="Arial" w:hAnsi="Arial" w:cs="Arial"/>
          <w:sz w:val="20"/>
          <w:szCs w:val="20"/>
        </w:rPr>
        <w:t>Firm leverage</w:t>
      </w:r>
      <w:r w:rsidR="003B6CF6" w:rsidRPr="00494806">
        <w:rPr>
          <w:rFonts w:ascii="Arial" w:hAnsi="Arial" w:cs="Arial"/>
          <w:sz w:val="20"/>
          <w:szCs w:val="20"/>
        </w:rPr>
        <w:t>, the</w:t>
      </w:r>
      <w:r w:rsidRPr="00494806">
        <w:rPr>
          <w:rFonts w:ascii="Arial" w:hAnsi="Arial" w:cs="Arial"/>
          <w:sz w:val="20"/>
          <w:szCs w:val="20"/>
        </w:rPr>
        <w:t xml:space="preserve"> ratio of debt to total assets (Saleh et al., 2025).</w:t>
      </w:r>
      <w:r w:rsidR="003B6CF6" w:rsidRPr="00494806">
        <w:rPr>
          <w:rFonts w:ascii="Arial" w:hAnsi="Arial" w:cs="Arial"/>
          <w:sz w:val="20"/>
          <w:szCs w:val="20"/>
        </w:rPr>
        <w:t xml:space="preserve"> Clarkson et al. (2008), found that higher leverage firms intend to disclose more environmental information.</w:t>
      </w:r>
      <w:r w:rsidRPr="00494806">
        <w:rPr>
          <w:rFonts w:ascii="Arial" w:hAnsi="Arial" w:cs="Arial"/>
          <w:sz w:val="20"/>
          <w:szCs w:val="20"/>
        </w:rPr>
        <w:t xml:space="preserve"> Finally, the study controlled for firm size, the logarithm of total assets (</w:t>
      </w:r>
      <w:proofErr w:type="spellStart"/>
      <w:r w:rsidRPr="00494806">
        <w:rPr>
          <w:rFonts w:ascii="Arial" w:hAnsi="Arial" w:cs="Arial"/>
          <w:sz w:val="20"/>
          <w:szCs w:val="20"/>
        </w:rPr>
        <w:t>Hapsoro</w:t>
      </w:r>
      <w:proofErr w:type="spellEnd"/>
      <w:r w:rsidRPr="00494806">
        <w:rPr>
          <w:rFonts w:ascii="Arial" w:hAnsi="Arial" w:cs="Arial"/>
          <w:sz w:val="20"/>
          <w:szCs w:val="20"/>
        </w:rPr>
        <w:t xml:space="preserve"> &amp; Falih, 2020). </w:t>
      </w:r>
      <w:r w:rsidR="00323D0C" w:rsidRPr="00494806">
        <w:rPr>
          <w:rFonts w:ascii="Arial" w:hAnsi="Arial" w:cs="Arial"/>
          <w:sz w:val="20"/>
          <w:szCs w:val="20"/>
          <w:lang w:val="en-GB"/>
        </w:rPr>
        <w:t xml:space="preserve">Large corporations are more predisposed to reveal environmental information due to their significant visibility and social standing (Comyns, 2016). </w:t>
      </w:r>
    </w:p>
    <w:p w:rsidR="00A44A4E" w:rsidRPr="00494806" w:rsidRDefault="00A44A4E"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Regression model</w:t>
      </w:r>
    </w:p>
    <w:p w:rsidR="00A44A4E" w:rsidRPr="00494806" w:rsidRDefault="00A44A4E" w:rsidP="00B24785">
      <w:pPr>
        <w:spacing w:line="240" w:lineRule="auto"/>
        <w:jc w:val="both"/>
        <w:rPr>
          <w:rFonts w:ascii="Arial" w:hAnsi="Arial" w:cs="Arial"/>
          <w:sz w:val="20"/>
          <w:szCs w:val="20"/>
        </w:rPr>
      </w:pPr>
      <w:r w:rsidRPr="00494806">
        <w:rPr>
          <w:rFonts w:ascii="Arial" w:hAnsi="Arial" w:cs="Arial"/>
          <w:sz w:val="20"/>
          <w:szCs w:val="20"/>
        </w:rPr>
        <w:t xml:space="preserve">We used an ordinary least squares regression analysis to test the hypotheses. All eight variables of interest were regressed using </w:t>
      </w:r>
      <w:r w:rsidR="00323D0C" w:rsidRPr="00494806">
        <w:rPr>
          <w:rFonts w:ascii="Arial" w:hAnsi="Arial" w:cs="Arial"/>
          <w:sz w:val="20"/>
          <w:szCs w:val="20"/>
        </w:rPr>
        <w:t xml:space="preserve">corporate sustainability disclosure as </w:t>
      </w:r>
      <w:r w:rsidRPr="00494806">
        <w:rPr>
          <w:rFonts w:ascii="Arial" w:hAnsi="Arial" w:cs="Arial"/>
          <w:sz w:val="20"/>
          <w:szCs w:val="20"/>
        </w:rPr>
        <w:t xml:space="preserve">a dependent variable. The other variables were then included in the model as control variables. </w:t>
      </w:r>
    </w:p>
    <w:p w:rsidR="00A44A4E" w:rsidRPr="00494806" w:rsidRDefault="00A44A4E" w:rsidP="00B24785">
      <w:pPr>
        <w:spacing w:line="240" w:lineRule="auto"/>
        <w:jc w:val="both"/>
        <w:rPr>
          <w:rFonts w:ascii="Arial" w:hAnsi="Arial" w:cs="Arial"/>
          <w:sz w:val="20"/>
          <w:szCs w:val="20"/>
        </w:rPr>
      </w:pPr>
      <m:oMathPara>
        <m:oMath>
          <m:r>
            <w:rPr>
              <w:rFonts w:ascii="Cambria Math" w:hAnsi="Cambria Math" w:cs="Arial"/>
              <w:sz w:val="20"/>
              <w:szCs w:val="20"/>
              <w:lang w:val="uz-Cyrl-UZ"/>
            </w:rPr>
            <m:t xml:space="preserve">DPR=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0</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1</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CSDI</m:t>
              </m:r>
            </m:e>
            <m:sub>
              <m:r>
                <w:rPr>
                  <w:rFonts w:ascii="Cambria Math" w:hAnsi="Cambria Math" w:cs="Arial"/>
                  <w:sz w:val="20"/>
                  <w:szCs w:val="20"/>
                  <w:lang w:val="uz-Cyrl-UZ"/>
                </w:rPr>
                <m:t>it</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2</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ROA</m:t>
              </m:r>
            </m:e>
            <m:sub>
              <m:r>
                <w:rPr>
                  <w:rFonts w:ascii="Cambria Math" w:hAnsi="Cambria Math" w:cs="Arial"/>
                  <w:sz w:val="20"/>
                  <w:szCs w:val="20"/>
                  <w:lang w:val="uz-Cyrl-UZ"/>
                </w:rPr>
                <m:t>it</m:t>
              </m:r>
            </m:sub>
          </m:sSub>
          <m:r>
            <w:rPr>
              <w:rFonts w:ascii="Cambria Math" w:hAnsi="Cambria Math" w:cs="Arial"/>
              <w:sz w:val="20"/>
              <w:szCs w:val="20"/>
              <w:lang w:val="uz-Cyrl-UZ"/>
            </w:rPr>
            <m:t xml:space="preserve">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3</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LEV</m:t>
              </m:r>
            </m:e>
            <m:sub>
              <m:r>
                <w:rPr>
                  <w:rFonts w:ascii="Cambria Math" w:hAnsi="Cambria Math" w:cs="Arial"/>
                  <w:sz w:val="20"/>
                  <w:szCs w:val="20"/>
                  <w:lang w:val="uz-Cyrl-UZ"/>
                </w:rPr>
                <m:t>it</m:t>
              </m:r>
            </m:sub>
          </m:sSub>
          <m:r>
            <w:rPr>
              <w:rFonts w:ascii="Cambria Math" w:hAnsi="Cambria Math" w:cs="Arial"/>
              <w:sz w:val="20"/>
              <w:szCs w:val="20"/>
              <w:lang w:val="uz-Cyrl-UZ"/>
            </w:rPr>
            <m:t xml:space="preserve">+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4</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FA</m:t>
              </m:r>
            </m:e>
            <m:sub>
              <m:r>
                <w:rPr>
                  <w:rFonts w:ascii="Cambria Math" w:hAnsi="Cambria Math" w:cs="Arial"/>
                  <w:sz w:val="20"/>
                  <w:szCs w:val="20"/>
                  <w:lang w:val="uz-Cyrl-UZ"/>
                </w:rPr>
                <m:t>it</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5</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FS</m:t>
              </m:r>
            </m:e>
            <m:sub>
              <m:r>
                <w:rPr>
                  <w:rFonts w:ascii="Cambria Math" w:hAnsi="Cambria Math" w:cs="Arial"/>
                  <w:sz w:val="20"/>
                  <w:szCs w:val="20"/>
                  <w:lang w:val="uz-Cyrl-UZ"/>
                </w:rPr>
                <m:t>it</m:t>
              </m:r>
            </m:sub>
          </m:sSub>
          <m:r>
            <w:rPr>
              <w:rFonts w:ascii="Cambria Math" w:hAnsi="Cambria Math" w:cs="Arial"/>
              <w:sz w:val="20"/>
              <w:szCs w:val="20"/>
              <w:lang w:val="uz-Cyrl-UZ"/>
            </w:rPr>
            <m:t xml:space="preserve"> +</m:t>
          </m:r>
          <m:sSub>
            <m:sSubPr>
              <m:ctrlPr>
                <w:rPr>
                  <w:rFonts w:ascii="Cambria Math" w:hAnsi="Cambria Math" w:cs="Arial"/>
                  <w:i/>
                  <w:sz w:val="20"/>
                  <w:szCs w:val="20"/>
                  <w:lang w:val="uz-Cyrl-UZ"/>
                </w:rPr>
              </m:ctrlPr>
            </m:sSubPr>
            <m:e>
              <m:r>
                <w:rPr>
                  <w:rFonts w:ascii="Cambria Math" w:hAnsi="Cambria Math" w:cs="Arial"/>
                  <w:sz w:val="20"/>
                  <w:szCs w:val="20"/>
                  <w:lang w:val="uz-Cyrl-UZ"/>
                </w:rPr>
                <m:t>β</m:t>
              </m:r>
            </m:e>
            <m:sub>
              <m:r>
                <w:rPr>
                  <w:rFonts w:ascii="Cambria Math" w:hAnsi="Cambria Math" w:cs="Arial"/>
                  <w:sz w:val="20"/>
                  <w:szCs w:val="20"/>
                  <w:lang w:val="uz-Cyrl-UZ"/>
                </w:rPr>
                <m:t>6</m:t>
              </m:r>
            </m:sub>
          </m:sSub>
          <m:sSub>
            <m:sSubPr>
              <m:ctrlPr>
                <w:rPr>
                  <w:rFonts w:ascii="Cambria Math" w:hAnsi="Cambria Math" w:cs="Arial"/>
                  <w:i/>
                  <w:sz w:val="20"/>
                  <w:szCs w:val="20"/>
                  <w:lang w:val="uz-Cyrl-UZ"/>
                </w:rPr>
              </m:ctrlPr>
            </m:sSubPr>
            <m:e>
              <m:r>
                <w:rPr>
                  <w:rFonts w:ascii="Cambria Math" w:hAnsi="Cambria Math" w:cs="Arial"/>
                  <w:sz w:val="20"/>
                  <w:szCs w:val="20"/>
                  <w:lang w:val="uz-Cyrl-UZ"/>
                </w:rPr>
                <m:t>FOWN</m:t>
              </m:r>
            </m:e>
            <m:sub>
              <m:r>
                <w:rPr>
                  <w:rFonts w:ascii="Cambria Math" w:hAnsi="Cambria Math" w:cs="Arial"/>
                  <w:sz w:val="20"/>
                  <w:szCs w:val="20"/>
                  <w:lang w:val="uz-Cyrl-UZ"/>
                </w:rPr>
                <m:t>it</m:t>
              </m:r>
            </m:sub>
          </m:sSub>
          <m:r>
            <w:rPr>
              <w:rFonts w:ascii="Cambria Math" w:hAnsi="Cambria Math" w:cs="Arial"/>
              <w:sz w:val="20"/>
              <w:szCs w:val="20"/>
              <w:lang w:val="uz-Cyrl-UZ"/>
            </w:rPr>
            <m:t>+</m:t>
          </m:r>
          <m:sSub>
            <m:sSubPr>
              <m:ctrlPr>
                <w:rPr>
                  <w:rFonts w:ascii="Cambria Math" w:hAnsi="Cambria Math" w:cs="Arial"/>
                  <w:i/>
                  <w:sz w:val="20"/>
                  <w:szCs w:val="20"/>
                  <w:lang w:val="uz-Cyrl-UZ"/>
                </w:rPr>
              </m:ctrlPr>
            </m:sSubPr>
            <m:e>
              <w:bookmarkStart w:id="0" w:name="_Hlk149576179"/>
              <m:r>
                <w:rPr>
                  <w:rFonts w:ascii="Cambria Math" w:hAnsi="Cambria Math" w:cs="Arial"/>
                  <w:sz w:val="20"/>
                  <w:szCs w:val="20"/>
                  <w:lang w:val="uz-Cyrl-UZ"/>
                </w:rPr>
                <m:t>ε</m:t>
              </m:r>
              <w:bookmarkEnd w:id="0"/>
            </m:e>
            <m:sub>
              <m:r>
                <w:rPr>
                  <w:rFonts w:ascii="Cambria Math" w:hAnsi="Cambria Math" w:cs="Arial"/>
                  <w:sz w:val="20"/>
                  <w:szCs w:val="20"/>
                  <w:lang w:val="uz-Cyrl-UZ"/>
                </w:rPr>
                <m:t>it</m:t>
              </m:r>
            </m:sub>
          </m:sSub>
        </m:oMath>
      </m:oMathPara>
    </w:p>
    <w:p w:rsidR="00A44A4E" w:rsidRPr="00494806" w:rsidRDefault="00A44A4E" w:rsidP="00B24785">
      <w:pPr>
        <w:spacing w:line="240" w:lineRule="auto"/>
        <w:jc w:val="both"/>
        <w:rPr>
          <w:rFonts w:ascii="Arial" w:hAnsi="Arial" w:cs="Arial"/>
          <w:sz w:val="20"/>
          <w:szCs w:val="20"/>
        </w:rPr>
      </w:pPr>
      <w:r w:rsidRPr="00494806">
        <w:rPr>
          <w:rFonts w:ascii="Arial" w:hAnsi="Arial" w:cs="Arial"/>
          <w:sz w:val="20"/>
          <w:szCs w:val="20"/>
        </w:rPr>
        <w:t xml:space="preserve">Where DPR is the dividend payout ratio; CSDI is the corporate sustainability disclosure index; ROA is the return on assets; LEV is leverage; FA is the firm age, FS is the firm size and </w:t>
      </w:r>
      <w:r w:rsidR="00325664" w:rsidRPr="00494806">
        <w:rPr>
          <w:rFonts w:ascii="Arial" w:hAnsi="Arial" w:cs="Arial"/>
          <w:sz w:val="20"/>
          <w:szCs w:val="20"/>
        </w:rPr>
        <w:t>F</w:t>
      </w:r>
      <w:r w:rsidRPr="00494806">
        <w:rPr>
          <w:rFonts w:ascii="Arial" w:hAnsi="Arial" w:cs="Arial"/>
          <w:sz w:val="20"/>
          <w:szCs w:val="20"/>
        </w:rPr>
        <w:t>OWN is</w:t>
      </w:r>
      <w:r w:rsidR="00325664" w:rsidRPr="00494806">
        <w:rPr>
          <w:rFonts w:ascii="Arial" w:hAnsi="Arial" w:cs="Arial"/>
          <w:sz w:val="20"/>
          <w:szCs w:val="20"/>
        </w:rPr>
        <w:t xml:space="preserve"> foreign ownership</w:t>
      </w:r>
    </w:p>
    <w:p w:rsidR="00A44A4E" w:rsidRPr="00494806" w:rsidRDefault="00A44A4E" w:rsidP="00B24785">
      <w:pPr>
        <w:spacing w:line="240" w:lineRule="auto"/>
        <w:jc w:val="both"/>
        <w:rPr>
          <w:rFonts w:ascii="Arial" w:hAnsi="Arial" w:cs="Arial"/>
          <w:sz w:val="20"/>
          <w:szCs w:val="20"/>
        </w:rPr>
      </w:pPr>
    </w:p>
    <w:p w:rsidR="007B22E4" w:rsidRDefault="001631E2" w:rsidP="00B24785">
      <w:pPr>
        <w:pStyle w:val="ListParagraph"/>
        <w:numPr>
          <w:ilvl w:val="0"/>
          <w:numId w:val="1"/>
        </w:numPr>
        <w:spacing w:line="240" w:lineRule="auto"/>
        <w:jc w:val="both"/>
        <w:rPr>
          <w:rFonts w:ascii="Arial" w:hAnsi="Arial" w:cs="Arial"/>
          <w:b/>
          <w:bCs/>
        </w:rPr>
      </w:pPr>
      <w:r>
        <w:rPr>
          <w:rFonts w:ascii="Arial" w:hAnsi="Arial" w:cs="Arial"/>
          <w:b/>
          <w:bCs/>
        </w:rPr>
        <w:t>Results</w:t>
      </w:r>
      <w:r w:rsidR="006D207C" w:rsidRPr="00494806">
        <w:rPr>
          <w:rFonts w:ascii="Arial" w:hAnsi="Arial" w:cs="Arial"/>
          <w:b/>
          <w:bCs/>
        </w:rPr>
        <w:t xml:space="preserve"> and discussions</w:t>
      </w:r>
    </w:p>
    <w:p w:rsidR="001631E2" w:rsidRPr="001631E2" w:rsidRDefault="001631E2" w:rsidP="001631E2">
      <w:pPr>
        <w:spacing w:line="240" w:lineRule="auto"/>
        <w:ind w:left="360"/>
        <w:jc w:val="both"/>
        <w:rPr>
          <w:rFonts w:ascii="Arial" w:hAnsi="Arial" w:cs="Arial"/>
          <w:b/>
          <w:bCs/>
        </w:rPr>
      </w:pPr>
    </w:p>
    <w:p w:rsidR="001A5DCF" w:rsidRPr="00494806" w:rsidRDefault="001A5DCF"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Descriptives</w:t>
      </w:r>
    </w:p>
    <w:p w:rsidR="00F55153" w:rsidRPr="00494806" w:rsidRDefault="00F55153" w:rsidP="00B24785">
      <w:pPr>
        <w:spacing w:after="240" w:line="240" w:lineRule="auto"/>
        <w:jc w:val="both"/>
        <w:rPr>
          <w:rFonts w:ascii="Arial" w:eastAsia="Times New Roman" w:hAnsi="Arial" w:cs="Arial"/>
          <w:sz w:val="20"/>
          <w:szCs w:val="20"/>
        </w:rPr>
      </w:pPr>
      <w:r w:rsidRPr="00494806">
        <w:rPr>
          <w:rFonts w:ascii="Arial" w:hAnsi="Arial" w:cs="Arial"/>
          <w:sz w:val="20"/>
          <w:szCs w:val="20"/>
        </w:rPr>
        <w:t xml:space="preserve">Table </w:t>
      </w:r>
      <w:r w:rsidR="00B24785" w:rsidRPr="00494806">
        <w:rPr>
          <w:rFonts w:ascii="Arial" w:hAnsi="Arial" w:cs="Arial"/>
          <w:sz w:val="20"/>
          <w:szCs w:val="20"/>
        </w:rPr>
        <w:t>I</w:t>
      </w:r>
      <w:r w:rsidRPr="00494806">
        <w:rPr>
          <w:rFonts w:ascii="Arial" w:hAnsi="Arial" w:cs="Arial"/>
          <w:sz w:val="20"/>
          <w:szCs w:val="20"/>
        </w:rPr>
        <w:t xml:space="preserve"> </w:t>
      </w:r>
      <w:r w:rsidRPr="00494806">
        <w:rPr>
          <w:rFonts w:ascii="Arial" w:hAnsi="Arial" w:cs="Arial"/>
          <w:spacing w:val="6"/>
          <w:sz w:val="20"/>
          <w:szCs w:val="20"/>
        </w:rPr>
        <w:t xml:space="preserve">shows the descriptive statistics for all the variables used in the study. </w:t>
      </w:r>
      <w:r w:rsidRPr="00494806">
        <w:rPr>
          <w:rFonts w:ascii="Arial" w:eastAsia="Times New Roman" w:hAnsi="Arial" w:cs="Arial"/>
          <w:sz w:val="20"/>
          <w:szCs w:val="20"/>
        </w:rPr>
        <w:t>The table indicates that the mean CSD was 0.218 (</w:t>
      </w:r>
      <w:r w:rsidRPr="00494806">
        <w:rPr>
          <w:rFonts w:ascii="Arial" w:hAnsi="Arial" w:cs="Arial"/>
          <w:bCs/>
          <w:sz w:val="20"/>
          <w:szCs w:val="20"/>
        </w:rPr>
        <w:t>minimum= 0.000 and maximum = 0</w:t>
      </w:r>
      <w:r w:rsidRPr="00494806">
        <w:rPr>
          <w:rFonts w:ascii="Arial" w:eastAsia="Times New Roman" w:hAnsi="Arial" w:cs="Arial"/>
          <w:sz w:val="20"/>
          <w:szCs w:val="20"/>
        </w:rPr>
        <w:t>.785</w:t>
      </w:r>
      <w:r w:rsidRPr="00494806">
        <w:rPr>
          <w:rFonts w:ascii="Arial" w:hAnsi="Arial" w:cs="Arial"/>
          <w:bCs/>
          <w:sz w:val="20"/>
          <w:szCs w:val="20"/>
        </w:rPr>
        <w:t>; standard deviation 0</w:t>
      </w:r>
      <w:r w:rsidRPr="00494806">
        <w:rPr>
          <w:rFonts w:ascii="Arial" w:eastAsia="Times New Roman" w:hAnsi="Arial" w:cs="Arial"/>
          <w:sz w:val="20"/>
          <w:szCs w:val="20"/>
        </w:rPr>
        <w:t>.169). Further, foreign ownership had a mean of .096 (</w:t>
      </w:r>
      <w:r w:rsidRPr="00494806">
        <w:rPr>
          <w:rFonts w:ascii="Arial" w:hAnsi="Arial" w:cs="Arial"/>
          <w:bCs/>
          <w:sz w:val="20"/>
          <w:szCs w:val="20"/>
        </w:rPr>
        <w:t xml:space="preserve">minimum= </w:t>
      </w:r>
      <w:r w:rsidRPr="00494806">
        <w:rPr>
          <w:rFonts w:ascii="Arial" w:eastAsia="Times New Roman" w:hAnsi="Arial" w:cs="Arial"/>
          <w:sz w:val="20"/>
          <w:szCs w:val="20"/>
        </w:rPr>
        <w:t xml:space="preserve">0.00 </w:t>
      </w:r>
      <w:r w:rsidRPr="00494806">
        <w:rPr>
          <w:rFonts w:ascii="Arial" w:hAnsi="Arial" w:cs="Arial"/>
          <w:bCs/>
          <w:sz w:val="20"/>
          <w:szCs w:val="20"/>
        </w:rPr>
        <w:t>and maximum = 0.</w:t>
      </w:r>
      <w:r w:rsidRPr="00494806">
        <w:rPr>
          <w:rFonts w:ascii="Arial" w:eastAsia="Times New Roman" w:hAnsi="Arial" w:cs="Arial"/>
          <w:sz w:val="20"/>
          <w:szCs w:val="20"/>
        </w:rPr>
        <w:t>416</w:t>
      </w:r>
      <w:r w:rsidRPr="00494806">
        <w:rPr>
          <w:rFonts w:ascii="Arial" w:hAnsi="Arial" w:cs="Arial"/>
          <w:bCs/>
          <w:sz w:val="20"/>
          <w:szCs w:val="20"/>
        </w:rPr>
        <w:t>; standard deviation = 0.</w:t>
      </w:r>
      <w:r w:rsidRPr="00494806">
        <w:rPr>
          <w:rFonts w:ascii="Arial" w:eastAsia="Times New Roman" w:hAnsi="Arial" w:cs="Arial"/>
          <w:sz w:val="20"/>
          <w:szCs w:val="20"/>
        </w:rPr>
        <w:t>101). The mean firm age was 3.461 (</w:t>
      </w:r>
      <w:r w:rsidRPr="00494806">
        <w:rPr>
          <w:rFonts w:ascii="Arial" w:hAnsi="Arial" w:cs="Arial"/>
          <w:bCs/>
          <w:sz w:val="20"/>
          <w:szCs w:val="20"/>
        </w:rPr>
        <w:t>minimum= 0.000</w:t>
      </w:r>
      <w:r w:rsidRPr="00494806">
        <w:rPr>
          <w:rFonts w:ascii="Arial" w:eastAsia="Times New Roman" w:hAnsi="Arial" w:cs="Arial"/>
          <w:sz w:val="20"/>
          <w:szCs w:val="20"/>
        </w:rPr>
        <w:t xml:space="preserve"> </w:t>
      </w:r>
      <w:r w:rsidRPr="00494806">
        <w:rPr>
          <w:rFonts w:ascii="Arial" w:hAnsi="Arial" w:cs="Arial"/>
          <w:bCs/>
          <w:sz w:val="20"/>
          <w:szCs w:val="20"/>
        </w:rPr>
        <w:t>and maximum = 4.736; standard deviation = 0.783</w:t>
      </w:r>
      <w:r w:rsidRPr="00494806">
        <w:rPr>
          <w:rFonts w:ascii="Arial" w:eastAsia="Times New Roman" w:hAnsi="Arial" w:cs="Arial"/>
          <w:sz w:val="20"/>
          <w:szCs w:val="20"/>
        </w:rPr>
        <w:t>). The mean firm size was 10.022 (</w:t>
      </w:r>
      <w:r w:rsidRPr="00494806">
        <w:rPr>
          <w:rFonts w:ascii="Arial" w:hAnsi="Arial" w:cs="Arial"/>
          <w:bCs/>
          <w:sz w:val="20"/>
          <w:szCs w:val="20"/>
        </w:rPr>
        <w:t>minimum=8.788</w:t>
      </w:r>
      <w:r w:rsidRPr="00494806">
        <w:rPr>
          <w:rFonts w:ascii="Arial" w:eastAsia="Times New Roman" w:hAnsi="Arial" w:cs="Arial"/>
          <w:sz w:val="20"/>
          <w:szCs w:val="20"/>
        </w:rPr>
        <w:t xml:space="preserve"> </w:t>
      </w:r>
      <w:r w:rsidRPr="00494806">
        <w:rPr>
          <w:rFonts w:ascii="Arial" w:hAnsi="Arial" w:cs="Arial"/>
          <w:bCs/>
          <w:sz w:val="20"/>
          <w:szCs w:val="20"/>
        </w:rPr>
        <w:t xml:space="preserve">and maximum = </w:t>
      </w:r>
      <w:r w:rsidRPr="00494806">
        <w:rPr>
          <w:rFonts w:ascii="Arial" w:eastAsia="Times New Roman" w:hAnsi="Arial" w:cs="Arial"/>
          <w:sz w:val="20"/>
          <w:szCs w:val="20"/>
        </w:rPr>
        <w:t>12.466</w:t>
      </w:r>
      <w:r w:rsidRPr="00494806">
        <w:rPr>
          <w:rFonts w:ascii="Arial" w:hAnsi="Arial" w:cs="Arial"/>
          <w:bCs/>
          <w:sz w:val="20"/>
          <w:szCs w:val="20"/>
        </w:rPr>
        <w:t>; standard deviation = 1.477)</w:t>
      </w:r>
      <w:r w:rsidRPr="00494806">
        <w:rPr>
          <w:rFonts w:ascii="Arial" w:eastAsia="Times New Roman" w:hAnsi="Arial" w:cs="Arial"/>
          <w:sz w:val="20"/>
          <w:szCs w:val="20"/>
        </w:rPr>
        <w:t>. Besides, the average leverage was at 0.556 (</w:t>
      </w:r>
      <w:r w:rsidRPr="00494806">
        <w:rPr>
          <w:rFonts w:ascii="Arial" w:hAnsi="Arial" w:cs="Arial"/>
          <w:bCs/>
          <w:sz w:val="20"/>
          <w:szCs w:val="20"/>
        </w:rPr>
        <w:t>minimum= 0.183</w:t>
      </w:r>
      <w:r w:rsidRPr="00494806">
        <w:rPr>
          <w:rFonts w:ascii="Arial" w:eastAsia="Times New Roman" w:hAnsi="Arial" w:cs="Arial"/>
          <w:sz w:val="20"/>
          <w:szCs w:val="20"/>
        </w:rPr>
        <w:t xml:space="preserve"> </w:t>
      </w:r>
      <w:r w:rsidRPr="00494806">
        <w:rPr>
          <w:rFonts w:ascii="Arial" w:hAnsi="Arial" w:cs="Arial"/>
          <w:bCs/>
          <w:sz w:val="20"/>
          <w:szCs w:val="20"/>
        </w:rPr>
        <w:t>and maximum = 0</w:t>
      </w:r>
      <w:r w:rsidRPr="00494806">
        <w:rPr>
          <w:rFonts w:ascii="Arial" w:eastAsia="Times New Roman" w:hAnsi="Arial" w:cs="Arial"/>
          <w:sz w:val="20"/>
          <w:szCs w:val="20"/>
        </w:rPr>
        <w:t>.955</w:t>
      </w:r>
      <w:r w:rsidRPr="00494806">
        <w:rPr>
          <w:rFonts w:ascii="Arial" w:hAnsi="Arial" w:cs="Arial"/>
          <w:bCs/>
          <w:sz w:val="20"/>
          <w:szCs w:val="20"/>
        </w:rPr>
        <w:t>; standard deviation 0</w:t>
      </w:r>
      <w:r w:rsidRPr="00494806">
        <w:rPr>
          <w:rFonts w:ascii="Arial" w:eastAsia="Times New Roman" w:hAnsi="Arial" w:cs="Arial"/>
          <w:sz w:val="20"/>
          <w:szCs w:val="20"/>
        </w:rPr>
        <w:t>.183). Finally, the mean return on assets was 0.065 (</w:t>
      </w:r>
      <w:r w:rsidRPr="00494806">
        <w:rPr>
          <w:rFonts w:ascii="Arial" w:hAnsi="Arial" w:cs="Arial"/>
          <w:bCs/>
          <w:sz w:val="20"/>
          <w:szCs w:val="20"/>
        </w:rPr>
        <w:t>minimum= -.295</w:t>
      </w:r>
      <w:r w:rsidRPr="00494806">
        <w:rPr>
          <w:rFonts w:ascii="Arial" w:eastAsia="Times New Roman" w:hAnsi="Arial" w:cs="Arial"/>
          <w:sz w:val="20"/>
          <w:szCs w:val="20"/>
        </w:rPr>
        <w:t xml:space="preserve"> </w:t>
      </w:r>
      <w:r w:rsidRPr="00494806">
        <w:rPr>
          <w:rFonts w:ascii="Arial" w:hAnsi="Arial" w:cs="Arial"/>
          <w:bCs/>
          <w:sz w:val="20"/>
          <w:szCs w:val="20"/>
        </w:rPr>
        <w:t>and maximum = 0</w:t>
      </w:r>
      <w:r w:rsidRPr="00494806">
        <w:rPr>
          <w:rFonts w:ascii="Arial" w:eastAsia="Times New Roman" w:hAnsi="Arial" w:cs="Arial"/>
          <w:sz w:val="20"/>
          <w:szCs w:val="20"/>
        </w:rPr>
        <w:t>.458</w:t>
      </w:r>
      <w:r w:rsidRPr="00494806">
        <w:rPr>
          <w:rFonts w:ascii="Arial" w:hAnsi="Arial" w:cs="Arial"/>
          <w:bCs/>
          <w:sz w:val="20"/>
          <w:szCs w:val="20"/>
        </w:rPr>
        <w:t>; standard deviation 0</w:t>
      </w:r>
      <w:r w:rsidRPr="00494806">
        <w:rPr>
          <w:rFonts w:ascii="Arial" w:eastAsia="Times New Roman" w:hAnsi="Arial" w:cs="Arial"/>
          <w:sz w:val="20"/>
          <w:szCs w:val="20"/>
        </w:rPr>
        <w:t>.114).</w:t>
      </w:r>
      <w:r w:rsidRPr="00494806">
        <w:rPr>
          <w:rFonts w:ascii="Arial" w:eastAsia="Times New Roman" w:hAnsi="Arial" w:cs="Arial"/>
          <w:sz w:val="20"/>
          <w:szCs w:val="20"/>
        </w:rPr>
        <w:tab/>
      </w:r>
      <w:bookmarkStart w:id="1" w:name="_Toc22559552"/>
      <w:r w:rsidR="00F92076" w:rsidRPr="00494806">
        <w:rPr>
          <w:rFonts w:ascii="Arial" w:eastAsia="Times New Roman" w:hAnsi="Arial" w:cs="Arial"/>
          <w:b/>
          <w:sz w:val="20"/>
          <w:szCs w:val="20"/>
        </w:rPr>
        <w:t xml:space="preserve"> </w:t>
      </w:r>
    </w:p>
    <w:p w:rsidR="00F92076" w:rsidRPr="00494806" w:rsidRDefault="00F92076" w:rsidP="00B24785">
      <w:pPr>
        <w:pStyle w:val="Caption"/>
        <w:keepNext/>
        <w:rPr>
          <w:rFonts w:ascii="Arial" w:hAnsi="Arial" w:cs="Arial"/>
          <w:color w:val="auto"/>
          <w:sz w:val="20"/>
          <w:szCs w:val="20"/>
        </w:rPr>
      </w:pPr>
      <w:r w:rsidRPr="00494806">
        <w:rPr>
          <w:rFonts w:ascii="Arial" w:hAnsi="Arial" w:cs="Arial"/>
          <w:color w:val="auto"/>
          <w:sz w:val="20"/>
          <w:szCs w:val="20"/>
        </w:rPr>
        <w:t xml:space="preserve">Table </w:t>
      </w:r>
      <w:r w:rsidRPr="00494806">
        <w:rPr>
          <w:rFonts w:ascii="Arial" w:hAnsi="Arial" w:cs="Arial"/>
          <w:color w:val="auto"/>
          <w:sz w:val="20"/>
          <w:szCs w:val="20"/>
        </w:rPr>
        <w:fldChar w:fldCharType="begin"/>
      </w:r>
      <w:r w:rsidRPr="00494806">
        <w:rPr>
          <w:rFonts w:ascii="Arial" w:hAnsi="Arial" w:cs="Arial"/>
          <w:color w:val="auto"/>
          <w:sz w:val="20"/>
          <w:szCs w:val="20"/>
        </w:rPr>
        <w:instrText xml:space="preserve"> SEQ Table \* ROMAN </w:instrText>
      </w:r>
      <w:r w:rsidRPr="00494806">
        <w:rPr>
          <w:rFonts w:ascii="Arial" w:hAnsi="Arial" w:cs="Arial"/>
          <w:color w:val="auto"/>
          <w:sz w:val="20"/>
          <w:szCs w:val="20"/>
        </w:rPr>
        <w:fldChar w:fldCharType="separate"/>
      </w:r>
      <w:proofErr w:type="spellStart"/>
      <w:r w:rsidRPr="00494806">
        <w:rPr>
          <w:rFonts w:ascii="Arial" w:hAnsi="Arial" w:cs="Arial"/>
          <w:noProof/>
          <w:color w:val="auto"/>
          <w:sz w:val="20"/>
          <w:szCs w:val="20"/>
        </w:rPr>
        <w:t>I</w:t>
      </w:r>
      <w:r w:rsidRPr="00494806">
        <w:rPr>
          <w:rFonts w:ascii="Arial" w:hAnsi="Arial" w:cs="Arial"/>
          <w:color w:val="auto"/>
          <w:sz w:val="20"/>
          <w:szCs w:val="20"/>
        </w:rPr>
        <w:fldChar w:fldCharType="end"/>
      </w:r>
      <w:r w:rsidRPr="00494806">
        <w:rPr>
          <w:rFonts w:ascii="Arial" w:hAnsi="Arial" w:cs="Arial"/>
          <w:color w:val="auto"/>
          <w:sz w:val="20"/>
          <w:szCs w:val="20"/>
        </w:rPr>
        <w:t>.Descriptive</w:t>
      </w:r>
      <w:proofErr w:type="spellEnd"/>
      <w:r w:rsidRPr="00494806">
        <w:rPr>
          <w:rFonts w:ascii="Arial" w:hAnsi="Arial" w:cs="Arial"/>
          <w:color w:val="auto"/>
          <w:sz w:val="20"/>
          <w:szCs w:val="20"/>
        </w:rPr>
        <w:t xml:space="preserve"> statistics for all the variables</w:t>
      </w:r>
    </w:p>
    <w:tbl>
      <w:tblPr>
        <w:tblW w:w="9634" w:type="dxa"/>
        <w:tblCellSpacing w:w="15" w:type="dxa"/>
        <w:tblCellMar>
          <w:top w:w="15" w:type="dxa"/>
          <w:left w:w="15" w:type="dxa"/>
          <w:bottom w:w="15" w:type="dxa"/>
          <w:right w:w="15" w:type="dxa"/>
        </w:tblCellMar>
        <w:tblLook w:val="04A0" w:firstRow="1" w:lastRow="0" w:firstColumn="1" w:lastColumn="0" w:noHBand="0" w:noVBand="1"/>
      </w:tblPr>
      <w:tblGrid>
        <w:gridCol w:w="1566"/>
        <w:gridCol w:w="910"/>
        <w:gridCol w:w="1753"/>
        <w:gridCol w:w="1753"/>
        <w:gridCol w:w="1884"/>
        <w:gridCol w:w="1768"/>
      </w:tblGrid>
      <w:tr w:rsidR="00494806" w:rsidRPr="00494806" w:rsidTr="00864727">
        <w:trPr>
          <w:trHeight w:val="222"/>
          <w:tblCellSpacing w:w="15" w:type="dxa"/>
        </w:trPr>
        <w:tc>
          <w:tcPr>
            <w:tcW w:w="0" w:type="auto"/>
            <w:tcBorders>
              <w:top w:val="single" w:sz="18" w:space="0" w:color="auto"/>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Variable</w:t>
            </w:r>
          </w:p>
        </w:tc>
        <w:tc>
          <w:tcPr>
            <w:tcW w:w="0" w:type="auto"/>
            <w:tcBorders>
              <w:top w:val="single" w:sz="18" w:space="0" w:color="auto"/>
              <w:left w:val="single" w:sz="18" w:space="0" w:color="auto"/>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proofErr w:type="spellStart"/>
            <w:r w:rsidRPr="00494806">
              <w:rPr>
                <w:rFonts w:ascii="Arial" w:eastAsia="Times New Roman" w:hAnsi="Arial" w:cs="Arial"/>
                <w:sz w:val="20"/>
                <w:szCs w:val="20"/>
              </w:rPr>
              <w:t>Obs</w:t>
            </w:r>
            <w:proofErr w:type="spellEnd"/>
          </w:p>
        </w:tc>
        <w:tc>
          <w:tcPr>
            <w:tcW w:w="0" w:type="auto"/>
            <w:tcBorders>
              <w:top w:val="single" w:sz="18" w:space="0" w:color="auto"/>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Mean</w:t>
            </w:r>
          </w:p>
        </w:tc>
        <w:tc>
          <w:tcPr>
            <w:tcW w:w="0" w:type="auto"/>
            <w:tcBorders>
              <w:top w:val="single" w:sz="18" w:space="0" w:color="auto"/>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Std. Dev.</w:t>
            </w:r>
          </w:p>
        </w:tc>
        <w:tc>
          <w:tcPr>
            <w:tcW w:w="0" w:type="auto"/>
            <w:tcBorders>
              <w:top w:val="single" w:sz="18" w:space="0" w:color="auto"/>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Min</w:t>
            </w:r>
          </w:p>
        </w:tc>
        <w:tc>
          <w:tcPr>
            <w:tcW w:w="0" w:type="auto"/>
            <w:tcBorders>
              <w:top w:val="single" w:sz="18" w:space="0" w:color="auto"/>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Max</w:t>
            </w:r>
          </w:p>
        </w:tc>
      </w:tr>
      <w:tr w:rsidR="00494806" w:rsidRPr="00494806" w:rsidTr="00864727">
        <w:trPr>
          <w:trHeight w:val="222"/>
          <w:tblCellSpacing w:w="15" w:type="dxa"/>
        </w:trPr>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CSD</w:t>
            </w:r>
          </w:p>
        </w:tc>
        <w:tc>
          <w:tcPr>
            <w:tcW w:w="0" w:type="auto"/>
            <w:tcBorders>
              <w:left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.2176363</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.1694026</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0.000</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.7848101</w:t>
            </w:r>
          </w:p>
        </w:tc>
      </w:tr>
      <w:tr w:rsidR="00494806" w:rsidRPr="00494806" w:rsidTr="00864727">
        <w:trPr>
          <w:trHeight w:val="222"/>
          <w:tblCellSpacing w:w="15" w:type="dxa"/>
        </w:trPr>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ROA</w:t>
            </w:r>
          </w:p>
        </w:tc>
        <w:tc>
          <w:tcPr>
            <w:tcW w:w="0" w:type="auto"/>
            <w:tcBorders>
              <w:left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.0651605</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.1142378</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-.2950849</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.4581577</w:t>
            </w:r>
          </w:p>
        </w:tc>
      </w:tr>
      <w:tr w:rsidR="00494806" w:rsidRPr="00494806" w:rsidTr="00864727">
        <w:trPr>
          <w:trHeight w:val="222"/>
          <w:tblCellSpacing w:w="15" w:type="dxa"/>
        </w:trPr>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LEV</w:t>
            </w:r>
          </w:p>
        </w:tc>
        <w:tc>
          <w:tcPr>
            <w:tcW w:w="0" w:type="auto"/>
            <w:tcBorders>
              <w:left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.5566202</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.1830846</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.1764856</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.9548544</w:t>
            </w:r>
          </w:p>
        </w:tc>
      </w:tr>
      <w:tr w:rsidR="00494806" w:rsidRPr="00494806" w:rsidTr="00864727">
        <w:trPr>
          <w:trHeight w:val="222"/>
          <w:tblCellSpacing w:w="15" w:type="dxa"/>
        </w:trPr>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FS</w:t>
            </w:r>
          </w:p>
        </w:tc>
        <w:tc>
          <w:tcPr>
            <w:tcW w:w="0" w:type="auto"/>
            <w:tcBorders>
              <w:left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10.02187</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1.477211</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2.585027</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12.46604</w:t>
            </w:r>
          </w:p>
        </w:tc>
      </w:tr>
      <w:tr w:rsidR="00494806" w:rsidRPr="00494806" w:rsidTr="00864727">
        <w:trPr>
          <w:trHeight w:val="222"/>
          <w:tblCellSpacing w:w="15" w:type="dxa"/>
        </w:trPr>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FA</w:t>
            </w:r>
          </w:p>
        </w:tc>
        <w:tc>
          <w:tcPr>
            <w:tcW w:w="0" w:type="auto"/>
            <w:tcBorders>
              <w:left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3.460913</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.7830156</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0.000</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4.736198</w:t>
            </w:r>
          </w:p>
        </w:tc>
      </w:tr>
      <w:tr w:rsidR="00494806" w:rsidRPr="00494806" w:rsidTr="00F55153">
        <w:trPr>
          <w:trHeight w:val="222"/>
          <w:tblCellSpacing w:w="15" w:type="dxa"/>
        </w:trPr>
        <w:tc>
          <w:tcPr>
            <w:tcW w:w="0" w:type="auto"/>
            <w:tcBorders>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FO</w:t>
            </w:r>
            <w:r w:rsidR="00B71F4E">
              <w:rPr>
                <w:rFonts w:ascii="Arial" w:eastAsia="Times New Roman" w:hAnsi="Arial" w:cs="Arial"/>
                <w:sz w:val="20"/>
                <w:szCs w:val="20"/>
              </w:rPr>
              <w:t>WN</w:t>
            </w:r>
          </w:p>
        </w:tc>
        <w:tc>
          <w:tcPr>
            <w:tcW w:w="0" w:type="auto"/>
            <w:tcBorders>
              <w:left w:val="single" w:sz="18" w:space="0" w:color="auto"/>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605</w:t>
            </w:r>
          </w:p>
        </w:tc>
        <w:tc>
          <w:tcPr>
            <w:tcW w:w="0" w:type="auto"/>
            <w:tcBorders>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.0959751</w:t>
            </w:r>
          </w:p>
        </w:tc>
        <w:tc>
          <w:tcPr>
            <w:tcW w:w="0" w:type="auto"/>
            <w:tcBorders>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.1009648</w:t>
            </w:r>
          </w:p>
        </w:tc>
        <w:tc>
          <w:tcPr>
            <w:tcW w:w="0" w:type="auto"/>
            <w:tcBorders>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0.000</w:t>
            </w:r>
          </w:p>
        </w:tc>
        <w:tc>
          <w:tcPr>
            <w:tcW w:w="0" w:type="auto"/>
            <w:tcBorders>
              <w:bottom w:val="single" w:sz="18" w:space="0" w:color="auto"/>
            </w:tcBorders>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.4162683</w:t>
            </w:r>
          </w:p>
        </w:tc>
      </w:tr>
      <w:tr w:rsidR="00494806" w:rsidRPr="00494806" w:rsidTr="00864727">
        <w:trPr>
          <w:trHeight w:val="222"/>
          <w:tblCellSpacing w:w="15" w:type="dxa"/>
        </w:trPr>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r w:rsidRPr="00494806">
              <w:rPr>
                <w:rFonts w:ascii="Arial" w:eastAsia="Times New Roman" w:hAnsi="Arial" w:cs="Arial"/>
                <w:sz w:val="20"/>
                <w:szCs w:val="20"/>
              </w:rPr>
              <w:t>Note</w:t>
            </w: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p>
        </w:tc>
        <w:tc>
          <w:tcPr>
            <w:tcW w:w="0" w:type="auto"/>
            <w:vAlign w:val="center"/>
            <w:hideMark/>
          </w:tcPr>
          <w:p w:rsidR="00F55153" w:rsidRPr="00494806" w:rsidRDefault="00F55153" w:rsidP="00B24785">
            <w:pPr>
              <w:spacing w:after="0" w:line="240" w:lineRule="auto"/>
              <w:rPr>
                <w:rFonts w:ascii="Arial" w:eastAsia="Times New Roman" w:hAnsi="Arial" w:cs="Arial"/>
                <w:sz w:val="20"/>
                <w:szCs w:val="20"/>
              </w:rPr>
            </w:pPr>
          </w:p>
        </w:tc>
      </w:tr>
    </w:tbl>
    <w:bookmarkEnd w:id="1"/>
    <w:p w:rsidR="00F55153" w:rsidRPr="00494806" w:rsidRDefault="00F55153" w:rsidP="00B24785">
      <w:pPr>
        <w:spacing w:after="240" w:line="240" w:lineRule="auto"/>
        <w:jc w:val="both"/>
        <w:rPr>
          <w:rFonts w:ascii="Arial" w:hAnsi="Arial" w:cs="Arial"/>
          <w:sz w:val="20"/>
          <w:szCs w:val="20"/>
        </w:rPr>
      </w:pPr>
      <w:r w:rsidRPr="00494806">
        <w:rPr>
          <w:rFonts w:ascii="Arial" w:hAnsi="Arial" w:cs="Arial"/>
          <w:b/>
          <w:sz w:val="20"/>
          <w:szCs w:val="20"/>
        </w:rPr>
        <w:t xml:space="preserve">Source: </w:t>
      </w:r>
      <w:r w:rsidR="00F92076" w:rsidRPr="00494806">
        <w:rPr>
          <w:rFonts w:ascii="Arial" w:hAnsi="Arial" w:cs="Arial"/>
          <w:b/>
          <w:sz w:val="20"/>
          <w:szCs w:val="20"/>
        </w:rPr>
        <w:t>Authors’ computations</w:t>
      </w:r>
    </w:p>
    <w:p w:rsidR="00F55153" w:rsidRPr="00494806" w:rsidRDefault="00B24785"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Correlation analysis</w:t>
      </w:r>
      <w:r w:rsidR="001A5DCF" w:rsidRPr="00494806">
        <w:rPr>
          <w:rFonts w:ascii="Arial" w:hAnsi="Arial" w:cs="Arial"/>
          <w:i/>
          <w:iCs/>
          <w:sz w:val="20"/>
          <w:szCs w:val="20"/>
        </w:rPr>
        <w:t xml:space="preserve"> </w:t>
      </w:r>
    </w:p>
    <w:p w:rsidR="002D6853" w:rsidRPr="00494806" w:rsidRDefault="001A5DCF" w:rsidP="00B24785">
      <w:pPr>
        <w:spacing w:line="240" w:lineRule="auto"/>
        <w:jc w:val="both"/>
        <w:rPr>
          <w:rFonts w:ascii="Arial" w:hAnsi="Arial" w:cs="Arial"/>
          <w:sz w:val="20"/>
          <w:szCs w:val="20"/>
        </w:rPr>
      </w:pPr>
      <w:r w:rsidRPr="00494806">
        <w:rPr>
          <w:rFonts w:ascii="Arial" w:hAnsi="Arial" w:cs="Arial"/>
          <w:sz w:val="20"/>
          <w:szCs w:val="20"/>
        </w:rPr>
        <w:t xml:space="preserve">Table </w:t>
      </w:r>
      <w:r w:rsidR="00B24785" w:rsidRPr="00494806">
        <w:rPr>
          <w:rFonts w:ascii="Arial" w:hAnsi="Arial" w:cs="Arial"/>
          <w:sz w:val="20"/>
          <w:szCs w:val="20"/>
        </w:rPr>
        <w:t>II</w:t>
      </w:r>
      <w:r w:rsidRPr="00494806">
        <w:rPr>
          <w:rFonts w:ascii="Arial" w:hAnsi="Arial" w:cs="Arial"/>
          <w:sz w:val="20"/>
          <w:szCs w:val="20"/>
        </w:rPr>
        <w:t xml:space="preserve"> presents the correlation matrix for the variables used in the study. </w:t>
      </w:r>
      <w:r w:rsidR="00325664" w:rsidRPr="00494806">
        <w:rPr>
          <w:rFonts w:ascii="Arial" w:hAnsi="Arial" w:cs="Arial"/>
          <w:sz w:val="20"/>
          <w:szCs w:val="20"/>
        </w:rPr>
        <w:t>corporate</w:t>
      </w:r>
      <w:r w:rsidRPr="00494806">
        <w:rPr>
          <w:rFonts w:ascii="Arial" w:hAnsi="Arial" w:cs="Arial"/>
          <w:sz w:val="20"/>
          <w:szCs w:val="20"/>
        </w:rPr>
        <w:t xml:space="preserve"> sustainability </w:t>
      </w:r>
      <w:r w:rsidR="00325664" w:rsidRPr="00494806">
        <w:rPr>
          <w:rFonts w:ascii="Arial" w:hAnsi="Arial" w:cs="Arial"/>
          <w:sz w:val="20"/>
          <w:szCs w:val="20"/>
        </w:rPr>
        <w:t>disclosure</w:t>
      </w:r>
      <w:r w:rsidRPr="00494806">
        <w:rPr>
          <w:rFonts w:ascii="Arial" w:hAnsi="Arial" w:cs="Arial"/>
          <w:sz w:val="20"/>
          <w:szCs w:val="20"/>
        </w:rPr>
        <w:t xml:space="preserve"> (</w:t>
      </w:r>
      <w:r w:rsidR="00325664" w:rsidRPr="00494806">
        <w:rPr>
          <w:rFonts w:ascii="Arial" w:hAnsi="Arial" w:cs="Arial"/>
          <w:sz w:val="20"/>
          <w:szCs w:val="20"/>
        </w:rPr>
        <w:t>CSD)</w:t>
      </w:r>
      <w:r w:rsidRPr="00494806">
        <w:rPr>
          <w:rFonts w:ascii="Arial" w:hAnsi="Arial" w:cs="Arial"/>
          <w:sz w:val="20"/>
          <w:szCs w:val="20"/>
        </w:rPr>
        <w:t xml:space="preserve"> score is positively associated with foreign ownership (FOWN),</w:t>
      </w:r>
      <w:r w:rsidR="00325664" w:rsidRPr="00494806">
        <w:rPr>
          <w:rFonts w:ascii="Arial" w:hAnsi="Arial" w:cs="Arial"/>
          <w:sz w:val="20"/>
          <w:szCs w:val="20"/>
        </w:rPr>
        <w:t xml:space="preserve"> return on assets (ROA), firm age (FA) and firm size (FS), </w:t>
      </w:r>
      <w:r w:rsidRPr="00494806">
        <w:rPr>
          <w:rFonts w:ascii="Arial" w:hAnsi="Arial" w:cs="Arial"/>
          <w:sz w:val="20"/>
          <w:szCs w:val="20"/>
        </w:rPr>
        <w:t xml:space="preserve">while </w:t>
      </w:r>
      <w:r w:rsidR="00325664" w:rsidRPr="00494806">
        <w:rPr>
          <w:rFonts w:ascii="Arial" w:hAnsi="Arial" w:cs="Arial"/>
          <w:sz w:val="20"/>
          <w:szCs w:val="20"/>
        </w:rPr>
        <w:t>leverage (LEV)</w:t>
      </w:r>
      <w:r w:rsidRPr="00494806">
        <w:rPr>
          <w:rFonts w:ascii="Arial" w:hAnsi="Arial" w:cs="Arial"/>
          <w:sz w:val="20"/>
          <w:szCs w:val="20"/>
        </w:rPr>
        <w:t xml:space="preserve"> indicate </w:t>
      </w:r>
      <w:r w:rsidR="00325664" w:rsidRPr="00494806">
        <w:rPr>
          <w:rFonts w:ascii="Arial" w:hAnsi="Arial" w:cs="Arial"/>
          <w:sz w:val="20"/>
          <w:szCs w:val="20"/>
        </w:rPr>
        <w:t>a negative and</w:t>
      </w:r>
      <w:r w:rsidRPr="00494806">
        <w:rPr>
          <w:rFonts w:ascii="Arial" w:hAnsi="Arial" w:cs="Arial"/>
          <w:sz w:val="20"/>
          <w:szCs w:val="20"/>
        </w:rPr>
        <w:t xml:space="preserve"> significant </w:t>
      </w:r>
      <w:r w:rsidR="00325664" w:rsidRPr="00494806">
        <w:rPr>
          <w:rFonts w:ascii="Arial" w:hAnsi="Arial" w:cs="Arial"/>
          <w:sz w:val="20"/>
          <w:szCs w:val="20"/>
        </w:rPr>
        <w:t>correlation</w:t>
      </w:r>
      <w:r w:rsidRPr="00494806">
        <w:rPr>
          <w:rFonts w:ascii="Arial" w:hAnsi="Arial" w:cs="Arial"/>
          <w:sz w:val="20"/>
          <w:szCs w:val="20"/>
        </w:rPr>
        <w:t xml:space="preserve">. </w:t>
      </w:r>
    </w:p>
    <w:p w:rsidR="002D6853" w:rsidRPr="00494806" w:rsidRDefault="002D6853" w:rsidP="00B24785">
      <w:pPr>
        <w:spacing w:line="240" w:lineRule="auto"/>
        <w:jc w:val="both"/>
        <w:rPr>
          <w:rFonts w:ascii="Arial" w:hAnsi="Arial" w:cs="Arial"/>
          <w:sz w:val="20"/>
          <w:szCs w:val="20"/>
        </w:rPr>
      </w:pPr>
    </w:p>
    <w:p w:rsidR="00325664" w:rsidRPr="00494806" w:rsidRDefault="00325664" w:rsidP="00B24785">
      <w:pPr>
        <w:pStyle w:val="Caption"/>
        <w:keepNext/>
        <w:rPr>
          <w:rFonts w:ascii="Arial" w:hAnsi="Arial" w:cs="Arial"/>
          <w:color w:val="auto"/>
          <w:sz w:val="20"/>
          <w:szCs w:val="20"/>
        </w:rPr>
      </w:pPr>
      <w:r w:rsidRPr="00494806">
        <w:rPr>
          <w:rFonts w:ascii="Arial" w:hAnsi="Arial" w:cs="Arial"/>
          <w:color w:val="auto"/>
          <w:sz w:val="20"/>
          <w:szCs w:val="20"/>
        </w:rPr>
        <w:t xml:space="preserve">Table </w:t>
      </w:r>
      <w:r w:rsidRPr="00494806">
        <w:rPr>
          <w:rFonts w:ascii="Arial" w:hAnsi="Arial" w:cs="Arial"/>
          <w:color w:val="auto"/>
          <w:sz w:val="20"/>
          <w:szCs w:val="20"/>
        </w:rPr>
        <w:fldChar w:fldCharType="begin"/>
      </w:r>
      <w:r w:rsidRPr="00494806">
        <w:rPr>
          <w:rFonts w:ascii="Arial" w:hAnsi="Arial" w:cs="Arial"/>
          <w:color w:val="auto"/>
          <w:sz w:val="20"/>
          <w:szCs w:val="20"/>
        </w:rPr>
        <w:instrText xml:space="preserve"> SEQ Table \* ROMAN </w:instrText>
      </w:r>
      <w:r w:rsidRPr="00494806">
        <w:rPr>
          <w:rFonts w:ascii="Arial" w:hAnsi="Arial" w:cs="Arial"/>
          <w:color w:val="auto"/>
          <w:sz w:val="20"/>
          <w:szCs w:val="20"/>
        </w:rPr>
        <w:fldChar w:fldCharType="separate"/>
      </w:r>
      <w:r w:rsidR="00F92076" w:rsidRPr="00494806">
        <w:rPr>
          <w:rFonts w:ascii="Arial" w:hAnsi="Arial" w:cs="Arial"/>
          <w:noProof/>
          <w:color w:val="auto"/>
          <w:sz w:val="20"/>
          <w:szCs w:val="20"/>
        </w:rPr>
        <w:t>II</w:t>
      </w:r>
      <w:r w:rsidRPr="00494806">
        <w:rPr>
          <w:rFonts w:ascii="Arial" w:hAnsi="Arial" w:cs="Arial"/>
          <w:color w:val="auto"/>
          <w:sz w:val="20"/>
          <w:szCs w:val="20"/>
        </w:rPr>
        <w:fldChar w:fldCharType="end"/>
      </w:r>
      <w:r w:rsidRPr="00494806">
        <w:rPr>
          <w:rFonts w:ascii="Arial" w:hAnsi="Arial" w:cs="Arial"/>
          <w:color w:val="auto"/>
          <w:sz w:val="20"/>
          <w:szCs w:val="20"/>
        </w:rPr>
        <w:t>. Correlation</w:t>
      </w:r>
    </w:p>
    <w:tbl>
      <w:tblPr>
        <w:tblW w:w="9030" w:type="dxa"/>
        <w:tblCellSpacing w:w="15" w:type="dxa"/>
        <w:tblInd w:w="38" w:type="dxa"/>
        <w:tblLook w:val="04A0" w:firstRow="1" w:lastRow="0" w:firstColumn="1" w:lastColumn="0" w:noHBand="0" w:noVBand="1"/>
      </w:tblPr>
      <w:tblGrid>
        <w:gridCol w:w="1155"/>
        <w:gridCol w:w="1394"/>
        <w:gridCol w:w="1394"/>
        <w:gridCol w:w="1394"/>
        <w:gridCol w:w="1278"/>
        <w:gridCol w:w="1258"/>
        <w:gridCol w:w="1157"/>
      </w:tblGrid>
      <w:tr w:rsidR="00494806" w:rsidRPr="00494806" w:rsidTr="00325664">
        <w:trPr>
          <w:trHeight w:val="133"/>
          <w:tblCellSpacing w:w="15" w:type="dxa"/>
        </w:trPr>
        <w:tc>
          <w:tcPr>
            <w:tcW w:w="0" w:type="auto"/>
            <w:tcBorders>
              <w:top w:val="single" w:sz="18" w:space="0" w:color="auto"/>
              <w:bottom w:val="single" w:sz="18" w:space="0" w:color="auto"/>
            </w:tcBorders>
            <w:tcMar>
              <w:top w:w="15" w:type="dxa"/>
              <w:left w:w="15" w:type="dxa"/>
              <w:bottom w:w="15" w:type="dxa"/>
              <w:right w:w="15" w:type="dxa"/>
            </w:tcMar>
            <w:vAlign w:val="center"/>
          </w:tcPr>
          <w:p w:rsidR="002D6853" w:rsidRPr="00494806" w:rsidRDefault="002D6853" w:rsidP="00B24785">
            <w:pPr>
              <w:spacing w:after="0" w:line="240" w:lineRule="auto"/>
              <w:jc w:val="both"/>
              <w:rPr>
                <w:rFonts w:ascii="Arial" w:eastAsia="Times New Roman" w:hAnsi="Arial" w:cs="Arial"/>
                <w:sz w:val="20"/>
                <w:szCs w:val="20"/>
              </w:rPr>
            </w:pP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CSD</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ROA</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LEV</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FS</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FA</w:t>
            </w:r>
          </w:p>
        </w:tc>
        <w:tc>
          <w:tcPr>
            <w:tcW w:w="0" w:type="auto"/>
            <w:tcBorders>
              <w:top w:val="single" w:sz="18" w:space="0" w:color="auto"/>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FO</w:t>
            </w:r>
            <w:r w:rsidR="00325664" w:rsidRPr="00494806">
              <w:rPr>
                <w:rFonts w:ascii="Arial" w:eastAsia="Times New Roman" w:hAnsi="Arial" w:cs="Arial"/>
                <w:sz w:val="20"/>
                <w:szCs w:val="20"/>
              </w:rPr>
              <w:t>WN</w:t>
            </w:r>
          </w:p>
        </w:tc>
      </w:tr>
      <w:tr w:rsidR="00494806" w:rsidRPr="00494806" w:rsidTr="00325664">
        <w:trPr>
          <w:trHeight w:val="128"/>
          <w:tblCellSpacing w:w="15" w:type="dxa"/>
        </w:trPr>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CSD</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r>
      <w:tr w:rsidR="00494806" w:rsidRPr="00494806" w:rsidTr="00325664">
        <w:trPr>
          <w:trHeight w:val="133"/>
          <w:tblCellSpacing w:w="15" w:type="dxa"/>
        </w:trPr>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ROA</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0.6202*</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r>
      <w:tr w:rsidR="00494806" w:rsidRPr="00494806" w:rsidTr="00325664">
        <w:trPr>
          <w:trHeight w:val="266"/>
          <w:tblCellSpacing w:w="15" w:type="dxa"/>
        </w:trPr>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LEV</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-0.3865*</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-0.2998*</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r>
      <w:tr w:rsidR="00494806" w:rsidRPr="00494806" w:rsidTr="00325664">
        <w:trPr>
          <w:trHeight w:val="133"/>
          <w:tblCellSpacing w:w="15" w:type="dxa"/>
        </w:trPr>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FS</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0.4912*</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0.2386*</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-0.0225</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rsidR="002D6853" w:rsidRPr="00494806" w:rsidRDefault="002D6853" w:rsidP="00B24785">
            <w:pPr>
              <w:spacing w:line="240" w:lineRule="auto"/>
              <w:jc w:val="both"/>
              <w:rPr>
                <w:rFonts w:ascii="Arial" w:eastAsia="Times New Roman" w:hAnsi="Arial" w:cs="Arial"/>
                <w:sz w:val="20"/>
                <w:szCs w:val="20"/>
              </w:rPr>
            </w:pP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hAnsi="Arial" w:cs="Arial"/>
                <w:sz w:val="20"/>
                <w:szCs w:val="20"/>
              </w:rPr>
            </w:pPr>
          </w:p>
        </w:tc>
      </w:tr>
      <w:tr w:rsidR="00494806" w:rsidRPr="00494806" w:rsidTr="00325664">
        <w:trPr>
          <w:trHeight w:val="266"/>
          <w:tblCellSpacing w:w="15" w:type="dxa"/>
        </w:trPr>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FA</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0.0522</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0.0977*</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-0.1960*</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-0.0277</w:t>
            </w:r>
          </w:p>
        </w:tc>
        <w:tc>
          <w:tcPr>
            <w:tcW w:w="0" w:type="auto"/>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c>
          <w:tcPr>
            <w:tcW w:w="0" w:type="auto"/>
            <w:tcMar>
              <w:top w:w="15" w:type="dxa"/>
              <w:left w:w="15" w:type="dxa"/>
              <w:bottom w:w="15" w:type="dxa"/>
              <w:right w:w="15" w:type="dxa"/>
            </w:tcMar>
            <w:vAlign w:val="center"/>
            <w:hideMark/>
          </w:tcPr>
          <w:p w:rsidR="002D6853" w:rsidRPr="00494806" w:rsidRDefault="002D6853" w:rsidP="00B24785">
            <w:pPr>
              <w:spacing w:line="240" w:lineRule="auto"/>
              <w:jc w:val="both"/>
              <w:rPr>
                <w:rFonts w:ascii="Arial" w:eastAsia="Times New Roman" w:hAnsi="Arial" w:cs="Arial"/>
                <w:sz w:val="20"/>
                <w:szCs w:val="20"/>
              </w:rPr>
            </w:pPr>
          </w:p>
        </w:tc>
      </w:tr>
      <w:tr w:rsidR="00494806" w:rsidRPr="00494806" w:rsidTr="00325664">
        <w:trPr>
          <w:trHeight w:val="266"/>
          <w:tblCellSpacing w:w="15" w:type="dxa"/>
        </w:trPr>
        <w:tc>
          <w:tcPr>
            <w:tcW w:w="0" w:type="auto"/>
            <w:tcBorders>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FO</w:t>
            </w:r>
            <w:r w:rsidR="00B71F4E">
              <w:rPr>
                <w:rFonts w:ascii="Arial" w:eastAsia="Times New Roman" w:hAnsi="Arial" w:cs="Arial"/>
                <w:sz w:val="20"/>
                <w:szCs w:val="20"/>
              </w:rPr>
              <w:t>WN</w:t>
            </w:r>
          </w:p>
        </w:tc>
        <w:tc>
          <w:tcPr>
            <w:tcW w:w="0" w:type="auto"/>
            <w:tcBorders>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0.4840*</w:t>
            </w:r>
          </w:p>
        </w:tc>
        <w:tc>
          <w:tcPr>
            <w:tcW w:w="0" w:type="auto"/>
            <w:tcBorders>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0.2887*</w:t>
            </w:r>
          </w:p>
        </w:tc>
        <w:tc>
          <w:tcPr>
            <w:tcW w:w="0" w:type="auto"/>
            <w:tcBorders>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-0.3458*</w:t>
            </w:r>
          </w:p>
        </w:tc>
        <w:tc>
          <w:tcPr>
            <w:tcW w:w="0" w:type="auto"/>
            <w:tcBorders>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0.2628*</w:t>
            </w:r>
          </w:p>
        </w:tc>
        <w:tc>
          <w:tcPr>
            <w:tcW w:w="0" w:type="auto"/>
            <w:tcBorders>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-0.0210</w:t>
            </w:r>
          </w:p>
        </w:tc>
        <w:tc>
          <w:tcPr>
            <w:tcW w:w="0" w:type="auto"/>
            <w:tcBorders>
              <w:bottom w:val="single" w:sz="18" w:space="0" w:color="auto"/>
            </w:tcBorders>
            <w:tcMar>
              <w:top w:w="15" w:type="dxa"/>
              <w:left w:w="15" w:type="dxa"/>
              <w:bottom w:w="15" w:type="dxa"/>
              <w:right w:w="15" w:type="dxa"/>
            </w:tcMar>
            <w:vAlign w:val="center"/>
            <w:hideMark/>
          </w:tcPr>
          <w:p w:rsidR="002D6853" w:rsidRPr="00494806" w:rsidRDefault="002D6853"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1.0000 </w:t>
            </w:r>
          </w:p>
        </w:tc>
      </w:tr>
      <w:tr w:rsidR="00494806" w:rsidRPr="00494806" w:rsidTr="001D0E22">
        <w:trPr>
          <w:trHeight w:val="335"/>
          <w:tblCellSpacing w:w="15" w:type="dxa"/>
        </w:trPr>
        <w:tc>
          <w:tcPr>
            <w:tcW w:w="0" w:type="auto"/>
            <w:gridSpan w:val="7"/>
            <w:tcMar>
              <w:top w:w="15" w:type="dxa"/>
              <w:left w:w="15" w:type="dxa"/>
              <w:bottom w:w="15" w:type="dxa"/>
              <w:right w:w="15" w:type="dxa"/>
            </w:tcMar>
            <w:vAlign w:val="center"/>
            <w:hideMark/>
          </w:tcPr>
          <w:p w:rsidR="00981287" w:rsidRDefault="00981287" w:rsidP="00B24785">
            <w:pPr>
              <w:spacing w:line="240" w:lineRule="auto"/>
              <w:jc w:val="both"/>
              <w:rPr>
                <w:rFonts w:ascii="Arial" w:eastAsia="Times New Roman" w:hAnsi="Arial" w:cs="Arial"/>
                <w:sz w:val="20"/>
                <w:szCs w:val="20"/>
              </w:rPr>
            </w:pPr>
            <w:r>
              <w:rPr>
                <w:rFonts w:ascii="Arial" w:eastAsia="Times New Roman" w:hAnsi="Arial" w:cs="Arial"/>
                <w:sz w:val="20"/>
                <w:szCs w:val="20"/>
              </w:rPr>
              <w:t>Note(s) *p&lt;0.05</w:t>
            </w:r>
          </w:p>
          <w:p w:rsidR="00325664" w:rsidRPr="00494806" w:rsidRDefault="00325664" w:rsidP="00B24785">
            <w:pPr>
              <w:spacing w:line="240" w:lineRule="auto"/>
              <w:jc w:val="both"/>
              <w:rPr>
                <w:rFonts w:ascii="Arial" w:eastAsia="Times New Roman" w:hAnsi="Arial" w:cs="Arial"/>
                <w:sz w:val="20"/>
                <w:szCs w:val="20"/>
              </w:rPr>
            </w:pPr>
            <w:r w:rsidRPr="00494806">
              <w:rPr>
                <w:rFonts w:ascii="Arial" w:eastAsia="Times New Roman" w:hAnsi="Arial" w:cs="Arial"/>
                <w:sz w:val="20"/>
                <w:szCs w:val="20"/>
              </w:rPr>
              <w:t>Source. Authors’ computations</w:t>
            </w:r>
          </w:p>
          <w:p w:rsidR="00325664" w:rsidRPr="00494806" w:rsidRDefault="00325664" w:rsidP="00B24785">
            <w:pPr>
              <w:spacing w:after="0" w:line="240" w:lineRule="auto"/>
              <w:jc w:val="both"/>
              <w:rPr>
                <w:rFonts w:ascii="Arial" w:eastAsia="Times New Roman" w:hAnsi="Arial" w:cs="Arial"/>
                <w:sz w:val="20"/>
                <w:szCs w:val="20"/>
              </w:rPr>
            </w:pPr>
          </w:p>
          <w:p w:rsidR="00325664" w:rsidRPr="00494806" w:rsidRDefault="00325664" w:rsidP="00B24785">
            <w:pPr>
              <w:spacing w:after="0" w:line="240" w:lineRule="auto"/>
              <w:jc w:val="both"/>
              <w:rPr>
                <w:rFonts w:ascii="Arial" w:hAnsi="Arial" w:cs="Arial"/>
                <w:sz w:val="20"/>
                <w:szCs w:val="20"/>
              </w:rPr>
            </w:pPr>
          </w:p>
        </w:tc>
      </w:tr>
    </w:tbl>
    <w:p w:rsidR="001A5DCF" w:rsidRPr="00494806" w:rsidRDefault="001A5DCF" w:rsidP="00494806">
      <w:pPr>
        <w:pStyle w:val="ListParagraph"/>
        <w:numPr>
          <w:ilvl w:val="1"/>
          <w:numId w:val="1"/>
        </w:numPr>
        <w:spacing w:line="240" w:lineRule="auto"/>
        <w:jc w:val="both"/>
        <w:rPr>
          <w:rFonts w:ascii="Arial" w:hAnsi="Arial" w:cs="Arial"/>
          <w:i/>
          <w:iCs/>
          <w:sz w:val="20"/>
          <w:szCs w:val="20"/>
        </w:rPr>
      </w:pPr>
      <w:r w:rsidRPr="00494806">
        <w:rPr>
          <w:rFonts w:ascii="Arial" w:hAnsi="Arial" w:cs="Arial"/>
          <w:i/>
          <w:iCs/>
          <w:sz w:val="20"/>
          <w:szCs w:val="20"/>
        </w:rPr>
        <w:t>Regression results</w:t>
      </w:r>
    </w:p>
    <w:p w:rsidR="00A44A4E" w:rsidRPr="00494806" w:rsidRDefault="00B24785" w:rsidP="00B24785">
      <w:pPr>
        <w:spacing w:line="240" w:lineRule="auto"/>
        <w:jc w:val="both"/>
        <w:rPr>
          <w:rFonts w:ascii="Arial" w:hAnsi="Arial" w:cs="Arial"/>
          <w:sz w:val="20"/>
          <w:szCs w:val="20"/>
        </w:rPr>
      </w:pPr>
      <w:r w:rsidRPr="00494806">
        <w:rPr>
          <w:rFonts w:ascii="Arial" w:hAnsi="Arial" w:cs="Arial"/>
          <w:sz w:val="20"/>
          <w:szCs w:val="20"/>
        </w:rPr>
        <w:t xml:space="preserve">The study used the ordinary least square (OLS) regression results to test the hypothesis. While the fixed effect regression was used as an additional estimation model. The results are presented in table II. </w:t>
      </w:r>
      <w:r w:rsidR="00A44A4E" w:rsidRPr="00494806">
        <w:rPr>
          <w:rFonts w:ascii="Arial" w:hAnsi="Arial" w:cs="Arial"/>
          <w:sz w:val="20"/>
          <w:szCs w:val="20"/>
        </w:rPr>
        <w:t xml:space="preserve">The study </w:t>
      </w:r>
      <w:r w:rsidRPr="00494806">
        <w:rPr>
          <w:rFonts w:ascii="Arial" w:hAnsi="Arial" w:cs="Arial"/>
          <w:sz w:val="20"/>
          <w:szCs w:val="20"/>
        </w:rPr>
        <w:t>found</w:t>
      </w:r>
      <w:r w:rsidR="00A44A4E" w:rsidRPr="00494806">
        <w:rPr>
          <w:rFonts w:ascii="Arial" w:hAnsi="Arial" w:cs="Arial"/>
          <w:sz w:val="20"/>
          <w:szCs w:val="20"/>
        </w:rPr>
        <w:t xml:space="preserve"> that FOWN is </w:t>
      </w:r>
      <w:r w:rsidR="00F92076" w:rsidRPr="00494806">
        <w:rPr>
          <w:rFonts w:ascii="Arial" w:hAnsi="Arial" w:cs="Arial"/>
          <w:sz w:val="20"/>
          <w:szCs w:val="20"/>
        </w:rPr>
        <w:t>positively</w:t>
      </w:r>
      <w:r w:rsidR="00A44A4E" w:rsidRPr="00494806">
        <w:rPr>
          <w:rFonts w:ascii="Arial" w:hAnsi="Arial" w:cs="Arial"/>
          <w:sz w:val="20"/>
          <w:szCs w:val="20"/>
        </w:rPr>
        <w:t xml:space="preserve"> linked to </w:t>
      </w:r>
      <w:r w:rsidR="00F92076" w:rsidRPr="00494806">
        <w:rPr>
          <w:rFonts w:ascii="Arial" w:hAnsi="Arial" w:cs="Arial"/>
          <w:sz w:val="20"/>
          <w:szCs w:val="20"/>
        </w:rPr>
        <w:t>CSD</w:t>
      </w:r>
      <w:r w:rsidR="00A44A4E" w:rsidRPr="00494806">
        <w:rPr>
          <w:rFonts w:ascii="Arial" w:hAnsi="Arial" w:cs="Arial"/>
          <w:sz w:val="20"/>
          <w:szCs w:val="20"/>
        </w:rPr>
        <w:t xml:space="preserve"> indicating that firms with a higher proportion of foreign ownership are </w:t>
      </w:r>
      <w:r w:rsidR="00F92076" w:rsidRPr="00494806">
        <w:rPr>
          <w:rFonts w:ascii="Arial" w:hAnsi="Arial" w:cs="Arial"/>
          <w:sz w:val="20"/>
          <w:szCs w:val="20"/>
        </w:rPr>
        <w:t>more</w:t>
      </w:r>
      <w:r w:rsidR="00A44A4E" w:rsidRPr="00494806">
        <w:rPr>
          <w:rFonts w:ascii="Arial" w:hAnsi="Arial" w:cs="Arial"/>
          <w:sz w:val="20"/>
          <w:szCs w:val="20"/>
        </w:rPr>
        <w:t xml:space="preserve"> likely to publish corporate sustainability reports (coefficient </w:t>
      </w:r>
      <w:r w:rsidR="00F92076" w:rsidRPr="00494806">
        <w:rPr>
          <w:rFonts w:ascii="Arial" w:eastAsia="Times New Roman" w:hAnsi="Arial" w:cs="Arial"/>
          <w:sz w:val="20"/>
          <w:szCs w:val="20"/>
        </w:rPr>
        <w:t>.076</w:t>
      </w:r>
      <w:r w:rsidR="00A44A4E" w:rsidRPr="00494806">
        <w:rPr>
          <w:rFonts w:ascii="Arial" w:hAnsi="Arial" w:cs="Arial"/>
          <w:sz w:val="20"/>
          <w:szCs w:val="20"/>
        </w:rPr>
        <w:t xml:space="preserve">, p &lt; 0.01). These findings are </w:t>
      </w:r>
      <w:r w:rsidR="00F92076" w:rsidRPr="00494806">
        <w:rPr>
          <w:rFonts w:ascii="Arial" w:hAnsi="Arial" w:cs="Arial"/>
          <w:sz w:val="20"/>
          <w:szCs w:val="20"/>
        </w:rPr>
        <w:t>consistent</w:t>
      </w:r>
      <w:r w:rsidR="00A44A4E" w:rsidRPr="00494806">
        <w:rPr>
          <w:rFonts w:ascii="Arial" w:hAnsi="Arial" w:cs="Arial"/>
          <w:sz w:val="20"/>
          <w:szCs w:val="20"/>
        </w:rPr>
        <w:t xml:space="preserve"> with the expectations of H</w:t>
      </w:r>
      <w:r w:rsidR="00F92076" w:rsidRPr="00494806">
        <w:rPr>
          <w:rFonts w:ascii="Arial" w:hAnsi="Arial" w:cs="Arial"/>
          <w:sz w:val="20"/>
          <w:szCs w:val="20"/>
        </w:rPr>
        <w:t>1</w:t>
      </w:r>
      <w:r w:rsidR="00A44A4E" w:rsidRPr="00494806">
        <w:rPr>
          <w:rFonts w:ascii="Arial" w:hAnsi="Arial" w:cs="Arial"/>
          <w:sz w:val="20"/>
          <w:szCs w:val="20"/>
        </w:rPr>
        <w:t xml:space="preserve">, and suggest that foreign investors in </w:t>
      </w:r>
      <w:r w:rsidR="00F92076" w:rsidRPr="00494806">
        <w:rPr>
          <w:rFonts w:ascii="Arial" w:hAnsi="Arial" w:cs="Arial"/>
          <w:sz w:val="20"/>
          <w:szCs w:val="20"/>
        </w:rPr>
        <w:t>EAC</w:t>
      </w:r>
      <w:r w:rsidR="00A44A4E" w:rsidRPr="00494806">
        <w:rPr>
          <w:rFonts w:ascii="Arial" w:hAnsi="Arial" w:cs="Arial"/>
          <w:sz w:val="20"/>
          <w:szCs w:val="20"/>
        </w:rPr>
        <w:t xml:space="preserve"> firms </w:t>
      </w:r>
      <w:r w:rsidR="00F92076" w:rsidRPr="00494806">
        <w:rPr>
          <w:rFonts w:ascii="Arial" w:hAnsi="Arial" w:cs="Arial"/>
          <w:sz w:val="20"/>
          <w:szCs w:val="20"/>
        </w:rPr>
        <w:t xml:space="preserve">tend to </w:t>
      </w:r>
      <w:r w:rsidR="00A44A4E" w:rsidRPr="00494806">
        <w:rPr>
          <w:rFonts w:ascii="Arial" w:hAnsi="Arial" w:cs="Arial"/>
          <w:sz w:val="20"/>
          <w:szCs w:val="20"/>
        </w:rPr>
        <w:t xml:space="preserve">protect the interests of all stakeholders. </w:t>
      </w:r>
      <w:r w:rsidRPr="00494806">
        <w:rPr>
          <w:rFonts w:ascii="Arial" w:hAnsi="Arial" w:cs="Arial"/>
          <w:sz w:val="20"/>
          <w:szCs w:val="20"/>
        </w:rPr>
        <w:t xml:space="preserve"> Hence</w:t>
      </w:r>
      <w:r w:rsidR="0085788C" w:rsidRPr="00494806">
        <w:rPr>
          <w:rFonts w:ascii="Arial" w:hAnsi="Arial" w:cs="Arial"/>
          <w:sz w:val="20"/>
          <w:szCs w:val="20"/>
        </w:rPr>
        <w:t>, the</w:t>
      </w:r>
      <w:r w:rsidRPr="00494806">
        <w:rPr>
          <w:rFonts w:ascii="Arial" w:hAnsi="Arial" w:cs="Arial"/>
          <w:sz w:val="20"/>
          <w:szCs w:val="20"/>
        </w:rPr>
        <w:t xml:space="preserve"> </w:t>
      </w:r>
      <w:r w:rsidR="0085788C" w:rsidRPr="00494806">
        <w:rPr>
          <w:rFonts w:ascii="Arial" w:hAnsi="Arial" w:cs="Arial"/>
          <w:sz w:val="20"/>
          <w:szCs w:val="20"/>
        </w:rPr>
        <w:t>hypothesis (H1) is accepted, and the results remain consistent under the fixed effect model</w:t>
      </w:r>
      <w:r w:rsidR="007727E6">
        <w:rPr>
          <w:rFonts w:ascii="Arial" w:hAnsi="Arial" w:cs="Arial"/>
          <w:sz w:val="20"/>
          <w:szCs w:val="20"/>
        </w:rPr>
        <w:t xml:space="preserve"> (FEM)</w:t>
      </w:r>
      <w:r w:rsidR="0085788C" w:rsidRPr="00494806">
        <w:rPr>
          <w:rFonts w:ascii="Arial" w:hAnsi="Arial" w:cs="Arial"/>
          <w:sz w:val="20"/>
          <w:szCs w:val="20"/>
        </w:rPr>
        <w:t xml:space="preserve">. </w:t>
      </w:r>
      <w:r w:rsidR="00A44A4E" w:rsidRPr="00494806">
        <w:rPr>
          <w:rFonts w:ascii="Arial" w:hAnsi="Arial" w:cs="Arial"/>
          <w:sz w:val="20"/>
          <w:szCs w:val="20"/>
        </w:rPr>
        <w:t xml:space="preserve">The extant literature provides that foreign ownership in </w:t>
      </w:r>
      <w:r w:rsidR="00F92076" w:rsidRPr="00494806">
        <w:rPr>
          <w:rFonts w:ascii="Arial" w:hAnsi="Arial" w:cs="Arial"/>
          <w:sz w:val="20"/>
          <w:szCs w:val="20"/>
        </w:rPr>
        <w:t>EAC listed</w:t>
      </w:r>
      <w:r w:rsidR="00A44A4E" w:rsidRPr="00494806">
        <w:rPr>
          <w:rFonts w:ascii="Arial" w:hAnsi="Arial" w:cs="Arial"/>
          <w:sz w:val="20"/>
          <w:szCs w:val="20"/>
        </w:rPr>
        <w:t xml:space="preserve"> firms is </w:t>
      </w:r>
      <w:r w:rsidR="00F92076" w:rsidRPr="00494806">
        <w:rPr>
          <w:rFonts w:ascii="Arial" w:hAnsi="Arial" w:cs="Arial"/>
          <w:sz w:val="20"/>
          <w:szCs w:val="20"/>
        </w:rPr>
        <w:t>positively</w:t>
      </w:r>
      <w:r w:rsidR="00A44A4E" w:rsidRPr="00494806">
        <w:rPr>
          <w:rFonts w:ascii="Arial" w:hAnsi="Arial" w:cs="Arial"/>
          <w:sz w:val="20"/>
          <w:szCs w:val="20"/>
        </w:rPr>
        <w:t xml:space="preserve"> related to corporate social responsibility performance, as these investors are concerned more in </w:t>
      </w:r>
      <w:r w:rsidR="00F92076" w:rsidRPr="00494806">
        <w:rPr>
          <w:rFonts w:ascii="Arial" w:hAnsi="Arial" w:cs="Arial"/>
          <w:sz w:val="20"/>
          <w:szCs w:val="20"/>
        </w:rPr>
        <w:t>social and environmental</w:t>
      </w:r>
      <w:r w:rsidR="00A44A4E" w:rsidRPr="00494806">
        <w:rPr>
          <w:rFonts w:ascii="Arial" w:hAnsi="Arial" w:cs="Arial"/>
          <w:sz w:val="20"/>
          <w:szCs w:val="20"/>
        </w:rPr>
        <w:t xml:space="preserve"> performance, while less in </w:t>
      </w:r>
      <w:r w:rsidR="00F92076" w:rsidRPr="00494806">
        <w:rPr>
          <w:rFonts w:ascii="Arial" w:hAnsi="Arial" w:cs="Arial"/>
          <w:sz w:val="20"/>
          <w:szCs w:val="20"/>
        </w:rPr>
        <w:t>concerned on financial</w:t>
      </w:r>
      <w:r w:rsidR="00A44A4E" w:rsidRPr="00494806">
        <w:rPr>
          <w:rFonts w:ascii="Arial" w:hAnsi="Arial" w:cs="Arial"/>
          <w:sz w:val="20"/>
          <w:szCs w:val="20"/>
        </w:rPr>
        <w:t xml:space="preserve">. </w:t>
      </w:r>
      <w:r w:rsidR="00F92076" w:rsidRPr="00494806">
        <w:rPr>
          <w:rFonts w:ascii="Arial" w:hAnsi="Arial" w:cs="Arial"/>
          <w:sz w:val="20"/>
          <w:szCs w:val="20"/>
        </w:rPr>
        <w:t>In contrast</w:t>
      </w:r>
      <w:r w:rsidR="00A44A4E" w:rsidRPr="00494806">
        <w:rPr>
          <w:rFonts w:ascii="Arial" w:hAnsi="Arial" w:cs="Arial"/>
          <w:sz w:val="20"/>
          <w:szCs w:val="20"/>
        </w:rPr>
        <w:t xml:space="preserve">, Matuszak, Różańska, and </w:t>
      </w:r>
      <w:proofErr w:type="spellStart"/>
      <w:r w:rsidR="00A44A4E" w:rsidRPr="00494806">
        <w:rPr>
          <w:rFonts w:ascii="Arial" w:hAnsi="Arial" w:cs="Arial"/>
          <w:sz w:val="20"/>
          <w:szCs w:val="20"/>
        </w:rPr>
        <w:t>Macuda</w:t>
      </w:r>
      <w:proofErr w:type="spellEnd"/>
      <w:r w:rsidR="00A44A4E" w:rsidRPr="00494806">
        <w:rPr>
          <w:rFonts w:ascii="Arial" w:hAnsi="Arial" w:cs="Arial"/>
          <w:sz w:val="20"/>
          <w:szCs w:val="20"/>
        </w:rPr>
        <w:t xml:space="preserve"> (2019) </w:t>
      </w:r>
      <w:r w:rsidR="007727E6">
        <w:rPr>
          <w:rFonts w:ascii="Arial" w:hAnsi="Arial" w:cs="Arial"/>
          <w:sz w:val="20"/>
          <w:szCs w:val="20"/>
        </w:rPr>
        <w:t>found</w:t>
      </w:r>
      <w:r w:rsidR="00A44A4E" w:rsidRPr="00494806">
        <w:rPr>
          <w:rFonts w:ascii="Arial" w:hAnsi="Arial" w:cs="Arial"/>
          <w:sz w:val="20"/>
          <w:szCs w:val="20"/>
        </w:rPr>
        <w:t xml:space="preserve"> that foreign investors have less moral attachment and for that reason negatively influence the level of CSR disclosures in Polish firms</w:t>
      </w:r>
      <w:r w:rsidR="00C41C3E" w:rsidRPr="00494806">
        <w:rPr>
          <w:rFonts w:ascii="Arial" w:hAnsi="Arial" w:cs="Arial"/>
          <w:sz w:val="20"/>
          <w:szCs w:val="20"/>
        </w:rPr>
        <w:t>.</w:t>
      </w:r>
    </w:p>
    <w:p w:rsidR="00D12EF8" w:rsidRPr="00494806" w:rsidRDefault="00F92076" w:rsidP="00B24785">
      <w:pPr>
        <w:spacing w:line="240" w:lineRule="auto"/>
        <w:jc w:val="both"/>
        <w:rPr>
          <w:rFonts w:ascii="Arial" w:hAnsi="Arial" w:cs="Arial"/>
          <w:sz w:val="20"/>
          <w:szCs w:val="20"/>
        </w:rPr>
      </w:pPr>
      <w:r w:rsidRPr="00494806">
        <w:rPr>
          <w:rFonts w:ascii="Arial" w:hAnsi="Arial" w:cs="Arial"/>
          <w:sz w:val="20"/>
          <w:szCs w:val="20"/>
        </w:rPr>
        <w:t>M</w:t>
      </w:r>
      <w:r w:rsidR="00C41C3E" w:rsidRPr="00494806">
        <w:rPr>
          <w:rFonts w:ascii="Arial" w:hAnsi="Arial" w:cs="Arial"/>
          <w:sz w:val="20"/>
          <w:szCs w:val="20"/>
        </w:rPr>
        <w:t xml:space="preserve">oreover, the </w:t>
      </w:r>
      <w:r w:rsidR="00323D0C" w:rsidRPr="00494806">
        <w:rPr>
          <w:rFonts w:ascii="Arial" w:hAnsi="Arial" w:cs="Arial"/>
          <w:sz w:val="20"/>
          <w:szCs w:val="20"/>
        </w:rPr>
        <w:t>OLS</w:t>
      </w:r>
      <w:r w:rsidR="00C41C3E" w:rsidRPr="00494806">
        <w:rPr>
          <w:rFonts w:ascii="Arial" w:hAnsi="Arial" w:cs="Arial"/>
          <w:sz w:val="20"/>
          <w:szCs w:val="20"/>
        </w:rPr>
        <w:t xml:space="preserve"> regression reveals that firm size (</w:t>
      </w:r>
      <w:r w:rsidR="00323D0C" w:rsidRPr="00494806">
        <w:rPr>
          <w:rFonts w:ascii="Arial" w:hAnsi="Arial" w:cs="Arial"/>
          <w:sz w:val="20"/>
          <w:szCs w:val="20"/>
        </w:rPr>
        <w:t>FS</w:t>
      </w:r>
      <w:r w:rsidR="00C41C3E" w:rsidRPr="00494806">
        <w:rPr>
          <w:rFonts w:ascii="Arial" w:hAnsi="Arial" w:cs="Arial"/>
          <w:sz w:val="20"/>
          <w:szCs w:val="20"/>
        </w:rPr>
        <w:t>)</w:t>
      </w:r>
      <w:r w:rsidR="00A75071" w:rsidRPr="00494806">
        <w:rPr>
          <w:rFonts w:ascii="Arial" w:hAnsi="Arial" w:cs="Arial"/>
          <w:sz w:val="20"/>
          <w:szCs w:val="20"/>
        </w:rPr>
        <w:t xml:space="preserve"> (Coeff 0.237) an</w:t>
      </w:r>
      <w:r w:rsidR="0085788C" w:rsidRPr="00494806">
        <w:rPr>
          <w:rFonts w:ascii="Arial" w:hAnsi="Arial" w:cs="Arial"/>
          <w:sz w:val="20"/>
          <w:szCs w:val="20"/>
        </w:rPr>
        <w:t>d</w:t>
      </w:r>
      <w:r w:rsidR="00A75071" w:rsidRPr="00494806">
        <w:rPr>
          <w:rFonts w:ascii="Arial" w:hAnsi="Arial" w:cs="Arial"/>
          <w:sz w:val="20"/>
          <w:szCs w:val="20"/>
        </w:rPr>
        <w:t xml:space="preserve"> return on assets </w:t>
      </w:r>
      <w:r w:rsidR="00323D0C" w:rsidRPr="00494806">
        <w:rPr>
          <w:rFonts w:ascii="Arial" w:hAnsi="Arial" w:cs="Arial"/>
          <w:sz w:val="20"/>
          <w:szCs w:val="20"/>
        </w:rPr>
        <w:t xml:space="preserve">(ROA) </w:t>
      </w:r>
      <w:r w:rsidR="00A75071" w:rsidRPr="00494806">
        <w:rPr>
          <w:rFonts w:ascii="Arial" w:hAnsi="Arial" w:cs="Arial"/>
          <w:sz w:val="20"/>
          <w:szCs w:val="20"/>
        </w:rPr>
        <w:t xml:space="preserve">(Coeff 0.181) </w:t>
      </w:r>
      <w:r w:rsidR="00C41C3E" w:rsidRPr="00494806">
        <w:rPr>
          <w:rFonts w:ascii="Arial" w:hAnsi="Arial" w:cs="Arial"/>
          <w:sz w:val="20"/>
          <w:szCs w:val="20"/>
        </w:rPr>
        <w:t>have a positive impact on the voluntary sustainability reporting decision, which are consistent with the prior studies (</w:t>
      </w:r>
      <w:proofErr w:type="spellStart"/>
      <w:r w:rsidR="00C41C3E" w:rsidRPr="00494806">
        <w:rPr>
          <w:rFonts w:ascii="Arial" w:hAnsi="Arial" w:cs="Arial"/>
          <w:sz w:val="20"/>
          <w:szCs w:val="20"/>
        </w:rPr>
        <w:t>Artiach</w:t>
      </w:r>
      <w:proofErr w:type="spellEnd"/>
      <w:r w:rsidR="00C41C3E" w:rsidRPr="00494806">
        <w:rPr>
          <w:rFonts w:ascii="Arial" w:hAnsi="Arial" w:cs="Arial"/>
          <w:sz w:val="20"/>
          <w:szCs w:val="20"/>
        </w:rPr>
        <w:t xml:space="preserve"> et al. 2010; Dienes, Sassen, and Fischer 2016; Herda, Taylor, and Winterbotham 2012; </w:t>
      </w:r>
      <w:proofErr w:type="spellStart"/>
      <w:r w:rsidR="00C41C3E" w:rsidRPr="00494806">
        <w:rPr>
          <w:rFonts w:ascii="Arial" w:hAnsi="Arial" w:cs="Arial"/>
          <w:sz w:val="20"/>
          <w:szCs w:val="20"/>
        </w:rPr>
        <w:t>Muttakin</w:t>
      </w:r>
      <w:proofErr w:type="spellEnd"/>
      <w:r w:rsidR="00C41C3E" w:rsidRPr="00494806">
        <w:rPr>
          <w:rFonts w:ascii="Arial" w:hAnsi="Arial" w:cs="Arial"/>
          <w:sz w:val="20"/>
          <w:szCs w:val="20"/>
        </w:rPr>
        <w:t xml:space="preserve"> and Khan 2014; Oh, Cha, and Chang 2017</w:t>
      </w:r>
      <w:r w:rsidR="00A75071" w:rsidRPr="00494806">
        <w:rPr>
          <w:rFonts w:ascii="Arial" w:hAnsi="Arial" w:cs="Arial"/>
          <w:sz w:val="20"/>
          <w:szCs w:val="20"/>
        </w:rPr>
        <w:t>. On the other hand</w:t>
      </w:r>
      <w:r w:rsidR="0085788C" w:rsidRPr="00494806">
        <w:rPr>
          <w:rFonts w:ascii="Arial" w:hAnsi="Arial" w:cs="Arial"/>
          <w:sz w:val="20"/>
          <w:szCs w:val="20"/>
        </w:rPr>
        <w:t>,</w:t>
      </w:r>
      <w:r w:rsidR="00A75071" w:rsidRPr="00494806">
        <w:rPr>
          <w:rFonts w:ascii="Arial" w:hAnsi="Arial" w:cs="Arial"/>
          <w:sz w:val="20"/>
          <w:szCs w:val="20"/>
        </w:rPr>
        <w:t xml:space="preserve"> leverage (LEV) (Coeff -0.063) and firm age (</w:t>
      </w:r>
      <w:r w:rsidR="00323D0C" w:rsidRPr="00494806">
        <w:rPr>
          <w:rFonts w:ascii="Arial" w:hAnsi="Arial" w:cs="Arial"/>
          <w:sz w:val="20"/>
          <w:szCs w:val="20"/>
        </w:rPr>
        <w:t>FA</w:t>
      </w:r>
      <w:r w:rsidR="00A75071" w:rsidRPr="00494806">
        <w:rPr>
          <w:rFonts w:ascii="Arial" w:hAnsi="Arial" w:cs="Arial"/>
          <w:sz w:val="20"/>
          <w:szCs w:val="20"/>
        </w:rPr>
        <w:t>) (-0.12) have a negative effect on corporate sustainability disclosure practices</w:t>
      </w:r>
    </w:p>
    <w:p w:rsidR="00D12EF8" w:rsidRPr="00494806" w:rsidRDefault="00201452" w:rsidP="00B24785">
      <w:pPr>
        <w:spacing w:line="240" w:lineRule="auto"/>
        <w:jc w:val="both"/>
        <w:rPr>
          <w:rFonts w:ascii="Arial" w:hAnsi="Arial" w:cs="Arial"/>
          <w:sz w:val="20"/>
          <w:szCs w:val="20"/>
        </w:rPr>
      </w:pPr>
      <w:r>
        <w:rPr>
          <w:rFonts w:ascii="Arial" w:hAnsi="Arial" w:cs="Arial"/>
          <w:sz w:val="20"/>
          <w:szCs w:val="20"/>
        </w:rPr>
        <w:t>“</w:t>
      </w:r>
      <w:r w:rsidR="00D12EF8" w:rsidRPr="00494806">
        <w:rPr>
          <w:rFonts w:ascii="Arial" w:hAnsi="Arial" w:cs="Arial"/>
          <w:sz w:val="20"/>
          <w:szCs w:val="20"/>
        </w:rPr>
        <w:t>This study supports previous studies that find foreign investors experience higher information asymmetry due to their different geographic locations</w:t>
      </w:r>
      <w:r>
        <w:rPr>
          <w:rFonts w:ascii="Arial" w:hAnsi="Arial" w:cs="Arial"/>
          <w:sz w:val="20"/>
          <w:szCs w:val="20"/>
        </w:rPr>
        <w:t>”</w:t>
      </w:r>
      <w:r w:rsidR="00D12EF8" w:rsidRPr="00494806">
        <w:rPr>
          <w:rFonts w:ascii="Arial" w:hAnsi="Arial" w:cs="Arial"/>
          <w:sz w:val="20"/>
          <w:szCs w:val="20"/>
        </w:rPr>
        <w:t xml:space="preserve"> (</w:t>
      </w:r>
      <w:proofErr w:type="spellStart"/>
      <w:r w:rsidR="00D12EF8" w:rsidRPr="00494806">
        <w:rPr>
          <w:rFonts w:ascii="Arial" w:hAnsi="Arial" w:cs="Arial"/>
          <w:sz w:val="20"/>
          <w:szCs w:val="20"/>
        </w:rPr>
        <w:t>Wicaksono</w:t>
      </w:r>
      <w:proofErr w:type="spellEnd"/>
      <w:r w:rsidR="00D12EF8" w:rsidRPr="00494806">
        <w:rPr>
          <w:rFonts w:ascii="Arial" w:hAnsi="Arial" w:cs="Arial"/>
          <w:sz w:val="20"/>
          <w:szCs w:val="20"/>
        </w:rPr>
        <w:t xml:space="preserve"> </w:t>
      </w:r>
      <w:r w:rsidR="00A7230A" w:rsidRPr="00494806">
        <w:rPr>
          <w:rFonts w:ascii="Arial" w:hAnsi="Arial" w:cs="Arial"/>
          <w:sz w:val="20"/>
          <w:szCs w:val="20"/>
        </w:rPr>
        <w:t>&amp;</w:t>
      </w:r>
      <w:r w:rsidR="00D12EF8" w:rsidRPr="00494806">
        <w:rPr>
          <w:rFonts w:ascii="Arial" w:hAnsi="Arial" w:cs="Arial"/>
          <w:sz w:val="20"/>
          <w:szCs w:val="20"/>
        </w:rPr>
        <w:t xml:space="preserve"> Setiawan, 2022). </w:t>
      </w:r>
      <w:r>
        <w:rPr>
          <w:rFonts w:ascii="Arial" w:hAnsi="Arial" w:cs="Arial"/>
          <w:sz w:val="20"/>
          <w:szCs w:val="20"/>
        </w:rPr>
        <w:t>“</w:t>
      </w:r>
      <w:r w:rsidR="00D12EF8" w:rsidRPr="00494806">
        <w:rPr>
          <w:rFonts w:ascii="Arial" w:hAnsi="Arial" w:cs="Arial"/>
          <w:sz w:val="20"/>
          <w:szCs w:val="20"/>
        </w:rPr>
        <w:t xml:space="preserve">However, our finding suggests that institutional investors from developed and developing countries have different effects on environmental disclosure in Indonesian companies. Our results show that investors from developed countries may suffer higher information asymmetry problems than developing countries in both sensitive and nonsensitive industries. This argument is reasonable because </w:t>
      </w:r>
      <w:r w:rsidR="00A75071" w:rsidRPr="00494806">
        <w:rPr>
          <w:rFonts w:ascii="Arial" w:hAnsi="Arial" w:cs="Arial"/>
          <w:sz w:val="20"/>
          <w:szCs w:val="20"/>
        </w:rPr>
        <w:t>EAC</w:t>
      </w:r>
      <w:r w:rsidR="00D12EF8" w:rsidRPr="00494806">
        <w:rPr>
          <w:rFonts w:ascii="Arial" w:hAnsi="Arial" w:cs="Arial"/>
          <w:sz w:val="20"/>
          <w:szCs w:val="20"/>
        </w:rPr>
        <w:t xml:space="preserve"> is geographically located in </w:t>
      </w:r>
      <w:r w:rsidR="0085788C" w:rsidRPr="00494806">
        <w:rPr>
          <w:rFonts w:ascii="Arial" w:hAnsi="Arial" w:cs="Arial"/>
          <w:sz w:val="20"/>
          <w:szCs w:val="20"/>
        </w:rPr>
        <w:t>Sub-Saharan</w:t>
      </w:r>
      <w:r w:rsidR="00A75071" w:rsidRPr="00494806">
        <w:rPr>
          <w:rFonts w:ascii="Arial" w:hAnsi="Arial" w:cs="Arial"/>
          <w:sz w:val="20"/>
          <w:szCs w:val="20"/>
        </w:rPr>
        <w:t xml:space="preserve"> Africa</w:t>
      </w:r>
      <w:r w:rsidR="00D12EF8" w:rsidRPr="00494806">
        <w:rPr>
          <w:rFonts w:ascii="Arial" w:hAnsi="Arial" w:cs="Arial"/>
          <w:sz w:val="20"/>
          <w:szCs w:val="20"/>
        </w:rPr>
        <w:t xml:space="preserve">, where almost all countries in this region are classified as developing countries. There is a long geographical distance between </w:t>
      </w:r>
      <w:r w:rsidR="00A75071" w:rsidRPr="00494806">
        <w:rPr>
          <w:rFonts w:ascii="Arial" w:hAnsi="Arial" w:cs="Arial"/>
          <w:sz w:val="20"/>
          <w:szCs w:val="20"/>
        </w:rPr>
        <w:t>EAC</w:t>
      </w:r>
      <w:r w:rsidR="00D12EF8" w:rsidRPr="00494806">
        <w:rPr>
          <w:rFonts w:ascii="Arial" w:hAnsi="Arial" w:cs="Arial"/>
          <w:sz w:val="20"/>
          <w:szCs w:val="20"/>
        </w:rPr>
        <w:t xml:space="preserve"> and most developed countries, so investors from developing countries have many limitations in supervising companies’ activities. Hence, they press companies to disclose corporate information to monitor the companies, predict prospects and reduce agency costs. The other potential reason is that investors from developed countries have a better understanding and experience in sustainability and disclosure practices than developing countries</w:t>
      </w:r>
      <w:r>
        <w:rPr>
          <w:rFonts w:ascii="Arial" w:hAnsi="Arial" w:cs="Arial"/>
          <w:sz w:val="20"/>
          <w:szCs w:val="20"/>
        </w:rPr>
        <w:t>”</w:t>
      </w:r>
      <w:r w:rsidR="00D12EF8" w:rsidRPr="00494806">
        <w:rPr>
          <w:rFonts w:ascii="Arial" w:hAnsi="Arial" w:cs="Arial"/>
          <w:sz w:val="20"/>
          <w:szCs w:val="20"/>
        </w:rPr>
        <w:t xml:space="preserve"> (Bhatia and Makkar, 2020). </w:t>
      </w:r>
      <w:r>
        <w:rPr>
          <w:rFonts w:ascii="Arial" w:hAnsi="Arial" w:cs="Arial"/>
          <w:sz w:val="20"/>
          <w:szCs w:val="20"/>
        </w:rPr>
        <w:t>“</w:t>
      </w:r>
      <w:r w:rsidR="00D12EF8" w:rsidRPr="00494806">
        <w:rPr>
          <w:rFonts w:ascii="Arial" w:hAnsi="Arial" w:cs="Arial"/>
          <w:sz w:val="20"/>
          <w:szCs w:val="20"/>
        </w:rPr>
        <w:t>As documented in previous studies, developed countries are pioneers of non-financial reporting, so investors are familiar with accountability and transparency practices, including environmental disclosure</w:t>
      </w:r>
      <w:r>
        <w:rPr>
          <w:rFonts w:ascii="Arial" w:hAnsi="Arial" w:cs="Arial"/>
          <w:sz w:val="20"/>
          <w:szCs w:val="20"/>
        </w:rPr>
        <w:t>”</w:t>
      </w:r>
      <w:r w:rsidR="00D12EF8" w:rsidRPr="00494806">
        <w:rPr>
          <w:rFonts w:ascii="Arial" w:hAnsi="Arial" w:cs="Arial"/>
          <w:sz w:val="20"/>
          <w:szCs w:val="20"/>
        </w:rPr>
        <w:t xml:space="preserve"> (</w:t>
      </w:r>
      <w:proofErr w:type="spellStart"/>
      <w:r w:rsidR="00A7230A" w:rsidRPr="00494806">
        <w:rPr>
          <w:rFonts w:ascii="Arial" w:hAnsi="Arial" w:cs="Arial"/>
          <w:sz w:val="20"/>
          <w:szCs w:val="20"/>
        </w:rPr>
        <w:t>Wicaksono</w:t>
      </w:r>
      <w:proofErr w:type="spellEnd"/>
      <w:r w:rsidR="00A7230A" w:rsidRPr="00494806">
        <w:rPr>
          <w:rFonts w:ascii="Arial" w:hAnsi="Arial" w:cs="Arial"/>
          <w:sz w:val="20"/>
          <w:szCs w:val="20"/>
        </w:rPr>
        <w:t xml:space="preserve"> et al., 2024)</w:t>
      </w:r>
      <w:r w:rsidR="00D12EF8" w:rsidRPr="00494806">
        <w:rPr>
          <w:rFonts w:ascii="Arial" w:hAnsi="Arial" w:cs="Arial"/>
          <w:sz w:val="20"/>
          <w:szCs w:val="20"/>
        </w:rPr>
        <w:t xml:space="preserve"> such as the USA, </w:t>
      </w:r>
      <w:r w:rsidR="00A75071" w:rsidRPr="00494806">
        <w:rPr>
          <w:rFonts w:ascii="Arial" w:hAnsi="Arial" w:cs="Arial"/>
          <w:sz w:val="20"/>
          <w:szCs w:val="20"/>
        </w:rPr>
        <w:t xml:space="preserve">United Kingdom </w:t>
      </w:r>
      <w:r w:rsidR="00D12EF8" w:rsidRPr="00494806">
        <w:rPr>
          <w:rFonts w:ascii="Arial" w:hAnsi="Arial" w:cs="Arial"/>
          <w:sz w:val="20"/>
          <w:szCs w:val="20"/>
        </w:rPr>
        <w:t xml:space="preserve">and Japan (IDX Channel, 2022). As our finding reveals a significant impact of institutional investors from developed countries, it can be said that investors from developed countries strongly influence environmental performance of Indonesian companies. It confirms the finding of Oh et al. (2011) that </w:t>
      </w:r>
      <w:r>
        <w:rPr>
          <w:rFonts w:ascii="Arial" w:hAnsi="Arial" w:cs="Arial"/>
          <w:sz w:val="20"/>
          <w:szCs w:val="20"/>
        </w:rPr>
        <w:t>“</w:t>
      </w:r>
      <w:r w:rsidR="00D12EF8" w:rsidRPr="00494806">
        <w:rPr>
          <w:rFonts w:ascii="Arial" w:hAnsi="Arial" w:cs="Arial"/>
          <w:sz w:val="20"/>
          <w:szCs w:val="20"/>
        </w:rPr>
        <w:t xml:space="preserve">shareholders from developed countries largely influence CSR implementation in Asian countries. Investors want to promote accountability and transparency so that they </w:t>
      </w:r>
      <w:r w:rsidR="00D12EF8" w:rsidRPr="00494806">
        <w:rPr>
          <w:rFonts w:ascii="Arial" w:hAnsi="Arial" w:cs="Arial"/>
          <w:sz w:val="20"/>
          <w:szCs w:val="20"/>
        </w:rPr>
        <w:lastRenderedPageBreak/>
        <w:t>urge Indonesian companies’ managers to be concerned not only about financial aspects but also non-financial aspects such as environmental issues. Thus, environmental disclosure is produced to meet the demand and pressure of investors from developed countries</w:t>
      </w:r>
      <w:r>
        <w:rPr>
          <w:rFonts w:ascii="Arial" w:hAnsi="Arial" w:cs="Arial"/>
          <w:sz w:val="20"/>
          <w:szCs w:val="20"/>
        </w:rPr>
        <w:t>”</w:t>
      </w:r>
      <w:r w:rsidR="00D12EF8" w:rsidRPr="00494806">
        <w:rPr>
          <w:rFonts w:ascii="Arial" w:hAnsi="Arial" w:cs="Arial"/>
          <w:sz w:val="20"/>
          <w:szCs w:val="20"/>
        </w:rPr>
        <w:t>.</w:t>
      </w:r>
    </w:p>
    <w:p w:rsidR="00F92076" w:rsidRPr="00494806" w:rsidRDefault="00F92076" w:rsidP="00B24785">
      <w:pPr>
        <w:pStyle w:val="Caption"/>
        <w:keepNext/>
        <w:rPr>
          <w:rFonts w:ascii="Arial" w:hAnsi="Arial" w:cs="Arial"/>
          <w:color w:val="auto"/>
          <w:sz w:val="20"/>
          <w:szCs w:val="20"/>
        </w:rPr>
      </w:pPr>
      <w:r w:rsidRPr="00494806">
        <w:rPr>
          <w:rFonts w:ascii="Arial" w:hAnsi="Arial" w:cs="Arial"/>
          <w:color w:val="auto"/>
          <w:sz w:val="20"/>
          <w:szCs w:val="20"/>
        </w:rPr>
        <w:t xml:space="preserve">Table </w:t>
      </w:r>
      <w:r w:rsidRPr="00494806">
        <w:rPr>
          <w:rFonts w:ascii="Arial" w:hAnsi="Arial" w:cs="Arial"/>
          <w:color w:val="auto"/>
          <w:sz w:val="20"/>
          <w:szCs w:val="20"/>
        </w:rPr>
        <w:fldChar w:fldCharType="begin"/>
      </w:r>
      <w:r w:rsidRPr="00494806">
        <w:rPr>
          <w:rFonts w:ascii="Arial" w:hAnsi="Arial" w:cs="Arial"/>
          <w:color w:val="auto"/>
          <w:sz w:val="20"/>
          <w:szCs w:val="20"/>
        </w:rPr>
        <w:instrText xml:space="preserve"> SEQ Table \* ROMAN </w:instrText>
      </w:r>
      <w:r w:rsidRPr="00494806">
        <w:rPr>
          <w:rFonts w:ascii="Arial" w:hAnsi="Arial" w:cs="Arial"/>
          <w:color w:val="auto"/>
          <w:sz w:val="20"/>
          <w:szCs w:val="20"/>
        </w:rPr>
        <w:fldChar w:fldCharType="separate"/>
      </w:r>
      <w:r w:rsidRPr="00494806">
        <w:rPr>
          <w:rFonts w:ascii="Arial" w:hAnsi="Arial" w:cs="Arial"/>
          <w:noProof/>
          <w:color w:val="auto"/>
          <w:sz w:val="20"/>
          <w:szCs w:val="20"/>
        </w:rPr>
        <w:t>III</w:t>
      </w:r>
      <w:r w:rsidRPr="00494806">
        <w:rPr>
          <w:rFonts w:ascii="Arial" w:hAnsi="Arial" w:cs="Arial"/>
          <w:color w:val="auto"/>
          <w:sz w:val="20"/>
          <w:szCs w:val="20"/>
        </w:rPr>
        <w:fldChar w:fldCharType="end"/>
      </w:r>
      <w:r w:rsidRPr="00494806">
        <w:rPr>
          <w:rFonts w:ascii="Arial" w:hAnsi="Arial" w:cs="Arial"/>
          <w:color w:val="auto"/>
          <w:sz w:val="20"/>
          <w:szCs w:val="20"/>
        </w:rPr>
        <w:t>. Regression analysis</w:t>
      </w:r>
    </w:p>
    <w:tbl>
      <w:tblPr>
        <w:tblW w:w="7764" w:type="dxa"/>
        <w:tblCellSpacing w:w="15" w:type="dxa"/>
        <w:tblBorders>
          <w:bottom w:val="single" w:sz="18" w:space="0" w:color="auto"/>
        </w:tblBorders>
        <w:tblCellMar>
          <w:top w:w="15" w:type="dxa"/>
          <w:left w:w="15" w:type="dxa"/>
          <w:bottom w:w="15" w:type="dxa"/>
          <w:right w:w="15" w:type="dxa"/>
        </w:tblCellMar>
        <w:tblLook w:val="04A0" w:firstRow="1" w:lastRow="0" w:firstColumn="1" w:lastColumn="0" w:noHBand="0" w:noVBand="1"/>
      </w:tblPr>
      <w:tblGrid>
        <w:gridCol w:w="2040"/>
        <w:gridCol w:w="2748"/>
        <w:gridCol w:w="2976"/>
      </w:tblGrid>
      <w:tr w:rsidR="00494806" w:rsidRPr="00494806" w:rsidTr="00864727">
        <w:trPr>
          <w:trHeight w:val="242"/>
          <w:tblCellSpacing w:w="15" w:type="dxa"/>
        </w:trPr>
        <w:tc>
          <w:tcPr>
            <w:tcW w:w="0" w:type="auto"/>
            <w:tcBorders>
              <w:top w:val="single" w:sz="18" w:space="0" w:color="auto"/>
              <w:bottom w:val="single" w:sz="18" w:space="0" w:color="auto"/>
            </w:tcBorders>
            <w:vAlign w:val="center"/>
            <w:hideMark/>
          </w:tcPr>
          <w:p w:rsidR="00F92076" w:rsidRPr="00494806" w:rsidRDefault="00F92076" w:rsidP="00B24785">
            <w:pPr>
              <w:spacing w:after="0" w:line="240" w:lineRule="auto"/>
              <w:jc w:val="both"/>
              <w:rPr>
                <w:rFonts w:ascii="Arial" w:eastAsia="Times New Roman" w:hAnsi="Arial" w:cs="Arial"/>
                <w:sz w:val="20"/>
                <w:szCs w:val="20"/>
              </w:rPr>
            </w:pPr>
          </w:p>
        </w:tc>
        <w:tc>
          <w:tcPr>
            <w:tcW w:w="0" w:type="auto"/>
            <w:tcBorders>
              <w:top w:val="single" w:sz="18" w:space="0" w:color="auto"/>
              <w:bottom w:val="single" w:sz="18" w:space="0" w:color="auto"/>
            </w:tcBorders>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OLS</w:t>
            </w:r>
          </w:p>
        </w:tc>
        <w:tc>
          <w:tcPr>
            <w:tcW w:w="0" w:type="auto"/>
            <w:tcBorders>
              <w:top w:val="single" w:sz="18" w:space="0" w:color="auto"/>
              <w:bottom w:val="single" w:sz="18" w:space="0" w:color="auto"/>
            </w:tcBorders>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w:t>
            </w:r>
            <w:r w:rsidR="007727E6">
              <w:rPr>
                <w:rFonts w:ascii="Arial" w:eastAsia="Times New Roman" w:hAnsi="Arial" w:cs="Arial"/>
                <w:sz w:val="20"/>
                <w:szCs w:val="20"/>
              </w:rPr>
              <w:t>EM</w:t>
            </w:r>
          </w:p>
        </w:tc>
      </w:tr>
      <w:tr w:rsidR="00494806" w:rsidRPr="00494806" w:rsidTr="00864727">
        <w:trPr>
          <w:trHeight w:val="251"/>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CSD</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Coef.</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Std. Err.</w:t>
            </w:r>
          </w:p>
        </w:tc>
      </w:tr>
      <w:tr w:rsidR="00494806" w:rsidRPr="00494806" w:rsidTr="00864727">
        <w:trPr>
          <w:trHeight w:val="242"/>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ROA</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.237(</w:t>
            </w:r>
            <w:proofErr w:type="gramStart"/>
            <w:r w:rsidRPr="00494806">
              <w:rPr>
                <w:rFonts w:ascii="Arial" w:eastAsia="Times New Roman" w:hAnsi="Arial" w:cs="Arial"/>
                <w:sz w:val="20"/>
                <w:szCs w:val="20"/>
              </w:rPr>
              <w:t>0.015)*</w:t>
            </w:r>
            <w:proofErr w:type="gramEnd"/>
            <w:r w:rsidRPr="00494806">
              <w:rPr>
                <w:rFonts w:ascii="Arial" w:eastAsia="Times New Roman" w:hAnsi="Arial" w:cs="Arial"/>
                <w:sz w:val="20"/>
                <w:szCs w:val="20"/>
              </w:rPr>
              <w:t>*</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.075(</w:t>
            </w:r>
            <w:proofErr w:type="gramStart"/>
            <w:r w:rsidRPr="00494806">
              <w:rPr>
                <w:rFonts w:ascii="Arial" w:eastAsia="Times New Roman" w:hAnsi="Arial" w:cs="Arial"/>
                <w:sz w:val="20"/>
                <w:szCs w:val="20"/>
              </w:rPr>
              <w:t>0.015)*</w:t>
            </w:r>
            <w:proofErr w:type="gramEnd"/>
            <w:r w:rsidRPr="00494806">
              <w:rPr>
                <w:rFonts w:ascii="Arial" w:eastAsia="Times New Roman" w:hAnsi="Arial" w:cs="Arial"/>
                <w:sz w:val="20"/>
                <w:szCs w:val="20"/>
              </w:rPr>
              <w:t>*</w:t>
            </w:r>
          </w:p>
        </w:tc>
      </w:tr>
      <w:tr w:rsidR="00494806" w:rsidRPr="00494806" w:rsidTr="00864727">
        <w:trPr>
          <w:trHeight w:val="251"/>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LEV</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-.063(</w:t>
            </w:r>
            <w:proofErr w:type="gramStart"/>
            <w:r w:rsidRPr="00494806">
              <w:rPr>
                <w:rFonts w:ascii="Arial" w:eastAsia="Times New Roman" w:hAnsi="Arial" w:cs="Arial"/>
                <w:sz w:val="20"/>
                <w:szCs w:val="20"/>
              </w:rPr>
              <w:t>0.008)*</w:t>
            </w:r>
            <w:proofErr w:type="gramEnd"/>
            <w:r w:rsidRPr="00494806">
              <w:rPr>
                <w:rFonts w:ascii="Arial" w:eastAsia="Times New Roman" w:hAnsi="Arial" w:cs="Arial"/>
                <w:sz w:val="20"/>
                <w:szCs w:val="20"/>
              </w:rPr>
              <w:t>*</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-.024(</w:t>
            </w:r>
            <w:proofErr w:type="gramStart"/>
            <w:r w:rsidRPr="00494806">
              <w:rPr>
                <w:rFonts w:ascii="Arial" w:eastAsia="Times New Roman" w:hAnsi="Arial" w:cs="Arial"/>
                <w:sz w:val="20"/>
                <w:szCs w:val="20"/>
              </w:rPr>
              <w:t>0.009)*</w:t>
            </w:r>
            <w:proofErr w:type="gramEnd"/>
            <w:r w:rsidRPr="00494806">
              <w:rPr>
                <w:rFonts w:ascii="Arial" w:eastAsia="Times New Roman" w:hAnsi="Arial" w:cs="Arial"/>
                <w:sz w:val="20"/>
                <w:szCs w:val="20"/>
              </w:rPr>
              <w:t>*</w:t>
            </w:r>
          </w:p>
        </w:tc>
      </w:tr>
      <w:tr w:rsidR="00494806" w:rsidRPr="00494806" w:rsidTr="00864727">
        <w:trPr>
          <w:trHeight w:val="242"/>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FS</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.181(</w:t>
            </w:r>
            <w:proofErr w:type="gramStart"/>
            <w:r w:rsidRPr="00494806">
              <w:rPr>
                <w:rFonts w:ascii="Arial" w:eastAsia="Times New Roman" w:hAnsi="Arial" w:cs="Arial"/>
                <w:sz w:val="20"/>
                <w:szCs w:val="20"/>
              </w:rPr>
              <w:t>0.014)*</w:t>
            </w:r>
            <w:proofErr w:type="gramEnd"/>
            <w:r w:rsidRPr="00494806">
              <w:rPr>
                <w:rFonts w:ascii="Arial" w:eastAsia="Times New Roman" w:hAnsi="Arial" w:cs="Arial"/>
                <w:sz w:val="20"/>
                <w:szCs w:val="20"/>
              </w:rPr>
              <w:t>*</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.301(</w:t>
            </w:r>
            <w:proofErr w:type="gramStart"/>
            <w:r w:rsidRPr="00494806">
              <w:rPr>
                <w:rFonts w:ascii="Arial" w:eastAsia="Times New Roman" w:hAnsi="Arial" w:cs="Arial"/>
                <w:sz w:val="20"/>
                <w:szCs w:val="20"/>
              </w:rPr>
              <w:t>0.026)*</w:t>
            </w:r>
            <w:proofErr w:type="gramEnd"/>
            <w:r w:rsidRPr="00494806">
              <w:rPr>
                <w:rFonts w:ascii="Arial" w:eastAsia="Times New Roman" w:hAnsi="Arial" w:cs="Arial"/>
                <w:sz w:val="20"/>
                <w:szCs w:val="20"/>
              </w:rPr>
              <w:t>*</w:t>
            </w:r>
          </w:p>
        </w:tc>
      </w:tr>
      <w:tr w:rsidR="00494806" w:rsidRPr="00494806" w:rsidTr="00864727">
        <w:trPr>
          <w:trHeight w:val="251"/>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FA</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-.012(0.015)</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.011(0.013)</w:t>
            </w:r>
          </w:p>
        </w:tc>
      </w:tr>
      <w:tr w:rsidR="00494806" w:rsidRPr="00494806" w:rsidTr="00864727">
        <w:trPr>
          <w:trHeight w:val="251"/>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FOWN</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.076(</w:t>
            </w:r>
            <w:proofErr w:type="gramStart"/>
            <w:r w:rsidRPr="00494806">
              <w:rPr>
                <w:rFonts w:ascii="Arial" w:eastAsia="Times New Roman" w:hAnsi="Arial" w:cs="Arial"/>
                <w:sz w:val="20"/>
                <w:szCs w:val="20"/>
              </w:rPr>
              <w:t>0.014)*</w:t>
            </w:r>
            <w:proofErr w:type="gramEnd"/>
            <w:r w:rsidRPr="00494806">
              <w:rPr>
                <w:rFonts w:ascii="Arial" w:eastAsia="Times New Roman" w:hAnsi="Arial" w:cs="Arial"/>
                <w:sz w:val="20"/>
                <w:szCs w:val="20"/>
              </w:rPr>
              <w:t>*</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.067(</w:t>
            </w:r>
            <w:proofErr w:type="gramStart"/>
            <w:r w:rsidRPr="00494806">
              <w:rPr>
                <w:rFonts w:ascii="Arial" w:eastAsia="Times New Roman" w:hAnsi="Arial" w:cs="Arial"/>
                <w:sz w:val="20"/>
                <w:szCs w:val="20"/>
              </w:rPr>
              <w:t>0.024)*</w:t>
            </w:r>
            <w:proofErr w:type="gramEnd"/>
            <w:r w:rsidRPr="00494806">
              <w:rPr>
                <w:rFonts w:ascii="Arial" w:eastAsia="Times New Roman" w:hAnsi="Arial" w:cs="Arial"/>
                <w:sz w:val="20"/>
                <w:szCs w:val="20"/>
              </w:rPr>
              <w:t>*</w:t>
            </w:r>
          </w:p>
        </w:tc>
      </w:tr>
      <w:tr w:rsidR="00494806" w:rsidRPr="00494806" w:rsidTr="00864727">
        <w:trPr>
          <w:trHeight w:val="242"/>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_cons</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-.357(</w:t>
            </w:r>
            <w:proofErr w:type="gramStart"/>
            <w:r w:rsidRPr="00494806">
              <w:rPr>
                <w:rFonts w:ascii="Arial" w:eastAsia="Times New Roman" w:hAnsi="Arial" w:cs="Arial"/>
                <w:sz w:val="20"/>
                <w:szCs w:val="20"/>
              </w:rPr>
              <w:t>0.036)*</w:t>
            </w:r>
            <w:proofErr w:type="gramEnd"/>
            <w:r w:rsidRPr="00494806">
              <w:rPr>
                <w:rFonts w:ascii="Arial" w:eastAsia="Times New Roman" w:hAnsi="Arial" w:cs="Arial"/>
                <w:sz w:val="20"/>
                <w:szCs w:val="20"/>
              </w:rPr>
              <w:t>*</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-.644/90.</w:t>
            </w:r>
            <w:proofErr w:type="gramStart"/>
            <w:r w:rsidRPr="00494806">
              <w:rPr>
                <w:rFonts w:ascii="Arial" w:eastAsia="Times New Roman" w:hAnsi="Arial" w:cs="Arial"/>
                <w:sz w:val="20"/>
                <w:szCs w:val="20"/>
              </w:rPr>
              <w:t>057)*</w:t>
            </w:r>
            <w:proofErr w:type="gramEnd"/>
            <w:r w:rsidRPr="00494806">
              <w:rPr>
                <w:rFonts w:ascii="Arial" w:eastAsia="Times New Roman" w:hAnsi="Arial" w:cs="Arial"/>
                <w:sz w:val="20"/>
                <w:szCs w:val="20"/>
              </w:rPr>
              <w:t>*</w:t>
            </w:r>
          </w:p>
        </w:tc>
      </w:tr>
      <w:tr w:rsidR="00494806" w:rsidRPr="00494806" w:rsidTr="00864727">
        <w:trPr>
          <w:trHeight w:val="251"/>
          <w:tblCellSpacing w:w="15" w:type="dxa"/>
        </w:trPr>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 xml:space="preserve">r-squared </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0.5951</w:t>
            </w:r>
          </w:p>
        </w:tc>
        <w:tc>
          <w:tcPr>
            <w:tcW w:w="0" w:type="auto"/>
            <w:vAlign w:val="center"/>
            <w:hideMark/>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0.4427</w:t>
            </w:r>
          </w:p>
        </w:tc>
      </w:tr>
      <w:tr w:rsidR="00494806" w:rsidRPr="00494806" w:rsidTr="00864727">
        <w:trPr>
          <w:trHeight w:val="242"/>
          <w:tblCellSpacing w:w="15" w:type="dxa"/>
        </w:trPr>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F value</w:t>
            </w:r>
          </w:p>
        </w:tc>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178.55</w:t>
            </w:r>
          </w:p>
        </w:tc>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36.91</w:t>
            </w:r>
          </w:p>
        </w:tc>
      </w:tr>
      <w:tr w:rsidR="00494806" w:rsidRPr="00494806" w:rsidTr="00864727">
        <w:trPr>
          <w:trHeight w:val="251"/>
          <w:tblCellSpacing w:w="15" w:type="dxa"/>
        </w:trPr>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Hausman</w:t>
            </w:r>
          </w:p>
        </w:tc>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p>
        </w:tc>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44.14</w:t>
            </w:r>
          </w:p>
        </w:tc>
      </w:tr>
      <w:tr w:rsidR="00494806" w:rsidRPr="00494806" w:rsidTr="00864727">
        <w:trPr>
          <w:trHeight w:val="242"/>
          <w:tblCellSpacing w:w="15" w:type="dxa"/>
        </w:trPr>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Prob&gt;chi2</w:t>
            </w:r>
          </w:p>
        </w:tc>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p>
        </w:tc>
        <w:tc>
          <w:tcPr>
            <w:tcW w:w="0" w:type="auto"/>
            <w:vAlign w:val="center"/>
          </w:tcPr>
          <w:p w:rsidR="00F92076" w:rsidRPr="00494806" w:rsidRDefault="00F92076" w:rsidP="00B24785">
            <w:pPr>
              <w:spacing w:after="0" w:line="240" w:lineRule="auto"/>
              <w:jc w:val="both"/>
              <w:rPr>
                <w:rFonts w:ascii="Arial" w:eastAsia="Times New Roman" w:hAnsi="Arial" w:cs="Arial"/>
                <w:sz w:val="20"/>
                <w:szCs w:val="20"/>
              </w:rPr>
            </w:pPr>
            <w:r w:rsidRPr="00494806">
              <w:rPr>
                <w:rFonts w:ascii="Arial" w:eastAsia="Times New Roman" w:hAnsi="Arial" w:cs="Arial"/>
                <w:sz w:val="20"/>
                <w:szCs w:val="20"/>
              </w:rPr>
              <w:t>0.000</w:t>
            </w:r>
          </w:p>
        </w:tc>
      </w:tr>
    </w:tbl>
    <w:p w:rsidR="00F92076" w:rsidRPr="00494806" w:rsidRDefault="00F92076" w:rsidP="00B24785">
      <w:pPr>
        <w:spacing w:line="240" w:lineRule="auto"/>
        <w:jc w:val="both"/>
        <w:rPr>
          <w:rFonts w:ascii="Arial" w:hAnsi="Arial" w:cs="Arial"/>
          <w:sz w:val="20"/>
          <w:szCs w:val="20"/>
        </w:rPr>
      </w:pPr>
      <w:r w:rsidRPr="00494806">
        <w:rPr>
          <w:rFonts w:ascii="Arial" w:hAnsi="Arial" w:cs="Arial"/>
          <w:sz w:val="20"/>
          <w:szCs w:val="20"/>
        </w:rPr>
        <w:t>Source: Authors’ computation</w:t>
      </w:r>
      <w:r w:rsidR="007727E6">
        <w:rPr>
          <w:rFonts w:ascii="Arial" w:hAnsi="Arial" w:cs="Arial"/>
          <w:sz w:val="20"/>
          <w:szCs w:val="20"/>
        </w:rPr>
        <w:t>; *p&lt;0.05’ Standard error (Std. Err) in parenthesis.</w:t>
      </w:r>
    </w:p>
    <w:p w:rsidR="00F92076" w:rsidRPr="00494806" w:rsidRDefault="00F92076" w:rsidP="00B24785">
      <w:pPr>
        <w:spacing w:line="240" w:lineRule="auto"/>
        <w:jc w:val="both"/>
        <w:rPr>
          <w:rFonts w:ascii="Arial" w:hAnsi="Arial" w:cs="Arial"/>
          <w:sz w:val="20"/>
          <w:szCs w:val="20"/>
        </w:rPr>
      </w:pPr>
    </w:p>
    <w:p w:rsidR="00D212D5" w:rsidRPr="00494806" w:rsidRDefault="00D212D5" w:rsidP="00B24785">
      <w:pPr>
        <w:pStyle w:val="ListParagraph"/>
        <w:numPr>
          <w:ilvl w:val="0"/>
          <w:numId w:val="1"/>
        </w:numPr>
        <w:spacing w:line="240" w:lineRule="auto"/>
        <w:jc w:val="both"/>
        <w:rPr>
          <w:rFonts w:ascii="Arial" w:hAnsi="Arial" w:cs="Arial"/>
          <w:b/>
          <w:bCs/>
          <w:sz w:val="20"/>
          <w:szCs w:val="20"/>
        </w:rPr>
      </w:pPr>
      <w:r w:rsidRPr="00494806">
        <w:rPr>
          <w:rFonts w:ascii="Arial" w:hAnsi="Arial" w:cs="Arial"/>
          <w:b/>
          <w:bCs/>
          <w:sz w:val="20"/>
          <w:szCs w:val="20"/>
        </w:rPr>
        <w:t xml:space="preserve">Conclusion </w:t>
      </w:r>
    </w:p>
    <w:p w:rsidR="005478D3" w:rsidRDefault="00A0774D" w:rsidP="00B24785">
      <w:pPr>
        <w:spacing w:line="240" w:lineRule="auto"/>
        <w:jc w:val="both"/>
        <w:rPr>
          <w:rFonts w:ascii="Arial" w:hAnsi="Arial" w:cs="Arial"/>
          <w:sz w:val="20"/>
          <w:szCs w:val="20"/>
        </w:rPr>
      </w:pPr>
      <w:r w:rsidRPr="00A0774D">
        <w:rPr>
          <w:rFonts w:ascii="Arial" w:hAnsi="Arial" w:cs="Arial"/>
          <w:sz w:val="20"/>
          <w:szCs w:val="20"/>
        </w:rPr>
        <w:t>Due to heightened corporate accountability for social and environmental issues, there have been demands for firms to adopt corporate sustainability initiatives and disclosure procedures. Nevertheless, research persists in examining the factors influencing business sustainability disclosure policies, especially in developing nations. The objective of this study was to investigate the relationship between foreign ownership and corporate sustainability disclosure among enterprises listed in the East Africa Community. This study examined data from 55 publicly traded companies spanning the years 2012 to 2022 to evaluate the hypothesis. The regression results provided empirical evidence that foreign ownership structure positively influences a firm's environmental and social performance. The study indicates that governments should contemplate strategies to enhance foreign investments or engage foreign owners to contribute to social and environmental projects. The management implication entails the adoption of a comprehensive environmental strategy; also, this study advocates for various stakeholders and activist groups to vigorously advocate for corporate sustainability initiatives. Notwithstanding its previously indicated contributions, our study possesses significant drawbacks. We established CSD scores in accordance with GRI rules; nevertheless, these reporting standards may not accurately represent organizations' environmental sustainability disclosure performance. Ultimately, subsequent research may utilize a longitudinal study encompassing all developing nations.</w:t>
      </w:r>
    </w:p>
    <w:p w:rsidR="001631E2" w:rsidRDefault="001631E2" w:rsidP="00B24785">
      <w:pPr>
        <w:spacing w:line="240" w:lineRule="auto"/>
        <w:jc w:val="both"/>
        <w:rPr>
          <w:rFonts w:ascii="Arial" w:hAnsi="Arial" w:cs="Arial"/>
          <w:sz w:val="20"/>
          <w:szCs w:val="20"/>
        </w:rPr>
      </w:pPr>
    </w:p>
    <w:p w:rsidR="001631E2" w:rsidRPr="001631E2" w:rsidRDefault="001631E2" w:rsidP="001631E2">
      <w:pPr>
        <w:spacing w:line="240" w:lineRule="auto"/>
        <w:jc w:val="both"/>
        <w:rPr>
          <w:rFonts w:ascii="Arial" w:hAnsi="Arial" w:cs="Arial"/>
          <w:b/>
          <w:sz w:val="24"/>
          <w:szCs w:val="20"/>
        </w:rPr>
      </w:pPr>
      <w:r w:rsidRPr="001631E2">
        <w:rPr>
          <w:rFonts w:ascii="Arial" w:hAnsi="Arial" w:cs="Arial"/>
          <w:b/>
          <w:sz w:val="24"/>
          <w:szCs w:val="20"/>
        </w:rPr>
        <w:t>Contribution</w:t>
      </w:r>
    </w:p>
    <w:p w:rsidR="001631E2" w:rsidRDefault="001631E2" w:rsidP="001631E2">
      <w:pPr>
        <w:spacing w:line="240" w:lineRule="auto"/>
        <w:jc w:val="both"/>
        <w:rPr>
          <w:rFonts w:ascii="Arial" w:hAnsi="Arial" w:cs="Arial"/>
          <w:sz w:val="20"/>
          <w:szCs w:val="20"/>
        </w:rPr>
      </w:pPr>
      <w:r w:rsidRPr="001631E2">
        <w:rPr>
          <w:rFonts w:ascii="Arial" w:hAnsi="Arial" w:cs="Arial"/>
          <w:sz w:val="20"/>
          <w:szCs w:val="20"/>
        </w:rPr>
        <w:t>Both authors contributed equally in the conceptualization of the article, writing, data collection and analysis</w:t>
      </w:r>
    </w:p>
    <w:p w:rsidR="001631E2" w:rsidRDefault="001631E2" w:rsidP="001631E2">
      <w:pPr>
        <w:spacing w:line="240" w:lineRule="auto"/>
        <w:jc w:val="both"/>
        <w:rPr>
          <w:rFonts w:ascii="Arial" w:hAnsi="Arial" w:cs="Arial"/>
          <w:sz w:val="20"/>
          <w:szCs w:val="20"/>
        </w:rPr>
      </w:pPr>
    </w:p>
    <w:p w:rsidR="001631E2" w:rsidRPr="001631E2" w:rsidRDefault="001631E2" w:rsidP="001631E2">
      <w:pPr>
        <w:spacing w:line="240" w:lineRule="auto"/>
        <w:jc w:val="both"/>
        <w:rPr>
          <w:rFonts w:ascii="Arial" w:hAnsi="Arial" w:cs="Arial"/>
          <w:b/>
          <w:sz w:val="24"/>
          <w:szCs w:val="20"/>
        </w:rPr>
      </w:pPr>
      <w:r w:rsidRPr="001631E2">
        <w:rPr>
          <w:rFonts w:ascii="Arial" w:hAnsi="Arial" w:cs="Arial"/>
          <w:b/>
          <w:sz w:val="24"/>
          <w:szCs w:val="20"/>
        </w:rPr>
        <w:t>Disclaimer (Artificial intelligence)</w:t>
      </w:r>
    </w:p>
    <w:p w:rsidR="001631E2" w:rsidRPr="001631E2" w:rsidRDefault="001631E2" w:rsidP="001631E2">
      <w:pPr>
        <w:spacing w:line="240" w:lineRule="auto"/>
        <w:jc w:val="both"/>
        <w:rPr>
          <w:rFonts w:ascii="Arial" w:hAnsi="Arial" w:cs="Arial"/>
          <w:sz w:val="20"/>
          <w:szCs w:val="20"/>
        </w:rPr>
      </w:pPr>
      <w:r w:rsidRPr="001631E2">
        <w:rPr>
          <w:rFonts w:ascii="Arial" w:hAnsi="Arial" w:cs="Arial"/>
          <w:sz w:val="20"/>
          <w:szCs w:val="20"/>
        </w:rPr>
        <w:t xml:space="preserve">Option 1: </w:t>
      </w:r>
    </w:p>
    <w:p w:rsidR="001631E2" w:rsidRPr="001631E2" w:rsidRDefault="001631E2" w:rsidP="001631E2">
      <w:pPr>
        <w:spacing w:line="240" w:lineRule="auto"/>
        <w:jc w:val="both"/>
        <w:rPr>
          <w:rFonts w:ascii="Arial" w:hAnsi="Arial" w:cs="Arial"/>
          <w:sz w:val="20"/>
          <w:szCs w:val="20"/>
        </w:rPr>
      </w:pPr>
      <w:r w:rsidRPr="001631E2">
        <w:rPr>
          <w:rFonts w:ascii="Arial" w:hAnsi="Arial" w:cs="Arial"/>
          <w:sz w:val="20"/>
          <w:szCs w:val="20"/>
        </w:rPr>
        <w:lastRenderedPageBreak/>
        <w:t xml:space="preserve">Author(s) hereby declare that NO generative AI technologies such as Large Language Models (ChatGPT, COPILOT, etc.) and text-to-image generators have been used during the writing or editing of this manuscript. </w:t>
      </w:r>
    </w:p>
    <w:p w:rsidR="001631E2" w:rsidRPr="001631E2" w:rsidRDefault="001631E2" w:rsidP="001631E2">
      <w:pPr>
        <w:spacing w:line="240" w:lineRule="auto"/>
        <w:jc w:val="both"/>
        <w:rPr>
          <w:rFonts w:ascii="Arial" w:hAnsi="Arial" w:cs="Arial"/>
          <w:sz w:val="20"/>
          <w:szCs w:val="20"/>
        </w:rPr>
      </w:pPr>
      <w:r w:rsidRPr="001631E2">
        <w:rPr>
          <w:rFonts w:ascii="Arial" w:hAnsi="Arial" w:cs="Arial"/>
          <w:sz w:val="20"/>
          <w:szCs w:val="20"/>
        </w:rPr>
        <w:t xml:space="preserve">Option 2: </w:t>
      </w:r>
    </w:p>
    <w:p w:rsidR="001631E2" w:rsidRPr="001631E2" w:rsidRDefault="001631E2" w:rsidP="001631E2">
      <w:pPr>
        <w:spacing w:line="240" w:lineRule="auto"/>
        <w:jc w:val="both"/>
        <w:rPr>
          <w:rFonts w:ascii="Arial" w:hAnsi="Arial" w:cs="Arial"/>
          <w:sz w:val="20"/>
          <w:szCs w:val="20"/>
        </w:rPr>
      </w:pPr>
      <w:r w:rsidRPr="001631E2">
        <w:rPr>
          <w:rFonts w:ascii="Arial" w:hAnsi="Arial" w:cs="Arial"/>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631E2" w:rsidRPr="001631E2" w:rsidRDefault="001631E2" w:rsidP="001631E2">
      <w:pPr>
        <w:spacing w:line="240" w:lineRule="auto"/>
        <w:jc w:val="both"/>
        <w:rPr>
          <w:rFonts w:ascii="Arial" w:hAnsi="Arial" w:cs="Arial"/>
          <w:sz w:val="20"/>
          <w:szCs w:val="20"/>
        </w:rPr>
      </w:pPr>
      <w:r w:rsidRPr="001631E2">
        <w:rPr>
          <w:rFonts w:ascii="Arial" w:hAnsi="Arial" w:cs="Arial"/>
          <w:sz w:val="20"/>
          <w:szCs w:val="20"/>
        </w:rPr>
        <w:t>Details of the AI usage are given below:</w:t>
      </w:r>
    </w:p>
    <w:p w:rsidR="001631E2" w:rsidRPr="001631E2" w:rsidRDefault="001631E2" w:rsidP="001631E2">
      <w:pPr>
        <w:spacing w:line="240" w:lineRule="auto"/>
        <w:jc w:val="both"/>
        <w:rPr>
          <w:rFonts w:ascii="Arial" w:hAnsi="Arial" w:cs="Arial"/>
          <w:sz w:val="20"/>
          <w:szCs w:val="20"/>
        </w:rPr>
      </w:pPr>
      <w:r w:rsidRPr="001631E2">
        <w:rPr>
          <w:rFonts w:ascii="Arial" w:hAnsi="Arial" w:cs="Arial"/>
          <w:sz w:val="20"/>
          <w:szCs w:val="20"/>
        </w:rPr>
        <w:t>1.</w:t>
      </w:r>
    </w:p>
    <w:p w:rsidR="001631E2" w:rsidRPr="001631E2" w:rsidRDefault="001631E2" w:rsidP="001631E2">
      <w:pPr>
        <w:spacing w:line="240" w:lineRule="auto"/>
        <w:jc w:val="both"/>
        <w:rPr>
          <w:rFonts w:ascii="Arial" w:hAnsi="Arial" w:cs="Arial"/>
          <w:sz w:val="20"/>
          <w:szCs w:val="20"/>
        </w:rPr>
      </w:pPr>
      <w:r w:rsidRPr="001631E2">
        <w:rPr>
          <w:rFonts w:ascii="Arial" w:hAnsi="Arial" w:cs="Arial"/>
          <w:sz w:val="20"/>
          <w:szCs w:val="20"/>
        </w:rPr>
        <w:t>2.</w:t>
      </w:r>
    </w:p>
    <w:p w:rsidR="001631E2" w:rsidRDefault="001631E2" w:rsidP="001631E2">
      <w:pPr>
        <w:spacing w:line="240" w:lineRule="auto"/>
        <w:jc w:val="both"/>
        <w:rPr>
          <w:rFonts w:ascii="Arial" w:hAnsi="Arial" w:cs="Arial"/>
          <w:sz w:val="20"/>
          <w:szCs w:val="20"/>
        </w:rPr>
      </w:pPr>
      <w:r w:rsidRPr="001631E2">
        <w:rPr>
          <w:rFonts w:ascii="Arial" w:hAnsi="Arial" w:cs="Arial"/>
          <w:sz w:val="20"/>
          <w:szCs w:val="20"/>
        </w:rPr>
        <w:t>3.</w:t>
      </w:r>
    </w:p>
    <w:p w:rsidR="001631E2" w:rsidRDefault="001631E2" w:rsidP="00B24785">
      <w:pPr>
        <w:spacing w:line="240" w:lineRule="auto"/>
        <w:jc w:val="both"/>
        <w:rPr>
          <w:rFonts w:ascii="Arial" w:hAnsi="Arial" w:cs="Arial"/>
          <w:b/>
          <w:bCs/>
          <w:sz w:val="20"/>
          <w:szCs w:val="20"/>
        </w:rPr>
      </w:pPr>
    </w:p>
    <w:p w:rsidR="001631E2" w:rsidRPr="00494806" w:rsidRDefault="001631E2" w:rsidP="00B24785">
      <w:pPr>
        <w:spacing w:line="240" w:lineRule="auto"/>
        <w:jc w:val="both"/>
        <w:rPr>
          <w:rFonts w:ascii="Arial" w:hAnsi="Arial" w:cs="Arial"/>
          <w:b/>
          <w:bCs/>
          <w:sz w:val="20"/>
          <w:szCs w:val="20"/>
        </w:rPr>
      </w:pPr>
    </w:p>
    <w:p w:rsidR="005478D3" w:rsidRPr="00494806" w:rsidRDefault="005478D3" w:rsidP="00B24785">
      <w:pPr>
        <w:spacing w:line="240" w:lineRule="auto"/>
        <w:jc w:val="both"/>
        <w:rPr>
          <w:rFonts w:ascii="Arial" w:hAnsi="Arial" w:cs="Arial"/>
          <w:b/>
          <w:bCs/>
          <w:sz w:val="20"/>
          <w:szCs w:val="20"/>
        </w:rPr>
      </w:pPr>
      <w:r w:rsidRPr="00494806">
        <w:rPr>
          <w:rFonts w:ascii="Arial" w:hAnsi="Arial" w:cs="Arial"/>
          <w:b/>
          <w:bCs/>
          <w:sz w:val="20"/>
          <w:szCs w:val="20"/>
        </w:rPr>
        <w:t>Reference</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Abdelazim, S. I., Saleh Aly, S. A., &amp; Diab, A. (2025). Does gender diversity influence the relationship between financial reporting readability and audit fees? Evidence from an emerging market. </w:t>
      </w:r>
      <w:r w:rsidRPr="00494806">
        <w:rPr>
          <w:rFonts w:ascii="Arial" w:hAnsi="Arial" w:cs="Arial"/>
          <w:i/>
          <w:iCs/>
          <w:sz w:val="20"/>
          <w:szCs w:val="20"/>
        </w:rPr>
        <w:t>Journal of Financial Reporting and Accounting</w:t>
      </w:r>
      <w:r w:rsidRPr="00494806">
        <w:rPr>
          <w:rFonts w:ascii="Arial" w:hAnsi="Arial" w:cs="Arial"/>
          <w:sz w:val="20"/>
          <w:szCs w:val="20"/>
        </w:rPr>
        <w:t>.</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Aggarwal, R., Hu, M., &amp; Yang, J. (2013, June). Fraud, market reaction, and role of institutional investors in Chinese listed firms. In </w:t>
      </w:r>
      <w:r w:rsidRPr="00494806">
        <w:rPr>
          <w:rFonts w:ascii="Arial" w:hAnsi="Arial" w:cs="Arial"/>
          <w:i/>
          <w:iCs/>
          <w:sz w:val="20"/>
          <w:szCs w:val="20"/>
        </w:rPr>
        <w:t>26th Australasian Finance and Banking Conference</w:t>
      </w:r>
      <w:r w:rsidRPr="00494806">
        <w:rPr>
          <w:rFonts w:ascii="Arial" w:hAnsi="Arial" w:cs="Arial"/>
          <w:sz w:val="20"/>
          <w:szCs w:val="20"/>
        </w:rPr>
        <w:t>.</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Al </w:t>
      </w:r>
      <w:proofErr w:type="spellStart"/>
      <w:r w:rsidRPr="00494806">
        <w:rPr>
          <w:rFonts w:ascii="Arial" w:hAnsi="Arial" w:cs="Arial"/>
          <w:sz w:val="20"/>
          <w:szCs w:val="20"/>
        </w:rPr>
        <w:t>Amosh</w:t>
      </w:r>
      <w:proofErr w:type="spellEnd"/>
      <w:r w:rsidRPr="00494806">
        <w:rPr>
          <w:rFonts w:ascii="Arial" w:hAnsi="Arial" w:cs="Arial"/>
          <w:sz w:val="20"/>
          <w:szCs w:val="20"/>
        </w:rPr>
        <w:t>, H., &amp; Khatib, S. F. (2022). Ownership structure and environmental, social and governance performance disclosure: the moderating role of the board independence. </w:t>
      </w:r>
      <w:r w:rsidRPr="00494806">
        <w:rPr>
          <w:rFonts w:ascii="Arial" w:hAnsi="Arial" w:cs="Arial"/>
          <w:i/>
          <w:iCs/>
          <w:sz w:val="20"/>
          <w:szCs w:val="20"/>
        </w:rPr>
        <w:t>Journal of Business and Socio-Economic Development</w:t>
      </w:r>
      <w:r w:rsidRPr="00494806">
        <w:rPr>
          <w:rFonts w:ascii="Arial" w:hAnsi="Arial" w:cs="Arial"/>
          <w:sz w:val="20"/>
          <w:szCs w:val="20"/>
        </w:rPr>
        <w:t>, </w:t>
      </w:r>
      <w:r w:rsidRPr="00494806">
        <w:rPr>
          <w:rFonts w:ascii="Arial" w:hAnsi="Arial" w:cs="Arial"/>
          <w:i/>
          <w:iCs/>
          <w:sz w:val="20"/>
          <w:szCs w:val="20"/>
        </w:rPr>
        <w:t>2</w:t>
      </w:r>
      <w:r w:rsidRPr="00494806">
        <w:rPr>
          <w:rFonts w:ascii="Arial" w:hAnsi="Arial" w:cs="Arial"/>
          <w:sz w:val="20"/>
          <w:szCs w:val="20"/>
        </w:rPr>
        <w:t>(1), 49-66.</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Al </w:t>
      </w:r>
      <w:proofErr w:type="spellStart"/>
      <w:r w:rsidRPr="00494806">
        <w:rPr>
          <w:rFonts w:ascii="Arial" w:hAnsi="Arial" w:cs="Arial"/>
          <w:sz w:val="20"/>
          <w:szCs w:val="20"/>
        </w:rPr>
        <w:t>Lawati</w:t>
      </w:r>
      <w:proofErr w:type="spellEnd"/>
      <w:r w:rsidRPr="00494806">
        <w:rPr>
          <w:rFonts w:ascii="Arial" w:hAnsi="Arial" w:cs="Arial"/>
          <w:sz w:val="20"/>
          <w:szCs w:val="20"/>
        </w:rPr>
        <w:t xml:space="preserve">, H., </w:t>
      </w:r>
      <w:proofErr w:type="spellStart"/>
      <w:r w:rsidRPr="00494806">
        <w:rPr>
          <w:rFonts w:ascii="Arial" w:hAnsi="Arial" w:cs="Arial"/>
          <w:sz w:val="20"/>
          <w:szCs w:val="20"/>
        </w:rPr>
        <w:t>Hussainey</w:t>
      </w:r>
      <w:proofErr w:type="spellEnd"/>
      <w:r w:rsidRPr="00494806">
        <w:rPr>
          <w:rFonts w:ascii="Arial" w:hAnsi="Arial" w:cs="Arial"/>
          <w:sz w:val="20"/>
          <w:szCs w:val="20"/>
        </w:rPr>
        <w:t xml:space="preserve">, K., &amp; </w:t>
      </w:r>
      <w:proofErr w:type="spellStart"/>
      <w:r w:rsidRPr="00494806">
        <w:rPr>
          <w:rFonts w:ascii="Arial" w:hAnsi="Arial" w:cs="Arial"/>
          <w:sz w:val="20"/>
          <w:szCs w:val="20"/>
        </w:rPr>
        <w:t>Sagitova</w:t>
      </w:r>
      <w:proofErr w:type="spellEnd"/>
      <w:r w:rsidRPr="00494806">
        <w:rPr>
          <w:rFonts w:ascii="Arial" w:hAnsi="Arial" w:cs="Arial"/>
          <w:sz w:val="20"/>
          <w:szCs w:val="20"/>
        </w:rPr>
        <w:t>, R. (2023). Forward-looking disclosure tone in the chairman’s statement: obfuscation or truthful explanations. </w:t>
      </w:r>
      <w:r w:rsidRPr="00494806">
        <w:rPr>
          <w:rFonts w:ascii="Arial" w:hAnsi="Arial" w:cs="Arial"/>
          <w:i/>
          <w:iCs/>
          <w:sz w:val="20"/>
          <w:szCs w:val="20"/>
        </w:rPr>
        <w:t>International Journal of Accounting &amp; Information Management</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(5), 838-863.</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Al-</w:t>
      </w:r>
      <w:proofErr w:type="spellStart"/>
      <w:r w:rsidRPr="00494806">
        <w:rPr>
          <w:rFonts w:ascii="Arial" w:hAnsi="Arial" w:cs="Arial"/>
          <w:sz w:val="20"/>
          <w:szCs w:val="20"/>
        </w:rPr>
        <w:t>Homaidi</w:t>
      </w:r>
      <w:proofErr w:type="spellEnd"/>
      <w:r w:rsidRPr="00494806">
        <w:rPr>
          <w:rFonts w:ascii="Arial" w:hAnsi="Arial" w:cs="Arial"/>
          <w:sz w:val="20"/>
          <w:szCs w:val="20"/>
        </w:rPr>
        <w:t xml:space="preserve">, E. A., Tabash, M. I., &amp; Ahmad, A. (2020). The profitability of </w:t>
      </w:r>
      <w:proofErr w:type="spellStart"/>
      <w:r w:rsidRPr="00494806">
        <w:rPr>
          <w:rFonts w:ascii="Arial" w:hAnsi="Arial" w:cs="Arial"/>
          <w:sz w:val="20"/>
          <w:szCs w:val="20"/>
        </w:rPr>
        <w:t>islamic</w:t>
      </w:r>
      <w:proofErr w:type="spellEnd"/>
      <w:r w:rsidRPr="00494806">
        <w:rPr>
          <w:rFonts w:ascii="Arial" w:hAnsi="Arial" w:cs="Arial"/>
          <w:sz w:val="20"/>
          <w:szCs w:val="20"/>
        </w:rPr>
        <w:t xml:space="preserve"> banks and voluntary disclosure: empirical insights from Yemen. </w:t>
      </w:r>
      <w:r w:rsidRPr="00494806">
        <w:rPr>
          <w:rFonts w:ascii="Arial" w:hAnsi="Arial" w:cs="Arial"/>
          <w:i/>
          <w:iCs/>
          <w:sz w:val="20"/>
          <w:szCs w:val="20"/>
        </w:rPr>
        <w:t>Cogent Economics &amp; Finance</w:t>
      </w:r>
      <w:r w:rsidRPr="00494806">
        <w:rPr>
          <w:rFonts w:ascii="Arial" w:hAnsi="Arial" w:cs="Arial"/>
          <w:sz w:val="20"/>
          <w:szCs w:val="20"/>
        </w:rPr>
        <w:t>, </w:t>
      </w:r>
      <w:r w:rsidRPr="00494806">
        <w:rPr>
          <w:rFonts w:ascii="Arial" w:hAnsi="Arial" w:cs="Arial"/>
          <w:i/>
          <w:iCs/>
          <w:sz w:val="20"/>
          <w:szCs w:val="20"/>
        </w:rPr>
        <w:t>8</w:t>
      </w:r>
      <w:r w:rsidRPr="00494806">
        <w:rPr>
          <w:rFonts w:ascii="Arial" w:hAnsi="Arial" w:cs="Arial"/>
          <w:sz w:val="20"/>
          <w:szCs w:val="20"/>
        </w:rPr>
        <w:t>(1), 1778406.</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Al-</w:t>
      </w:r>
      <w:proofErr w:type="spellStart"/>
      <w:r w:rsidRPr="00494806">
        <w:rPr>
          <w:rFonts w:ascii="Arial" w:hAnsi="Arial" w:cs="Arial"/>
          <w:sz w:val="20"/>
          <w:szCs w:val="20"/>
        </w:rPr>
        <w:t>Qudah</w:t>
      </w:r>
      <w:proofErr w:type="spellEnd"/>
      <w:r w:rsidRPr="00494806">
        <w:rPr>
          <w:rFonts w:ascii="Arial" w:hAnsi="Arial" w:cs="Arial"/>
          <w:sz w:val="20"/>
          <w:szCs w:val="20"/>
        </w:rPr>
        <w:t>, A. A., &amp; Houcine, A. (2024). Firms’ characteristics, corporate governance, and the adoption of sustainability reporting: evidence from Gulf Cooperation Council countries. </w:t>
      </w:r>
      <w:r w:rsidRPr="00494806">
        <w:rPr>
          <w:rFonts w:ascii="Arial" w:hAnsi="Arial" w:cs="Arial"/>
          <w:i/>
          <w:iCs/>
          <w:sz w:val="20"/>
          <w:szCs w:val="20"/>
        </w:rPr>
        <w:t>Journal of Financial Reporting and Accounting</w:t>
      </w:r>
      <w:r w:rsidRPr="00494806">
        <w:rPr>
          <w:rFonts w:ascii="Arial" w:hAnsi="Arial" w:cs="Arial"/>
          <w:sz w:val="20"/>
          <w:szCs w:val="20"/>
        </w:rPr>
        <w:t>, </w:t>
      </w:r>
      <w:r w:rsidRPr="00494806">
        <w:rPr>
          <w:rFonts w:ascii="Arial" w:hAnsi="Arial" w:cs="Arial"/>
          <w:i/>
          <w:iCs/>
          <w:sz w:val="20"/>
          <w:szCs w:val="20"/>
        </w:rPr>
        <w:t>22</w:t>
      </w:r>
      <w:r w:rsidRPr="00494806">
        <w:rPr>
          <w:rFonts w:ascii="Arial" w:hAnsi="Arial" w:cs="Arial"/>
          <w:sz w:val="20"/>
          <w:szCs w:val="20"/>
        </w:rPr>
        <w:t>(2), 392-415.</w:t>
      </w:r>
    </w:p>
    <w:p w:rsidR="00A0774D"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Amran, A., &amp; </w:t>
      </w:r>
      <w:proofErr w:type="spellStart"/>
      <w:r w:rsidRPr="00494806">
        <w:rPr>
          <w:rFonts w:ascii="Arial" w:hAnsi="Arial" w:cs="Arial"/>
          <w:sz w:val="20"/>
          <w:szCs w:val="20"/>
        </w:rPr>
        <w:t>Susela</w:t>
      </w:r>
      <w:proofErr w:type="spellEnd"/>
      <w:r w:rsidRPr="00494806">
        <w:rPr>
          <w:rFonts w:ascii="Arial" w:hAnsi="Arial" w:cs="Arial"/>
          <w:sz w:val="20"/>
          <w:szCs w:val="20"/>
        </w:rPr>
        <w:t xml:space="preserve"> Devi, S. (2008). The impact of government and foreign affiliate influence on corporate social reporting: The case of Malaysia. </w:t>
      </w:r>
      <w:r w:rsidRPr="00494806">
        <w:rPr>
          <w:rFonts w:ascii="Arial" w:hAnsi="Arial" w:cs="Arial"/>
          <w:i/>
          <w:iCs/>
          <w:sz w:val="20"/>
          <w:szCs w:val="20"/>
        </w:rPr>
        <w:t>Managerial Auditing Journal</w:t>
      </w:r>
      <w:r w:rsidRPr="00494806">
        <w:rPr>
          <w:rFonts w:ascii="Arial" w:hAnsi="Arial" w:cs="Arial"/>
          <w:sz w:val="20"/>
          <w:szCs w:val="20"/>
        </w:rPr>
        <w:t>, </w:t>
      </w:r>
      <w:r w:rsidRPr="00494806">
        <w:rPr>
          <w:rFonts w:ascii="Arial" w:hAnsi="Arial" w:cs="Arial"/>
          <w:i/>
          <w:iCs/>
          <w:sz w:val="20"/>
          <w:szCs w:val="20"/>
        </w:rPr>
        <w:t>23</w:t>
      </w:r>
      <w:r w:rsidRPr="00494806">
        <w:rPr>
          <w:rFonts w:ascii="Arial" w:hAnsi="Arial" w:cs="Arial"/>
          <w:sz w:val="20"/>
          <w:szCs w:val="20"/>
        </w:rPr>
        <w:t>(4), 386-404.</w:t>
      </w:r>
    </w:p>
    <w:p w:rsidR="00A0774D" w:rsidRPr="00494806" w:rsidRDefault="00A0774D" w:rsidP="002E6574">
      <w:pPr>
        <w:spacing w:line="240" w:lineRule="auto"/>
        <w:ind w:left="720" w:hanging="720"/>
        <w:jc w:val="both"/>
        <w:rPr>
          <w:rFonts w:ascii="Arial" w:hAnsi="Arial" w:cs="Arial"/>
          <w:sz w:val="20"/>
          <w:szCs w:val="20"/>
        </w:rPr>
      </w:pPr>
      <w:r w:rsidRPr="00981287">
        <w:rPr>
          <w:rFonts w:ascii="Arial" w:hAnsi="Arial" w:cs="Arial"/>
          <w:sz w:val="20"/>
          <w:szCs w:val="20"/>
          <w:highlight w:val="yellow"/>
        </w:rPr>
        <w:t>Barbosa, M. W., Bronzo, M., Júnior, N. T., &amp; de Sousa, P. R. (2025). Predictors of Corporate Reputation: Circular Economy, Environmental, Social, and Governance, and Collaborative Relationships in Brazilian Agribusiness. </w:t>
      </w:r>
      <w:r w:rsidRPr="00981287">
        <w:rPr>
          <w:rFonts w:ascii="Arial" w:hAnsi="Arial" w:cs="Arial"/>
          <w:i/>
          <w:iCs/>
          <w:sz w:val="20"/>
          <w:szCs w:val="20"/>
          <w:highlight w:val="yellow"/>
        </w:rPr>
        <w:t>Sustainability</w:t>
      </w:r>
      <w:r w:rsidRPr="00C911C6">
        <w:rPr>
          <w:rFonts w:ascii="Arial" w:hAnsi="Arial" w:cs="Arial"/>
          <w:sz w:val="20"/>
          <w:szCs w:val="20"/>
        </w:rPr>
        <w:t>, </w:t>
      </w:r>
      <w:r w:rsidRPr="00C911C6">
        <w:rPr>
          <w:rFonts w:ascii="Arial" w:hAnsi="Arial" w:cs="Arial"/>
          <w:i/>
          <w:iCs/>
          <w:sz w:val="20"/>
          <w:szCs w:val="20"/>
        </w:rPr>
        <w:t>17</w:t>
      </w:r>
      <w:r w:rsidRPr="00C911C6">
        <w:rPr>
          <w:rFonts w:ascii="Arial" w:hAnsi="Arial" w:cs="Arial"/>
          <w:sz w:val="20"/>
          <w:szCs w:val="20"/>
        </w:rPr>
        <w:t>(7), 2969.</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Barker, R. (2025). Corporate sustainability reporting. </w:t>
      </w:r>
      <w:r w:rsidRPr="00494806">
        <w:rPr>
          <w:rFonts w:ascii="Arial" w:hAnsi="Arial" w:cs="Arial"/>
          <w:i/>
          <w:iCs/>
          <w:sz w:val="20"/>
          <w:szCs w:val="20"/>
        </w:rPr>
        <w:t>Journal of Accounting and Public Policy</w:t>
      </w:r>
      <w:r w:rsidRPr="00494806">
        <w:rPr>
          <w:rFonts w:ascii="Arial" w:hAnsi="Arial" w:cs="Arial"/>
          <w:sz w:val="20"/>
          <w:szCs w:val="20"/>
        </w:rPr>
        <w:t>, </w:t>
      </w:r>
      <w:r w:rsidRPr="00494806">
        <w:rPr>
          <w:rFonts w:ascii="Arial" w:hAnsi="Arial" w:cs="Arial"/>
          <w:i/>
          <w:iCs/>
          <w:sz w:val="20"/>
          <w:szCs w:val="20"/>
        </w:rPr>
        <w:t>49</w:t>
      </w:r>
      <w:r w:rsidRPr="00494806">
        <w:rPr>
          <w:rFonts w:ascii="Arial" w:hAnsi="Arial" w:cs="Arial"/>
          <w:sz w:val="20"/>
          <w:szCs w:val="20"/>
        </w:rPr>
        <w:t>, 107280.</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Bhatia, A., &amp; Makkar, B. (2020). CSR disclosure in developing and developed countries: a comparative study. </w:t>
      </w:r>
      <w:r w:rsidRPr="00494806">
        <w:rPr>
          <w:rFonts w:ascii="Arial" w:hAnsi="Arial" w:cs="Arial"/>
          <w:i/>
          <w:iCs/>
          <w:sz w:val="20"/>
          <w:szCs w:val="20"/>
        </w:rPr>
        <w:t>Journal of Global Responsibility</w:t>
      </w:r>
      <w:r w:rsidRPr="00494806">
        <w:rPr>
          <w:rFonts w:ascii="Arial" w:hAnsi="Arial" w:cs="Arial"/>
          <w:sz w:val="20"/>
          <w:szCs w:val="20"/>
        </w:rPr>
        <w:t>, </w:t>
      </w:r>
      <w:r w:rsidRPr="00494806">
        <w:rPr>
          <w:rFonts w:ascii="Arial" w:hAnsi="Arial" w:cs="Arial"/>
          <w:i/>
          <w:iCs/>
          <w:sz w:val="20"/>
          <w:szCs w:val="20"/>
        </w:rPr>
        <w:t>11</w:t>
      </w:r>
      <w:r w:rsidRPr="00494806">
        <w:rPr>
          <w:rFonts w:ascii="Arial" w:hAnsi="Arial" w:cs="Arial"/>
          <w:sz w:val="20"/>
          <w:szCs w:val="20"/>
        </w:rPr>
        <w:t>(1), 1-26.</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Bhojraj, S., &amp; Sengupta, P. (2003). Effect of corporate governance on bond ratings and yields: The role of institutional investors and outside directors. </w:t>
      </w:r>
      <w:r w:rsidRPr="00494806">
        <w:rPr>
          <w:rFonts w:ascii="Arial" w:hAnsi="Arial" w:cs="Arial"/>
          <w:i/>
          <w:iCs/>
          <w:sz w:val="20"/>
          <w:szCs w:val="20"/>
        </w:rPr>
        <w:t>The journal of Business</w:t>
      </w:r>
      <w:r w:rsidRPr="00494806">
        <w:rPr>
          <w:rFonts w:ascii="Arial" w:hAnsi="Arial" w:cs="Arial"/>
          <w:sz w:val="20"/>
          <w:szCs w:val="20"/>
        </w:rPr>
        <w:t>, </w:t>
      </w:r>
      <w:r w:rsidRPr="00494806">
        <w:rPr>
          <w:rFonts w:ascii="Arial" w:hAnsi="Arial" w:cs="Arial"/>
          <w:i/>
          <w:iCs/>
          <w:sz w:val="20"/>
          <w:szCs w:val="20"/>
        </w:rPr>
        <w:t>76</w:t>
      </w:r>
      <w:r w:rsidRPr="00494806">
        <w:rPr>
          <w:rFonts w:ascii="Arial" w:hAnsi="Arial" w:cs="Arial"/>
          <w:sz w:val="20"/>
          <w:szCs w:val="20"/>
        </w:rPr>
        <w:t>(3), 455-475.</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lastRenderedPageBreak/>
        <w:t>Brancato, C. K. 1997. Institutional investors and corporate governance: beat practices for increasing corporate value. Chicago, IL: McGraw-Hill</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Chapple, W., &amp; Moon, J. (2005). Corporate social responsibility (CSR) in Asia: A seven-country study of CSR web site reporting. </w:t>
      </w:r>
      <w:r w:rsidRPr="00494806">
        <w:rPr>
          <w:rFonts w:ascii="Arial" w:hAnsi="Arial" w:cs="Arial"/>
          <w:i/>
          <w:iCs/>
          <w:sz w:val="20"/>
          <w:szCs w:val="20"/>
        </w:rPr>
        <w:t>Business &amp; society</w:t>
      </w:r>
      <w:r w:rsidRPr="00494806">
        <w:rPr>
          <w:rFonts w:ascii="Arial" w:hAnsi="Arial" w:cs="Arial"/>
          <w:sz w:val="20"/>
          <w:szCs w:val="20"/>
        </w:rPr>
        <w:t>, </w:t>
      </w:r>
      <w:r w:rsidRPr="00494806">
        <w:rPr>
          <w:rFonts w:ascii="Arial" w:hAnsi="Arial" w:cs="Arial"/>
          <w:i/>
          <w:iCs/>
          <w:sz w:val="20"/>
          <w:szCs w:val="20"/>
        </w:rPr>
        <w:t>44</w:t>
      </w:r>
      <w:r w:rsidRPr="00494806">
        <w:rPr>
          <w:rFonts w:ascii="Arial" w:hAnsi="Arial" w:cs="Arial"/>
          <w:sz w:val="20"/>
          <w:szCs w:val="20"/>
        </w:rPr>
        <w:t>(4), 415-441.</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Claessens, S., &amp; </w:t>
      </w:r>
      <w:proofErr w:type="spellStart"/>
      <w:r w:rsidRPr="00494806">
        <w:rPr>
          <w:rFonts w:ascii="Arial" w:hAnsi="Arial" w:cs="Arial"/>
          <w:sz w:val="20"/>
          <w:szCs w:val="20"/>
        </w:rPr>
        <w:t>Yurtoglu</w:t>
      </w:r>
      <w:proofErr w:type="spellEnd"/>
      <w:r w:rsidRPr="00494806">
        <w:rPr>
          <w:rFonts w:ascii="Arial" w:hAnsi="Arial" w:cs="Arial"/>
          <w:sz w:val="20"/>
          <w:szCs w:val="20"/>
        </w:rPr>
        <w:t>, B. B. (2013). Corporate governance in emerging markets: A survey. </w:t>
      </w:r>
      <w:r w:rsidRPr="00494806">
        <w:rPr>
          <w:rFonts w:ascii="Arial" w:hAnsi="Arial" w:cs="Arial"/>
          <w:i/>
          <w:iCs/>
          <w:sz w:val="20"/>
          <w:szCs w:val="20"/>
        </w:rPr>
        <w:t>Emerging markets review</w:t>
      </w:r>
      <w:r w:rsidRPr="00494806">
        <w:rPr>
          <w:rFonts w:ascii="Arial" w:hAnsi="Arial" w:cs="Arial"/>
          <w:sz w:val="20"/>
          <w:szCs w:val="20"/>
        </w:rPr>
        <w:t>, </w:t>
      </w:r>
      <w:r w:rsidRPr="00494806">
        <w:rPr>
          <w:rFonts w:ascii="Arial" w:hAnsi="Arial" w:cs="Arial"/>
          <w:i/>
          <w:iCs/>
          <w:sz w:val="20"/>
          <w:szCs w:val="20"/>
        </w:rPr>
        <w:t>15</w:t>
      </w:r>
      <w:r w:rsidRPr="00494806">
        <w:rPr>
          <w:rFonts w:ascii="Arial" w:hAnsi="Arial" w:cs="Arial"/>
          <w:sz w:val="20"/>
          <w:szCs w:val="20"/>
        </w:rPr>
        <w:t>, 1-33.</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Clarkson, P. M., Li, Y., Richardson, G. D., &amp; </w:t>
      </w:r>
      <w:proofErr w:type="spellStart"/>
      <w:r w:rsidRPr="00494806">
        <w:rPr>
          <w:rFonts w:ascii="Arial" w:hAnsi="Arial" w:cs="Arial"/>
          <w:sz w:val="20"/>
          <w:szCs w:val="20"/>
        </w:rPr>
        <w:t>Vasvari</w:t>
      </w:r>
      <w:proofErr w:type="spellEnd"/>
      <w:r w:rsidRPr="00494806">
        <w:rPr>
          <w:rFonts w:ascii="Arial" w:hAnsi="Arial" w:cs="Arial"/>
          <w:sz w:val="20"/>
          <w:szCs w:val="20"/>
        </w:rPr>
        <w:t>, F. P. (2008). Revisiting the relation between environmental performance and environmental disclosure: An empirical analysis. </w:t>
      </w:r>
      <w:r w:rsidRPr="00494806">
        <w:rPr>
          <w:rFonts w:ascii="Arial" w:hAnsi="Arial" w:cs="Arial"/>
          <w:i/>
          <w:iCs/>
          <w:sz w:val="20"/>
          <w:szCs w:val="20"/>
        </w:rPr>
        <w:t>Accounting, organizations and society</w:t>
      </w:r>
      <w:r w:rsidRPr="00494806">
        <w:rPr>
          <w:rFonts w:ascii="Arial" w:hAnsi="Arial" w:cs="Arial"/>
          <w:sz w:val="20"/>
          <w:szCs w:val="20"/>
        </w:rPr>
        <w:t>, </w:t>
      </w:r>
      <w:r w:rsidRPr="00494806">
        <w:rPr>
          <w:rFonts w:ascii="Arial" w:hAnsi="Arial" w:cs="Arial"/>
          <w:i/>
          <w:iCs/>
          <w:sz w:val="20"/>
          <w:szCs w:val="20"/>
        </w:rPr>
        <w:t>33</w:t>
      </w:r>
      <w:r w:rsidRPr="00494806">
        <w:rPr>
          <w:rFonts w:ascii="Arial" w:hAnsi="Arial" w:cs="Arial"/>
          <w:sz w:val="20"/>
          <w:szCs w:val="20"/>
        </w:rPr>
        <w:t>(4-5), 303-327.</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Comyns, B. (2016). Determinants of GHG reporting: an analysis of global oil and gas companies.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136</w:t>
      </w:r>
      <w:r w:rsidRPr="00494806">
        <w:rPr>
          <w:rFonts w:ascii="Arial" w:hAnsi="Arial" w:cs="Arial"/>
          <w:sz w:val="20"/>
          <w:szCs w:val="20"/>
        </w:rPr>
        <w:t>, 349-369.</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Das, S. K., Khalilur Rahman, M., &amp; Roy, S. (2024). Does ownership type affect sustainability reporting disclosure? Evidence from an emerging market. </w:t>
      </w:r>
      <w:r w:rsidRPr="00494806">
        <w:rPr>
          <w:rFonts w:ascii="Arial" w:hAnsi="Arial" w:cs="Arial"/>
          <w:i/>
          <w:iCs/>
          <w:sz w:val="20"/>
          <w:szCs w:val="20"/>
        </w:rPr>
        <w:t>International Journal of Disclosure and Governance</w:t>
      </w:r>
      <w:r w:rsidRPr="00494806">
        <w:rPr>
          <w:rFonts w:ascii="Arial" w:hAnsi="Arial" w:cs="Arial"/>
          <w:sz w:val="20"/>
          <w:szCs w:val="20"/>
        </w:rPr>
        <w:t>, </w:t>
      </w:r>
      <w:r w:rsidRPr="00494806">
        <w:rPr>
          <w:rFonts w:ascii="Arial" w:hAnsi="Arial" w:cs="Arial"/>
          <w:i/>
          <w:iCs/>
          <w:sz w:val="20"/>
          <w:szCs w:val="20"/>
        </w:rPr>
        <w:t>21</w:t>
      </w:r>
      <w:r w:rsidRPr="00494806">
        <w:rPr>
          <w:rFonts w:ascii="Arial" w:hAnsi="Arial" w:cs="Arial"/>
          <w:sz w:val="20"/>
          <w:szCs w:val="20"/>
        </w:rPr>
        <w:t>(1), 52-68.</w:t>
      </w:r>
    </w:p>
    <w:p w:rsidR="00A0774D" w:rsidRPr="00494806" w:rsidRDefault="00A0774D" w:rsidP="002E6574">
      <w:pPr>
        <w:spacing w:line="240" w:lineRule="auto"/>
        <w:ind w:left="720" w:hanging="720"/>
        <w:jc w:val="both"/>
        <w:rPr>
          <w:rFonts w:ascii="Arial" w:eastAsia="Calibri" w:hAnsi="Arial" w:cs="Arial"/>
          <w:sz w:val="20"/>
          <w:szCs w:val="20"/>
        </w:rPr>
      </w:pPr>
      <w:r w:rsidRPr="00494806">
        <w:rPr>
          <w:rFonts w:ascii="Arial" w:eastAsia="Calibri" w:hAnsi="Arial" w:cs="Arial"/>
          <w:sz w:val="20"/>
          <w:szCs w:val="20"/>
        </w:rPr>
        <w:t xml:space="preserve">De Villiers, C., </w:t>
      </w:r>
      <w:proofErr w:type="spellStart"/>
      <w:r w:rsidRPr="00494806">
        <w:rPr>
          <w:rFonts w:ascii="Arial" w:eastAsia="Calibri" w:hAnsi="Arial" w:cs="Arial"/>
          <w:sz w:val="20"/>
          <w:szCs w:val="20"/>
        </w:rPr>
        <w:t>Naiker</w:t>
      </w:r>
      <w:proofErr w:type="spellEnd"/>
      <w:r w:rsidRPr="00494806">
        <w:rPr>
          <w:rFonts w:ascii="Arial" w:eastAsia="Calibri" w:hAnsi="Arial" w:cs="Arial"/>
          <w:sz w:val="20"/>
          <w:szCs w:val="20"/>
        </w:rPr>
        <w:t>, V., &amp; Van Staden, C. J. (2011). The effect of board characteristics on firm environmental performance. </w:t>
      </w:r>
      <w:r w:rsidRPr="00494806">
        <w:rPr>
          <w:rFonts w:ascii="Arial" w:eastAsia="Calibri" w:hAnsi="Arial" w:cs="Arial"/>
          <w:i/>
          <w:iCs/>
          <w:sz w:val="20"/>
          <w:szCs w:val="20"/>
        </w:rPr>
        <w:t>Journal of management</w:t>
      </w:r>
      <w:r w:rsidRPr="00494806">
        <w:rPr>
          <w:rFonts w:ascii="Arial" w:eastAsia="Calibri" w:hAnsi="Arial" w:cs="Arial"/>
          <w:sz w:val="20"/>
          <w:szCs w:val="20"/>
        </w:rPr>
        <w:t>, </w:t>
      </w:r>
      <w:r w:rsidRPr="00494806">
        <w:rPr>
          <w:rFonts w:ascii="Arial" w:eastAsia="Calibri" w:hAnsi="Arial" w:cs="Arial"/>
          <w:i/>
          <w:iCs/>
          <w:sz w:val="20"/>
          <w:szCs w:val="20"/>
        </w:rPr>
        <w:t>37</w:t>
      </w:r>
      <w:r w:rsidRPr="00494806">
        <w:rPr>
          <w:rFonts w:ascii="Arial" w:eastAsia="Calibri" w:hAnsi="Arial" w:cs="Arial"/>
          <w:sz w:val="20"/>
          <w:szCs w:val="20"/>
        </w:rPr>
        <w:t>(6), 1636-1663.</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Delgado-Márquez, B. L., </w:t>
      </w:r>
      <w:proofErr w:type="spellStart"/>
      <w:r w:rsidRPr="00494806">
        <w:rPr>
          <w:rFonts w:ascii="Arial" w:hAnsi="Arial" w:cs="Arial"/>
          <w:sz w:val="20"/>
          <w:szCs w:val="20"/>
        </w:rPr>
        <w:t>Pedauga</w:t>
      </w:r>
      <w:proofErr w:type="spellEnd"/>
      <w:r w:rsidRPr="00494806">
        <w:rPr>
          <w:rFonts w:ascii="Arial" w:hAnsi="Arial" w:cs="Arial"/>
          <w:sz w:val="20"/>
          <w:szCs w:val="20"/>
        </w:rPr>
        <w:t>, L. E., &amp; Cordón-Pozo, E. (2017). Industries regulation and firm environmental disclosure: A stakeholders’ perspective on the importance of legitimation and international activities. </w:t>
      </w:r>
      <w:r w:rsidRPr="00494806">
        <w:rPr>
          <w:rFonts w:ascii="Arial" w:hAnsi="Arial" w:cs="Arial"/>
          <w:i/>
          <w:iCs/>
          <w:sz w:val="20"/>
          <w:szCs w:val="20"/>
        </w:rPr>
        <w:t>Organization &amp; Environment</w:t>
      </w:r>
      <w:r w:rsidRPr="00494806">
        <w:rPr>
          <w:rFonts w:ascii="Arial" w:hAnsi="Arial" w:cs="Arial"/>
          <w:sz w:val="20"/>
          <w:szCs w:val="20"/>
        </w:rPr>
        <w:t>, </w:t>
      </w:r>
      <w:r w:rsidRPr="00494806">
        <w:rPr>
          <w:rFonts w:ascii="Arial" w:hAnsi="Arial" w:cs="Arial"/>
          <w:i/>
          <w:iCs/>
          <w:sz w:val="20"/>
          <w:szCs w:val="20"/>
        </w:rPr>
        <w:t>30</w:t>
      </w:r>
      <w:r w:rsidRPr="00494806">
        <w:rPr>
          <w:rFonts w:ascii="Arial" w:hAnsi="Arial" w:cs="Arial"/>
          <w:sz w:val="20"/>
          <w:szCs w:val="20"/>
        </w:rPr>
        <w:t>(2), 103-121.</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Dintimala</w:t>
      </w:r>
      <w:proofErr w:type="spellEnd"/>
      <w:r w:rsidRPr="00494806">
        <w:rPr>
          <w:rFonts w:ascii="Arial" w:hAnsi="Arial" w:cs="Arial"/>
          <w:sz w:val="20"/>
          <w:szCs w:val="20"/>
        </w:rPr>
        <w:t xml:space="preserve">, Y., &amp; </w:t>
      </w:r>
      <w:proofErr w:type="spellStart"/>
      <w:r w:rsidRPr="00494806">
        <w:rPr>
          <w:rFonts w:ascii="Arial" w:hAnsi="Arial" w:cs="Arial"/>
          <w:sz w:val="20"/>
          <w:szCs w:val="20"/>
        </w:rPr>
        <w:t>Amril</w:t>
      </w:r>
      <w:proofErr w:type="spellEnd"/>
      <w:r w:rsidRPr="00494806">
        <w:rPr>
          <w:rFonts w:ascii="Arial" w:hAnsi="Arial" w:cs="Arial"/>
          <w:sz w:val="20"/>
          <w:szCs w:val="20"/>
        </w:rPr>
        <w:t>, T. A. (2018). The effect of ownership structure, financial and environmental performances on environmental disclosure. </w:t>
      </w:r>
      <w:r w:rsidRPr="00494806">
        <w:rPr>
          <w:rFonts w:ascii="Arial" w:hAnsi="Arial" w:cs="Arial"/>
          <w:i/>
          <w:iCs/>
          <w:sz w:val="20"/>
          <w:szCs w:val="20"/>
        </w:rPr>
        <w:t>Accounting Analysis Journal</w:t>
      </w:r>
      <w:r w:rsidRPr="00494806">
        <w:rPr>
          <w:rFonts w:ascii="Arial" w:hAnsi="Arial" w:cs="Arial"/>
          <w:sz w:val="20"/>
          <w:szCs w:val="20"/>
        </w:rPr>
        <w:t>, </w:t>
      </w:r>
      <w:r w:rsidRPr="00494806">
        <w:rPr>
          <w:rFonts w:ascii="Arial" w:hAnsi="Arial" w:cs="Arial"/>
          <w:i/>
          <w:iCs/>
          <w:sz w:val="20"/>
          <w:szCs w:val="20"/>
        </w:rPr>
        <w:t>7</w:t>
      </w:r>
      <w:r w:rsidRPr="00494806">
        <w:rPr>
          <w:rFonts w:ascii="Arial" w:hAnsi="Arial" w:cs="Arial"/>
          <w:sz w:val="20"/>
          <w:szCs w:val="20"/>
        </w:rPr>
        <w:t>(1), 70-77.</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Dissanayake, D., Tilt, C., &amp; </w:t>
      </w:r>
      <w:proofErr w:type="spellStart"/>
      <w:r w:rsidRPr="00494806">
        <w:rPr>
          <w:rFonts w:ascii="Arial" w:hAnsi="Arial" w:cs="Arial"/>
          <w:sz w:val="20"/>
          <w:szCs w:val="20"/>
        </w:rPr>
        <w:t>Xydias</w:t>
      </w:r>
      <w:proofErr w:type="spellEnd"/>
      <w:r w:rsidRPr="00494806">
        <w:rPr>
          <w:rFonts w:ascii="Arial" w:hAnsi="Arial" w:cs="Arial"/>
          <w:sz w:val="20"/>
          <w:szCs w:val="20"/>
        </w:rPr>
        <w:t>-Lobo, M. (2016). Sustainability reporting by publicly listed companies in Sri Lanka. </w:t>
      </w:r>
      <w:r w:rsidRPr="00494806">
        <w:rPr>
          <w:rFonts w:ascii="Arial" w:hAnsi="Arial" w:cs="Arial"/>
          <w:i/>
          <w:iCs/>
          <w:sz w:val="20"/>
          <w:szCs w:val="20"/>
        </w:rPr>
        <w:t>Journal of cleaner production</w:t>
      </w:r>
      <w:r w:rsidRPr="00494806">
        <w:rPr>
          <w:rFonts w:ascii="Arial" w:hAnsi="Arial" w:cs="Arial"/>
          <w:sz w:val="20"/>
          <w:szCs w:val="20"/>
        </w:rPr>
        <w:t>, </w:t>
      </w:r>
      <w:r w:rsidRPr="00494806">
        <w:rPr>
          <w:rFonts w:ascii="Arial" w:hAnsi="Arial" w:cs="Arial"/>
          <w:i/>
          <w:iCs/>
          <w:sz w:val="20"/>
          <w:szCs w:val="20"/>
        </w:rPr>
        <w:t>129</w:t>
      </w:r>
      <w:r w:rsidRPr="00494806">
        <w:rPr>
          <w:rFonts w:ascii="Arial" w:hAnsi="Arial" w:cs="Arial"/>
          <w:sz w:val="20"/>
          <w:szCs w:val="20"/>
        </w:rPr>
        <w:t>, 169-182.</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Faller, C. M., &amp; </w:t>
      </w:r>
      <w:proofErr w:type="spellStart"/>
      <w:r w:rsidRPr="00494806">
        <w:rPr>
          <w:rFonts w:ascii="Arial" w:hAnsi="Arial" w:cs="Arial"/>
          <w:sz w:val="20"/>
          <w:szCs w:val="20"/>
        </w:rPr>
        <w:t>zu</w:t>
      </w:r>
      <w:proofErr w:type="spellEnd"/>
      <w:r w:rsidRPr="00494806">
        <w:rPr>
          <w:rFonts w:ascii="Arial" w:hAnsi="Arial" w:cs="Arial"/>
          <w:sz w:val="20"/>
          <w:szCs w:val="20"/>
        </w:rPr>
        <w:t xml:space="preserve"> </w:t>
      </w:r>
      <w:proofErr w:type="spellStart"/>
      <w:r w:rsidRPr="00494806">
        <w:rPr>
          <w:rFonts w:ascii="Arial" w:hAnsi="Arial" w:cs="Arial"/>
          <w:sz w:val="20"/>
          <w:szCs w:val="20"/>
        </w:rPr>
        <w:t>Knyphausen-Aufseß</w:t>
      </w:r>
      <w:proofErr w:type="spellEnd"/>
      <w:r w:rsidRPr="00494806">
        <w:rPr>
          <w:rFonts w:ascii="Arial" w:hAnsi="Arial" w:cs="Arial"/>
          <w:sz w:val="20"/>
          <w:szCs w:val="20"/>
        </w:rPr>
        <w:t>, D. (2018). Does equity ownership matter for corporate social responsibility? A literature review of theories and recent empirical findings.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150</w:t>
      </w:r>
      <w:r w:rsidRPr="00494806">
        <w:rPr>
          <w:rFonts w:ascii="Arial" w:hAnsi="Arial" w:cs="Arial"/>
          <w:sz w:val="20"/>
          <w:szCs w:val="20"/>
        </w:rPr>
        <w:t>, 15-40.</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Fan, P., Qian, X., Wang, J., &amp; Yamada, K. (2024). Does ownership structure influence carbon emission? Different roles of institutional investors. </w:t>
      </w:r>
      <w:r w:rsidRPr="00494806">
        <w:rPr>
          <w:rFonts w:ascii="Arial" w:hAnsi="Arial" w:cs="Arial"/>
          <w:i/>
          <w:iCs/>
          <w:sz w:val="20"/>
          <w:szCs w:val="20"/>
        </w:rPr>
        <w:t>Journal of Climate Finance</w:t>
      </w:r>
      <w:r w:rsidRPr="00494806">
        <w:rPr>
          <w:rFonts w:ascii="Arial" w:hAnsi="Arial" w:cs="Arial"/>
          <w:sz w:val="20"/>
          <w:szCs w:val="20"/>
        </w:rPr>
        <w:t>, </w:t>
      </w:r>
      <w:r w:rsidRPr="00494806">
        <w:rPr>
          <w:rFonts w:ascii="Arial" w:hAnsi="Arial" w:cs="Arial"/>
          <w:i/>
          <w:iCs/>
          <w:sz w:val="20"/>
          <w:szCs w:val="20"/>
        </w:rPr>
        <w:t>6</w:t>
      </w:r>
      <w:r w:rsidRPr="00494806">
        <w:rPr>
          <w:rFonts w:ascii="Arial" w:hAnsi="Arial" w:cs="Arial"/>
          <w:sz w:val="20"/>
          <w:szCs w:val="20"/>
        </w:rPr>
        <w:t>, 100030.</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Ferris, S. P., &amp; Park, K. (2005). Foreign ownership and firm value: Evidence from Japan. In </w:t>
      </w:r>
      <w:r w:rsidRPr="00494806">
        <w:rPr>
          <w:rFonts w:ascii="Arial" w:hAnsi="Arial" w:cs="Arial"/>
          <w:i/>
          <w:iCs/>
          <w:sz w:val="20"/>
          <w:szCs w:val="20"/>
        </w:rPr>
        <w:t>Corporate governance</w:t>
      </w:r>
      <w:r w:rsidRPr="00494806">
        <w:rPr>
          <w:rFonts w:ascii="Arial" w:hAnsi="Arial" w:cs="Arial"/>
          <w:sz w:val="20"/>
          <w:szCs w:val="20"/>
        </w:rPr>
        <w:t> (pp. 1-29). Emerald Group Publishing Limited.</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Ganapathy, E., &amp; Kabra, K. C. (2017). </w:t>
      </w:r>
      <w:r w:rsidRPr="00494806">
        <w:rPr>
          <w:rFonts w:ascii="Arial" w:hAnsi="Arial" w:cs="Arial"/>
          <w:i/>
          <w:iCs/>
          <w:sz w:val="20"/>
          <w:szCs w:val="20"/>
        </w:rPr>
        <w:t xml:space="preserve">The Impact of Corporate Governance Attributes on Environmental Disclosure: Evidence from India INDIAN </w:t>
      </w:r>
      <w:proofErr w:type="spellStart"/>
      <w:r w:rsidRPr="00494806">
        <w:rPr>
          <w:rFonts w:ascii="Arial" w:hAnsi="Arial" w:cs="Arial"/>
          <w:i/>
          <w:iCs/>
          <w:sz w:val="20"/>
          <w:szCs w:val="20"/>
        </w:rPr>
        <w:t>JCorp</w:t>
      </w:r>
      <w:proofErr w:type="spellEnd"/>
      <w:r w:rsidRPr="00494806">
        <w:rPr>
          <w:rFonts w:ascii="Arial" w:hAnsi="Arial" w:cs="Arial"/>
          <w:i/>
          <w:iCs/>
          <w:sz w:val="20"/>
          <w:szCs w:val="20"/>
        </w:rPr>
        <w:t xml:space="preserve"> GOVERN 10 (1): 24–43</w:t>
      </w:r>
      <w:r w:rsidRPr="00494806">
        <w:rPr>
          <w:rFonts w:ascii="Arial" w:hAnsi="Arial" w:cs="Arial"/>
          <w:sz w:val="20"/>
          <w:szCs w:val="20"/>
        </w:rPr>
        <w:t>.</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Githaiga, P. N. (2025). Determinants of carbon emission disclosure among listed firms in the East Africa Community partner states. </w:t>
      </w:r>
      <w:r w:rsidRPr="00494806">
        <w:rPr>
          <w:rFonts w:ascii="Arial" w:hAnsi="Arial" w:cs="Arial"/>
          <w:i/>
          <w:iCs/>
          <w:sz w:val="20"/>
          <w:szCs w:val="20"/>
        </w:rPr>
        <w:t>Social Responsibility Journal</w:t>
      </w:r>
      <w:r w:rsidRPr="00494806">
        <w:rPr>
          <w:rFonts w:ascii="Arial" w:hAnsi="Arial" w:cs="Arial"/>
          <w:sz w:val="20"/>
          <w:szCs w:val="20"/>
        </w:rPr>
        <w:t>.</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Githaiga, P. N., &amp; Kosgei, J. K. (2023). Board characteristics and sustainability reporting: a case of listed firms in East Africa. </w:t>
      </w:r>
      <w:r w:rsidRPr="00494806">
        <w:rPr>
          <w:rFonts w:ascii="Arial" w:hAnsi="Arial" w:cs="Arial"/>
          <w:i/>
          <w:iCs/>
          <w:sz w:val="20"/>
          <w:szCs w:val="20"/>
        </w:rPr>
        <w:t>Corporate Governance: The international journal of business in society</w:t>
      </w:r>
      <w:r w:rsidRPr="00494806">
        <w:rPr>
          <w:rFonts w:ascii="Arial" w:hAnsi="Arial" w:cs="Arial"/>
          <w:sz w:val="20"/>
          <w:szCs w:val="20"/>
        </w:rPr>
        <w:t>, </w:t>
      </w:r>
      <w:r w:rsidRPr="00494806">
        <w:rPr>
          <w:rFonts w:ascii="Arial" w:hAnsi="Arial" w:cs="Arial"/>
          <w:i/>
          <w:iCs/>
          <w:sz w:val="20"/>
          <w:szCs w:val="20"/>
        </w:rPr>
        <w:t>23</w:t>
      </w:r>
      <w:r w:rsidRPr="00494806">
        <w:rPr>
          <w:rFonts w:ascii="Arial" w:hAnsi="Arial" w:cs="Arial"/>
          <w:sz w:val="20"/>
          <w:szCs w:val="20"/>
        </w:rPr>
        <w:t>(1), 3-17.</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Hapsoro</w:t>
      </w:r>
      <w:proofErr w:type="spellEnd"/>
      <w:r w:rsidRPr="00494806">
        <w:rPr>
          <w:rFonts w:ascii="Arial" w:hAnsi="Arial" w:cs="Arial"/>
          <w:sz w:val="20"/>
          <w:szCs w:val="20"/>
        </w:rPr>
        <w:t>, D., &amp; Falih, Z. N. (2020). The effect of firm size, profitability, and liquidity on the firm value moderated by carbon emission disclosure. </w:t>
      </w:r>
      <w:r w:rsidRPr="00494806">
        <w:rPr>
          <w:rFonts w:ascii="Arial" w:hAnsi="Arial" w:cs="Arial"/>
          <w:i/>
          <w:iCs/>
          <w:sz w:val="20"/>
          <w:szCs w:val="20"/>
        </w:rPr>
        <w:t>Journal of Accounting and Investment</w:t>
      </w:r>
      <w:r w:rsidRPr="00494806">
        <w:rPr>
          <w:rFonts w:ascii="Arial" w:hAnsi="Arial" w:cs="Arial"/>
          <w:sz w:val="20"/>
          <w:szCs w:val="20"/>
        </w:rPr>
        <w:t>, </w:t>
      </w:r>
      <w:r w:rsidRPr="00494806">
        <w:rPr>
          <w:rFonts w:ascii="Arial" w:hAnsi="Arial" w:cs="Arial"/>
          <w:i/>
          <w:iCs/>
          <w:sz w:val="20"/>
          <w:szCs w:val="20"/>
        </w:rPr>
        <w:t>21</w:t>
      </w:r>
      <w:r w:rsidRPr="00494806">
        <w:rPr>
          <w:rFonts w:ascii="Arial" w:hAnsi="Arial" w:cs="Arial"/>
          <w:sz w:val="20"/>
          <w:szCs w:val="20"/>
        </w:rPr>
        <w:t>(2), 240-257.</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Hasan, A., </w:t>
      </w:r>
      <w:proofErr w:type="spellStart"/>
      <w:r w:rsidRPr="00494806">
        <w:rPr>
          <w:rFonts w:ascii="Arial" w:hAnsi="Arial" w:cs="Arial"/>
          <w:sz w:val="20"/>
          <w:szCs w:val="20"/>
        </w:rPr>
        <w:t>Hussainey</w:t>
      </w:r>
      <w:proofErr w:type="spellEnd"/>
      <w:r w:rsidRPr="00494806">
        <w:rPr>
          <w:rFonts w:ascii="Arial" w:hAnsi="Arial" w:cs="Arial"/>
          <w:sz w:val="20"/>
          <w:szCs w:val="20"/>
        </w:rPr>
        <w:t>, K., &amp; Aly, D. (2022). Determinants of sustainability reporting decision: evidence from Pakistan. </w:t>
      </w:r>
      <w:r w:rsidRPr="00494806">
        <w:rPr>
          <w:rFonts w:ascii="Arial" w:hAnsi="Arial" w:cs="Arial"/>
          <w:i/>
          <w:iCs/>
          <w:sz w:val="20"/>
          <w:szCs w:val="20"/>
        </w:rPr>
        <w:t>Journal of Sustainable Finance &amp; Investment</w:t>
      </w:r>
      <w:r w:rsidRPr="00494806">
        <w:rPr>
          <w:rFonts w:ascii="Arial" w:hAnsi="Arial" w:cs="Arial"/>
          <w:sz w:val="20"/>
          <w:szCs w:val="20"/>
        </w:rPr>
        <w:t>, </w:t>
      </w:r>
      <w:r w:rsidRPr="00494806">
        <w:rPr>
          <w:rFonts w:ascii="Arial" w:hAnsi="Arial" w:cs="Arial"/>
          <w:i/>
          <w:iCs/>
          <w:sz w:val="20"/>
          <w:szCs w:val="20"/>
        </w:rPr>
        <w:t>12</w:t>
      </w:r>
      <w:r w:rsidRPr="00494806">
        <w:rPr>
          <w:rFonts w:ascii="Arial" w:hAnsi="Arial" w:cs="Arial"/>
          <w:sz w:val="20"/>
          <w:szCs w:val="20"/>
        </w:rPr>
        <w:t>(1), 214-237.</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Hillman, A. J., &amp; Dalziel, T. (2003). Boards of directors and firm performance: Integrating agency and resource dependence perspectives. </w:t>
      </w:r>
      <w:r w:rsidRPr="00494806">
        <w:rPr>
          <w:rFonts w:ascii="Arial" w:hAnsi="Arial" w:cs="Arial"/>
          <w:i/>
          <w:iCs/>
          <w:sz w:val="20"/>
          <w:szCs w:val="20"/>
        </w:rPr>
        <w:t>Academy of Management review</w:t>
      </w:r>
      <w:r w:rsidRPr="00494806">
        <w:rPr>
          <w:rFonts w:ascii="Arial" w:hAnsi="Arial" w:cs="Arial"/>
          <w:sz w:val="20"/>
          <w:szCs w:val="20"/>
        </w:rPr>
        <w:t>, </w:t>
      </w:r>
      <w:r w:rsidRPr="00494806">
        <w:rPr>
          <w:rFonts w:ascii="Arial" w:hAnsi="Arial" w:cs="Arial"/>
          <w:i/>
          <w:iCs/>
          <w:sz w:val="20"/>
          <w:szCs w:val="20"/>
        </w:rPr>
        <w:t>28</w:t>
      </w:r>
      <w:r w:rsidRPr="00494806">
        <w:rPr>
          <w:rFonts w:ascii="Arial" w:hAnsi="Arial" w:cs="Arial"/>
          <w:sz w:val="20"/>
          <w:szCs w:val="20"/>
        </w:rPr>
        <w:t>(3), 383-396.</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lastRenderedPageBreak/>
        <w:t>Huafang</w:t>
      </w:r>
      <w:proofErr w:type="spellEnd"/>
      <w:r w:rsidRPr="00494806">
        <w:rPr>
          <w:rFonts w:ascii="Arial" w:hAnsi="Arial" w:cs="Arial"/>
          <w:sz w:val="20"/>
          <w:szCs w:val="20"/>
        </w:rPr>
        <w:t>, X., &amp; Jianguo, Y. (2007). Ownership structure, board composition and corporate voluntary disclosure: Evidence from listed companies in China. </w:t>
      </w:r>
      <w:r w:rsidRPr="00494806">
        <w:rPr>
          <w:rFonts w:ascii="Arial" w:hAnsi="Arial" w:cs="Arial"/>
          <w:i/>
          <w:iCs/>
          <w:sz w:val="20"/>
          <w:szCs w:val="20"/>
        </w:rPr>
        <w:t>Managerial auditing journal</w:t>
      </w:r>
      <w:r w:rsidRPr="00494806">
        <w:rPr>
          <w:rFonts w:ascii="Arial" w:hAnsi="Arial" w:cs="Arial"/>
          <w:sz w:val="20"/>
          <w:szCs w:val="20"/>
        </w:rPr>
        <w:t>, </w:t>
      </w:r>
      <w:r w:rsidRPr="00494806">
        <w:rPr>
          <w:rFonts w:ascii="Arial" w:hAnsi="Arial" w:cs="Arial"/>
          <w:i/>
          <w:iCs/>
          <w:sz w:val="20"/>
          <w:szCs w:val="20"/>
        </w:rPr>
        <w:t>22</w:t>
      </w:r>
      <w:r w:rsidRPr="00494806">
        <w:rPr>
          <w:rFonts w:ascii="Arial" w:hAnsi="Arial" w:cs="Arial"/>
          <w:sz w:val="20"/>
          <w:szCs w:val="20"/>
        </w:rPr>
        <w:t>(6), 604-619.</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Huang, G., An, Z., &amp; Li, D. (2023). Foreign institutional ownership and corporate risk</w:t>
      </w:r>
      <w:r w:rsidRPr="00494806">
        <w:rPr>
          <w:rFonts w:ascii="Cambria Math" w:hAnsi="Cambria Math" w:cs="Cambria Math"/>
          <w:sz w:val="20"/>
          <w:szCs w:val="20"/>
        </w:rPr>
        <w:t>‐</w:t>
      </w:r>
      <w:r w:rsidRPr="00494806">
        <w:rPr>
          <w:rFonts w:ascii="Arial" w:hAnsi="Arial" w:cs="Arial"/>
          <w:sz w:val="20"/>
          <w:szCs w:val="20"/>
        </w:rPr>
        <w:t>taking: International evidence. </w:t>
      </w:r>
      <w:r w:rsidRPr="00494806">
        <w:rPr>
          <w:rFonts w:ascii="Arial" w:hAnsi="Arial" w:cs="Arial"/>
          <w:i/>
          <w:iCs/>
          <w:sz w:val="20"/>
          <w:szCs w:val="20"/>
        </w:rPr>
        <w:t>Corporate Governance: An International Review</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(2), 260-284.</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Jamali, D., &amp; </w:t>
      </w:r>
      <w:proofErr w:type="spellStart"/>
      <w:r w:rsidRPr="00494806">
        <w:rPr>
          <w:rFonts w:ascii="Arial" w:hAnsi="Arial" w:cs="Arial"/>
          <w:sz w:val="20"/>
          <w:szCs w:val="20"/>
        </w:rPr>
        <w:t>Mirshak</w:t>
      </w:r>
      <w:proofErr w:type="spellEnd"/>
      <w:r w:rsidRPr="00494806">
        <w:rPr>
          <w:rFonts w:ascii="Arial" w:hAnsi="Arial" w:cs="Arial"/>
          <w:sz w:val="20"/>
          <w:szCs w:val="20"/>
        </w:rPr>
        <w:t>, R. (2007). Corporate social responsibility (CSR): Theory and practice in a developing country context.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72</w:t>
      </w:r>
      <w:r w:rsidRPr="00494806">
        <w:rPr>
          <w:rFonts w:ascii="Arial" w:hAnsi="Arial" w:cs="Arial"/>
          <w:sz w:val="20"/>
          <w:szCs w:val="20"/>
        </w:rPr>
        <w:t>, 243-262.</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Jensen, M. C., &amp; Meckling, W. H. (1976). Theory of the firm: Managerial behavior, agency costs, and capital structure</w:t>
      </w:r>
      <w:r w:rsidRPr="00494806">
        <w:rPr>
          <w:rFonts w:ascii="Arial" w:hAnsi="Arial" w:cs="Arial"/>
          <w:i/>
          <w:iCs/>
          <w:sz w:val="20"/>
          <w:szCs w:val="20"/>
        </w:rPr>
        <w:t>, Journal of Financial Economics 3</w:t>
      </w:r>
      <w:r w:rsidRPr="00494806">
        <w:rPr>
          <w:rFonts w:ascii="Arial" w:hAnsi="Arial" w:cs="Arial"/>
          <w:sz w:val="20"/>
          <w:szCs w:val="20"/>
        </w:rPr>
        <w:t>, 305-360.</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Kang, J. K., &amp; Stulz, R. M. (1997). Is bank-centered corporate governance worth it? A cross-sectional analysis of the performance of Japanese firms during the asset price deflation.</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Kao, M. F., Hodgkinson, L., &amp; Jaafar, A. (2019). Ownership structure, board of directors and firm performance: evidence from Taiwan. </w:t>
      </w:r>
      <w:r w:rsidRPr="00494806">
        <w:rPr>
          <w:rFonts w:ascii="Arial" w:hAnsi="Arial" w:cs="Arial"/>
          <w:i/>
          <w:iCs/>
          <w:sz w:val="20"/>
          <w:szCs w:val="20"/>
        </w:rPr>
        <w:t>Corporate Governance: The international journal of business in society</w:t>
      </w:r>
      <w:r w:rsidRPr="00494806">
        <w:rPr>
          <w:rFonts w:ascii="Arial" w:hAnsi="Arial" w:cs="Arial"/>
          <w:sz w:val="20"/>
          <w:szCs w:val="20"/>
        </w:rPr>
        <w:t>, </w:t>
      </w:r>
      <w:r w:rsidRPr="00494806">
        <w:rPr>
          <w:rFonts w:ascii="Arial" w:hAnsi="Arial" w:cs="Arial"/>
          <w:i/>
          <w:iCs/>
          <w:sz w:val="20"/>
          <w:szCs w:val="20"/>
        </w:rPr>
        <w:t>19</w:t>
      </w:r>
      <w:r w:rsidRPr="00494806">
        <w:rPr>
          <w:rFonts w:ascii="Arial" w:hAnsi="Arial" w:cs="Arial"/>
          <w:sz w:val="20"/>
          <w:szCs w:val="20"/>
        </w:rPr>
        <w:t>(1), 189-216.</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Kavadis</w:t>
      </w:r>
      <w:proofErr w:type="spellEnd"/>
      <w:r w:rsidRPr="00494806">
        <w:rPr>
          <w:rFonts w:ascii="Arial" w:hAnsi="Arial" w:cs="Arial"/>
          <w:sz w:val="20"/>
          <w:szCs w:val="20"/>
        </w:rPr>
        <w:t>, N., &amp; Thomsen, S. (2023). Sustainable corporate governance: A review of research on long</w:t>
      </w:r>
      <w:r w:rsidRPr="00494806">
        <w:rPr>
          <w:rFonts w:ascii="Cambria Math" w:hAnsi="Cambria Math" w:cs="Cambria Math"/>
          <w:sz w:val="20"/>
          <w:szCs w:val="20"/>
        </w:rPr>
        <w:t>‐</w:t>
      </w:r>
      <w:r w:rsidRPr="00494806">
        <w:rPr>
          <w:rFonts w:ascii="Arial" w:hAnsi="Arial" w:cs="Arial"/>
          <w:sz w:val="20"/>
          <w:szCs w:val="20"/>
        </w:rPr>
        <w:t>term corporate ownership and sustainability. </w:t>
      </w:r>
      <w:r w:rsidRPr="00494806">
        <w:rPr>
          <w:rFonts w:ascii="Arial" w:hAnsi="Arial" w:cs="Arial"/>
          <w:i/>
          <w:iCs/>
          <w:sz w:val="20"/>
          <w:szCs w:val="20"/>
        </w:rPr>
        <w:t>Corporate Governance: An International Review</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(1), 198-226.</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Kim, E., Kim, S., &amp; Lee, J. (2021). Do foreign investors affect carbon emission disclosure? Evidence from South Korea. </w:t>
      </w:r>
      <w:r w:rsidRPr="00494806">
        <w:rPr>
          <w:rFonts w:ascii="Arial" w:hAnsi="Arial" w:cs="Arial"/>
          <w:i/>
          <w:iCs/>
          <w:sz w:val="20"/>
          <w:szCs w:val="20"/>
        </w:rPr>
        <w:t>International Journal of Environmental Research and Public Health</w:t>
      </w:r>
      <w:r w:rsidRPr="00494806">
        <w:rPr>
          <w:rFonts w:ascii="Arial" w:hAnsi="Arial" w:cs="Arial"/>
          <w:sz w:val="20"/>
          <w:szCs w:val="20"/>
        </w:rPr>
        <w:t>, </w:t>
      </w:r>
      <w:r w:rsidRPr="00494806">
        <w:rPr>
          <w:rFonts w:ascii="Arial" w:hAnsi="Arial" w:cs="Arial"/>
          <w:i/>
          <w:iCs/>
          <w:sz w:val="20"/>
          <w:szCs w:val="20"/>
        </w:rPr>
        <w:t>18</w:t>
      </w:r>
      <w:r w:rsidRPr="00494806">
        <w:rPr>
          <w:rFonts w:ascii="Arial" w:hAnsi="Arial" w:cs="Arial"/>
          <w:sz w:val="20"/>
          <w:szCs w:val="20"/>
        </w:rPr>
        <w:t>(19), 10097.</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Likitwongkajon</w:t>
      </w:r>
      <w:proofErr w:type="spellEnd"/>
      <w:r w:rsidRPr="00494806">
        <w:rPr>
          <w:rFonts w:ascii="Arial" w:hAnsi="Arial" w:cs="Arial"/>
          <w:sz w:val="20"/>
          <w:szCs w:val="20"/>
        </w:rPr>
        <w:t xml:space="preserve">, N., &amp; </w:t>
      </w:r>
      <w:proofErr w:type="spellStart"/>
      <w:r w:rsidRPr="00494806">
        <w:rPr>
          <w:rFonts w:ascii="Arial" w:hAnsi="Arial" w:cs="Arial"/>
          <w:sz w:val="20"/>
          <w:szCs w:val="20"/>
        </w:rPr>
        <w:t>Vithessonthi</w:t>
      </w:r>
      <w:proofErr w:type="spellEnd"/>
      <w:r w:rsidRPr="00494806">
        <w:rPr>
          <w:rFonts w:ascii="Arial" w:hAnsi="Arial" w:cs="Arial"/>
          <w:sz w:val="20"/>
          <w:szCs w:val="20"/>
        </w:rPr>
        <w:t>, C. (2020). Do foreign investments increase firm value and firm performance? Evidence from Japan. </w:t>
      </w:r>
      <w:r w:rsidRPr="00494806">
        <w:rPr>
          <w:rFonts w:ascii="Arial" w:hAnsi="Arial" w:cs="Arial"/>
          <w:i/>
          <w:iCs/>
          <w:sz w:val="20"/>
          <w:szCs w:val="20"/>
        </w:rPr>
        <w:t>Research in International Business and Finance</w:t>
      </w:r>
      <w:r w:rsidRPr="00494806">
        <w:rPr>
          <w:rFonts w:ascii="Arial" w:hAnsi="Arial" w:cs="Arial"/>
          <w:sz w:val="20"/>
          <w:szCs w:val="20"/>
        </w:rPr>
        <w:t>, </w:t>
      </w:r>
      <w:r w:rsidRPr="00494806">
        <w:rPr>
          <w:rFonts w:ascii="Arial" w:hAnsi="Arial" w:cs="Arial"/>
          <w:i/>
          <w:iCs/>
          <w:sz w:val="20"/>
          <w:szCs w:val="20"/>
        </w:rPr>
        <w:t>51</w:t>
      </w:r>
      <w:r w:rsidRPr="00494806">
        <w:rPr>
          <w:rFonts w:ascii="Arial" w:hAnsi="Arial" w:cs="Arial"/>
          <w:sz w:val="20"/>
          <w:szCs w:val="20"/>
        </w:rPr>
        <w:t>, 101099.</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Liou, R. S., Ting, P. H., &amp; Chen, Y. Y. (2023). The cost of foreign ownership: Voluntary sustainability reporting and financial performance in an emerging economy. </w:t>
      </w:r>
      <w:r w:rsidRPr="00494806">
        <w:rPr>
          <w:rFonts w:ascii="Arial" w:hAnsi="Arial" w:cs="Arial"/>
          <w:i/>
          <w:iCs/>
          <w:sz w:val="20"/>
          <w:szCs w:val="20"/>
        </w:rPr>
        <w:t>Cross Cultural &amp; Strategic Management</w:t>
      </w:r>
      <w:r w:rsidRPr="00494806">
        <w:rPr>
          <w:rFonts w:ascii="Arial" w:hAnsi="Arial" w:cs="Arial"/>
          <w:sz w:val="20"/>
          <w:szCs w:val="20"/>
        </w:rPr>
        <w:t>, </w:t>
      </w:r>
      <w:r w:rsidRPr="00494806">
        <w:rPr>
          <w:rFonts w:ascii="Arial" w:hAnsi="Arial" w:cs="Arial"/>
          <w:i/>
          <w:iCs/>
          <w:sz w:val="20"/>
          <w:szCs w:val="20"/>
        </w:rPr>
        <w:t>30</w:t>
      </w:r>
      <w:r w:rsidRPr="00494806">
        <w:rPr>
          <w:rFonts w:ascii="Arial" w:hAnsi="Arial" w:cs="Arial"/>
          <w:sz w:val="20"/>
          <w:szCs w:val="20"/>
        </w:rPr>
        <w:t>(3), 581-612.</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Mol, A., van Schie, V., &amp; Budding, T. (2025). Drivers of sustainability reporting by local governments over time: A structured literature review. </w:t>
      </w:r>
      <w:r w:rsidRPr="00494806">
        <w:rPr>
          <w:rFonts w:ascii="Arial" w:hAnsi="Arial" w:cs="Arial"/>
          <w:i/>
          <w:iCs/>
          <w:sz w:val="20"/>
          <w:szCs w:val="20"/>
        </w:rPr>
        <w:t>Financial Accountability &amp; Management</w:t>
      </w:r>
      <w:r w:rsidRPr="00494806">
        <w:rPr>
          <w:rFonts w:ascii="Arial" w:hAnsi="Arial" w:cs="Arial"/>
          <w:sz w:val="20"/>
          <w:szCs w:val="20"/>
        </w:rPr>
        <w:t>, </w:t>
      </w:r>
      <w:r w:rsidRPr="00494806">
        <w:rPr>
          <w:rFonts w:ascii="Arial" w:hAnsi="Arial" w:cs="Arial"/>
          <w:i/>
          <w:iCs/>
          <w:sz w:val="20"/>
          <w:szCs w:val="20"/>
        </w:rPr>
        <w:t>41</w:t>
      </w:r>
      <w:r w:rsidRPr="00494806">
        <w:rPr>
          <w:rFonts w:ascii="Arial" w:hAnsi="Arial" w:cs="Arial"/>
          <w:sz w:val="20"/>
          <w:szCs w:val="20"/>
        </w:rPr>
        <w:t>(1), 200-229.</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Nuhu, Y., &amp; Alam, A. (2024). Ownership structure and sustainability reporting: emerging economies evidence. </w:t>
      </w:r>
      <w:r w:rsidRPr="00494806">
        <w:rPr>
          <w:rFonts w:ascii="Arial" w:hAnsi="Arial" w:cs="Arial"/>
          <w:i/>
          <w:iCs/>
          <w:sz w:val="20"/>
          <w:szCs w:val="20"/>
        </w:rPr>
        <w:t>International Journal of Accounting &amp; Information Management</w:t>
      </w:r>
      <w:r w:rsidRPr="00494806">
        <w:rPr>
          <w:rFonts w:ascii="Arial" w:hAnsi="Arial" w:cs="Arial"/>
          <w:sz w:val="20"/>
          <w:szCs w:val="20"/>
        </w:rPr>
        <w:t>, </w:t>
      </w:r>
      <w:r w:rsidRPr="00494806">
        <w:rPr>
          <w:rFonts w:ascii="Arial" w:hAnsi="Arial" w:cs="Arial"/>
          <w:i/>
          <w:iCs/>
          <w:sz w:val="20"/>
          <w:szCs w:val="20"/>
        </w:rPr>
        <w:t>32</w:t>
      </w:r>
      <w:r w:rsidRPr="00494806">
        <w:rPr>
          <w:rFonts w:ascii="Arial" w:hAnsi="Arial" w:cs="Arial"/>
          <w:sz w:val="20"/>
          <w:szCs w:val="20"/>
        </w:rPr>
        <w:t>(5), 883-908.</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Oh, W. Y., Chang, Y. K., &amp; Martynov, A. (2011). The effect of ownership structure on corporate social responsibility: Empirical evidence from Korea. </w:t>
      </w:r>
      <w:r w:rsidRPr="00494806">
        <w:rPr>
          <w:rFonts w:ascii="Arial" w:hAnsi="Arial" w:cs="Arial"/>
          <w:i/>
          <w:iCs/>
          <w:sz w:val="20"/>
          <w:szCs w:val="20"/>
        </w:rPr>
        <w:t>Journal of business ethics</w:t>
      </w:r>
      <w:r w:rsidRPr="00494806">
        <w:rPr>
          <w:rFonts w:ascii="Arial" w:hAnsi="Arial" w:cs="Arial"/>
          <w:sz w:val="20"/>
          <w:szCs w:val="20"/>
        </w:rPr>
        <w:t>, </w:t>
      </w:r>
      <w:r w:rsidRPr="00494806">
        <w:rPr>
          <w:rFonts w:ascii="Arial" w:hAnsi="Arial" w:cs="Arial"/>
          <w:i/>
          <w:iCs/>
          <w:sz w:val="20"/>
          <w:szCs w:val="20"/>
        </w:rPr>
        <w:t>104</w:t>
      </w:r>
      <w:r w:rsidRPr="00494806">
        <w:rPr>
          <w:rFonts w:ascii="Arial" w:hAnsi="Arial" w:cs="Arial"/>
          <w:sz w:val="20"/>
          <w:szCs w:val="20"/>
        </w:rPr>
        <w:t>, 283-297.</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Perrault, E., &amp; Clark, C. (2016). Environmental shareholder activism: Considering status and reputation in firm responsiveness. </w:t>
      </w:r>
      <w:r w:rsidRPr="00494806">
        <w:rPr>
          <w:rFonts w:ascii="Arial" w:hAnsi="Arial" w:cs="Arial"/>
          <w:i/>
          <w:iCs/>
          <w:sz w:val="20"/>
          <w:szCs w:val="20"/>
        </w:rPr>
        <w:t>Organization &amp; Environment</w:t>
      </w:r>
      <w:r w:rsidRPr="00494806">
        <w:rPr>
          <w:rFonts w:ascii="Arial" w:hAnsi="Arial" w:cs="Arial"/>
          <w:sz w:val="20"/>
          <w:szCs w:val="20"/>
        </w:rPr>
        <w:t>, </w:t>
      </w:r>
      <w:r w:rsidRPr="00494806">
        <w:rPr>
          <w:rFonts w:ascii="Arial" w:hAnsi="Arial" w:cs="Arial"/>
          <w:i/>
          <w:iCs/>
          <w:sz w:val="20"/>
          <w:szCs w:val="20"/>
        </w:rPr>
        <w:t>29</w:t>
      </w:r>
      <w:r w:rsidRPr="00494806">
        <w:rPr>
          <w:rFonts w:ascii="Arial" w:hAnsi="Arial" w:cs="Arial"/>
          <w:sz w:val="20"/>
          <w:szCs w:val="20"/>
        </w:rPr>
        <w:t>(2), 194-211.</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Roedder</w:t>
      </w:r>
      <w:proofErr w:type="spellEnd"/>
      <w:r w:rsidRPr="00494806">
        <w:rPr>
          <w:rFonts w:ascii="Arial" w:hAnsi="Arial" w:cs="Arial"/>
          <w:sz w:val="20"/>
          <w:szCs w:val="20"/>
        </w:rPr>
        <w:t>, F., &amp; Schmid, S. (2025). The impact of foreign ownership on firms: a systematic literature review. </w:t>
      </w:r>
      <w:r w:rsidRPr="00494806">
        <w:rPr>
          <w:rFonts w:ascii="Arial" w:hAnsi="Arial" w:cs="Arial"/>
          <w:i/>
          <w:iCs/>
          <w:sz w:val="20"/>
          <w:szCs w:val="20"/>
        </w:rPr>
        <w:t>Management Review Quarterly</w:t>
      </w:r>
      <w:r w:rsidRPr="00494806">
        <w:rPr>
          <w:rFonts w:ascii="Arial" w:hAnsi="Arial" w:cs="Arial"/>
          <w:sz w:val="20"/>
          <w:szCs w:val="20"/>
        </w:rPr>
        <w:t>, 1-29.</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Saleh, S., </w:t>
      </w:r>
      <w:proofErr w:type="spellStart"/>
      <w:r w:rsidRPr="00494806">
        <w:rPr>
          <w:rFonts w:ascii="Arial" w:hAnsi="Arial" w:cs="Arial"/>
          <w:sz w:val="20"/>
          <w:szCs w:val="20"/>
        </w:rPr>
        <w:t>Elgharbawy</w:t>
      </w:r>
      <w:proofErr w:type="spellEnd"/>
      <w:r w:rsidRPr="00494806">
        <w:rPr>
          <w:rFonts w:ascii="Arial" w:hAnsi="Arial" w:cs="Arial"/>
          <w:sz w:val="20"/>
          <w:szCs w:val="20"/>
        </w:rPr>
        <w:t xml:space="preserve">, A., &amp; </w:t>
      </w:r>
      <w:proofErr w:type="spellStart"/>
      <w:r w:rsidRPr="00494806">
        <w:rPr>
          <w:rFonts w:ascii="Arial" w:hAnsi="Arial" w:cs="Arial"/>
          <w:sz w:val="20"/>
          <w:szCs w:val="20"/>
        </w:rPr>
        <w:t>Abouelela</w:t>
      </w:r>
      <w:proofErr w:type="spellEnd"/>
      <w:r w:rsidRPr="00494806">
        <w:rPr>
          <w:rFonts w:ascii="Arial" w:hAnsi="Arial" w:cs="Arial"/>
          <w:sz w:val="20"/>
          <w:szCs w:val="20"/>
        </w:rPr>
        <w:t>, O. (2025). Does audit quality influence the relationship between ownership structure and environmental, social and governance disclosure? Evidence from Egypt. </w:t>
      </w:r>
      <w:r w:rsidRPr="00494806">
        <w:rPr>
          <w:rFonts w:ascii="Arial" w:hAnsi="Arial" w:cs="Arial"/>
          <w:i/>
          <w:iCs/>
          <w:sz w:val="20"/>
          <w:szCs w:val="20"/>
        </w:rPr>
        <w:t>Journal of Financial Reporting and Accounting</w:t>
      </w:r>
      <w:r w:rsidRPr="00494806">
        <w:rPr>
          <w:rFonts w:ascii="Arial" w:hAnsi="Arial" w:cs="Arial"/>
          <w:sz w:val="20"/>
          <w:szCs w:val="20"/>
        </w:rPr>
        <w:t>.</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Siegel, D. S., &amp; Vitaliano, D. F. (2007). An empirical analysis of the strategic use of corporate social responsibility. </w:t>
      </w:r>
      <w:r w:rsidRPr="00494806">
        <w:rPr>
          <w:rFonts w:ascii="Arial" w:hAnsi="Arial" w:cs="Arial"/>
          <w:i/>
          <w:iCs/>
          <w:sz w:val="20"/>
          <w:szCs w:val="20"/>
        </w:rPr>
        <w:t>Journal of Economics &amp; Management Strategy</w:t>
      </w:r>
      <w:r w:rsidRPr="00494806">
        <w:rPr>
          <w:rFonts w:ascii="Arial" w:hAnsi="Arial" w:cs="Arial"/>
          <w:sz w:val="20"/>
          <w:szCs w:val="20"/>
        </w:rPr>
        <w:t>, </w:t>
      </w:r>
      <w:r w:rsidRPr="00494806">
        <w:rPr>
          <w:rFonts w:ascii="Arial" w:hAnsi="Arial" w:cs="Arial"/>
          <w:i/>
          <w:iCs/>
          <w:sz w:val="20"/>
          <w:szCs w:val="20"/>
        </w:rPr>
        <w:t>16</w:t>
      </w:r>
      <w:r w:rsidRPr="00494806">
        <w:rPr>
          <w:rFonts w:ascii="Arial" w:hAnsi="Arial" w:cs="Arial"/>
          <w:sz w:val="20"/>
          <w:szCs w:val="20"/>
        </w:rPr>
        <w:t>(3), 773-792.</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Tokas</w:t>
      </w:r>
      <w:proofErr w:type="spellEnd"/>
      <w:r w:rsidRPr="00494806">
        <w:rPr>
          <w:rFonts w:ascii="Arial" w:hAnsi="Arial" w:cs="Arial"/>
          <w:sz w:val="20"/>
          <w:szCs w:val="20"/>
        </w:rPr>
        <w:t>, K., &amp; Yadav, K. (2023). Foreign ownership and corporate social responsibility: The case of an emerging market. </w:t>
      </w:r>
      <w:r w:rsidRPr="00494806">
        <w:rPr>
          <w:rFonts w:ascii="Arial" w:hAnsi="Arial" w:cs="Arial"/>
          <w:i/>
          <w:iCs/>
          <w:sz w:val="20"/>
          <w:szCs w:val="20"/>
        </w:rPr>
        <w:t>Global Business Review</w:t>
      </w:r>
      <w:r w:rsidRPr="00494806">
        <w:rPr>
          <w:rFonts w:ascii="Arial" w:hAnsi="Arial" w:cs="Arial"/>
          <w:sz w:val="20"/>
          <w:szCs w:val="20"/>
        </w:rPr>
        <w:t>, </w:t>
      </w:r>
      <w:r w:rsidRPr="00494806">
        <w:rPr>
          <w:rFonts w:ascii="Arial" w:hAnsi="Arial" w:cs="Arial"/>
          <w:i/>
          <w:iCs/>
          <w:sz w:val="20"/>
          <w:szCs w:val="20"/>
        </w:rPr>
        <w:t>24</w:t>
      </w:r>
      <w:r w:rsidRPr="00494806">
        <w:rPr>
          <w:rFonts w:ascii="Arial" w:hAnsi="Arial" w:cs="Arial"/>
          <w:sz w:val="20"/>
          <w:szCs w:val="20"/>
        </w:rPr>
        <w:t>(6), 1302-1325.</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Toukabri</w:t>
      </w:r>
      <w:proofErr w:type="spellEnd"/>
      <w:r w:rsidRPr="00494806">
        <w:rPr>
          <w:rFonts w:ascii="Arial" w:hAnsi="Arial" w:cs="Arial"/>
          <w:sz w:val="20"/>
          <w:szCs w:val="20"/>
        </w:rPr>
        <w:t xml:space="preserve">, M. (2024). Chief Sustainability Officer (CSO) power and sustainability-based compensation for climate change disclosure and carbon performance: is it different for developed and developing </w:t>
      </w:r>
      <w:proofErr w:type="gramStart"/>
      <w:r w:rsidRPr="00494806">
        <w:rPr>
          <w:rFonts w:ascii="Arial" w:hAnsi="Arial" w:cs="Arial"/>
          <w:sz w:val="20"/>
          <w:szCs w:val="20"/>
        </w:rPr>
        <w:t>nations?.</w:t>
      </w:r>
      <w:proofErr w:type="gramEnd"/>
      <w:r w:rsidRPr="00494806">
        <w:rPr>
          <w:rFonts w:ascii="Arial" w:hAnsi="Arial" w:cs="Arial"/>
          <w:sz w:val="20"/>
          <w:szCs w:val="20"/>
        </w:rPr>
        <w:t> </w:t>
      </w:r>
      <w:r w:rsidRPr="00494806">
        <w:rPr>
          <w:rFonts w:ascii="Arial" w:hAnsi="Arial" w:cs="Arial"/>
          <w:i/>
          <w:iCs/>
          <w:sz w:val="20"/>
          <w:szCs w:val="20"/>
        </w:rPr>
        <w:t>Society and Business Review</w:t>
      </w:r>
      <w:r w:rsidRPr="00494806">
        <w:rPr>
          <w:rFonts w:ascii="Arial" w:hAnsi="Arial" w:cs="Arial"/>
          <w:sz w:val="20"/>
          <w:szCs w:val="20"/>
        </w:rPr>
        <w:t>.</w:t>
      </w:r>
    </w:p>
    <w:p w:rsidR="00A0774D" w:rsidRPr="00494806"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lastRenderedPageBreak/>
        <w:t>Wang, J., Hu, Y., Liao, F., &amp; Xu, S. (2023). Governance of non-state-owned shareholders and corporate capital structure decision: A mechanism test from the opportunistic behavior of management. </w:t>
      </w:r>
      <w:proofErr w:type="spellStart"/>
      <w:r w:rsidRPr="00494806">
        <w:rPr>
          <w:rFonts w:ascii="Arial" w:hAnsi="Arial" w:cs="Arial"/>
          <w:i/>
          <w:iCs/>
          <w:sz w:val="20"/>
          <w:szCs w:val="20"/>
        </w:rPr>
        <w:t>PloS</w:t>
      </w:r>
      <w:proofErr w:type="spellEnd"/>
      <w:r w:rsidRPr="00494806">
        <w:rPr>
          <w:rFonts w:ascii="Arial" w:hAnsi="Arial" w:cs="Arial"/>
          <w:i/>
          <w:iCs/>
          <w:sz w:val="20"/>
          <w:szCs w:val="20"/>
        </w:rPr>
        <w:t xml:space="preserve"> one</w:t>
      </w:r>
      <w:r w:rsidRPr="00494806">
        <w:rPr>
          <w:rFonts w:ascii="Arial" w:hAnsi="Arial" w:cs="Arial"/>
          <w:sz w:val="20"/>
          <w:szCs w:val="20"/>
        </w:rPr>
        <w:t>, </w:t>
      </w:r>
      <w:r w:rsidRPr="00494806">
        <w:rPr>
          <w:rFonts w:ascii="Arial" w:hAnsi="Arial" w:cs="Arial"/>
          <w:i/>
          <w:iCs/>
          <w:sz w:val="20"/>
          <w:szCs w:val="20"/>
        </w:rPr>
        <w:t>18</w:t>
      </w:r>
      <w:r w:rsidRPr="00494806">
        <w:rPr>
          <w:rFonts w:ascii="Arial" w:hAnsi="Arial" w:cs="Arial"/>
          <w:sz w:val="20"/>
          <w:szCs w:val="20"/>
        </w:rPr>
        <w:t>(1), e0281120.</w:t>
      </w:r>
    </w:p>
    <w:p w:rsidR="00A0774D" w:rsidRPr="00494806" w:rsidRDefault="00A0774D" w:rsidP="002E6574">
      <w:pPr>
        <w:spacing w:line="240" w:lineRule="auto"/>
        <w:ind w:left="720" w:hanging="720"/>
        <w:jc w:val="both"/>
        <w:rPr>
          <w:rFonts w:ascii="Arial" w:hAnsi="Arial" w:cs="Arial"/>
          <w:sz w:val="20"/>
          <w:szCs w:val="20"/>
        </w:rPr>
      </w:pPr>
      <w:proofErr w:type="spellStart"/>
      <w:r w:rsidRPr="00494806">
        <w:rPr>
          <w:rFonts w:ascii="Arial" w:hAnsi="Arial" w:cs="Arial"/>
          <w:sz w:val="20"/>
          <w:szCs w:val="20"/>
        </w:rPr>
        <w:t>Wicaksono</w:t>
      </w:r>
      <w:proofErr w:type="spellEnd"/>
      <w:r w:rsidRPr="00494806">
        <w:rPr>
          <w:rFonts w:ascii="Arial" w:hAnsi="Arial" w:cs="Arial"/>
          <w:sz w:val="20"/>
          <w:szCs w:val="20"/>
        </w:rPr>
        <w:t xml:space="preserve">, A. P., Kusuma, H., Cahaya, F. R., </w:t>
      </w:r>
      <w:proofErr w:type="spellStart"/>
      <w:r w:rsidRPr="00494806">
        <w:rPr>
          <w:rFonts w:ascii="Arial" w:hAnsi="Arial" w:cs="Arial"/>
          <w:sz w:val="20"/>
          <w:szCs w:val="20"/>
        </w:rPr>
        <w:t>Rosjidi</w:t>
      </w:r>
      <w:proofErr w:type="spellEnd"/>
      <w:r w:rsidRPr="00494806">
        <w:rPr>
          <w:rFonts w:ascii="Arial" w:hAnsi="Arial" w:cs="Arial"/>
          <w:sz w:val="20"/>
          <w:szCs w:val="20"/>
        </w:rPr>
        <w:t>, A. A., Rahman, A., &amp; Rahayu, I. (2024). Impact of institutional ownership on environmental disclosure in Indonesian companies. </w:t>
      </w:r>
      <w:r w:rsidRPr="00494806">
        <w:rPr>
          <w:rFonts w:ascii="Arial" w:hAnsi="Arial" w:cs="Arial"/>
          <w:i/>
          <w:iCs/>
          <w:sz w:val="20"/>
          <w:szCs w:val="20"/>
        </w:rPr>
        <w:t>Corporate Governance: The International Journal of Business in Society</w:t>
      </w:r>
      <w:r w:rsidRPr="00494806">
        <w:rPr>
          <w:rFonts w:ascii="Arial" w:hAnsi="Arial" w:cs="Arial"/>
          <w:sz w:val="20"/>
          <w:szCs w:val="20"/>
        </w:rPr>
        <w:t>, </w:t>
      </w:r>
      <w:r w:rsidRPr="00494806">
        <w:rPr>
          <w:rFonts w:ascii="Arial" w:hAnsi="Arial" w:cs="Arial"/>
          <w:i/>
          <w:iCs/>
          <w:sz w:val="20"/>
          <w:szCs w:val="20"/>
        </w:rPr>
        <w:t>24</w:t>
      </w:r>
      <w:r w:rsidRPr="00494806">
        <w:rPr>
          <w:rFonts w:ascii="Arial" w:hAnsi="Arial" w:cs="Arial"/>
          <w:sz w:val="20"/>
          <w:szCs w:val="20"/>
        </w:rPr>
        <w:t>(1), 139-154.</w:t>
      </w:r>
    </w:p>
    <w:p w:rsidR="00A0774D" w:rsidRDefault="00A0774D" w:rsidP="002E6574">
      <w:pPr>
        <w:spacing w:line="240" w:lineRule="auto"/>
        <w:ind w:left="720" w:hanging="720"/>
        <w:jc w:val="both"/>
        <w:rPr>
          <w:rFonts w:ascii="Arial" w:hAnsi="Arial" w:cs="Arial"/>
          <w:sz w:val="20"/>
          <w:szCs w:val="20"/>
        </w:rPr>
      </w:pPr>
      <w:r w:rsidRPr="00494806">
        <w:rPr>
          <w:rFonts w:ascii="Arial" w:hAnsi="Arial" w:cs="Arial"/>
          <w:sz w:val="20"/>
          <w:szCs w:val="20"/>
        </w:rPr>
        <w:t xml:space="preserve">Xuetong, W., Hussain, M., Rasool, S. F., &amp; </w:t>
      </w:r>
      <w:proofErr w:type="spellStart"/>
      <w:r w:rsidRPr="00494806">
        <w:rPr>
          <w:rFonts w:ascii="Arial" w:hAnsi="Arial" w:cs="Arial"/>
          <w:sz w:val="20"/>
          <w:szCs w:val="20"/>
        </w:rPr>
        <w:t>Mohelska</w:t>
      </w:r>
      <w:proofErr w:type="spellEnd"/>
      <w:r w:rsidRPr="00494806">
        <w:rPr>
          <w:rFonts w:ascii="Arial" w:hAnsi="Arial" w:cs="Arial"/>
          <w:sz w:val="20"/>
          <w:szCs w:val="20"/>
        </w:rPr>
        <w:t>, H. (2024). Impact of corporate social responsibility on sustainable competitive advantages: The mediating role of corporate reputation. </w:t>
      </w:r>
      <w:r w:rsidRPr="00494806">
        <w:rPr>
          <w:rFonts w:ascii="Arial" w:hAnsi="Arial" w:cs="Arial"/>
          <w:i/>
          <w:iCs/>
          <w:sz w:val="20"/>
          <w:szCs w:val="20"/>
        </w:rPr>
        <w:t>Environmental Science and Pollution Research</w:t>
      </w:r>
      <w:r w:rsidRPr="00494806">
        <w:rPr>
          <w:rFonts w:ascii="Arial" w:hAnsi="Arial" w:cs="Arial"/>
          <w:sz w:val="20"/>
          <w:szCs w:val="20"/>
        </w:rPr>
        <w:t>, </w:t>
      </w:r>
      <w:r w:rsidRPr="00494806">
        <w:rPr>
          <w:rFonts w:ascii="Arial" w:hAnsi="Arial" w:cs="Arial"/>
          <w:i/>
          <w:iCs/>
          <w:sz w:val="20"/>
          <w:szCs w:val="20"/>
        </w:rPr>
        <w:t>31</w:t>
      </w:r>
      <w:r w:rsidRPr="00494806">
        <w:rPr>
          <w:rFonts w:ascii="Arial" w:hAnsi="Arial" w:cs="Arial"/>
          <w:sz w:val="20"/>
          <w:szCs w:val="20"/>
        </w:rPr>
        <w:t>(34), 46207-46220.</w:t>
      </w:r>
    </w:p>
    <w:p w:rsidR="00201452" w:rsidRPr="00494806" w:rsidRDefault="00201452" w:rsidP="002E6574">
      <w:pPr>
        <w:spacing w:line="240" w:lineRule="auto"/>
        <w:ind w:left="720" w:hanging="720"/>
        <w:jc w:val="both"/>
        <w:rPr>
          <w:rFonts w:ascii="Arial" w:hAnsi="Arial" w:cs="Arial"/>
          <w:sz w:val="20"/>
          <w:szCs w:val="20"/>
        </w:rPr>
      </w:pPr>
      <w:r w:rsidRPr="00201452">
        <w:rPr>
          <w:rFonts w:ascii="Arial" w:hAnsi="Arial" w:cs="Arial"/>
          <w:sz w:val="20"/>
          <w:szCs w:val="20"/>
        </w:rPr>
        <w:t>Masud, M. A. K., Nurunnabi, M., &amp; Bae, S. M. (2018). The effects of corporate governance on environmental sustainability reporting: Empirical evidence from South Asian countries. Asian Journal of Sustainability and Social Responsibility, 3(1), 1-26.</w:t>
      </w:r>
      <w:r w:rsidR="00EB538A">
        <w:rPr>
          <w:rFonts w:ascii="Arial" w:hAnsi="Arial" w:cs="Arial"/>
          <w:sz w:val="20"/>
          <w:szCs w:val="20"/>
        </w:rPr>
        <w:t xml:space="preserve"> </w:t>
      </w:r>
    </w:p>
    <w:p w:rsidR="004B0057" w:rsidRPr="00494806" w:rsidRDefault="004B0057" w:rsidP="002E6574">
      <w:pPr>
        <w:spacing w:line="240" w:lineRule="auto"/>
        <w:ind w:left="720" w:hanging="720"/>
        <w:jc w:val="both"/>
        <w:rPr>
          <w:rFonts w:ascii="Arial" w:hAnsi="Arial" w:cs="Arial"/>
          <w:sz w:val="20"/>
          <w:szCs w:val="20"/>
        </w:rPr>
      </w:pPr>
    </w:p>
    <w:p w:rsidR="004B0057" w:rsidRPr="00494806" w:rsidRDefault="004B0057" w:rsidP="002E6574">
      <w:pPr>
        <w:spacing w:line="240" w:lineRule="auto"/>
        <w:ind w:left="720" w:hanging="720"/>
        <w:jc w:val="both"/>
        <w:rPr>
          <w:rFonts w:ascii="Arial" w:hAnsi="Arial" w:cs="Arial"/>
          <w:sz w:val="20"/>
          <w:szCs w:val="20"/>
        </w:rPr>
      </w:pPr>
    </w:p>
    <w:p w:rsidR="004B0057" w:rsidRPr="00494806" w:rsidRDefault="004B0057" w:rsidP="002E6574">
      <w:pPr>
        <w:spacing w:line="240" w:lineRule="auto"/>
        <w:ind w:left="720" w:hanging="720"/>
        <w:jc w:val="both"/>
        <w:rPr>
          <w:rFonts w:ascii="Times New Roman" w:hAnsi="Times New Roman" w:cs="Times New Roman"/>
          <w:sz w:val="24"/>
          <w:szCs w:val="24"/>
        </w:rPr>
      </w:pPr>
    </w:p>
    <w:sectPr w:rsidR="004B0057" w:rsidRPr="004948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528" w:rsidRDefault="005C6528" w:rsidP="00EA1433">
      <w:pPr>
        <w:spacing w:after="0" w:line="240" w:lineRule="auto"/>
      </w:pPr>
      <w:r>
        <w:separator/>
      </w:r>
    </w:p>
  </w:endnote>
  <w:endnote w:type="continuationSeparator" w:id="0">
    <w:p w:rsidR="005C6528" w:rsidRDefault="005C6528" w:rsidP="00EA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528" w:rsidRDefault="005C6528" w:rsidP="00EA1433">
      <w:pPr>
        <w:spacing w:after="0" w:line="240" w:lineRule="auto"/>
      </w:pPr>
      <w:r>
        <w:separator/>
      </w:r>
    </w:p>
  </w:footnote>
  <w:footnote w:type="continuationSeparator" w:id="0">
    <w:p w:rsidR="005C6528" w:rsidRDefault="005C6528" w:rsidP="00EA1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54AE1"/>
    <w:multiLevelType w:val="multilevel"/>
    <w:tmpl w:val="11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3570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9E"/>
    <w:rsid w:val="0003157C"/>
    <w:rsid w:val="000A3B4C"/>
    <w:rsid w:val="000E2ED7"/>
    <w:rsid w:val="001631E2"/>
    <w:rsid w:val="001641A0"/>
    <w:rsid w:val="001814AB"/>
    <w:rsid w:val="001A5DCF"/>
    <w:rsid w:val="00201452"/>
    <w:rsid w:val="002025DB"/>
    <w:rsid w:val="00205118"/>
    <w:rsid w:val="00214576"/>
    <w:rsid w:val="0029487B"/>
    <w:rsid w:val="002D6853"/>
    <w:rsid w:val="002E53F6"/>
    <w:rsid w:val="002E6574"/>
    <w:rsid w:val="00301F2A"/>
    <w:rsid w:val="00302CB2"/>
    <w:rsid w:val="00323D0C"/>
    <w:rsid w:val="00325664"/>
    <w:rsid w:val="00353D91"/>
    <w:rsid w:val="00367CDE"/>
    <w:rsid w:val="00395D31"/>
    <w:rsid w:val="003B6CF6"/>
    <w:rsid w:val="00431272"/>
    <w:rsid w:val="00444864"/>
    <w:rsid w:val="00494806"/>
    <w:rsid w:val="004B0057"/>
    <w:rsid w:val="005478D3"/>
    <w:rsid w:val="005C6528"/>
    <w:rsid w:val="00630503"/>
    <w:rsid w:val="0066768F"/>
    <w:rsid w:val="00697221"/>
    <w:rsid w:val="006D207C"/>
    <w:rsid w:val="00725565"/>
    <w:rsid w:val="007462E2"/>
    <w:rsid w:val="00762158"/>
    <w:rsid w:val="007727E6"/>
    <w:rsid w:val="007B22E4"/>
    <w:rsid w:val="007D58F1"/>
    <w:rsid w:val="007E5CA5"/>
    <w:rsid w:val="007F43D5"/>
    <w:rsid w:val="00802542"/>
    <w:rsid w:val="0085788C"/>
    <w:rsid w:val="00892133"/>
    <w:rsid w:val="00981287"/>
    <w:rsid w:val="009D7FAF"/>
    <w:rsid w:val="009E5737"/>
    <w:rsid w:val="00A0774D"/>
    <w:rsid w:val="00A12C64"/>
    <w:rsid w:val="00A44A4E"/>
    <w:rsid w:val="00A7230A"/>
    <w:rsid w:val="00A75071"/>
    <w:rsid w:val="00B1679E"/>
    <w:rsid w:val="00B24785"/>
    <w:rsid w:val="00B71F4E"/>
    <w:rsid w:val="00BC1A8A"/>
    <w:rsid w:val="00C34B13"/>
    <w:rsid w:val="00C407F1"/>
    <w:rsid w:val="00C41C3E"/>
    <w:rsid w:val="00C547E9"/>
    <w:rsid w:val="00C911C6"/>
    <w:rsid w:val="00CC5261"/>
    <w:rsid w:val="00CD1E7E"/>
    <w:rsid w:val="00D12EF8"/>
    <w:rsid w:val="00D14A44"/>
    <w:rsid w:val="00D212D5"/>
    <w:rsid w:val="00D93661"/>
    <w:rsid w:val="00E02268"/>
    <w:rsid w:val="00E065A9"/>
    <w:rsid w:val="00E8278C"/>
    <w:rsid w:val="00EA1433"/>
    <w:rsid w:val="00EA1A21"/>
    <w:rsid w:val="00EB538A"/>
    <w:rsid w:val="00ED0D2D"/>
    <w:rsid w:val="00EE6428"/>
    <w:rsid w:val="00EF3D1D"/>
    <w:rsid w:val="00EF7E9D"/>
    <w:rsid w:val="00F12DC8"/>
    <w:rsid w:val="00F55153"/>
    <w:rsid w:val="00F702AC"/>
    <w:rsid w:val="00F8075A"/>
    <w:rsid w:val="00F92076"/>
    <w:rsid w:val="00FA1E26"/>
    <w:rsid w:val="00FE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11B2"/>
  <w15:chartTrackingRefBased/>
  <w15:docId w15:val="{9B7D0A0D-24A9-4D31-93CD-75E8828A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9E"/>
    <w:rPr>
      <w:kern w:val="0"/>
    </w:rPr>
  </w:style>
  <w:style w:type="paragraph" w:styleId="Heading1">
    <w:name w:val="heading 1"/>
    <w:basedOn w:val="Normal"/>
    <w:next w:val="Normal"/>
    <w:link w:val="Heading1Char"/>
    <w:uiPriority w:val="9"/>
    <w:qFormat/>
    <w:rsid w:val="00B167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167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1679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1679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1679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167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7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7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7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79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167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1679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1679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1679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16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79E"/>
    <w:rPr>
      <w:rFonts w:eastAsiaTheme="majorEastAsia" w:cstheme="majorBidi"/>
      <w:color w:val="272727" w:themeColor="text1" w:themeTint="D8"/>
    </w:rPr>
  </w:style>
  <w:style w:type="paragraph" w:styleId="Title">
    <w:name w:val="Title"/>
    <w:basedOn w:val="Normal"/>
    <w:next w:val="Normal"/>
    <w:link w:val="TitleChar"/>
    <w:uiPriority w:val="10"/>
    <w:qFormat/>
    <w:rsid w:val="00B167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79E"/>
    <w:pPr>
      <w:spacing w:before="160"/>
      <w:jc w:val="center"/>
    </w:pPr>
    <w:rPr>
      <w:i/>
      <w:iCs/>
      <w:color w:val="404040" w:themeColor="text1" w:themeTint="BF"/>
    </w:rPr>
  </w:style>
  <w:style w:type="character" w:customStyle="1" w:styleId="QuoteChar">
    <w:name w:val="Quote Char"/>
    <w:basedOn w:val="DefaultParagraphFont"/>
    <w:link w:val="Quote"/>
    <w:uiPriority w:val="29"/>
    <w:rsid w:val="00B1679E"/>
    <w:rPr>
      <w:i/>
      <w:iCs/>
      <w:color w:val="404040" w:themeColor="text1" w:themeTint="BF"/>
    </w:rPr>
  </w:style>
  <w:style w:type="paragraph" w:styleId="ListParagraph">
    <w:name w:val="List Paragraph"/>
    <w:basedOn w:val="Normal"/>
    <w:uiPriority w:val="34"/>
    <w:qFormat/>
    <w:rsid w:val="00B1679E"/>
    <w:pPr>
      <w:ind w:left="720"/>
      <w:contextualSpacing/>
    </w:pPr>
  </w:style>
  <w:style w:type="character" w:styleId="IntenseEmphasis">
    <w:name w:val="Intense Emphasis"/>
    <w:basedOn w:val="DefaultParagraphFont"/>
    <w:uiPriority w:val="21"/>
    <w:qFormat/>
    <w:rsid w:val="00B1679E"/>
    <w:rPr>
      <w:i/>
      <w:iCs/>
      <w:color w:val="2E74B5" w:themeColor="accent1" w:themeShade="BF"/>
    </w:rPr>
  </w:style>
  <w:style w:type="paragraph" w:styleId="IntenseQuote">
    <w:name w:val="Intense Quote"/>
    <w:basedOn w:val="Normal"/>
    <w:next w:val="Normal"/>
    <w:link w:val="IntenseQuoteChar"/>
    <w:uiPriority w:val="30"/>
    <w:qFormat/>
    <w:rsid w:val="00B167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1679E"/>
    <w:rPr>
      <w:i/>
      <w:iCs/>
      <w:color w:val="2E74B5" w:themeColor="accent1" w:themeShade="BF"/>
    </w:rPr>
  </w:style>
  <w:style w:type="character" w:styleId="IntenseReference">
    <w:name w:val="Intense Reference"/>
    <w:basedOn w:val="DefaultParagraphFont"/>
    <w:uiPriority w:val="32"/>
    <w:qFormat/>
    <w:rsid w:val="00B1679E"/>
    <w:rPr>
      <w:b/>
      <w:bCs/>
      <w:smallCaps/>
      <w:color w:val="2E74B5" w:themeColor="accent1" w:themeShade="BF"/>
      <w:spacing w:val="5"/>
    </w:rPr>
  </w:style>
  <w:style w:type="paragraph" w:styleId="Caption">
    <w:name w:val="caption"/>
    <w:basedOn w:val="Normal"/>
    <w:next w:val="Normal"/>
    <w:uiPriority w:val="35"/>
    <w:unhideWhenUsed/>
    <w:qFormat/>
    <w:rsid w:val="00F55153"/>
    <w:pPr>
      <w:spacing w:after="200" w:line="240" w:lineRule="auto"/>
    </w:pPr>
    <w:rPr>
      <w:i/>
      <w:iCs/>
      <w:color w:val="44546A" w:themeColor="text2"/>
      <w:sz w:val="18"/>
      <w:szCs w:val="18"/>
      <w14:ligatures w14:val="none"/>
    </w:rPr>
  </w:style>
  <w:style w:type="paragraph" w:customStyle="1" w:styleId="Author">
    <w:name w:val="Author"/>
    <w:basedOn w:val="Normal"/>
    <w:rsid w:val="00EA1433"/>
    <w:pPr>
      <w:spacing w:after="0" w:line="280" w:lineRule="exact"/>
      <w:jc w:val="right"/>
    </w:pPr>
    <w:rPr>
      <w:rFonts w:ascii="Helvetica" w:eastAsia="Times New Roman" w:hAnsi="Helvetica" w:cs="Times New Roman"/>
      <w:b/>
      <w:sz w:val="24"/>
      <w:szCs w:val="20"/>
      <w14:ligatures w14:val="none"/>
    </w:rPr>
  </w:style>
  <w:style w:type="paragraph" w:customStyle="1" w:styleId="Affiliation">
    <w:name w:val="Affiliation"/>
    <w:basedOn w:val="Normal"/>
    <w:rsid w:val="00EA1433"/>
    <w:pPr>
      <w:spacing w:after="240" w:line="240" w:lineRule="exact"/>
      <w:jc w:val="right"/>
    </w:pPr>
    <w:rPr>
      <w:rFonts w:ascii="Helvetica" w:eastAsia="Times New Roman" w:hAnsi="Helvetica" w:cs="Times New Roman"/>
      <w:sz w:val="20"/>
      <w:szCs w:val="20"/>
      <w14:ligatures w14:val="none"/>
    </w:rPr>
  </w:style>
  <w:style w:type="paragraph" w:styleId="FootnoteText">
    <w:name w:val="footnote text"/>
    <w:basedOn w:val="Normal"/>
    <w:link w:val="FootnoteTextChar"/>
    <w:uiPriority w:val="99"/>
    <w:semiHidden/>
    <w:unhideWhenUsed/>
    <w:rsid w:val="00EA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433"/>
    <w:rPr>
      <w:kern w:val="0"/>
      <w:sz w:val="20"/>
      <w:szCs w:val="20"/>
    </w:rPr>
  </w:style>
  <w:style w:type="character" w:styleId="FootnoteReference">
    <w:name w:val="footnote reference"/>
    <w:basedOn w:val="DefaultParagraphFont"/>
    <w:uiPriority w:val="99"/>
    <w:semiHidden/>
    <w:unhideWhenUsed/>
    <w:rsid w:val="00EA1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4286">
      <w:bodyDiv w:val="1"/>
      <w:marLeft w:val="0"/>
      <w:marRight w:val="0"/>
      <w:marTop w:val="0"/>
      <w:marBottom w:val="0"/>
      <w:divBdr>
        <w:top w:val="none" w:sz="0" w:space="0" w:color="auto"/>
        <w:left w:val="none" w:sz="0" w:space="0" w:color="auto"/>
        <w:bottom w:val="none" w:sz="0" w:space="0" w:color="auto"/>
        <w:right w:val="none" w:sz="0" w:space="0" w:color="auto"/>
      </w:divBdr>
    </w:div>
    <w:div w:id="204566920">
      <w:bodyDiv w:val="1"/>
      <w:marLeft w:val="0"/>
      <w:marRight w:val="0"/>
      <w:marTop w:val="0"/>
      <w:marBottom w:val="0"/>
      <w:divBdr>
        <w:top w:val="none" w:sz="0" w:space="0" w:color="auto"/>
        <w:left w:val="none" w:sz="0" w:space="0" w:color="auto"/>
        <w:bottom w:val="none" w:sz="0" w:space="0" w:color="auto"/>
        <w:right w:val="none" w:sz="0" w:space="0" w:color="auto"/>
      </w:divBdr>
    </w:div>
    <w:div w:id="274755602">
      <w:bodyDiv w:val="1"/>
      <w:marLeft w:val="0"/>
      <w:marRight w:val="0"/>
      <w:marTop w:val="0"/>
      <w:marBottom w:val="0"/>
      <w:divBdr>
        <w:top w:val="none" w:sz="0" w:space="0" w:color="auto"/>
        <w:left w:val="none" w:sz="0" w:space="0" w:color="auto"/>
        <w:bottom w:val="none" w:sz="0" w:space="0" w:color="auto"/>
        <w:right w:val="none" w:sz="0" w:space="0" w:color="auto"/>
      </w:divBdr>
    </w:div>
    <w:div w:id="536700017">
      <w:bodyDiv w:val="1"/>
      <w:marLeft w:val="0"/>
      <w:marRight w:val="0"/>
      <w:marTop w:val="0"/>
      <w:marBottom w:val="0"/>
      <w:divBdr>
        <w:top w:val="none" w:sz="0" w:space="0" w:color="auto"/>
        <w:left w:val="none" w:sz="0" w:space="0" w:color="auto"/>
        <w:bottom w:val="none" w:sz="0" w:space="0" w:color="auto"/>
        <w:right w:val="none" w:sz="0" w:space="0" w:color="auto"/>
      </w:divBdr>
    </w:div>
    <w:div w:id="601305688">
      <w:bodyDiv w:val="1"/>
      <w:marLeft w:val="0"/>
      <w:marRight w:val="0"/>
      <w:marTop w:val="0"/>
      <w:marBottom w:val="0"/>
      <w:divBdr>
        <w:top w:val="none" w:sz="0" w:space="0" w:color="auto"/>
        <w:left w:val="none" w:sz="0" w:space="0" w:color="auto"/>
        <w:bottom w:val="none" w:sz="0" w:space="0" w:color="auto"/>
        <w:right w:val="none" w:sz="0" w:space="0" w:color="auto"/>
      </w:divBdr>
    </w:div>
    <w:div w:id="1350596636">
      <w:bodyDiv w:val="1"/>
      <w:marLeft w:val="0"/>
      <w:marRight w:val="0"/>
      <w:marTop w:val="0"/>
      <w:marBottom w:val="0"/>
      <w:divBdr>
        <w:top w:val="none" w:sz="0" w:space="0" w:color="auto"/>
        <w:left w:val="none" w:sz="0" w:space="0" w:color="auto"/>
        <w:bottom w:val="none" w:sz="0" w:space="0" w:color="auto"/>
        <w:right w:val="none" w:sz="0" w:space="0" w:color="auto"/>
      </w:divBdr>
    </w:div>
    <w:div w:id="1421827500">
      <w:bodyDiv w:val="1"/>
      <w:marLeft w:val="0"/>
      <w:marRight w:val="0"/>
      <w:marTop w:val="0"/>
      <w:marBottom w:val="0"/>
      <w:divBdr>
        <w:top w:val="none" w:sz="0" w:space="0" w:color="auto"/>
        <w:left w:val="none" w:sz="0" w:space="0" w:color="auto"/>
        <w:bottom w:val="none" w:sz="0" w:space="0" w:color="auto"/>
        <w:right w:val="none" w:sz="0" w:space="0" w:color="auto"/>
      </w:divBdr>
    </w:div>
    <w:div w:id="17474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95387-69CC-4130-902F-D7EE4C84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6477</Words>
  <Characters>36921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20</cp:revision>
  <dcterms:created xsi:type="dcterms:W3CDTF">2025-07-08T09:21:00Z</dcterms:created>
  <dcterms:modified xsi:type="dcterms:W3CDTF">2025-07-22T11:14:00Z</dcterms:modified>
</cp:coreProperties>
</file>