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2C64" w14:textId="77777777" w:rsidR="003C13F8" w:rsidRDefault="003C13F8" w:rsidP="00A800CF">
      <w:pPr>
        <w:jc w:val="right"/>
        <w:rPr>
          <w:rFonts w:ascii="Arial" w:hAnsi="Arial" w:cs="Arial"/>
          <w:b/>
          <w:bCs/>
          <w:sz w:val="36"/>
          <w:szCs w:val="36"/>
        </w:rPr>
      </w:pPr>
      <w:r w:rsidRPr="003C13F8">
        <w:rPr>
          <w:rFonts w:ascii="Arial" w:hAnsi="Arial" w:cs="Arial"/>
          <w:b/>
          <w:bCs/>
          <w:sz w:val="36"/>
          <w:szCs w:val="36"/>
        </w:rPr>
        <w:t xml:space="preserve">Original Research Article </w:t>
      </w:r>
    </w:p>
    <w:p w14:paraId="1B689FEB" w14:textId="77777777" w:rsidR="003C13F8" w:rsidRDefault="003C13F8" w:rsidP="00A800CF">
      <w:pPr>
        <w:jc w:val="right"/>
        <w:rPr>
          <w:rFonts w:ascii="Arial" w:hAnsi="Arial" w:cs="Arial"/>
          <w:b/>
          <w:bCs/>
          <w:sz w:val="36"/>
          <w:szCs w:val="36"/>
        </w:rPr>
      </w:pPr>
    </w:p>
    <w:p w14:paraId="1EA600A6" w14:textId="6EB7C760" w:rsidR="00D0545A" w:rsidRDefault="00A800CF" w:rsidP="00A800CF">
      <w:pPr>
        <w:jc w:val="right"/>
        <w:rPr>
          <w:rFonts w:ascii="Arial" w:hAnsi="Arial" w:cs="Arial"/>
          <w:b/>
          <w:bCs/>
          <w:sz w:val="36"/>
          <w:szCs w:val="36"/>
        </w:rPr>
      </w:pPr>
      <w:r w:rsidRPr="00A800CF">
        <w:rPr>
          <w:rFonts w:ascii="Arial" w:hAnsi="Arial" w:cs="Arial"/>
          <w:b/>
          <w:bCs/>
          <w:sz w:val="36"/>
          <w:szCs w:val="36"/>
        </w:rPr>
        <w:t>Short-Term Effects of US</w:t>
      </w:r>
      <w:r w:rsidR="00461035">
        <w:rPr>
          <w:rFonts w:ascii="Arial" w:hAnsi="Arial" w:cs="Arial"/>
          <w:b/>
          <w:bCs/>
          <w:sz w:val="36"/>
          <w:szCs w:val="36"/>
        </w:rPr>
        <w:t>A</w:t>
      </w:r>
      <w:r w:rsidRPr="00A800CF">
        <w:rPr>
          <w:rFonts w:ascii="Arial" w:hAnsi="Arial" w:cs="Arial"/>
          <w:b/>
          <w:bCs/>
          <w:sz w:val="36"/>
          <w:szCs w:val="36"/>
        </w:rPr>
        <w:t xml:space="preserve"> Tariff Announcements on</w:t>
      </w:r>
      <w:r w:rsidR="009D7649">
        <w:rPr>
          <w:rFonts w:ascii="Arial" w:hAnsi="Arial" w:cs="Arial"/>
          <w:b/>
          <w:bCs/>
          <w:sz w:val="36"/>
          <w:szCs w:val="36"/>
        </w:rPr>
        <w:t xml:space="preserve"> </w:t>
      </w:r>
      <w:r w:rsidRPr="00A800CF">
        <w:rPr>
          <w:rFonts w:ascii="Arial" w:hAnsi="Arial" w:cs="Arial"/>
          <w:b/>
          <w:bCs/>
          <w:sz w:val="36"/>
          <w:szCs w:val="36"/>
        </w:rPr>
        <w:t xml:space="preserve">the Volatility of Indian Stock Market Returns: Empirical Evidence from </w:t>
      </w:r>
      <w:r w:rsidR="009D7649" w:rsidRPr="00A800CF">
        <w:rPr>
          <w:rFonts w:ascii="Arial" w:hAnsi="Arial" w:cs="Arial"/>
          <w:b/>
          <w:bCs/>
          <w:sz w:val="36"/>
          <w:szCs w:val="36"/>
        </w:rPr>
        <w:t>Market</w:t>
      </w:r>
      <w:r w:rsidR="009D7649">
        <w:rPr>
          <w:rFonts w:ascii="Arial" w:hAnsi="Arial" w:cs="Arial"/>
          <w:b/>
          <w:bCs/>
          <w:sz w:val="36"/>
          <w:szCs w:val="36"/>
        </w:rPr>
        <w:t xml:space="preserve"> </w:t>
      </w:r>
      <w:r w:rsidRPr="00A800CF">
        <w:rPr>
          <w:rFonts w:ascii="Arial" w:hAnsi="Arial" w:cs="Arial"/>
          <w:b/>
          <w:bCs/>
          <w:sz w:val="36"/>
          <w:szCs w:val="36"/>
        </w:rPr>
        <w:t xml:space="preserve">and </w:t>
      </w:r>
      <w:r w:rsidR="009D7649" w:rsidRPr="00A800CF">
        <w:rPr>
          <w:rFonts w:ascii="Arial" w:hAnsi="Arial" w:cs="Arial"/>
          <w:b/>
          <w:bCs/>
          <w:sz w:val="36"/>
          <w:szCs w:val="36"/>
        </w:rPr>
        <w:t>Sectoral</w:t>
      </w:r>
      <w:r w:rsidRPr="00A800CF">
        <w:rPr>
          <w:rFonts w:ascii="Arial" w:hAnsi="Arial" w:cs="Arial"/>
          <w:b/>
          <w:bCs/>
          <w:sz w:val="36"/>
          <w:szCs w:val="36"/>
        </w:rPr>
        <w:t xml:space="preserve"> Indices</w:t>
      </w:r>
    </w:p>
    <w:p w14:paraId="39BC7386" w14:textId="77777777" w:rsidR="00F5601D" w:rsidRDefault="00F5601D" w:rsidP="00A800CF">
      <w:pPr>
        <w:jc w:val="right"/>
        <w:rPr>
          <w:rFonts w:ascii="Arial" w:hAnsi="Arial" w:cs="Arial"/>
          <w:b/>
          <w:bCs/>
          <w:sz w:val="36"/>
          <w:szCs w:val="36"/>
        </w:rPr>
      </w:pPr>
    </w:p>
    <w:p w14:paraId="08AC1A1F" w14:textId="77777777" w:rsidR="000E16E6" w:rsidRDefault="000E16E6" w:rsidP="00A2131B">
      <w:pPr>
        <w:rPr>
          <w:rFonts w:ascii="Arial" w:hAnsi="Arial" w:cs="Arial"/>
          <w:i/>
          <w:iCs/>
          <w:sz w:val="24"/>
          <w:szCs w:val="24"/>
        </w:rPr>
      </w:pPr>
    </w:p>
    <w:p w14:paraId="352EA992" w14:textId="12D44F0A" w:rsidR="00D0545A" w:rsidRPr="00A800CF" w:rsidRDefault="00725CD0" w:rsidP="00A2131B">
      <w:pPr>
        <w:rPr>
          <w:rFonts w:ascii="Times New Roman" w:hAnsi="Times New Roman" w:cs="Times New Roman"/>
          <w:b/>
          <w:bCs/>
          <w:i/>
          <w:iCs/>
          <w:sz w:val="24"/>
          <w:szCs w:val="24"/>
        </w:rPr>
      </w:pPr>
      <w:r w:rsidRPr="00D0545A">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6B74D6BD" wp14:editId="4AE37F58">
                <wp:simplePos x="0" y="0"/>
                <wp:positionH relativeFrom="margin">
                  <wp:posOffset>-83820</wp:posOffset>
                </wp:positionH>
                <wp:positionV relativeFrom="paragraph">
                  <wp:posOffset>319405</wp:posOffset>
                </wp:positionV>
                <wp:extent cx="6330315" cy="4663440"/>
                <wp:effectExtent l="0" t="0" r="133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4663440"/>
                        </a:xfrm>
                        <a:prstGeom prst="rect">
                          <a:avLst/>
                        </a:prstGeom>
                        <a:solidFill>
                          <a:srgbClr val="FFFFFF"/>
                        </a:solidFill>
                        <a:ln w="9525">
                          <a:solidFill>
                            <a:srgbClr val="000000"/>
                          </a:solidFill>
                          <a:miter lim="800000"/>
                          <a:headEnd/>
                          <a:tailEnd/>
                        </a:ln>
                      </wps:spPr>
                      <wps:txbx>
                        <w:txbxContent>
                          <w:p w14:paraId="7E32A0C8" w14:textId="2A76034C" w:rsidR="009D7649" w:rsidRPr="009D7649" w:rsidRDefault="00D0545A" w:rsidP="009D7649">
                            <w:pPr>
                              <w:jc w:val="both"/>
                              <w:rPr>
                                <w:rFonts w:ascii="Arial" w:hAnsi="Arial" w:cs="Arial"/>
                                <w:sz w:val="20"/>
                                <w:szCs w:val="20"/>
                              </w:rPr>
                            </w:pPr>
                            <w:r w:rsidRPr="00D0545A">
                              <w:rPr>
                                <w:rFonts w:ascii="Arial" w:hAnsi="Arial" w:cs="Arial"/>
                                <w:b/>
                                <w:bCs/>
                                <w:sz w:val="20"/>
                                <w:szCs w:val="20"/>
                              </w:rPr>
                              <w:t>Aims:</w:t>
                            </w:r>
                            <w:r w:rsidRPr="00D0545A">
                              <w:rPr>
                                <w:rFonts w:ascii="Arial" w:hAnsi="Arial" w:cs="Arial"/>
                                <w:sz w:val="20"/>
                                <w:szCs w:val="20"/>
                              </w:rPr>
                              <w:br/>
                            </w:r>
                            <w:r w:rsidR="009D7649" w:rsidRPr="009D7649">
                              <w:rPr>
                                <w:rFonts w:ascii="Arial" w:hAnsi="Arial" w:cs="Arial"/>
                                <w:sz w:val="20"/>
                                <w:szCs w:val="20"/>
                              </w:rPr>
                              <w:t xml:space="preserve">This study aims to investigate the immediate effects of </w:t>
                            </w:r>
                            <w:r w:rsidR="00F732A3">
                              <w:rPr>
                                <w:rFonts w:ascii="Arial" w:hAnsi="Arial" w:cs="Arial"/>
                                <w:sz w:val="20"/>
                                <w:szCs w:val="20"/>
                              </w:rPr>
                              <w:t>U.S.</w:t>
                            </w:r>
                            <w:r w:rsidR="00461035">
                              <w:rPr>
                                <w:rFonts w:ascii="Arial" w:hAnsi="Arial" w:cs="Arial"/>
                                <w:sz w:val="20"/>
                                <w:szCs w:val="20"/>
                              </w:rPr>
                              <w:t>A</w:t>
                            </w:r>
                            <w:r w:rsidR="009B6DDB">
                              <w:rPr>
                                <w:rFonts w:ascii="Arial" w:hAnsi="Arial" w:cs="Arial"/>
                                <w:sz w:val="20"/>
                                <w:szCs w:val="20"/>
                              </w:rPr>
                              <w:t>.</w:t>
                            </w:r>
                            <w:r w:rsidR="009D7649" w:rsidRPr="009D7649">
                              <w:rPr>
                                <w:rFonts w:ascii="Arial" w:hAnsi="Arial" w:cs="Arial"/>
                                <w:sz w:val="20"/>
                                <w:szCs w:val="20"/>
                              </w:rPr>
                              <w:t xml:space="preserve"> tariff announcements on the volatility of sectoral indices in the Indian stock market. It seeks to analyse how different sectors respond to external policy shocks and to understand market behaviour during these periods.</w:t>
                            </w:r>
                          </w:p>
                          <w:p w14:paraId="31801E3F" w14:textId="77777777" w:rsidR="00F95341" w:rsidRDefault="00D0545A" w:rsidP="00F95341">
                            <w:pPr>
                              <w:jc w:val="both"/>
                              <w:rPr>
                                <w:rFonts w:ascii="Arial" w:hAnsi="Arial" w:cs="Arial"/>
                                <w:b/>
                                <w:bCs/>
                                <w:sz w:val="20"/>
                                <w:szCs w:val="20"/>
                              </w:rPr>
                            </w:pPr>
                            <w:r w:rsidRPr="00A800CF">
                              <w:rPr>
                                <w:rFonts w:ascii="Arial" w:hAnsi="Arial" w:cs="Arial"/>
                                <w:b/>
                                <w:bCs/>
                                <w:sz w:val="20"/>
                                <w:szCs w:val="20"/>
                              </w:rPr>
                              <w:t>Study Design:</w:t>
                            </w:r>
                          </w:p>
                          <w:p w14:paraId="523C205D" w14:textId="282DADEF" w:rsidR="009D7649" w:rsidRPr="00F95341" w:rsidRDefault="00F95341" w:rsidP="009D7649">
                            <w:pPr>
                              <w:jc w:val="both"/>
                              <w:rPr>
                                <w:rFonts w:ascii="Arial" w:hAnsi="Arial" w:cs="Arial"/>
                                <w:b/>
                                <w:bCs/>
                                <w:sz w:val="20"/>
                                <w:szCs w:val="20"/>
                              </w:rPr>
                            </w:pPr>
                            <w:r w:rsidRPr="00F95341">
                              <w:rPr>
                                <w:rFonts w:ascii="Arial" w:hAnsi="Arial" w:cs="Arial"/>
                                <w:sz w:val="20"/>
                                <w:szCs w:val="20"/>
                              </w:rPr>
                              <w:t>The study employs a short-window event analysis to assess sector-specific market responses preceding and following the U.S. tariff announcement on April 2, 2025.</w:t>
                            </w:r>
                          </w:p>
                          <w:p w14:paraId="6CEAD993" w14:textId="77777777" w:rsidR="00AE246F" w:rsidRDefault="00AE246F" w:rsidP="00461035">
                            <w:pPr>
                              <w:jc w:val="both"/>
                              <w:rPr>
                                <w:rFonts w:ascii="Arial" w:hAnsi="Arial" w:cs="Arial"/>
                                <w:b/>
                                <w:bCs/>
                                <w:sz w:val="20"/>
                                <w:szCs w:val="20"/>
                              </w:rPr>
                            </w:pPr>
                            <w:r>
                              <w:rPr>
                                <w:rFonts w:ascii="Arial" w:hAnsi="Arial" w:cs="Arial"/>
                                <w:b/>
                                <w:bCs/>
                                <w:sz w:val="20"/>
                                <w:szCs w:val="20"/>
                              </w:rPr>
                              <w:t xml:space="preserve">Data and </w:t>
                            </w:r>
                            <w:r w:rsidR="00D0545A" w:rsidRPr="00D0545A">
                              <w:rPr>
                                <w:rFonts w:ascii="Arial" w:hAnsi="Arial" w:cs="Arial"/>
                                <w:b/>
                                <w:bCs/>
                                <w:sz w:val="20"/>
                                <w:szCs w:val="20"/>
                              </w:rPr>
                              <w:t>Methodology:</w:t>
                            </w:r>
                          </w:p>
                          <w:p w14:paraId="0DC50BF3" w14:textId="4EC34D5D" w:rsidR="00F95341" w:rsidRDefault="00F95341" w:rsidP="002C49D4">
                            <w:pPr>
                              <w:jc w:val="both"/>
                              <w:rPr>
                                <w:rFonts w:ascii="Arial" w:hAnsi="Arial" w:cs="Arial"/>
                                <w:sz w:val="20"/>
                                <w:szCs w:val="20"/>
                              </w:rPr>
                            </w:pPr>
                            <w:r w:rsidRPr="00F95341">
                              <w:rPr>
                                <w:rFonts w:ascii="Arial" w:hAnsi="Arial" w:cs="Arial"/>
                                <w:sz w:val="20"/>
                                <w:szCs w:val="20"/>
                              </w:rPr>
                              <w:t>The study examines the daily closing prices of the Nifty 50 and major sectoral indices (e.g., FMCG, IT, PSU Banks, Automobiles, Metals, Pharmaceuticals) over 7-day, 15-day, and 30-day event windows. It evaluates volatility patterns using statistical methods, including Levene’s and Brown–Forsythe tests, to assess variance equality between pre- and post-announcement periods.</w:t>
                            </w:r>
                          </w:p>
                          <w:p w14:paraId="0FB72F08" w14:textId="17E6D6A4" w:rsidR="00AA3F72" w:rsidRPr="00AA3F72" w:rsidRDefault="00AA3F72" w:rsidP="002C49D4">
                            <w:pPr>
                              <w:jc w:val="both"/>
                              <w:rPr>
                                <w:rFonts w:ascii="Arial" w:hAnsi="Arial" w:cs="Arial"/>
                                <w:b/>
                                <w:bCs/>
                                <w:sz w:val="20"/>
                                <w:szCs w:val="20"/>
                              </w:rPr>
                            </w:pPr>
                            <w:r w:rsidRPr="00AA3F72">
                              <w:rPr>
                                <w:rFonts w:ascii="Arial" w:hAnsi="Arial" w:cs="Arial"/>
                                <w:b/>
                                <w:bCs/>
                                <w:sz w:val="20"/>
                                <w:szCs w:val="20"/>
                              </w:rPr>
                              <w:t>Result:</w:t>
                            </w:r>
                          </w:p>
                          <w:p w14:paraId="1BE336D6" w14:textId="3F261365" w:rsidR="00A800CF" w:rsidRPr="00D0545A" w:rsidRDefault="00F95341" w:rsidP="00D0545A">
                            <w:pPr>
                              <w:jc w:val="both"/>
                              <w:rPr>
                                <w:rFonts w:ascii="Arial" w:hAnsi="Arial" w:cs="Arial"/>
                                <w:sz w:val="20"/>
                                <w:szCs w:val="20"/>
                              </w:rPr>
                            </w:pPr>
                            <w:r w:rsidRPr="00F95341">
                              <w:rPr>
                                <w:rFonts w:ascii="Arial" w:hAnsi="Arial" w:cs="Arial"/>
                                <w:sz w:val="20"/>
                                <w:szCs w:val="20"/>
                              </w:rPr>
                              <w:t>The results demonstrate varied reactions across sectors. Export-oriented industries, including Automobiles, Metals, and Pharmaceuticals, had significant short-term instability, whilst FMCG, IT, and PSU Banks exhibited less impact. Volatility surges were particularly evident in the initial 7–15 days following the announcement, progressively stabilising by day 30. These findings align with financial theories such as the Efficient Market Hypothesis, Policy Uncertainty Theory, and Uncertainty Shock Theory.</w:t>
                            </w:r>
                          </w:p>
                          <w:p w14:paraId="79326EFD" w14:textId="77777777" w:rsidR="00F95341" w:rsidRDefault="00D0545A" w:rsidP="000E16E6">
                            <w:pPr>
                              <w:jc w:val="both"/>
                              <w:rPr>
                                <w:rFonts w:ascii="Arial" w:hAnsi="Arial" w:cs="Arial"/>
                                <w:b/>
                                <w:bCs/>
                                <w:sz w:val="20"/>
                                <w:szCs w:val="20"/>
                              </w:rPr>
                            </w:pPr>
                            <w:r w:rsidRPr="00D0545A">
                              <w:rPr>
                                <w:rFonts w:ascii="Arial" w:hAnsi="Arial" w:cs="Arial"/>
                                <w:b/>
                                <w:bCs/>
                                <w:sz w:val="20"/>
                                <w:szCs w:val="20"/>
                              </w:rPr>
                              <w:t>Conclusion:</w:t>
                            </w:r>
                          </w:p>
                          <w:p w14:paraId="2A7EB68B" w14:textId="24CAEC97" w:rsidR="000E16E6" w:rsidRPr="000E16E6" w:rsidRDefault="00F95341" w:rsidP="000E16E6">
                            <w:pPr>
                              <w:jc w:val="both"/>
                              <w:rPr>
                                <w:rFonts w:ascii="Arial" w:hAnsi="Arial" w:cs="Arial"/>
                                <w:sz w:val="20"/>
                                <w:szCs w:val="20"/>
                              </w:rPr>
                            </w:pPr>
                            <w:r w:rsidRPr="00F95341">
                              <w:rPr>
                                <w:rFonts w:ascii="Arial" w:hAnsi="Arial" w:cs="Arial"/>
                                <w:sz w:val="20"/>
                                <w:szCs w:val="20"/>
                              </w:rPr>
                              <w:t>U.S. trade policy announcements significantly affect the Indian stock market through both economic fundamentals and behavioural investor responses. Investors should adopt short-term risk mitigation strategies, while policymakers are advised to enhance market safeguards and promote sectoral resilience through export diversification and demand stabili</w:t>
                            </w:r>
                            <w:r w:rsidR="00AC61F2">
                              <w:rPr>
                                <w:rFonts w:ascii="Arial" w:hAnsi="Arial" w:cs="Arial"/>
                                <w:sz w:val="20"/>
                                <w:szCs w:val="20"/>
                              </w:rPr>
                              <w:t>s</w:t>
                            </w:r>
                            <w:r w:rsidRPr="00F95341">
                              <w:rPr>
                                <w:rFonts w:ascii="Arial" w:hAnsi="Arial" w:cs="Arial"/>
                                <w:sz w:val="20"/>
                                <w:szCs w:val="20"/>
                              </w:rPr>
                              <w:t>ation.</w:t>
                            </w:r>
                          </w:p>
                          <w:p w14:paraId="472AB6EE" w14:textId="5A2DCB23" w:rsidR="00D0545A" w:rsidRPr="00D0545A" w:rsidRDefault="00D0545A" w:rsidP="00D0545A">
                            <w:pPr>
                              <w:jc w:val="both"/>
                              <w:rPr>
                                <w:rFonts w:ascii="Arial" w:hAnsi="Arial" w:cs="Arial"/>
                                <w:sz w:val="20"/>
                                <w:szCs w:val="20"/>
                              </w:rPr>
                            </w:pPr>
                          </w:p>
                          <w:p w14:paraId="723A4AEA" w14:textId="61196348" w:rsidR="00D0545A" w:rsidRDefault="00D0545A" w:rsidP="00D0545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4D6BD" id="_x0000_t202" coordsize="21600,21600" o:spt="202" path="m,l,21600r21600,l21600,xe">
                <v:stroke joinstyle="miter"/>
                <v:path gradientshapeok="t" o:connecttype="rect"/>
              </v:shapetype>
              <v:shape id="Text Box 2" o:spid="_x0000_s1026" type="#_x0000_t202" style="position:absolute;margin-left:-6.6pt;margin-top:25.15pt;width:498.45pt;height:36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">
                <v:textbox>
                  <w:txbxContent>
                    <w:p w14:paraId="7E32A0C8" w14:textId="2A76034C" w:rsidR="009D7649" w:rsidRPr="009D7649" w:rsidRDefault="00D0545A" w:rsidP="009D7649">
                      <w:pPr>
                        <w:jc w:val="both"/>
                        <w:rPr>
                          <w:rFonts w:ascii="Arial" w:hAnsi="Arial" w:cs="Arial"/>
                          <w:sz w:val="20"/>
                          <w:szCs w:val="20"/>
                        </w:rPr>
                      </w:pPr>
                      <w:r w:rsidRPr="00D0545A">
                        <w:rPr>
                          <w:rFonts w:ascii="Arial" w:hAnsi="Arial" w:cs="Arial"/>
                          <w:b/>
                          <w:bCs/>
                          <w:sz w:val="20"/>
                          <w:szCs w:val="20"/>
                        </w:rPr>
                        <w:t>Aims:</w:t>
                      </w:r>
                      <w:r w:rsidRPr="00D0545A">
                        <w:rPr>
                          <w:rFonts w:ascii="Arial" w:hAnsi="Arial" w:cs="Arial"/>
                          <w:sz w:val="20"/>
                          <w:szCs w:val="20"/>
                        </w:rPr>
                        <w:br/>
                      </w:r>
                      <w:r w:rsidR="009D7649" w:rsidRPr="009D7649">
                        <w:rPr>
                          <w:rFonts w:ascii="Arial" w:hAnsi="Arial" w:cs="Arial"/>
                          <w:sz w:val="20"/>
                          <w:szCs w:val="20"/>
                        </w:rPr>
                        <w:t xml:space="preserve">This study aims to investigate the immediate effects of </w:t>
                      </w:r>
                      <w:r w:rsidR="00F732A3">
                        <w:rPr>
                          <w:rFonts w:ascii="Arial" w:hAnsi="Arial" w:cs="Arial"/>
                          <w:sz w:val="20"/>
                          <w:szCs w:val="20"/>
                        </w:rPr>
                        <w:t>U.S.</w:t>
                      </w:r>
                      <w:r w:rsidR="00461035">
                        <w:rPr>
                          <w:rFonts w:ascii="Arial" w:hAnsi="Arial" w:cs="Arial"/>
                          <w:sz w:val="20"/>
                          <w:szCs w:val="20"/>
                        </w:rPr>
                        <w:t>A</w:t>
                      </w:r>
                      <w:r w:rsidR="009B6DDB">
                        <w:rPr>
                          <w:rFonts w:ascii="Arial" w:hAnsi="Arial" w:cs="Arial"/>
                          <w:sz w:val="20"/>
                          <w:szCs w:val="20"/>
                        </w:rPr>
                        <w:t>.</w:t>
                      </w:r>
                      <w:r w:rsidR="009D7649" w:rsidRPr="009D7649">
                        <w:rPr>
                          <w:rFonts w:ascii="Arial" w:hAnsi="Arial" w:cs="Arial"/>
                          <w:sz w:val="20"/>
                          <w:szCs w:val="20"/>
                        </w:rPr>
                        <w:t xml:space="preserve"> tariff announcements on the volatility of sectoral indices in the Indian stock market. It seeks to analyse how different sectors respond to external policy shocks and to understand market behaviour during these periods.</w:t>
                      </w:r>
                    </w:p>
                    <w:p w14:paraId="31801E3F" w14:textId="77777777" w:rsidR="00F95341" w:rsidRDefault="00D0545A" w:rsidP="00F95341">
                      <w:pPr>
                        <w:jc w:val="both"/>
                        <w:rPr>
                          <w:rFonts w:ascii="Arial" w:hAnsi="Arial" w:cs="Arial"/>
                          <w:b/>
                          <w:bCs/>
                          <w:sz w:val="20"/>
                          <w:szCs w:val="20"/>
                        </w:rPr>
                      </w:pPr>
                      <w:r w:rsidRPr="00A800CF">
                        <w:rPr>
                          <w:rFonts w:ascii="Arial" w:hAnsi="Arial" w:cs="Arial"/>
                          <w:b/>
                          <w:bCs/>
                          <w:sz w:val="20"/>
                          <w:szCs w:val="20"/>
                        </w:rPr>
                        <w:t>Study Design:</w:t>
                      </w:r>
                    </w:p>
                    <w:p w14:paraId="523C205D" w14:textId="282DADEF" w:rsidR="009D7649" w:rsidRPr="00F95341" w:rsidRDefault="00F95341" w:rsidP="009D7649">
                      <w:pPr>
                        <w:jc w:val="both"/>
                        <w:rPr>
                          <w:rFonts w:ascii="Arial" w:hAnsi="Arial" w:cs="Arial"/>
                          <w:b/>
                          <w:bCs/>
                          <w:sz w:val="20"/>
                          <w:szCs w:val="20"/>
                        </w:rPr>
                      </w:pPr>
                      <w:r w:rsidRPr="00F95341">
                        <w:rPr>
                          <w:rFonts w:ascii="Arial" w:hAnsi="Arial" w:cs="Arial"/>
                          <w:sz w:val="20"/>
                          <w:szCs w:val="20"/>
                        </w:rPr>
                        <w:t>The study employs a short-window event analysis to assess sector-specific market responses preceding and following the U.S. tariff announcement on April 2, 2025.</w:t>
                      </w:r>
                    </w:p>
                    <w:p w14:paraId="6CEAD993" w14:textId="77777777" w:rsidR="00AE246F" w:rsidRDefault="00AE246F" w:rsidP="00461035">
                      <w:pPr>
                        <w:jc w:val="both"/>
                        <w:rPr>
                          <w:rFonts w:ascii="Arial" w:hAnsi="Arial" w:cs="Arial"/>
                          <w:b/>
                          <w:bCs/>
                          <w:sz w:val="20"/>
                          <w:szCs w:val="20"/>
                        </w:rPr>
                      </w:pPr>
                      <w:r>
                        <w:rPr>
                          <w:rFonts w:ascii="Arial" w:hAnsi="Arial" w:cs="Arial"/>
                          <w:b/>
                          <w:bCs/>
                          <w:sz w:val="20"/>
                          <w:szCs w:val="20"/>
                        </w:rPr>
                        <w:t xml:space="preserve">Data and </w:t>
                      </w:r>
                      <w:r w:rsidR="00D0545A" w:rsidRPr="00D0545A">
                        <w:rPr>
                          <w:rFonts w:ascii="Arial" w:hAnsi="Arial" w:cs="Arial"/>
                          <w:b/>
                          <w:bCs/>
                          <w:sz w:val="20"/>
                          <w:szCs w:val="20"/>
                        </w:rPr>
                        <w:t>Methodology:</w:t>
                      </w:r>
                    </w:p>
                    <w:p w14:paraId="0DC50BF3" w14:textId="4EC34D5D" w:rsidR="00F95341" w:rsidRDefault="00F95341" w:rsidP="002C49D4">
                      <w:pPr>
                        <w:jc w:val="both"/>
                        <w:rPr>
                          <w:rFonts w:ascii="Arial" w:hAnsi="Arial" w:cs="Arial"/>
                          <w:sz w:val="20"/>
                          <w:szCs w:val="20"/>
                        </w:rPr>
                      </w:pPr>
                      <w:r w:rsidRPr="00F95341">
                        <w:rPr>
                          <w:rFonts w:ascii="Arial" w:hAnsi="Arial" w:cs="Arial"/>
                          <w:sz w:val="20"/>
                          <w:szCs w:val="20"/>
                        </w:rPr>
                        <w:t>The study examines the daily closing prices of the Nifty 50 and major sectoral indices (e.g., FMCG, IT, PSU Banks, Automobiles, Metals, Pharmaceuticals) over 7-day, 15-day, and 30-day event windows. It evaluates volatility patterns using statistical methods, including Levene’s and Brown–Forsythe tests, to assess variance equality between pre- and post-announcement periods.</w:t>
                      </w:r>
                    </w:p>
                    <w:p w14:paraId="0FB72F08" w14:textId="17E6D6A4" w:rsidR="00AA3F72" w:rsidRPr="00AA3F72" w:rsidRDefault="00AA3F72" w:rsidP="002C49D4">
                      <w:pPr>
                        <w:jc w:val="both"/>
                        <w:rPr>
                          <w:rFonts w:ascii="Arial" w:hAnsi="Arial" w:cs="Arial"/>
                          <w:b/>
                          <w:bCs/>
                          <w:sz w:val="20"/>
                          <w:szCs w:val="20"/>
                        </w:rPr>
                      </w:pPr>
                      <w:r w:rsidRPr="00AA3F72">
                        <w:rPr>
                          <w:rFonts w:ascii="Arial" w:hAnsi="Arial" w:cs="Arial"/>
                          <w:b/>
                          <w:bCs/>
                          <w:sz w:val="20"/>
                          <w:szCs w:val="20"/>
                        </w:rPr>
                        <w:t>Result:</w:t>
                      </w:r>
                    </w:p>
                    <w:p w14:paraId="1BE336D6" w14:textId="3F261365" w:rsidR="00A800CF" w:rsidRPr="00D0545A" w:rsidRDefault="00F95341" w:rsidP="00D0545A">
                      <w:pPr>
                        <w:jc w:val="both"/>
                        <w:rPr>
                          <w:rFonts w:ascii="Arial" w:hAnsi="Arial" w:cs="Arial"/>
                          <w:sz w:val="20"/>
                          <w:szCs w:val="20"/>
                        </w:rPr>
                      </w:pPr>
                      <w:r w:rsidRPr="00F95341">
                        <w:rPr>
                          <w:rFonts w:ascii="Arial" w:hAnsi="Arial" w:cs="Arial"/>
                          <w:sz w:val="20"/>
                          <w:szCs w:val="20"/>
                        </w:rPr>
                        <w:t>The results demonstrate varied reactions across sectors. Export-oriented industries, including Automobiles, Metals, and Pharmaceuticals, had significant short-term instability, whilst FMCG, IT, and PSU Banks exhibited less impact. Volatility surges were particularly evident in the initial 7–15 days following the announcement, progressively stabilising by day 30. These findings align with financial theories such as the Efficient Market Hypothesis, Policy Uncertainty Theory, and Uncertainty Shock Theory.</w:t>
                      </w:r>
                    </w:p>
                    <w:p w14:paraId="79326EFD" w14:textId="77777777" w:rsidR="00F95341" w:rsidRDefault="00D0545A" w:rsidP="000E16E6">
                      <w:pPr>
                        <w:jc w:val="both"/>
                        <w:rPr>
                          <w:rFonts w:ascii="Arial" w:hAnsi="Arial" w:cs="Arial"/>
                          <w:b/>
                          <w:bCs/>
                          <w:sz w:val="20"/>
                          <w:szCs w:val="20"/>
                        </w:rPr>
                      </w:pPr>
                      <w:r w:rsidRPr="00D0545A">
                        <w:rPr>
                          <w:rFonts w:ascii="Arial" w:hAnsi="Arial" w:cs="Arial"/>
                          <w:b/>
                          <w:bCs/>
                          <w:sz w:val="20"/>
                          <w:szCs w:val="20"/>
                        </w:rPr>
                        <w:t>Conclusion:</w:t>
                      </w:r>
                    </w:p>
                    <w:p w14:paraId="2A7EB68B" w14:textId="24CAEC97" w:rsidR="000E16E6" w:rsidRPr="000E16E6" w:rsidRDefault="00F95341" w:rsidP="000E16E6">
                      <w:pPr>
                        <w:jc w:val="both"/>
                        <w:rPr>
                          <w:rFonts w:ascii="Arial" w:hAnsi="Arial" w:cs="Arial"/>
                          <w:sz w:val="20"/>
                          <w:szCs w:val="20"/>
                        </w:rPr>
                      </w:pPr>
                      <w:r w:rsidRPr="00F95341">
                        <w:rPr>
                          <w:rFonts w:ascii="Arial" w:hAnsi="Arial" w:cs="Arial"/>
                          <w:sz w:val="20"/>
                          <w:szCs w:val="20"/>
                        </w:rPr>
                        <w:t>U.S. trade policy announcements significantly affect the Indian stock market through both economic fundamentals and behavioural investor responses. Investors should adopt short-term risk mitigation strategies, while policymakers are advised to enhance market safeguards and promote sectoral resilience through export diversification and demand stabili</w:t>
                      </w:r>
                      <w:r w:rsidR="00AC61F2">
                        <w:rPr>
                          <w:rFonts w:ascii="Arial" w:hAnsi="Arial" w:cs="Arial"/>
                          <w:sz w:val="20"/>
                          <w:szCs w:val="20"/>
                        </w:rPr>
                        <w:t>s</w:t>
                      </w:r>
                      <w:r w:rsidRPr="00F95341">
                        <w:rPr>
                          <w:rFonts w:ascii="Arial" w:hAnsi="Arial" w:cs="Arial"/>
                          <w:sz w:val="20"/>
                          <w:szCs w:val="20"/>
                        </w:rPr>
                        <w:t>ation.</w:t>
                      </w:r>
                    </w:p>
                    <w:p w14:paraId="472AB6EE" w14:textId="5A2DCB23" w:rsidR="00D0545A" w:rsidRPr="00D0545A" w:rsidRDefault="00D0545A" w:rsidP="00D0545A">
                      <w:pPr>
                        <w:jc w:val="both"/>
                        <w:rPr>
                          <w:rFonts w:ascii="Arial" w:hAnsi="Arial" w:cs="Arial"/>
                          <w:sz w:val="20"/>
                          <w:szCs w:val="20"/>
                        </w:rPr>
                      </w:pPr>
                    </w:p>
                    <w:p w14:paraId="723A4AEA" w14:textId="61196348" w:rsidR="00D0545A" w:rsidRDefault="00D0545A" w:rsidP="00D0545A">
                      <w:pPr>
                        <w:jc w:val="both"/>
                      </w:pPr>
                    </w:p>
                  </w:txbxContent>
                </v:textbox>
                <w10:wrap type="square" anchorx="margin"/>
              </v:shape>
            </w:pict>
          </mc:Fallback>
        </mc:AlternateContent>
      </w:r>
      <w:r w:rsidR="00D0545A" w:rsidRPr="00D0545A">
        <w:rPr>
          <w:rFonts w:ascii="Times New Roman" w:hAnsi="Times New Roman" w:cs="Times New Roman"/>
          <w:b/>
          <w:bCs/>
        </w:rPr>
        <w:t>ABSTRACT</w:t>
      </w:r>
      <w:r w:rsidR="00D0545A" w:rsidRPr="00D0545A">
        <w:rPr>
          <w:rFonts w:ascii="Times New Roman" w:hAnsi="Times New Roman" w:cs="Times New Roman"/>
          <w:b/>
          <w:bCs/>
          <w:noProof/>
          <w:sz w:val="24"/>
          <w:szCs w:val="24"/>
        </w:rPr>
        <w:t xml:space="preserve"> </w:t>
      </w:r>
    </w:p>
    <w:p w14:paraId="383B180E" w14:textId="2C9FFC5C" w:rsidR="000E16E6" w:rsidRPr="00D423BF" w:rsidRDefault="000E16E6" w:rsidP="00A2131B">
      <w:pPr>
        <w:rPr>
          <w:rFonts w:ascii="Arial" w:hAnsi="Arial" w:cs="Arial"/>
          <w:sz w:val="20"/>
          <w:szCs w:val="20"/>
        </w:rPr>
      </w:pPr>
      <w:r w:rsidRPr="00620C7B">
        <w:rPr>
          <w:rFonts w:ascii="Arial" w:hAnsi="Arial" w:cs="Arial"/>
          <w:b/>
          <w:bCs/>
          <w:sz w:val="20"/>
          <w:szCs w:val="20"/>
        </w:rPr>
        <w:t>Keywords</w:t>
      </w:r>
      <w:r w:rsidRPr="00F732A3">
        <w:rPr>
          <w:rFonts w:ascii="Arial" w:hAnsi="Arial" w:cs="Arial"/>
          <w:sz w:val="20"/>
          <w:szCs w:val="20"/>
        </w:rPr>
        <w:t xml:space="preserve">: Short-term Volatility, Stock Market Volatility, </w:t>
      </w:r>
      <w:r w:rsidR="00F732A3">
        <w:rPr>
          <w:rFonts w:ascii="Arial" w:hAnsi="Arial" w:cs="Arial"/>
          <w:sz w:val="20"/>
          <w:szCs w:val="20"/>
        </w:rPr>
        <w:t>U.S.</w:t>
      </w:r>
      <w:r w:rsidRPr="00F732A3">
        <w:rPr>
          <w:rFonts w:ascii="Arial" w:hAnsi="Arial" w:cs="Arial"/>
          <w:sz w:val="20"/>
          <w:szCs w:val="20"/>
        </w:rPr>
        <w:t>A Tariff, Indian Sectoral Indices,</w:t>
      </w:r>
      <w:r w:rsidRPr="00F732A3">
        <w:rPr>
          <w:rFonts w:ascii="Arial" w:eastAsia="Times New Roman" w:hAnsi="Arial" w:cs="Arial"/>
          <w:kern w:val="0"/>
          <w:sz w:val="20"/>
          <w:szCs w:val="20"/>
          <w:lang w:eastAsia="en-IN"/>
          <w14:ligatures w14:val="none"/>
        </w:rPr>
        <w:t xml:space="preserve"> </w:t>
      </w:r>
      <w:r w:rsidRPr="00F732A3">
        <w:rPr>
          <w:rFonts w:ascii="Arial" w:hAnsi="Arial" w:cs="Arial"/>
          <w:sz w:val="20"/>
          <w:szCs w:val="20"/>
        </w:rPr>
        <w:t xml:space="preserve">Levene’s and </w:t>
      </w:r>
      <w:r w:rsidRPr="000E16E6">
        <w:rPr>
          <w:rFonts w:ascii="Arial" w:hAnsi="Arial" w:cs="Arial"/>
          <w:sz w:val="20"/>
          <w:szCs w:val="20"/>
        </w:rPr>
        <w:t>Brown–Forsythe Test</w:t>
      </w:r>
    </w:p>
    <w:p w14:paraId="5514F82B" w14:textId="77777777" w:rsidR="00AA3F72" w:rsidRDefault="00AA3F72" w:rsidP="009B6DDB">
      <w:pPr>
        <w:rPr>
          <w:rFonts w:ascii="Arial" w:hAnsi="Arial" w:cs="Arial"/>
          <w:b/>
          <w:bCs/>
        </w:rPr>
      </w:pPr>
    </w:p>
    <w:p w14:paraId="66074466" w14:textId="77777777" w:rsidR="00AF674E" w:rsidRDefault="00AF674E" w:rsidP="009B6DDB">
      <w:pPr>
        <w:rPr>
          <w:rFonts w:ascii="Arial" w:hAnsi="Arial" w:cs="Arial"/>
          <w:b/>
          <w:bCs/>
        </w:rPr>
      </w:pPr>
    </w:p>
    <w:p w14:paraId="5B91A4DB" w14:textId="77777777" w:rsidR="00AF674E" w:rsidRDefault="00AF674E" w:rsidP="009B6DDB">
      <w:pPr>
        <w:rPr>
          <w:rFonts w:ascii="Arial" w:hAnsi="Arial" w:cs="Arial"/>
          <w:b/>
          <w:bCs/>
        </w:rPr>
      </w:pPr>
    </w:p>
    <w:p w14:paraId="48CC83BC" w14:textId="77777777" w:rsidR="00620C7B" w:rsidRDefault="00620C7B" w:rsidP="009B6DDB">
      <w:pPr>
        <w:rPr>
          <w:rFonts w:ascii="Arial" w:hAnsi="Arial" w:cs="Arial"/>
          <w:b/>
          <w:bCs/>
        </w:rPr>
        <w:sectPr w:rsidR="00620C7B" w:rsidSect="00620C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06E1A5E" w14:textId="3FD7F9A9" w:rsidR="00A43E00" w:rsidRPr="009B6DDB" w:rsidRDefault="00A800CF" w:rsidP="009B6DDB">
      <w:pPr>
        <w:rPr>
          <w:rFonts w:ascii="Arial" w:hAnsi="Arial" w:cs="Arial"/>
          <w:b/>
          <w:bCs/>
        </w:rPr>
      </w:pPr>
      <w:r>
        <w:rPr>
          <w:rFonts w:ascii="Arial" w:hAnsi="Arial" w:cs="Arial"/>
          <w:b/>
          <w:bCs/>
        </w:rPr>
        <w:lastRenderedPageBreak/>
        <w:t>1. INTRODUCTION</w:t>
      </w:r>
    </w:p>
    <w:p w14:paraId="3A207F37" w14:textId="77777777" w:rsidR="00F514EC" w:rsidRDefault="00F514EC" w:rsidP="009B6DDB">
      <w:pPr>
        <w:jc w:val="both"/>
        <w:rPr>
          <w:rFonts w:ascii="Arial" w:hAnsi="Arial" w:cs="Arial"/>
          <w:sz w:val="20"/>
          <w:szCs w:val="20"/>
        </w:rPr>
        <w:sectPr w:rsidR="00F514EC" w:rsidSect="00620C7B">
          <w:type w:val="continuous"/>
          <w:pgSz w:w="11906" w:h="16838"/>
          <w:pgMar w:top="1440" w:right="1440" w:bottom="1440" w:left="1440" w:header="708" w:footer="708" w:gutter="0"/>
          <w:cols w:space="708"/>
          <w:docGrid w:linePitch="360"/>
        </w:sectPr>
      </w:pPr>
    </w:p>
    <w:p w14:paraId="4B17A4A3" w14:textId="4CC0FA7E" w:rsidR="00AF674E" w:rsidRDefault="00AF674E" w:rsidP="009B6DDB">
      <w:pPr>
        <w:jc w:val="both"/>
        <w:rPr>
          <w:rFonts w:ascii="Arial" w:hAnsi="Arial" w:cs="Arial"/>
          <w:sz w:val="20"/>
          <w:szCs w:val="20"/>
        </w:rPr>
      </w:pPr>
      <w:r w:rsidRPr="00AF674E">
        <w:rPr>
          <w:rFonts w:ascii="Arial" w:hAnsi="Arial" w:cs="Arial"/>
          <w:sz w:val="20"/>
          <w:szCs w:val="20"/>
        </w:rPr>
        <w:t>Recent research shows that trade policy shocks, especially tariff announcements from big economies like the United States (USA), have a big role in changes in global financial markets.</w:t>
      </w:r>
      <w:r>
        <w:rPr>
          <w:rFonts w:ascii="Arial" w:hAnsi="Arial" w:cs="Arial"/>
          <w:sz w:val="20"/>
          <w:szCs w:val="20"/>
        </w:rPr>
        <w:t xml:space="preserve"> </w:t>
      </w:r>
      <w:r w:rsidRPr="00AF674E">
        <w:rPr>
          <w:rFonts w:ascii="Arial" w:hAnsi="Arial" w:cs="Arial"/>
          <w:sz w:val="20"/>
          <w:szCs w:val="20"/>
        </w:rPr>
        <w:t>These policy choices have short-term effects on investor confidence, global commerce, and the value of assets (Baker, Bloom, &amp; Davis, 2016).Emerging markets like India are nevertheless vulnerable to shocks from outside the country because they are becoming more connected to the global economy through trade and investment, even while their internal fundamentals are strong.</w:t>
      </w:r>
      <w:r>
        <w:rPr>
          <w:rFonts w:ascii="Arial" w:hAnsi="Arial" w:cs="Arial"/>
          <w:sz w:val="20"/>
          <w:szCs w:val="20"/>
        </w:rPr>
        <w:t xml:space="preserve"> </w:t>
      </w:r>
      <w:r w:rsidRPr="00AF674E">
        <w:rPr>
          <w:rFonts w:ascii="Arial" w:hAnsi="Arial" w:cs="Arial"/>
          <w:sz w:val="20"/>
          <w:szCs w:val="20"/>
        </w:rPr>
        <w:t>According to the Ministry of Commerce and Industry (2024), the U.S. made up around 18% of India's exports and 7% of its imports in FY 2023–24.</w:t>
      </w:r>
      <w:r w:rsidR="00F514EC">
        <w:rPr>
          <w:rFonts w:ascii="Arial" w:hAnsi="Arial" w:cs="Arial"/>
          <w:sz w:val="20"/>
          <w:szCs w:val="20"/>
        </w:rPr>
        <w:t xml:space="preserve"> </w:t>
      </w:r>
      <w:r w:rsidRPr="00AF674E">
        <w:rPr>
          <w:rFonts w:ascii="Arial" w:hAnsi="Arial" w:cs="Arial"/>
          <w:sz w:val="20"/>
          <w:szCs w:val="20"/>
        </w:rPr>
        <w:t>India has received a lot of foreign direct investment (FDI), making it the second-largest source. Since 2000, it has received approximately US$65 billion in equity inflows (DPIIT, 2024).</w:t>
      </w:r>
    </w:p>
    <w:p w14:paraId="6A7DE1A5" w14:textId="77777777" w:rsidR="00AF674E" w:rsidRPr="00AF674E" w:rsidRDefault="00AF674E" w:rsidP="00AF674E">
      <w:pPr>
        <w:jc w:val="both"/>
        <w:rPr>
          <w:rFonts w:ascii="Arial" w:hAnsi="Arial" w:cs="Arial"/>
          <w:sz w:val="20"/>
          <w:szCs w:val="20"/>
        </w:rPr>
      </w:pPr>
      <w:r w:rsidRPr="00AF674E">
        <w:rPr>
          <w:rFonts w:ascii="Arial" w:hAnsi="Arial" w:cs="Arial"/>
          <w:sz w:val="20"/>
          <w:szCs w:val="20"/>
        </w:rPr>
        <w:t>The U.S. market significantly exposes several Indian industries, making them highly susceptible to fluctuations in U.S. trade policy. The United States plays a crucial role in the Information Technology (IT) sector, deriving 60–65% of its export revenue from American clients (NASSCOM, 2024). India's pharmaceutical sector exports around US$8.7 billion in commodities to the United States annually, constituting almost one-third of the nation's overall pharmaceutical exports (</w:t>
      </w:r>
      <w:proofErr w:type="spellStart"/>
      <w:r w:rsidRPr="00AF674E">
        <w:rPr>
          <w:rFonts w:ascii="Arial" w:hAnsi="Arial" w:cs="Arial"/>
          <w:sz w:val="20"/>
          <w:szCs w:val="20"/>
        </w:rPr>
        <w:t>Pharmexcil</w:t>
      </w:r>
      <w:proofErr w:type="spellEnd"/>
      <w:r w:rsidRPr="00AF674E">
        <w:rPr>
          <w:rFonts w:ascii="Arial" w:hAnsi="Arial" w:cs="Arial"/>
          <w:sz w:val="20"/>
          <w:szCs w:val="20"/>
        </w:rPr>
        <w:t>, 2024). The automotive and auto components sector supplies around US$7 billion in goods to North America (ACMA, 2024). The metal industry, particularly steel and aluminium, faces risks from past and potential U.S. tariff actions (Ministry of Commerce, 2024). Alterations in U.S. economic policy, laws, and geopolitical dynamics frequently influence the financial performance and market valuations of various sectors.</w:t>
      </w:r>
    </w:p>
    <w:p w14:paraId="68C9D5D9" w14:textId="77777777" w:rsidR="00AF674E" w:rsidRPr="00AF674E" w:rsidRDefault="00AF674E" w:rsidP="00AF674E">
      <w:pPr>
        <w:jc w:val="both"/>
        <w:rPr>
          <w:rFonts w:ascii="Arial" w:hAnsi="Arial" w:cs="Arial"/>
          <w:sz w:val="20"/>
          <w:szCs w:val="20"/>
        </w:rPr>
      </w:pPr>
      <w:r w:rsidRPr="00AF674E">
        <w:rPr>
          <w:rFonts w:ascii="Arial" w:hAnsi="Arial" w:cs="Arial"/>
          <w:sz w:val="20"/>
          <w:szCs w:val="20"/>
        </w:rPr>
        <w:t xml:space="preserve">A comprehensive study globally has examined the impact of trade disputes, particularly the U.S.–China trade war, on market volatility (Huang et al., 2020; </w:t>
      </w:r>
      <w:proofErr w:type="spellStart"/>
      <w:r w:rsidRPr="00AF674E">
        <w:rPr>
          <w:rFonts w:ascii="Arial" w:hAnsi="Arial" w:cs="Arial"/>
          <w:sz w:val="20"/>
          <w:szCs w:val="20"/>
        </w:rPr>
        <w:t>Chuliá</w:t>
      </w:r>
      <w:proofErr w:type="spellEnd"/>
      <w:r w:rsidRPr="00AF674E">
        <w:rPr>
          <w:rFonts w:ascii="Arial" w:hAnsi="Arial" w:cs="Arial"/>
          <w:sz w:val="20"/>
          <w:szCs w:val="20"/>
        </w:rPr>
        <w:t xml:space="preserve"> et al., 2017). Nonetheless, a significant gap persists in our comprehension of the impact of each U.S. tariff announcement on the Indian stock market at the sectoral level. Most Indian studies have looked at overall global risks or economic uncertainty, rather than how different levels of outside influence affect various sectors.</w:t>
      </w:r>
    </w:p>
    <w:p w14:paraId="0BBD2ADD" w14:textId="4C6138CA" w:rsidR="00F514EC" w:rsidRPr="00620C7B" w:rsidRDefault="00AF674E" w:rsidP="009B6DDB">
      <w:pPr>
        <w:jc w:val="both"/>
        <w:rPr>
          <w:rFonts w:ascii="Arial" w:hAnsi="Arial" w:cs="Arial"/>
          <w:sz w:val="20"/>
          <w:szCs w:val="20"/>
        </w:rPr>
        <w:sectPr w:rsidR="00F514EC" w:rsidRPr="00620C7B" w:rsidSect="00620C7B">
          <w:type w:val="continuous"/>
          <w:pgSz w:w="11906" w:h="16838"/>
          <w:pgMar w:top="1440" w:right="1440" w:bottom="1440" w:left="1440" w:header="708" w:footer="708" w:gutter="0"/>
          <w:cols w:space="708"/>
          <w:docGrid w:linePitch="360"/>
        </w:sectPr>
      </w:pPr>
      <w:r w:rsidRPr="00AF674E">
        <w:rPr>
          <w:rFonts w:ascii="Arial" w:hAnsi="Arial" w:cs="Arial"/>
          <w:sz w:val="20"/>
          <w:szCs w:val="20"/>
        </w:rPr>
        <w:t>This study addresses the gap in the literature by examining the impact of a recent U.S. tariff announcement (April 2, 2025) on Indian stock market indices in the short term. The study examines fluctuations in volatility throughout 7-day, 15-day, and 30-day intervals preceding and after the announcement. This is accomplished by a short-window event research approach and robust statistical techniques, including the Levene's and Brown–Forsythe tests. The study examines the overall market (Nifty 50) and primary sectors indexes to assess the market's response to U.S. trade shocks regarding intensity, direction, and duration. This would enhance our comprehension of India's economic vulnerability to global policy developments</w:t>
      </w:r>
    </w:p>
    <w:p w14:paraId="7DECAB0B" w14:textId="77777777" w:rsidR="00F514EC" w:rsidRDefault="00F514EC" w:rsidP="009B6DDB">
      <w:pPr>
        <w:jc w:val="both"/>
        <w:rPr>
          <w:rFonts w:ascii="Arial" w:hAnsi="Arial" w:cs="Arial"/>
          <w:b/>
          <w:bCs/>
        </w:rPr>
      </w:pPr>
    </w:p>
    <w:p w14:paraId="64C6AC35" w14:textId="6914B525" w:rsidR="00F514EC" w:rsidRPr="00DB4DE4" w:rsidRDefault="00217AC9" w:rsidP="00980975">
      <w:pPr>
        <w:jc w:val="both"/>
        <w:rPr>
          <w:rFonts w:ascii="Arial" w:hAnsi="Arial" w:cs="Arial"/>
          <w:b/>
          <w:bCs/>
        </w:rPr>
      </w:pPr>
      <w:r>
        <w:rPr>
          <w:rFonts w:ascii="Arial" w:hAnsi="Arial" w:cs="Arial"/>
          <w:b/>
          <w:bCs/>
        </w:rPr>
        <w:t xml:space="preserve">2. </w:t>
      </w:r>
      <w:r w:rsidRPr="00217AC9">
        <w:rPr>
          <w:rFonts w:ascii="Arial" w:hAnsi="Arial" w:cs="Arial"/>
          <w:b/>
          <w:bCs/>
        </w:rPr>
        <w:t>LITERATURE REVIEW</w:t>
      </w:r>
    </w:p>
    <w:p w14:paraId="055D0AF3" w14:textId="77777777" w:rsidR="00DB4DE4" w:rsidRDefault="00DB4DE4" w:rsidP="00DB4DE4">
      <w:pPr>
        <w:jc w:val="both"/>
        <w:rPr>
          <w:rFonts w:ascii="Arial" w:hAnsi="Arial" w:cs="Arial"/>
          <w:sz w:val="20"/>
          <w:szCs w:val="20"/>
        </w:rPr>
      </w:pPr>
      <w:r w:rsidRPr="00DB4DE4">
        <w:rPr>
          <w:rFonts w:ascii="Arial" w:hAnsi="Arial" w:cs="Arial"/>
          <w:sz w:val="20"/>
          <w:szCs w:val="20"/>
        </w:rPr>
        <w:t>Recent empirical studies increasingly show that geopolitical and trade-related uncertainties have a significant impact on stock market dynamics, particularly in emerging economies like India. A substantial amount of literature has examined the direct and indirect impacts of trade policy shocks, geopolitical events, and economic uncertainty on the volatility of financial markets.</w:t>
      </w:r>
    </w:p>
    <w:p w14:paraId="042B4CDD" w14:textId="77777777" w:rsidR="00DB4DE4" w:rsidRDefault="00DB4DE4" w:rsidP="00DB4DE4">
      <w:pPr>
        <w:jc w:val="both"/>
        <w:rPr>
          <w:rFonts w:ascii="Arial" w:hAnsi="Arial" w:cs="Arial"/>
          <w:sz w:val="20"/>
          <w:szCs w:val="20"/>
        </w:rPr>
      </w:pPr>
      <w:r w:rsidRPr="00DB4DE4">
        <w:rPr>
          <w:rFonts w:ascii="Arial" w:hAnsi="Arial" w:cs="Arial"/>
          <w:sz w:val="20"/>
          <w:szCs w:val="20"/>
        </w:rPr>
        <w:t>Zhang et al. (2023) investigated the effects of geopolitical risk (GPR) in 32 countries, finding that heightened global tensions lead to increased stock market volatility, especially in emerging markets. The findings indicate that this volatility is linked to postponed investment choices and a movement by investors towards more secure assets in times of increased uncertainty.</w:t>
      </w:r>
    </w:p>
    <w:p w14:paraId="3034F572" w14:textId="3882686D" w:rsidR="00DB4DE4" w:rsidRDefault="00DB4DE4" w:rsidP="00DB4DE4">
      <w:pPr>
        <w:jc w:val="both"/>
        <w:rPr>
          <w:rFonts w:ascii="Arial" w:hAnsi="Arial" w:cs="Arial"/>
          <w:sz w:val="20"/>
          <w:szCs w:val="20"/>
        </w:rPr>
      </w:pPr>
      <w:r w:rsidRPr="00DB4DE4">
        <w:rPr>
          <w:rFonts w:ascii="Arial" w:hAnsi="Arial" w:cs="Arial"/>
          <w:sz w:val="20"/>
          <w:szCs w:val="20"/>
        </w:rPr>
        <w:t>Boer et al. (2022) presented strong evidence regarding the adverse effects of U.S. trade policy shocks on financial markets, illustrating that restrictive trade measures resulted in market volatility, declines in stock prices, and an appreciation of the U.S. dollar. Their structural VAR model highlighted the enduring impacts of policy uncertainty, surpassing the influence of tariffs alone.</w:t>
      </w:r>
    </w:p>
    <w:p w14:paraId="44028A39" w14:textId="098D2EE4" w:rsidR="00DB4DE4" w:rsidRDefault="00DB4DE4" w:rsidP="00DB4DE4">
      <w:pPr>
        <w:jc w:val="both"/>
        <w:rPr>
          <w:rFonts w:ascii="Arial" w:hAnsi="Arial" w:cs="Arial"/>
          <w:sz w:val="20"/>
          <w:szCs w:val="20"/>
        </w:rPr>
      </w:pPr>
      <w:r w:rsidRPr="00DB4DE4">
        <w:rPr>
          <w:rFonts w:ascii="Arial" w:hAnsi="Arial" w:cs="Arial"/>
          <w:sz w:val="20"/>
          <w:szCs w:val="20"/>
        </w:rPr>
        <w:t xml:space="preserve">Hoque et al. (2023) conducted an in-depth examination of how trade policy uncertainty (TPU) is transmitted from major economies like the U.S. and China to more vulnerable economies, such as </w:t>
      </w:r>
      <w:r w:rsidRPr="00DB4DE4">
        <w:rPr>
          <w:rFonts w:ascii="Arial" w:hAnsi="Arial" w:cs="Arial"/>
          <w:sz w:val="20"/>
          <w:szCs w:val="20"/>
        </w:rPr>
        <w:lastRenderedPageBreak/>
        <w:t>Mexico, South Africa, and Turkey. Employing VAR-GARCH and spillover models, they emphasised the varying spillover effects that are contingent on the trade exposure of each country.</w:t>
      </w:r>
      <w:r w:rsidRPr="00DB4DE4">
        <w:rPr>
          <w:rFonts w:ascii="Arial" w:hAnsi="Arial" w:cs="Arial"/>
          <w:sz w:val="20"/>
          <w:szCs w:val="20"/>
        </w:rPr>
        <w:br/>
        <w:t>In their study, Al-</w:t>
      </w:r>
      <w:proofErr w:type="spellStart"/>
      <w:r w:rsidRPr="00DB4DE4">
        <w:rPr>
          <w:rFonts w:ascii="Arial" w:hAnsi="Arial" w:cs="Arial"/>
          <w:sz w:val="20"/>
          <w:szCs w:val="20"/>
        </w:rPr>
        <w:t>Fayoumi</w:t>
      </w:r>
      <w:proofErr w:type="spellEnd"/>
      <w:r w:rsidRPr="00DB4DE4">
        <w:rPr>
          <w:rFonts w:ascii="Arial" w:hAnsi="Arial" w:cs="Arial"/>
          <w:sz w:val="20"/>
          <w:szCs w:val="20"/>
        </w:rPr>
        <w:t xml:space="preserve"> et al. (2025) observed that geopolitical shocks, including the Gaza conflict, led to a temporary increase in stock market volatility within GCC countries. The increase in volatility was particularly pronounced in economies that are politically sensitive.</w:t>
      </w:r>
    </w:p>
    <w:p w14:paraId="7F9CC694" w14:textId="77777777" w:rsidR="00DB4DE4" w:rsidRDefault="00DB4DE4" w:rsidP="00DB4DE4">
      <w:pPr>
        <w:jc w:val="both"/>
        <w:rPr>
          <w:rFonts w:ascii="Arial" w:hAnsi="Arial" w:cs="Arial"/>
          <w:sz w:val="20"/>
          <w:szCs w:val="20"/>
        </w:rPr>
      </w:pPr>
      <w:r w:rsidRPr="00DB4DE4">
        <w:rPr>
          <w:rFonts w:ascii="Arial" w:hAnsi="Arial" w:cs="Arial"/>
          <w:sz w:val="20"/>
          <w:szCs w:val="20"/>
        </w:rPr>
        <w:t>Kanojia et al. (2024) examined the UAE–India Comprehensive Economic Partnership Agreement (CEPA), demonstrating that sectoral investment and trade flows responded acutely to both liberalisation and uncertainty. Their analysis highlighted the necessity for adaptive risk management approaches in industries characterised by significant global exposure.</w:t>
      </w:r>
    </w:p>
    <w:p w14:paraId="1D400B7C" w14:textId="77777777" w:rsidR="00DB4DE4" w:rsidRDefault="00DB4DE4" w:rsidP="00DB4DE4">
      <w:pPr>
        <w:jc w:val="both"/>
        <w:rPr>
          <w:rFonts w:ascii="Arial" w:hAnsi="Arial" w:cs="Arial"/>
          <w:sz w:val="20"/>
          <w:szCs w:val="20"/>
        </w:rPr>
      </w:pPr>
      <w:r w:rsidRPr="00DB4DE4">
        <w:rPr>
          <w:rFonts w:ascii="Arial" w:hAnsi="Arial" w:cs="Arial"/>
          <w:sz w:val="20"/>
          <w:szCs w:val="20"/>
        </w:rPr>
        <w:t>Verma (2015) emphasised the connection between the sustainability of India's software and IT exports and the stability of U.S. policy, while Verma et al. (2020) demonstrated the significant impact of global macroeconomic variables and exchange rate volatility on India's high-tech exports. In a similar vein, Pal and Chattopadhyay (2019) provided compelling evidence regarding asymmetric volatility spillovers between Indian and global financial markets through the application of DCC-MV-TARCH models, thereby affirming India's vulnerability to international shocks.</w:t>
      </w:r>
    </w:p>
    <w:p w14:paraId="737F22B8" w14:textId="77777777" w:rsidR="00DB4DE4" w:rsidRDefault="00DB4DE4" w:rsidP="00DB4DE4">
      <w:pPr>
        <w:jc w:val="both"/>
        <w:rPr>
          <w:rFonts w:ascii="Arial" w:hAnsi="Arial" w:cs="Arial"/>
          <w:sz w:val="20"/>
          <w:szCs w:val="20"/>
        </w:rPr>
      </w:pPr>
      <w:r w:rsidRPr="00DB4DE4">
        <w:rPr>
          <w:rFonts w:ascii="Arial" w:hAnsi="Arial" w:cs="Arial"/>
          <w:sz w:val="20"/>
          <w:szCs w:val="20"/>
        </w:rPr>
        <w:t>Yang et al. (2021) utilised GARCH-MIDAS modelling to demonstrate the predictive ability of GPR in emerging markets, establishing that geopolitical events are significant indicators of short-term volatility. Li et al. (2020) employed wavelet coherence analysis to demonstrate the impact of U.S. EPU on the stock markets of India and China, highlighting the temporal interdependence between these regions.</w:t>
      </w:r>
      <w:r w:rsidRPr="00DB4DE4">
        <w:rPr>
          <w:rFonts w:ascii="Arial" w:hAnsi="Arial" w:cs="Arial"/>
          <w:sz w:val="20"/>
          <w:szCs w:val="20"/>
        </w:rPr>
        <w:br/>
      </w:r>
      <w:r w:rsidRPr="00DB4DE4">
        <w:rPr>
          <w:rFonts w:ascii="Arial" w:hAnsi="Arial" w:cs="Arial"/>
          <w:sz w:val="20"/>
          <w:szCs w:val="20"/>
        </w:rPr>
        <w:br/>
        <w:t>Yadav et al. (2023) utilised DCC-GARCH models and identified notable volatility spillovers between the Indian stock market and its global counterparts. The findings further emphasised the sensitivity of sectoral indices, including FMCG, IT, and energy, to global occurrences.</w:t>
      </w:r>
    </w:p>
    <w:p w14:paraId="57F2ACAB" w14:textId="77777777" w:rsidR="00DB4DE4" w:rsidRDefault="00DB4DE4" w:rsidP="00DB4DE4">
      <w:pPr>
        <w:jc w:val="both"/>
        <w:rPr>
          <w:rFonts w:ascii="Arial" w:hAnsi="Arial" w:cs="Arial"/>
          <w:sz w:val="20"/>
          <w:szCs w:val="20"/>
        </w:rPr>
      </w:pPr>
      <w:r w:rsidRPr="00DB4DE4">
        <w:rPr>
          <w:rFonts w:ascii="Arial" w:hAnsi="Arial" w:cs="Arial"/>
          <w:sz w:val="20"/>
          <w:szCs w:val="20"/>
        </w:rPr>
        <w:t>Hoque et al. (2022) established that the U.S. and China serve as net transmitters of TPU shocks that impact vulnerable economies like Colombia, Indonesia, and Turkey. The findings from the VAR-DCC-GARCH and VAR-ADCC-GARCH analyses demonstrate that returns and volatility in these economies are influenced, with variations in both magnitude and direction of effects across different countries.</w:t>
      </w:r>
      <w:r w:rsidRPr="00DB4DE4">
        <w:rPr>
          <w:rFonts w:ascii="Arial" w:hAnsi="Arial" w:cs="Arial"/>
          <w:sz w:val="20"/>
          <w:szCs w:val="20"/>
        </w:rPr>
        <w:br/>
      </w:r>
      <w:r w:rsidRPr="00DB4DE4">
        <w:rPr>
          <w:rFonts w:ascii="Arial" w:hAnsi="Arial" w:cs="Arial"/>
          <w:sz w:val="20"/>
          <w:szCs w:val="20"/>
        </w:rPr>
        <w:br/>
        <w:t>In a distinct structural VAR-based analysis, Boer et al. (2022) identified that trade policy shocks elevate global uncertainty, diminish stock returns, and have lasting impacts across various market segments, highlighting the extensive consequences of policy misalignment.</w:t>
      </w:r>
    </w:p>
    <w:p w14:paraId="1FA2E902" w14:textId="3CF39E82" w:rsidR="00DB4DE4" w:rsidRPr="00DB4DE4" w:rsidRDefault="00DB4DE4" w:rsidP="00DB4DE4">
      <w:pPr>
        <w:jc w:val="both"/>
        <w:rPr>
          <w:rFonts w:ascii="Arial" w:hAnsi="Arial" w:cs="Arial"/>
          <w:sz w:val="20"/>
          <w:szCs w:val="20"/>
        </w:rPr>
      </w:pPr>
      <w:r w:rsidRPr="00DB4DE4">
        <w:rPr>
          <w:rFonts w:ascii="Arial" w:hAnsi="Arial" w:cs="Arial"/>
          <w:sz w:val="20"/>
          <w:szCs w:val="20"/>
        </w:rPr>
        <w:t>Tabash et al. (2025) noted a U-shaped volatility pattern in GCC Islamic markets, indicating that high TPU shocks exert more significant effects during extreme quantiles. It is advised to implement diversified portfolio allocations and risk hedging strategies to reduce sectoral volatility.</w:t>
      </w:r>
      <w:r w:rsidRPr="00DB4DE4">
        <w:rPr>
          <w:rFonts w:ascii="Arial" w:hAnsi="Arial" w:cs="Arial"/>
          <w:sz w:val="20"/>
          <w:szCs w:val="20"/>
        </w:rPr>
        <w:br/>
      </w:r>
      <w:r w:rsidRPr="00DB4DE4">
        <w:rPr>
          <w:rFonts w:ascii="Arial" w:hAnsi="Arial" w:cs="Arial"/>
          <w:sz w:val="20"/>
          <w:szCs w:val="20"/>
        </w:rPr>
        <w:br/>
        <w:t>The findings from these studies highlight the complex effects of global trade policy uncertainty and geopolitical shocks on stock markets. This study expands on existing knowledge by examining the short-term volatility reactions of Indian sectoral indices to U.S. tariff announcements, thus filling an important gap in the literature concerning temporal and sectoral differences in the responses of India’s stock market.</w:t>
      </w:r>
    </w:p>
    <w:p w14:paraId="47E8A09F" w14:textId="77777777" w:rsidR="00DB4DE4" w:rsidRDefault="00DB4DE4" w:rsidP="00980975">
      <w:pPr>
        <w:jc w:val="both"/>
        <w:rPr>
          <w:rFonts w:ascii="Arial" w:hAnsi="Arial" w:cs="Arial"/>
          <w:sz w:val="20"/>
          <w:szCs w:val="20"/>
        </w:rPr>
        <w:sectPr w:rsidR="00DB4DE4" w:rsidSect="00620C7B">
          <w:type w:val="continuous"/>
          <w:pgSz w:w="11906" w:h="16838"/>
          <w:pgMar w:top="1440" w:right="1440" w:bottom="1440" w:left="1440" w:header="708" w:footer="708" w:gutter="0"/>
          <w:cols w:space="708"/>
          <w:docGrid w:linePitch="360"/>
        </w:sectPr>
      </w:pPr>
    </w:p>
    <w:p w14:paraId="4266D64B" w14:textId="52ACD690" w:rsidR="00355A71" w:rsidRPr="00355A71" w:rsidRDefault="00355A71" w:rsidP="009B6DDB">
      <w:pPr>
        <w:jc w:val="both"/>
        <w:rPr>
          <w:rFonts w:ascii="Arial" w:hAnsi="Arial" w:cs="Arial"/>
          <w:sz w:val="20"/>
          <w:szCs w:val="20"/>
        </w:rPr>
        <w:sectPr w:rsidR="00355A71" w:rsidRPr="00355A71" w:rsidSect="00620C7B">
          <w:type w:val="continuous"/>
          <w:pgSz w:w="11906" w:h="16838"/>
          <w:pgMar w:top="1440" w:right="1440" w:bottom="1440" w:left="1440" w:header="708" w:footer="708" w:gutter="0"/>
          <w:cols w:space="708"/>
          <w:docGrid w:linePitch="360"/>
        </w:sectPr>
      </w:pPr>
    </w:p>
    <w:p w14:paraId="7E697F80" w14:textId="114C91DF" w:rsidR="00E45CE9" w:rsidRPr="00217AC9" w:rsidRDefault="00217AC9" w:rsidP="009B6DDB">
      <w:pPr>
        <w:jc w:val="both"/>
        <w:rPr>
          <w:rFonts w:ascii="Arial" w:hAnsi="Arial" w:cs="Arial"/>
          <w:b/>
          <w:bCs/>
        </w:rPr>
      </w:pPr>
      <w:r>
        <w:rPr>
          <w:rFonts w:ascii="Arial" w:hAnsi="Arial" w:cs="Arial"/>
          <w:b/>
          <w:bCs/>
        </w:rPr>
        <w:t xml:space="preserve">3. </w:t>
      </w:r>
      <w:r w:rsidRPr="00217AC9">
        <w:rPr>
          <w:rFonts w:ascii="Arial" w:hAnsi="Arial" w:cs="Arial"/>
          <w:b/>
          <w:bCs/>
        </w:rPr>
        <w:t>THEORETICAL FRAMEWORK</w:t>
      </w:r>
    </w:p>
    <w:p w14:paraId="4C7D7F07" w14:textId="77777777" w:rsidR="005D365D" w:rsidRDefault="005D365D" w:rsidP="00980975">
      <w:pPr>
        <w:jc w:val="both"/>
        <w:rPr>
          <w:rFonts w:ascii="Arial" w:hAnsi="Arial" w:cs="Arial"/>
          <w:sz w:val="20"/>
          <w:szCs w:val="20"/>
        </w:rPr>
        <w:sectPr w:rsidR="005D365D" w:rsidSect="00620C7B">
          <w:type w:val="continuous"/>
          <w:pgSz w:w="11906" w:h="16838"/>
          <w:pgMar w:top="1440" w:right="1440" w:bottom="1440" w:left="1440" w:header="708" w:footer="708" w:gutter="0"/>
          <w:cols w:space="708"/>
          <w:docGrid w:linePitch="360"/>
        </w:sectPr>
      </w:pPr>
    </w:p>
    <w:p w14:paraId="6FD93E75" w14:textId="025D6870" w:rsidR="00980975" w:rsidRPr="00980975" w:rsidRDefault="00980975" w:rsidP="00980975">
      <w:pPr>
        <w:jc w:val="both"/>
        <w:rPr>
          <w:rFonts w:ascii="Arial" w:hAnsi="Arial" w:cs="Arial"/>
          <w:sz w:val="20"/>
          <w:szCs w:val="20"/>
        </w:rPr>
      </w:pPr>
      <w:r w:rsidRPr="00980975">
        <w:rPr>
          <w:rFonts w:ascii="Arial" w:hAnsi="Arial" w:cs="Arial"/>
          <w:sz w:val="20"/>
          <w:szCs w:val="20"/>
        </w:rPr>
        <w:t>This analysis utilises various financial theories to elucidate market responses to external policy shocks. The Efficient Market Hypothesis (EMH) (Fama, 1970) asserts that markets swiftly integrate new information, including tariff announcements, thereby validating the application of a short-window event study. The Policy Uncertainty Theory (Pastor &amp; Veronesi, 2012) posits that unforeseen policy alterations elevate risk premia and trigger volatility, especially in industries with significant global exposure, including IT, pharmaceuticals, metals, and automobiles.</w:t>
      </w:r>
      <w:r w:rsidR="009C75C9">
        <w:rPr>
          <w:rFonts w:ascii="Arial" w:hAnsi="Arial" w:cs="Arial"/>
          <w:sz w:val="20"/>
          <w:szCs w:val="20"/>
        </w:rPr>
        <w:t xml:space="preserve"> </w:t>
      </w:r>
      <w:r w:rsidRPr="00980975">
        <w:rPr>
          <w:rFonts w:ascii="Arial" w:hAnsi="Arial" w:cs="Arial"/>
          <w:sz w:val="20"/>
          <w:szCs w:val="20"/>
        </w:rPr>
        <w:t xml:space="preserve">Examining the behaviour of investors, the Overreaction Hypothesis (De Bondt &amp; Thaler, 1985) suggests that responses to trade policy news can be irrational, resulting in significant short-term volatility fluctuations. Furthermore, Uncertainty Shock Theory (Bloom, 2009) emphasises the impact of external shocks on investment decisions, leading to </w:t>
      </w:r>
      <w:r w:rsidRPr="00980975">
        <w:rPr>
          <w:rFonts w:ascii="Arial" w:hAnsi="Arial" w:cs="Arial"/>
          <w:sz w:val="20"/>
          <w:szCs w:val="20"/>
        </w:rPr>
        <w:lastRenderedPageBreak/>
        <w:t>increased volatility, particularly in emerging markets. Collectively, these theories establish a thorough basis for examining short-term volatility reactions among Indian sectoral indices in the wake of U.S. tariff announcements.</w:t>
      </w:r>
    </w:p>
    <w:p w14:paraId="10A12D77" w14:textId="3654C16E" w:rsidR="00E45CE9" w:rsidRDefault="00E45CE9" w:rsidP="009B6DDB">
      <w:pPr>
        <w:jc w:val="both"/>
        <w:rPr>
          <w:rFonts w:ascii="Arial" w:hAnsi="Arial" w:cs="Arial"/>
          <w:sz w:val="20"/>
          <w:szCs w:val="20"/>
        </w:rPr>
        <w:sectPr w:rsidR="00E45CE9" w:rsidSect="00620C7B">
          <w:type w:val="continuous"/>
          <w:pgSz w:w="11906" w:h="16838"/>
          <w:pgMar w:top="1440" w:right="1440" w:bottom="1440" w:left="1440" w:header="708" w:footer="708" w:gutter="0"/>
          <w:cols w:space="708"/>
          <w:docGrid w:linePitch="360"/>
        </w:sectPr>
      </w:pPr>
    </w:p>
    <w:p w14:paraId="1742C3AB" w14:textId="77777777" w:rsidR="009B6DDB" w:rsidRDefault="009B6DDB" w:rsidP="00984105">
      <w:pPr>
        <w:jc w:val="both"/>
        <w:rPr>
          <w:rFonts w:ascii="Arial" w:hAnsi="Arial" w:cs="Arial"/>
          <w:sz w:val="20"/>
          <w:szCs w:val="20"/>
        </w:rPr>
        <w:sectPr w:rsidR="009B6DDB" w:rsidSect="00620C7B">
          <w:type w:val="continuous"/>
          <w:pgSz w:w="11906" w:h="16838"/>
          <w:pgMar w:top="1440" w:right="1440" w:bottom="1440" w:left="1440" w:header="708" w:footer="708" w:gutter="0"/>
          <w:cols w:space="708"/>
          <w:docGrid w:linePitch="360"/>
        </w:sectPr>
      </w:pPr>
    </w:p>
    <w:p w14:paraId="3911D7CE" w14:textId="21004F3F" w:rsidR="009352F5" w:rsidRDefault="00217AC9">
      <w:pPr>
        <w:rPr>
          <w:rFonts w:ascii="Arial" w:hAnsi="Arial" w:cs="Arial"/>
          <w:b/>
          <w:bCs/>
        </w:rPr>
      </w:pPr>
      <w:r>
        <w:rPr>
          <w:rFonts w:ascii="Arial" w:hAnsi="Arial" w:cs="Arial"/>
          <w:b/>
          <w:bCs/>
        </w:rPr>
        <w:t>4</w:t>
      </w:r>
      <w:r w:rsidR="00A800CF">
        <w:rPr>
          <w:rFonts w:ascii="Arial" w:hAnsi="Arial" w:cs="Arial"/>
          <w:b/>
          <w:bCs/>
        </w:rPr>
        <w:t xml:space="preserve">. </w:t>
      </w:r>
      <w:r w:rsidR="009B6DDB" w:rsidRPr="00A800CF">
        <w:rPr>
          <w:rFonts w:ascii="Arial" w:hAnsi="Arial" w:cs="Arial"/>
          <w:b/>
          <w:bCs/>
        </w:rPr>
        <w:t xml:space="preserve">DATA AND </w:t>
      </w:r>
      <w:r w:rsidR="009B6DDB">
        <w:rPr>
          <w:rFonts w:ascii="Arial" w:hAnsi="Arial" w:cs="Arial"/>
          <w:b/>
          <w:bCs/>
        </w:rPr>
        <w:t>M</w:t>
      </w:r>
      <w:r w:rsidR="009B6DDB" w:rsidRPr="00A800CF">
        <w:rPr>
          <w:rFonts w:ascii="Arial" w:hAnsi="Arial" w:cs="Arial"/>
          <w:b/>
          <w:bCs/>
        </w:rPr>
        <w:t>ETHODOLOGY</w:t>
      </w:r>
    </w:p>
    <w:p w14:paraId="6F876A4B" w14:textId="77777777" w:rsidR="00B01A95" w:rsidRDefault="00B01A95" w:rsidP="0018182E">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6FADA8DC" w14:textId="31BF61E0" w:rsidR="0018182E" w:rsidRPr="0018182E" w:rsidRDefault="0018182E" w:rsidP="0018182E">
      <w:pPr>
        <w:jc w:val="both"/>
        <w:rPr>
          <w:rFonts w:ascii="Arial" w:hAnsi="Arial" w:cs="Arial"/>
          <w:sz w:val="20"/>
          <w:szCs w:val="20"/>
        </w:rPr>
      </w:pPr>
      <w:r w:rsidRPr="0018182E">
        <w:rPr>
          <w:rFonts w:ascii="Arial" w:hAnsi="Arial" w:cs="Arial"/>
          <w:sz w:val="20"/>
          <w:szCs w:val="20"/>
        </w:rPr>
        <w:t>This study explores how U.S.A. tariff announcements affect short-term Indian stock market volatility, focusing on the overall market and its important sectoral components. The analysis uses high-frequency data from India's largest stock market, the National Stock Exchange (NSE), a key indication of investor responses to global policy changes.</w:t>
      </w:r>
    </w:p>
    <w:p w14:paraId="7433FD80" w14:textId="77777777" w:rsidR="0018182E" w:rsidRDefault="0018182E" w:rsidP="0018182E">
      <w:pPr>
        <w:jc w:val="both"/>
        <w:rPr>
          <w:rFonts w:ascii="Arial" w:hAnsi="Arial" w:cs="Arial"/>
          <w:sz w:val="20"/>
          <w:szCs w:val="20"/>
        </w:rPr>
      </w:pPr>
      <w:r w:rsidRPr="0018182E">
        <w:rPr>
          <w:rFonts w:ascii="Arial" w:hAnsi="Arial" w:cs="Arial"/>
          <w:sz w:val="20"/>
          <w:szCs w:val="20"/>
        </w:rPr>
        <w:t>Daily NIFTY 50 closing values reflect Indian stock market action. We also include the main NIFTY sectoral indices, which cover India's most important sectors, to better comprehend the influence on different economic sectors. NIFTY Auto, Bank, Financial Services, FMCG, IT, Metal, Pharma, PSU Bank, Private Bank, Realty, Energy, and Media are among the indices studied. This wide sector coverage allows us to assess if certain industries respond more strongly to the U.S.A. tariff announcement based on their global integration or trade-sensitive inputs.</w:t>
      </w:r>
    </w:p>
    <w:p w14:paraId="6D9426D5" w14:textId="77777777" w:rsidR="0018182E" w:rsidRPr="0018182E" w:rsidRDefault="0018182E" w:rsidP="0018182E">
      <w:pPr>
        <w:jc w:val="both"/>
        <w:rPr>
          <w:rFonts w:ascii="Arial" w:hAnsi="Arial" w:cs="Arial"/>
          <w:sz w:val="20"/>
          <w:szCs w:val="20"/>
        </w:rPr>
      </w:pPr>
      <w:r w:rsidRPr="0018182E">
        <w:rPr>
          <w:rFonts w:ascii="Arial" w:hAnsi="Arial" w:cs="Arial"/>
          <w:sz w:val="20"/>
          <w:szCs w:val="20"/>
        </w:rPr>
        <w:t>This paper examines the U.S.A. tariff notification of April 2, 2025. To carefully study this announcement's consequences, we set three short-run event windows: 7, 15, and 30 trading days before and after. We can see in table 1 that each event window has a "pre-announcement period" and a "post-announcement period" in the dataset.</w:t>
      </w:r>
    </w:p>
    <w:p w14:paraId="3905B0C3" w14:textId="77777777" w:rsidR="00B01A95" w:rsidRDefault="00B01A95" w:rsidP="0018182E">
      <w:pPr>
        <w:jc w:val="center"/>
        <w:rPr>
          <w:rFonts w:ascii="Arial" w:hAnsi="Arial" w:cs="Arial"/>
          <w:b/>
          <w:bCs/>
          <w:sz w:val="20"/>
          <w:szCs w:val="20"/>
        </w:rPr>
        <w:sectPr w:rsidR="00B01A95" w:rsidSect="00620C7B">
          <w:type w:val="continuous"/>
          <w:pgSz w:w="11906" w:h="16838"/>
          <w:pgMar w:top="1440" w:right="1440" w:bottom="1440" w:left="1440" w:header="708" w:footer="708" w:gutter="0"/>
          <w:cols w:space="708"/>
          <w:docGrid w:linePitch="360"/>
        </w:sectPr>
      </w:pPr>
    </w:p>
    <w:p w14:paraId="01969279" w14:textId="77777777" w:rsidR="00B01A95" w:rsidRDefault="00B01A95" w:rsidP="0018182E">
      <w:pPr>
        <w:jc w:val="center"/>
        <w:rPr>
          <w:rFonts w:ascii="Arial" w:hAnsi="Arial" w:cs="Arial"/>
          <w:b/>
          <w:bCs/>
          <w:sz w:val="20"/>
          <w:szCs w:val="20"/>
        </w:rPr>
      </w:pPr>
    </w:p>
    <w:p w14:paraId="3BAEC11C" w14:textId="2A5B09E0" w:rsidR="00161DEE" w:rsidRDefault="00161DEE" w:rsidP="0018182E">
      <w:pPr>
        <w:jc w:val="center"/>
        <w:rPr>
          <w:rFonts w:ascii="Arial" w:hAnsi="Arial" w:cs="Arial"/>
          <w:b/>
          <w:bCs/>
          <w:sz w:val="20"/>
          <w:szCs w:val="20"/>
        </w:rPr>
      </w:pPr>
      <w:r>
        <w:rPr>
          <w:rFonts w:ascii="Arial" w:hAnsi="Arial" w:cs="Arial"/>
          <w:b/>
          <w:bCs/>
          <w:sz w:val="20"/>
          <w:szCs w:val="20"/>
        </w:rPr>
        <w:t xml:space="preserve">Table 1: </w:t>
      </w:r>
      <w:r w:rsidRPr="00161DEE">
        <w:rPr>
          <w:rFonts w:ascii="Arial" w:hAnsi="Arial" w:cs="Arial"/>
          <w:b/>
          <w:bCs/>
          <w:sz w:val="20"/>
          <w:szCs w:val="20"/>
        </w:rPr>
        <w:t xml:space="preserve">Pre- and Post-Announcement Windows for </w:t>
      </w:r>
      <w:r w:rsidR="00F732A3">
        <w:rPr>
          <w:rFonts w:ascii="Arial" w:hAnsi="Arial" w:cs="Arial"/>
          <w:b/>
          <w:bCs/>
          <w:sz w:val="20"/>
          <w:szCs w:val="20"/>
        </w:rPr>
        <w:t>U.S.A</w:t>
      </w:r>
      <w:r w:rsidRPr="00161DEE">
        <w:rPr>
          <w:rFonts w:ascii="Arial" w:hAnsi="Arial" w:cs="Arial"/>
          <w:b/>
          <w:bCs/>
          <w:sz w:val="20"/>
          <w:szCs w:val="20"/>
        </w:rPr>
        <w:t xml:space="preserve"> Tariff Event </w:t>
      </w:r>
      <w:r>
        <w:rPr>
          <w:rFonts w:ascii="Arial" w:hAnsi="Arial" w:cs="Arial"/>
          <w:b/>
          <w:bCs/>
          <w:sz w:val="20"/>
          <w:szCs w:val="20"/>
        </w:rPr>
        <w:t xml:space="preserve">on </w:t>
      </w:r>
      <w:r w:rsidRPr="00161DEE">
        <w:rPr>
          <w:rFonts w:ascii="Arial" w:hAnsi="Arial" w:cs="Arial"/>
          <w:b/>
          <w:bCs/>
          <w:sz w:val="20"/>
          <w:szCs w:val="20"/>
        </w:rPr>
        <w:t>2 April 2025</w:t>
      </w:r>
    </w:p>
    <w:p w14:paraId="2ACFD6AA" w14:textId="77777777" w:rsidR="00161DEE" w:rsidRPr="00161DEE" w:rsidRDefault="00161DEE" w:rsidP="00161DEE">
      <w:pPr>
        <w:rPr>
          <w:rFonts w:ascii="Arial" w:hAnsi="Arial" w:cs="Arial"/>
          <w:b/>
          <w:bCs/>
          <w:sz w:val="20"/>
          <w:szCs w:val="20"/>
        </w:rPr>
      </w:pPr>
    </w:p>
    <w:tbl>
      <w:tblPr>
        <w:tblStyle w:val="PlainTable2"/>
        <w:tblW w:w="9539" w:type="dxa"/>
        <w:tblLook w:val="04A0" w:firstRow="1" w:lastRow="0" w:firstColumn="1" w:lastColumn="0" w:noHBand="0" w:noVBand="1"/>
      </w:tblPr>
      <w:tblGrid>
        <w:gridCol w:w="1944"/>
        <w:gridCol w:w="2446"/>
        <w:gridCol w:w="2764"/>
        <w:gridCol w:w="2385"/>
      </w:tblGrid>
      <w:tr w:rsidR="004813F2" w14:paraId="69E1701E" w14:textId="77777777" w:rsidTr="004813F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44" w:type="dxa"/>
          </w:tcPr>
          <w:p w14:paraId="5D7B59DB" w14:textId="027D1EDF" w:rsidR="004813F2" w:rsidRPr="004813F2" w:rsidRDefault="004813F2" w:rsidP="004813F2">
            <w:pPr>
              <w:jc w:val="center"/>
              <w:rPr>
                <w:rFonts w:ascii="Times New Roman" w:hAnsi="Times New Roman" w:cs="Times New Roman"/>
              </w:rPr>
            </w:pPr>
            <w:r w:rsidRPr="004813F2">
              <w:rPr>
                <w:rFonts w:ascii="Times New Roman" w:hAnsi="Times New Roman" w:cs="Times New Roman"/>
              </w:rPr>
              <w:t>Period of Windows</w:t>
            </w:r>
          </w:p>
        </w:tc>
        <w:tc>
          <w:tcPr>
            <w:tcW w:w="2446" w:type="dxa"/>
          </w:tcPr>
          <w:p w14:paraId="60331EE4" w14:textId="1F6231C2"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Pre-announcement Period</w:t>
            </w:r>
          </w:p>
        </w:tc>
        <w:tc>
          <w:tcPr>
            <w:tcW w:w="2764" w:type="dxa"/>
            <w:vMerge w:val="restart"/>
          </w:tcPr>
          <w:p w14:paraId="0AA28AF9" w14:textId="39900503"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01DCE6FF" w14:textId="77777777"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14:paraId="7D883411" w14:textId="7D46B20C" w:rsidR="004813F2" w:rsidRPr="004813F2" w:rsidRDefault="004813F2" w:rsidP="004813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USA Tariff Announcement</w:t>
            </w:r>
          </w:p>
          <w:p w14:paraId="24350618" w14:textId="651D1C47"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2/04/2025</w:t>
            </w:r>
          </w:p>
        </w:tc>
        <w:tc>
          <w:tcPr>
            <w:tcW w:w="2385" w:type="dxa"/>
          </w:tcPr>
          <w:p w14:paraId="21378476" w14:textId="37DAB989"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Post-announcement Period</w:t>
            </w:r>
          </w:p>
        </w:tc>
      </w:tr>
      <w:tr w:rsidR="004813F2" w14:paraId="2F9B6C4A" w14:textId="77777777" w:rsidTr="004813F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944" w:type="dxa"/>
          </w:tcPr>
          <w:p w14:paraId="08971328" w14:textId="2390CDA5" w:rsidR="004813F2" w:rsidRPr="004813F2" w:rsidRDefault="004813F2" w:rsidP="004813F2">
            <w:pPr>
              <w:jc w:val="center"/>
              <w:rPr>
                <w:rFonts w:ascii="Times New Roman" w:hAnsi="Times New Roman" w:cs="Times New Roman"/>
              </w:rPr>
            </w:pPr>
            <w:r w:rsidRPr="004813F2">
              <w:rPr>
                <w:rFonts w:ascii="Times New Roman" w:hAnsi="Times New Roman" w:cs="Times New Roman"/>
              </w:rPr>
              <w:t>7 Days</w:t>
            </w:r>
          </w:p>
        </w:tc>
        <w:tc>
          <w:tcPr>
            <w:tcW w:w="2446" w:type="dxa"/>
          </w:tcPr>
          <w:p w14:paraId="26C69A5C" w14:textId="1657D8C8"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21/03/2025 – 1/4/2025</w:t>
            </w:r>
          </w:p>
        </w:tc>
        <w:tc>
          <w:tcPr>
            <w:tcW w:w="2764" w:type="dxa"/>
            <w:vMerge/>
          </w:tcPr>
          <w:p w14:paraId="2C1C7112" w14:textId="77777777"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85" w:type="dxa"/>
          </w:tcPr>
          <w:p w14:paraId="5A2A9B7A" w14:textId="5BD94A75"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3/04/2025-15/04/2025</w:t>
            </w:r>
          </w:p>
        </w:tc>
      </w:tr>
      <w:tr w:rsidR="004813F2" w14:paraId="0844D70C" w14:textId="77777777" w:rsidTr="004813F2">
        <w:trPr>
          <w:trHeight w:val="274"/>
        </w:trPr>
        <w:tc>
          <w:tcPr>
            <w:cnfStyle w:val="001000000000" w:firstRow="0" w:lastRow="0" w:firstColumn="1" w:lastColumn="0" w:oddVBand="0" w:evenVBand="0" w:oddHBand="0" w:evenHBand="0" w:firstRowFirstColumn="0" w:firstRowLastColumn="0" w:lastRowFirstColumn="0" w:lastRowLastColumn="0"/>
            <w:tcW w:w="1944" w:type="dxa"/>
          </w:tcPr>
          <w:p w14:paraId="78962BF8" w14:textId="3D32BBAA" w:rsidR="004813F2" w:rsidRPr="004813F2" w:rsidRDefault="004813F2" w:rsidP="004813F2">
            <w:pPr>
              <w:jc w:val="center"/>
              <w:rPr>
                <w:rFonts w:ascii="Times New Roman" w:hAnsi="Times New Roman" w:cs="Times New Roman"/>
              </w:rPr>
            </w:pPr>
            <w:r w:rsidRPr="004813F2">
              <w:rPr>
                <w:rFonts w:ascii="Times New Roman" w:hAnsi="Times New Roman" w:cs="Times New Roman"/>
              </w:rPr>
              <w:t>15 Days</w:t>
            </w:r>
          </w:p>
        </w:tc>
        <w:tc>
          <w:tcPr>
            <w:tcW w:w="2446" w:type="dxa"/>
          </w:tcPr>
          <w:p w14:paraId="3421C82C" w14:textId="0687045D"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7/03/2025 – 1/04/2025</w:t>
            </w:r>
          </w:p>
        </w:tc>
        <w:tc>
          <w:tcPr>
            <w:tcW w:w="2764" w:type="dxa"/>
            <w:vMerge/>
          </w:tcPr>
          <w:p w14:paraId="0F091C39" w14:textId="77777777"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85" w:type="dxa"/>
          </w:tcPr>
          <w:p w14:paraId="6B8C812F" w14:textId="30847F0A"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3/04/2025-28/04/2025</w:t>
            </w:r>
          </w:p>
        </w:tc>
      </w:tr>
      <w:tr w:rsidR="004813F2" w14:paraId="01BDDDA0" w14:textId="77777777" w:rsidTr="004813F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44" w:type="dxa"/>
          </w:tcPr>
          <w:p w14:paraId="53FA9B49" w14:textId="21212125" w:rsidR="004813F2" w:rsidRPr="004813F2" w:rsidRDefault="004813F2" w:rsidP="004813F2">
            <w:pPr>
              <w:jc w:val="center"/>
              <w:rPr>
                <w:rFonts w:ascii="Times New Roman" w:hAnsi="Times New Roman" w:cs="Times New Roman"/>
              </w:rPr>
            </w:pPr>
            <w:r w:rsidRPr="004813F2">
              <w:rPr>
                <w:rFonts w:ascii="Times New Roman" w:hAnsi="Times New Roman" w:cs="Times New Roman"/>
              </w:rPr>
              <w:t>30 Days</w:t>
            </w:r>
          </w:p>
        </w:tc>
        <w:tc>
          <w:tcPr>
            <w:tcW w:w="2446" w:type="dxa"/>
          </w:tcPr>
          <w:p w14:paraId="502414A3" w14:textId="287DB6B1"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13/02/2025 – 1/04/2025</w:t>
            </w:r>
          </w:p>
        </w:tc>
        <w:tc>
          <w:tcPr>
            <w:tcW w:w="2764" w:type="dxa"/>
            <w:vMerge/>
          </w:tcPr>
          <w:p w14:paraId="1338983F" w14:textId="77777777"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85" w:type="dxa"/>
          </w:tcPr>
          <w:p w14:paraId="7D3552FE" w14:textId="54DCDB79"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3/04/2025-20/05/2025</w:t>
            </w:r>
          </w:p>
        </w:tc>
      </w:tr>
    </w:tbl>
    <w:p w14:paraId="7F8DF1C6" w14:textId="77777777" w:rsidR="004813F2" w:rsidRDefault="004813F2" w:rsidP="00A32F40">
      <w:pPr>
        <w:jc w:val="both"/>
      </w:pPr>
    </w:p>
    <w:p w14:paraId="087DD300" w14:textId="77777777" w:rsidR="00B01A95" w:rsidRDefault="00B01A95" w:rsidP="0018182E">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5E144C77" w14:textId="35097860" w:rsidR="00B01A95" w:rsidRDefault="0018182E" w:rsidP="0018182E">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r w:rsidRPr="0018182E">
        <w:rPr>
          <w:rFonts w:ascii="Arial" w:hAnsi="Arial" w:cs="Arial"/>
          <w:sz w:val="20"/>
          <w:szCs w:val="20"/>
        </w:rPr>
        <w:t xml:space="preserve">This methodology resembles techniques employed in research examining volatility's response to significant economic or policy shocks (e.g., </w:t>
      </w:r>
      <w:proofErr w:type="spellStart"/>
      <w:r w:rsidRPr="0018182E">
        <w:rPr>
          <w:rFonts w:ascii="Arial" w:hAnsi="Arial" w:cs="Arial"/>
          <w:sz w:val="20"/>
          <w:szCs w:val="20"/>
        </w:rPr>
        <w:t>Chuliá</w:t>
      </w:r>
      <w:proofErr w:type="spellEnd"/>
      <w:r w:rsidRPr="0018182E">
        <w:rPr>
          <w:rFonts w:ascii="Arial" w:hAnsi="Arial" w:cs="Arial"/>
          <w:sz w:val="20"/>
          <w:szCs w:val="20"/>
        </w:rPr>
        <w:t xml:space="preserve"> et al., 2017; Huang et al., 2020; Boer et al., 2023). It facilitates the direct evaluation of volatility fluctuations immediately following the policy intervention. </w:t>
      </w:r>
      <w:r w:rsidRPr="0018182E">
        <w:rPr>
          <w:rFonts w:ascii="Arial" w:hAnsi="Arial" w:cs="Arial"/>
          <w:sz w:val="20"/>
          <w:szCs w:val="20"/>
        </w:rPr>
        <w:br/>
        <w:t>Employing the traditional method, we calculate the daily returns for the market index and each sector's indices</w:t>
      </w:r>
      <w:r w:rsidR="00731F55">
        <w:rPr>
          <w:rFonts w:ascii="Arial" w:hAnsi="Arial" w:cs="Arial"/>
          <w:sz w:val="20"/>
          <w:szCs w:val="20"/>
        </w:rPr>
        <w:t>.</w:t>
      </w:r>
    </w:p>
    <w:p w14:paraId="6D308609" w14:textId="4B9E1E17" w:rsidR="00161DEE" w:rsidRPr="00161DEE" w:rsidRDefault="00161DEE" w:rsidP="00A32F40">
      <w:pPr>
        <w:jc w:val="both"/>
        <w:rPr>
          <w:rFonts w:ascii="Arial" w:hAnsi="Arial" w:cs="Arial"/>
          <w:sz w:val="20"/>
          <w:szCs w:val="20"/>
        </w:rPr>
      </w:pPr>
    </w:p>
    <w:p w14:paraId="6F8A83D2" w14:textId="44DCE811" w:rsidR="00A32F40" w:rsidRPr="00731F55" w:rsidRDefault="00000000" w:rsidP="00A32F40">
      <w:pPr>
        <w:rPr>
          <w:rFonts w:eastAsiaTheme="minorEastAsia"/>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m:t>
              </m:r>
            </m:sub>
          </m:sSub>
          <m:r>
            <w:rPr>
              <w:rFonts w:ascii="Cambria Math" w:hAnsi="Cambria Math" w:cs="Times New Roman"/>
              <w:sz w:val="28"/>
              <w:szCs w:val="28"/>
            </w:rPr>
            <m:t>=</m:t>
          </m:r>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t-1</m:t>
                      </m:r>
                    </m:sub>
                  </m:sSub>
                </m:num>
                <m:den>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t-1</m:t>
                          </m:r>
                        </m:sub>
                      </m:sSub>
                    </m:e>
                  </m:acc>
                </m:den>
              </m:f>
            </m:e>
          </m:d>
          <m:r>
            <w:rPr>
              <w:rFonts w:ascii="Cambria Math" w:hAnsi="Cambria Math" w:cs="Times New Roman"/>
              <w:sz w:val="28"/>
              <w:szCs w:val="28"/>
            </w:rPr>
            <m:t xml:space="preserve"> * 100</m:t>
          </m:r>
        </m:oMath>
      </m:oMathPara>
    </w:p>
    <w:p w14:paraId="4BC64FAD" w14:textId="77777777" w:rsidR="00B01A95" w:rsidRDefault="00B01A95" w:rsidP="00731F55">
      <w:pPr>
        <w:pStyle w:val="NormalWeb"/>
        <w:jc w:val="center"/>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5F4FD451" w14:textId="77777777" w:rsidR="0018182E" w:rsidRDefault="0018182E" w:rsidP="00B01A95">
      <w:pPr>
        <w:pStyle w:val="NormalWeb"/>
        <w:jc w:val="both"/>
        <w:rPr>
          <w:rFonts w:ascii="Arial" w:hAnsi="Arial" w:cs="Arial"/>
          <w:sz w:val="20"/>
          <w:szCs w:val="20"/>
        </w:rPr>
      </w:pPr>
      <w:r w:rsidRPr="0018182E">
        <w:rPr>
          <w:rFonts w:ascii="Arial" w:hAnsi="Arial" w:cs="Arial"/>
          <w:sz w:val="20"/>
          <w:szCs w:val="20"/>
        </w:rPr>
        <w:t>where denotes the closing price on day t. This transformation stabilises variance and enables meaningful cross-period comparisons.</w:t>
      </w:r>
    </w:p>
    <w:p w14:paraId="0CDA9D61" w14:textId="6D6B480A" w:rsidR="003154ED" w:rsidRDefault="003154ED" w:rsidP="00BA18C1">
      <w:pPr>
        <w:jc w:val="both"/>
        <w:rPr>
          <w:rFonts w:ascii="Arial" w:hAnsi="Arial" w:cs="Arial"/>
          <w:sz w:val="20"/>
          <w:szCs w:val="20"/>
        </w:rPr>
      </w:pPr>
      <w:r w:rsidRPr="003154ED">
        <w:rPr>
          <w:rFonts w:ascii="Arial" w:hAnsi="Arial" w:cs="Arial"/>
          <w:sz w:val="20"/>
          <w:szCs w:val="20"/>
        </w:rPr>
        <w:t>To capture the behavioural and psychological dimensions of investor activity, this study uses Google Trends data as a proxy for sentiment. Prior research highlights the role of online search behaviour in reflecting investor attention. Rutkowska and Kliber (2018) found that finance-related search intensity influenced investor sentiment in the U.S., while Swamy and Dharani (2019) showed that search volumes effectively predict short-term stock returns in India. Building on these findings, search data for terms like "</w:t>
      </w:r>
      <w:r>
        <w:rPr>
          <w:rFonts w:ascii="Arial" w:hAnsi="Arial" w:cs="Arial"/>
          <w:sz w:val="20"/>
          <w:szCs w:val="20"/>
        </w:rPr>
        <w:t>USA tariff</w:t>
      </w:r>
      <w:r w:rsidRPr="003154ED">
        <w:rPr>
          <w:rFonts w:ascii="Arial" w:hAnsi="Arial" w:cs="Arial"/>
          <w:sz w:val="20"/>
          <w:szCs w:val="20"/>
        </w:rPr>
        <w:t xml:space="preserve">," " </w:t>
      </w:r>
      <w:r>
        <w:rPr>
          <w:rFonts w:ascii="Arial" w:hAnsi="Arial" w:cs="Arial"/>
          <w:sz w:val="20"/>
          <w:szCs w:val="20"/>
        </w:rPr>
        <w:t>Tariff war</w:t>
      </w:r>
      <w:r w:rsidRPr="003154ED">
        <w:rPr>
          <w:rFonts w:ascii="Arial" w:hAnsi="Arial" w:cs="Arial"/>
          <w:sz w:val="20"/>
          <w:szCs w:val="20"/>
        </w:rPr>
        <w:t>," and "tariff impact India" were used to gauge investor response to the U.S. tariff announcement.</w:t>
      </w:r>
    </w:p>
    <w:p w14:paraId="718162D0" w14:textId="613A18E9" w:rsidR="00BA18C1" w:rsidRDefault="00BA18C1" w:rsidP="00BA18C1">
      <w:pPr>
        <w:jc w:val="both"/>
        <w:rPr>
          <w:rFonts w:ascii="Arial" w:hAnsi="Arial" w:cs="Arial"/>
          <w:sz w:val="20"/>
          <w:szCs w:val="20"/>
        </w:rPr>
      </w:pPr>
      <w:r w:rsidRPr="00F55DE6">
        <w:rPr>
          <w:rFonts w:ascii="Arial" w:hAnsi="Arial" w:cs="Arial"/>
          <w:sz w:val="20"/>
          <w:szCs w:val="20"/>
        </w:rPr>
        <w:lastRenderedPageBreak/>
        <w:t xml:space="preserve">As reported in Table </w:t>
      </w:r>
      <w:r>
        <w:rPr>
          <w:rFonts w:ascii="Arial" w:hAnsi="Arial" w:cs="Arial"/>
          <w:sz w:val="20"/>
          <w:szCs w:val="20"/>
        </w:rPr>
        <w:t>2</w:t>
      </w:r>
      <w:r w:rsidRPr="00F55DE6">
        <w:rPr>
          <w:rFonts w:ascii="Arial" w:hAnsi="Arial" w:cs="Arial"/>
          <w:sz w:val="20"/>
          <w:szCs w:val="20"/>
        </w:rPr>
        <w:t>, the average Google trend search value rose sharply in the 7-day post-announcement window from 1.17 (pre-event) to 35.21 (post-event), indicating a substantial surge in investor attention and concern immediately following the U.S. policy announcement. Similarly, for the 15-day window, sentiment remained elevated at 21.81, above the pre-event level of 1.77. Even over a 30-day horizon, post-event sentiment (12.96) was over five times higher than the baseline pre-event level (2.38).</w:t>
      </w:r>
    </w:p>
    <w:p w14:paraId="2390B7D5" w14:textId="0472332B" w:rsidR="00BA18C1" w:rsidRPr="00BA18C1" w:rsidRDefault="00BA18C1" w:rsidP="00BA18C1">
      <w:pPr>
        <w:jc w:val="center"/>
        <w:rPr>
          <w:rFonts w:ascii="Arial" w:hAnsi="Arial" w:cs="Arial"/>
          <w:b/>
          <w:bCs/>
          <w:sz w:val="20"/>
          <w:szCs w:val="20"/>
        </w:rPr>
      </w:pPr>
      <w:r w:rsidRPr="00BA18C1">
        <w:rPr>
          <w:rFonts w:ascii="Arial" w:hAnsi="Arial" w:cs="Arial"/>
          <w:b/>
          <w:bCs/>
          <w:sz w:val="20"/>
          <w:szCs w:val="20"/>
        </w:rPr>
        <w:t xml:space="preserve">Table 2: Average </w:t>
      </w:r>
      <w:r w:rsidRPr="00BA18C1">
        <w:rPr>
          <w:rFonts w:ascii="Arial" w:hAnsi="Arial" w:cs="Arial"/>
          <w:b/>
          <w:bCs/>
          <w:sz w:val="20"/>
          <w:szCs w:val="20"/>
        </w:rPr>
        <w:t xml:space="preserve">Google </w:t>
      </w:r>
      <w:r w:rsidRPr="00BA18C1">
        <w:rPr>
          <w:rFonts w:ascii="Arial" w:hAnsi="Arial" w:cs="Arial"/>
          <w:b/>
          <w:bCs/>
          <w:sz w:val="20"/>
          <w:szCs w:val="20"/>
        </w:rPr>
        <w:t>T</w:t>
      </w:r>
      <w:r w:rsidRPr="00BA18C1">
        <w:rPr>
          <w:rFonts w:ascii="Arial" w:hAnsi="Arial" w:cs="Arial"/>
          <w:b/>
          <w:bCs/>
          <w:sz w:val="20"/>
          <w:szCs w:val="20"/>
        </w:rPr>
        <w:t xml:space="preserve">rend </w:t>
      </w:r>
      <w:r w:rsidRPr="00BA18C1">
        <w:rPr>
          <w:rFonts w:ascii="Arial" w:hAnsi="Arial" w:cs="Arial"/>
          <w:b/>
          <w:bCs/>
          <w:sz w:val="20"/>
          <w:szCs w:val="20"/>
        </w:rPr>
        <w:t>S</w:t>
      </w:r>
      <w:r w:rsidRPr="00BA18C1">
        <w:rPr>
          <w:rFonts w:ascii="Arial" w:hAnsi="Arial" w:cs="Arial"/>
          <w:b/>
          <w:bCs/>
          <w:sz w:val="20"/>
          <w:szCs w:val="20"/>
        </w:rPr>
        <w:t>earch</w:t>
      </w:r>
    </w:p>
    <w:tbl>
      <w:tblPr>
        <w:tblStyle w:val="PlainTable2"/>
        <w:tblW w:w="0" w:type="auto"/>
        <w:tblInd w:w="1224" w:type="dxa"/>
        <w:tblLook w:val="04A0" w:firstRow="1" w:lastRow="0" w:firstColumn="1" w:lastColumn="0" w:noHBand="0" w:noVBand="1"/>
      </w:tblPr>
      <w:tblGrid>
        <w:gridCol w:w="1252"/>
        <w:gridCol w:w="2636"/>
        <w:gridCol w:w="2531"/>
      </w:tblGrid>
      <w:tr w:rsidR="00BA18C1" w:rsidRPr="00F55DE6" w14:paraId="753D89F2" w14:textId="77777777" w:rsidTr="00BA18C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52" w:type="dxa"/>
            <w:noWrap/>
            <w:hideMark/>
          </w:tcPr>
          <w:p w14:paraId="0BB8B0F0" w14:textId="77777777" w:rsidR="00BA18C1" w:rsidRPr="00F55DE6" w:rsidRDefault="00BA18C1" w:rsidP="00BA18C1">
            <w:pPr>
              <w:jc w:val="center"/>
              <w:rPr>
                <w:rFonts w:ascii="Arial" w:hAnsi="Arial" w:cs="Arial"/>
                <w:sz w:val="20"/>
                <w:szCs w:val="20"/>
              </w:rPr>
            </w:pPr>
          </w:p>
        </w:tc>
        <w:tc>
          <w:tcPr>
            <w:tcW w:w="2636" w:type="dxa"/>
            <w:noWrap/>
            <w:hideMark/>
          </w:tcPr>
          <w:p w14:paraId="4768A5E7" w14:textId="677A2FBE" w:rsidR="00BA18C1" w:rsidRPr="00F55DE6" w:rsidRDefault="00BA18C1" w:rsidP="00BA18C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531" w:type="dxa"/>
            <w:noWrap/>
            <w:hideMark/>
          </w:tcPr>
          <w:p w14:paraId="14B16A09" w14:textId="77777777" w:rsidR="00BA18C1" w:rsidRPr="00F55DE6" w:rsidRDefault="00BA18C1" w:rsidP="00BA18C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BA18C1" w:rsidRPr="00F55DE6" w14:paraId="6FBBADF2" w14:textId="77777777" w:rsidTr="00BA18C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52" w:type="dxa"/>
            <w:noWrap/>
            <w:hideMark/>
          </w:tcPr>
          <w:p w14:paraId="54E20F56" w14:textId="5AB42A2B" w:rsidR="00BA18C1" w:rsidRPr="00F55DE6" w:rsidRDefault="00BA18C1" w:rsidP="00BA18C1">
            <w:pPr>
              <w:jc w:val="center"/>
              <w:rPr>
                <w:rFonts w:ascii="Arial" w:hAnsi="Arial" w:cs="Arial"/>
                <w:sz w:val="20"/>
                <w:szCs w:val="20"/>
              </w:rPr>
            </w:pPr>
            <w:r w:rsidRPr="00F55DE6">
              <w:rPr>
                <w:rFonts w:ascii="Arial" w:hAnsi="Arial" w:cs="Arial"/>
                <w:sz w:val="20"/>
                <w:szCs w:val="20"/>
              </w:rPr>
              <w:t>Period</w:t>
            </w:r>
          </w:p>
        </w:tc>
        <w:tc>
          <w:tcPr>
            <w:tcW w:w="2636" w:type="dxa"/>
            <w:noWrap/>
            <w:hideMark/>
          </w:tcPr>
          <w:p w14:paraId="7F732AFC" w14:textId="4CC29A92" w:rsidR="00BA18C1" w:rsidRPr="00F55DE6" w:rsidRDefault="00BA18C1" w:rsidP="00BA18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5DE6">
              <w:rPr>
                <w:rFonts w:ascii="Arial" w:hAnsi="Arial" w:cs="Arial"/>
                <w:sz w:val="20"/>
                <w:szCs w:val="20"/>
              </w:rPr>
              <w:t>Pre announcement</w:t>
            </w:r>
          </w:p>
        </w:tc>
        <w:tc>
          <w:tcPr>
            <w:tcW w:w="2531" w:type="dxa"/>
            <w:noWrap/>
            <w:hideMark/>
          </w:tcPr>
          <w:p w14:paraId="0044F019" w14:textId="60B0C2E8" w:rsidR="00BA18C1" w:rsidRPr="00F55DE6" w:rsidRDefault="00BA18C1" w:rsidP="00BA18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5DE6">
              <w:rPr>
                <w:rFonts w:ascii="Arial" w:hAnsi="Arial" w:cs="Arial"/>
                <w:sz w:val="20"/>
                <w:szCs w:val="20"/>
              </w:rPr>
              <w:t>Post announcement</w:t>
            </w:r>
          </w:p>
        </w:tc>
      </w:tr>
      <w:tr w:rsidR="00BA18C1" w:rsidRPr="00F55DE6" w14:paraId="7C9AD989" w14:textId="77777777" w:rsidTr="00BA18C1">
        <w:trPr>
          <w:trHeight w:val="395"/>
        </w:trPr>
        <w:tc>
          <w:tcPr>
            <w:cnfStyle w:val="001000000000" w:firstRow="0" w:lastRow="0" w:firstColumn="1" w:lastColumn="0" w:oddVBand="0" w:evenVBand="0" w:oddHBand="0" w:evenHBand="0" w:firstRowFirstColumn="0" w:firstRowLastColumn="0" w:lastRowFirstColumn="0" w:lastRowLastColumn="0"/>
            <w:tcW w:w="1252" w:type="dxa"/>
            <w:noWrap/>
            <w:hideMark/>
          </w:tcPr>
          <w:p w14:paraId="0E0D05F8" w14:textId="77777777" w:rsidR="00BA18C1" w:rsidRPr="00F55DE6" w:rsidRDefault="00BA18C1" w:rsidP="00BA18C1">
            <w:pPr>
              <w:jc w:val="center"/>
              <w:rPr>
                <w:rFonts w:ascii="Arial" w:hAnsi="Arial" w:cs="Arial"/>
                <w:sz w:val="20"/>
                <w:szCs w:val="20"/>
              </w:rPr>
            </w:pPr>
            <w:r w:rsidRPr="00F55DE6">
              <w:rPr>
                <w:rFonts w:ascii="Arial" w:hAnsi="Arial" w:cs="Arial"/>
                <w:sz w:val="20"/>
                <w:szCs w:val="20"/>
              </w:rPr>
              <w:t>7 days</w:t>
            </w:r>
          </w:p>
        </w:tc>
        <w:tc>
          <w:tcPr>
            <w:tcW w:w="2636" w:type="dxa"/>
            <w:noWrap/>
            <w:hideMark/>
          </w:tcPr>
          <w:p w14:paraId="24AAAFEC" w14:textId="77777777" w:rsidR="00BA18C1" w:rsidRPr="00F55DE6" w:rsidRDefault="00BA18C1" w:rsidP="00BA18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5DE6">
              <w:rPr>
                <w:rFonts w:ascii="Arial" w:hAnsi="Arial" w:cs="Arial"/>
                <w:sz w:val="20"/>
                <w:szCs w:val="20"/>
              </w:rPr>
              <w:t>1.17</w:t>
            </w:r>
          </w:p>
        </w:tc>
        <w:tc>
          <w:tcPr>
            <w:tcW w:w="2531" w:type="dxa"/>
            <w:noWrap/>
            <w:hideMark/>
          </w:tcPr>
          <w:p w14:paraId="432BA662" w14:textId="77777777" w:rsidR="00BA18C1" w:rsidRPr="00F55DE6" w:rsidRDefault="00BA18C1" w:rsidP="00BA18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5DE6">
              <w:rPr>
                <w:rFonts w:ascii="Arial" w:hAnsi="Arial" w:cs="Arial"/>
                <w:sz w:val="20"/>
                <w:szCs w:val="20"/>
              </w:rPr>
              <w:t>35.21</w:t>
            </w:r>
          </w:p>
        </w:tc>
      </w:tr>
      <w:tr w:rsidR="00BA18C1" w:rsidRPr="00F55DE6" w14:paraId="7C310B36" w14:textId="77777777" w:rsidTr="00BA18C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52" w:type="dxa"/>
            <w:noWrap/>
            <w:hideMark/>
          </w:tcPr>
          <w:p w14:paraId="5B98581A" w14:textId="77777777" w:rsidR="00BA18C1" w:rsidRPr="00F55DE6" w:rsidRDefault="00BA18C1" w:rsidP="00BA18C1">
            <w:pPr>
              <w:jc w:val="center"/>
              <w:rPr>
                <w:rFonts w:ascii="Arial" w:hAnsi="Arial" w:cs="Arial"/>
                <w:sz w:val="20"/>
                <w:szCs w:val="20"/>
              </w:rPr>
            </w:pPr>
            <w:r w:rsidRPr="00F55DE6">
              <w:rPr>
                <w:rFonts w:ascii="Arial" w:hAnsi="Arial" w:cs="Arial"/>
                <w:sz w:val="20"/>
                <w:szCs w:val="20"/>
              </w:rPr>
              <w:t>15days</w:t>
            </w:r>
          </w:p>
        </w:tc>
        <w:tc>
          <w:tcPr>
            <w:tcW w:w="2636" w:type="dxa"/>
            <w:noWrap/>
            <w:hideMark/>
          </w:tcPr>
          <w:p w14:paraId="7E78B6AE" w14:textId="77777777" w:rsidR="00BA18C1" w:rsidRPr="00F55DE6" w:rsidRDefault="00BA18C1" w:rsidP="00BA18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5DE6">
              <w:rPr>
                <w:rFonts w:ascii="Arial" w:hAnsi="Arial" w:cs="Arial"/>
                <w:sz w:val="20"/>
                <w:szCs w:val="20"/>
              </w:rPr>
              <w:t>1.77</w:t>
            </w:r>
          </w:p>
        </w:tc>
        <w:tc>
          <w:tcPr>
            <w:tcW w:w="2531" w:type="dxa"/>
            <w:noWrap/>
            <w:hideMark/>
          </w:tcPr>
          <w:p w14:paraId="78053E39" w14:textId="77777777" w:rsidR="00BA18C1" w:rsidRPr="00F55DE6" w:rsidRDefault="00BA18C1" w:rsidP="00BA18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5DE6">
              <w:rPr>
                <w:rFonts w:ascii="Arial" w:hAnsi="Arial" w:cs="Arial"/>
                <w:sz w:val="20"/>
                <w:szCs w:val="20"/>
              </w:rPr>
              <w:t>21.81</w:t>
            </w:r>
          </w:p>
        </w:tc>
      </w:tr>
      <w:tr w:rsidR="00BA18C1" w:rsidRPr="00F55DE6" w14:paraId="25A3B183" w14:textId="77777777" w:rsidTr="00BA18C1">
        <w:trPr>
          <w:trHeight w:val="395"/>
        </w:trPr>
        <w:tc>
          <w:tcPr>
            <w:cnfStyle w:val="001000000000" w:firstRow="0" w:lastRow="0" w:firstColumn="1" w:lastColumn="0" w:oddVBand="0" w:evenVBand="0" w:oddHBand="0" w:evenHBand="0" w:firstRowFirstColumn="0" w:firstRowLastColumn="0" w:lastRowFirstColumn="0" w:lastRowLastColumn="0"/>
            <w:tcW w:w="1252" w:type="dxa"/>
            <w:noWrap/>
            <w:hideMark/>
          </w:tcPr>
          <w:p w14:paraId="00881639" w14:textId="78321F63" w:rsidR="00BA18C1" w:rsidRPr="00F55DE6" w:rsidRDefault="00BA18C1" w:rsidP="00BA18C1">
            <w:pPr>
              <w:jc w:val="center"/>
              <w:rPr>
                <w:rFonts w:ascii="Arial" w:hAnsi="Arial" w:cs="Arial"/>
                <w:sz w:val="20"/>
                <w:szCs w:val="20"/>
              </w:rPr>
            </w:pPr>
            <w:r w:rsidRPr="00F55DE6">
              <w:rPr>
                <w:rFonts w:ascii="Arial" w:hAnsi="Arial" w:cs="Arial"/>
                <w:sz w:val="20"/>
                <w:szCs w:val="20"/>
              </w:rPr>
              <w:t>30 days</w:t>
            </w:r>
          </w:p>
        </w:tc>
        <w:tc>
          <w:tcPr>
            <w:tcW w:w="2636" w:type="dxa"/>
            <w:noWrap/>
            <w:hideMark/>
          </w:tcPr>
          <w:p w14:paraId="7FC94911" w14:textId="77777777" w:rsidR="00BA18C1" w:rsidRPr="00F55DE6" w:rsidRDefault="00BA18C1" w:rsidP="00BA18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5DE6">
              <w:rPr>
                <w:rFonts w:ascii="Arial" w:hAnsi="Arial" w:cs="Arial"/>
                <w:sz w:val="20"/>
                <w:szCs w:val="20"/>
              </w:rPr>
              <w:t>2.38</w:t>
            </w:r>
          </w:p>
        </w:tc>
        <w:tc>
          <w:tcPr>
            <w:tcW w:w="2531" w:type="dxa"/>
            <w:noWrap/>
            <w:hideMark/>
          </w:tcPr>
          <w:p w14:paraId="68051280" w14:textId="77777777" w:rsidR="00BA18C1" w:rsidRPr="00F55DE6" w:rsidRDefault="00BA18C1" w:rsidP="00BA18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5DE6">
              <w:rPr>
                <w:rFonts w:ascii="Arial" w:hAnsi="Arial" w:cs="Arial"/>
                <w:sz w:val="20"/>
                <w:szCs w:val="20"/>
              </w:rPr>
              <w:t>12.96</w:t>
            </w:r>
          </w:p>
        </w:tc>
      </w:tr>
    </w:tbl>
    <w:p w14:paraId="2A80B677" w14:textId="76F557CF" w:rsidR="00BA18C1" w:rsidRPr="00EE00D8" w:rsidRDefault="00BA18C1" w:rsidP="00BA18C1">
      <w:pPr>
        <w:jc w:val="both"/>
        <w:rPr>
          <w:rFonts w:ascii="Arial" w:hAnsi="Arial" w:cs="Arial"/>
          <w:b/>
          <w:bCs/>
          <w:sz w:val="20"/>
          <w:szCs w:val="20"/>
        </w:rPr>
      </w:pPr>
      <w:r>
        <w:rPr>
          <w:rFonts w:ascii="Arial" w:hAnsi="Arial" w:cs="Arial"/>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Pr>
          <w:rFonts w:ascii="Arial" w:hAnsi="Arial" w:cs="Arial"/>
          <w:b/>
          <w:bCs/>
          <w:sz w:val="20"/>
          <w:szCs w:val="20"/>
          <w:lang w:val="en-US"/>
        </w:rPr>
        <w:t>Google</w:t>
      </w:r>
      <w:r>
        <w:rPr>
          <w:rFonts w:ascii="Arial" w:hAnsi="Arial" w:cs="Arial"/>
          <w:b/>
          <w:bCs/>
          <w:sz w:val="20"/>
          <w:szCs w:val="20"/>
          <w:lang w:val="en-US"/>
        </w:rPr>
        <w:t>)</w:t>
      </w:r>
    </w:p>
    <w:p w14:paraId="4390531A" w14:textId="7996CCC0" w:rsidR="00BA18C1" w:rsidRPr="0018182E" w:rsidRDefault="003154ED" w:rsidP="00BA18C1">
      <w:pPr>
        <w:jc w:val="both"/>
        <w:rPr>
          <w:rFonts w:ascii="Arial" w:hAnsi="Arial" w:cs="Arial"/>
          <w:sz w:val="20"/>
          <w:szCs w:val="20"/>
        </w:rPr>
      </w:pPr>
      <w:r w:rsidRPr="003154ED">
        <w:rPr>
          <w:rFonts w:ascii="Arial" w:hAnsi="Arial" w:cs="Arial"/>
          <w:sz w:val="20"/>
          <w:szCs w:val="20"/>
        </w:rPr>
        <w:t>The observed patterns in search behaviour align with theoretical expectations regarding information-driven behavioural responses. These sentiment shifts, when combined with return-based variance tests (Levene’s and Brown–Forsythe) and sectoral volatility analysis, offer robust evidence that the Indian stock market’s short-term volatility was behaviourally amplified in the aftermath of the U.S. policy shock</w:t>
      </w:r>
      <w:r w:rsidR="00BA18C1" w:rsidRPr="00F55DE6">
        <w:rPr>
          <w:rFonts w:ascii="Arial" w:hAnsi="Arial" w:cs="Arial"/>
          <w:sz w:val="20"/>
          <w:szCs w:val="20"/>
        </w:rPr>
        <w:t>.</w:t>
      </w:r>
    </w:p>
    <w:p w14:paraId="14910F0E" w14:textId="39F5BBB0" w:rsidR="0018182E" w:rsidRPr="0018182E" w:rsidRDefault="0018182E" w:rsidP="00B01A95">
      <w:pPr>
        <w:pStyle w:val="NormalWeb"/>
        <w:jc w:val="both"/>
        <w:rPr>
          <w:rFonts w:ascii="Arial" w:hAnsi="Arial" w:cs="Arial"/>
          <w:sz w:val="20"/>
          <w:szCs w:val="20"/>
        </w:rPr>
      </w:pPr>
      <w:r w:rsidRPr="0018182E">
        <w:rPr>
          <w:rFonts w:ascii="Arial" w:hAnsi="Arial" w:cs="Arial"/>
          <w:sz w:val="20"/>
          <w:szCs w:val="20"/>
        </w:rPr>
        <w:t>The volatility analysis process involves determining the time series characteristics of the data before conducting the analysis. The Augmented Dickey-Fuller (ADF) unit root test is used to determine the stationarity of the return series, which is crucial for accurate volatility comparisons. Diagnostic tests are then conducted to ensure the data approximates independent and identically distributed outcomes. The Durbin-Watson (DW) test is used to assess autocorrelation, with a Durbin-Watson number between 1.50 and 2.50 suggesting no significant autocorrelation.</w:t>
      </w:r>
    </w:p>
    <w:p w14:paraId="11EB8B4C" w14:textId="1B9D64C2" w:rsidR="00B01A95" w:rsidRDefault="0018182E" w:rsidP="00B01A95">
      <w:pPr>
        <w:pStyle w:val="NormalWeb"/>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r w:rsidRPr="0018182E">
        <w:rPr>
          <w:rFonts w:ascii="Arial" w:hAnsi="Arial" w:cs="Arial"/>
          <w:sz w:val="20"/>
          <w:szCs w:val="20"/>
        </w:rPr>
        <w:t>After verifying the stationary, independent, and identically distributed return series, the study examines whether return volatility increases significantly after the U.S.A. tariff announcement. The Shapiro-Wilk test results reveal that return data frequently deviates from normalcy, prompting the use of Levene's test and the Brown-Forsythe test. These tests measure each observation's absolute deviation from its group median and mean, making them ideal for datasets with outliers or skewed distributions. A significant test result indicates an increase in volatility, which suggests heightened investor uncertainty or reactive portfolio adjustments due to trade policy</w:t>
      </w:r>
      <w:r w:rsidR="002C49D4">
        <w:rPr>
          <w:rFonts w:ascii="Arial" w:hAnsi="Arial" w:cs="Arial"/>
          <w:sz w:val="20"/>
          <w:szCs w:val="20"/>
        </w:rPr>
        <w:t>.</w:t>
      </w:r>
      <w:r w:rsidR="00D12CA6">
        <w:rPr>
          <w:rFonts w:ascii="Arial" w:hAnsi="Arial" w:cs="Arial"/>
          <w:sz w:val="20"/>
          <w:szCs w:val="20"/>
        </w:rPr>
        <w:t xml:space="preserve"> </w:t>
      </w:r>
      <w:r w:rsidR="006F7264" w:rsidRPr="006F7264">
        <w:rPr>
          <w:rFonts w:ascii="Arial" w:hAnsi="Arial" w:cs="Arial"/>
          <w:sz w:val="20"/>
          <w:szCs w:val="20"/>
        </w:rPr>
        <w:t xml:space="preserve">All statistical analyses </w:t>
      </w:r>
      <w:r w:rsidR="002D17DD">
        <w:rPr>
          <w:rFonts w:ascii="Arial" w:hAnsi="Arial" w:cs="Arial"/>
          <w:sz w:val="20"/>
          <w:szCs w:val="20"/>
        </w:rPr>
        <w:t>have</w:t>
      </w:r>
      <w:r w:rsidR="006F7264" w:rsidRPr="006F7264">
        <w:rPr>
          <w:rFonts w:ascii="Arial" w:hAnsi="Arial" w:cs="Arial"/>
          <w:sz w:val="20"/>
          <w:szCs w:val="20"/>
        </w:rPr>
        <w:t xml:space="preserve"> conducted using R version 4.4.3</w:t>
      </w:r>
      <w:r w:rsidR="006F7264">
        <w:rPr>
          <w:rFonts w:ascii="Arial" w:hAnsi="Arial" w:cs="Arial"/>
          <w:sz w:val="20"/>
          <w:szCs w:val="20"/>
        </w:rPr>
        <w:t>.</w:t>
      </w:r>
    </w:p>
    <w:p w14:paraId="683C2482" w14:textId="503FBA42" w:rsidR="008F14A3" w:rsidRDefault="00217AC9" w:rsidP="008F14A3">
      <w:pPr>
        <w:rPr>
          <w:rFonts w:ascii="Arial" w:hAnsi="Arial" w:cs="Arial"/>
          <w:b/>
          <w:bCs/>
        </w:rPr>
      </w:pPr>
      <w:r>
        <w:rPr>
          <w:rFonts w:ascii="Arial" w:hAnsi="Arial" w:cs="Arial"/>
          <w:b/>
          <w:bCs/>
        </w:rPr>
        <w:t>5</w:t>
      </w:r>
      <w:r w:rsidR="00F55B50">
        <w:rPr>
          <w:rFonts w:ascii="Arial" w:hAnsi="Arial" w:cs="Arial"/>
          <w:b/>
          <w:bCs/>
        </w:rPr>
        <w:t>.</w:t>
      </w:r>
      <w:r w:rsidR="00F55B50" w:rsidRPr="00B06D4C">
        <w:rPr>
          <w:rFonts w:ascii="Arial" w:hAnsi="Arial" w:cs="Arial"/>
          <w:b/>
          <w:bCs/>
        </w:rPr>
        <w:t>RESULT AND DISCUSSION:</w:t>
      </w:r>
    </w:p>
    <w:p w14:paraId="6FEEC514" w14:textId="77777777" w:rsidR="00D12CA6" w:rsidRDefault="00D12CA6" w:rsidP="008F14A3">
      <w:pPr>
        <w:rPr>
          <w:rFonts w:ascii="Arial" w:hAnsi="Arial" w:cs="Arial"/>
          <w:b/>
          <w:bCs/>
          <w:sz w:val="20"/>
          <w:szCs w:val="20"/>
        </w:rPr>
      </w:pPr>
    </w:p>
    <w:p w14:paraId="25A931A3" w14:textId="0AFEE6F4" w:rsidR="00F55B50" w:rsidRPr="00B06D4C" w:rsidRDefault="00217AC9" w:rsidP="008F14A3">
      <w:pPr>
        <w:rPr>
          <w:rFonts w:ascii="Arial" w:hAnsi="Arial" w:cs="Arial"/>
          <w:b/>
          <w:bCs/>
        </w:rPr>
      </w:pPr>
      <w:r>
        <w:rPr>
          <w:rFonts w:ascii="Arial" w:hAnsi="Arial" w:cs="Arial"/>
          <w:b/>
          <w:bCs/>
          <w:sz w:val="20"/>
          <w:szCs w:val="20"/>
        </w:rPr>
        <w:t>5</w:t>
      </w:r>
      <w:r w:rsidR="00F55B50">
        <w:rPr>
          <w:rFonts w:ascii="Arial" w:hAnsi="Arial" w:cs="Arial"/>
          <w:b/>
          <w:bCs/>
          <w:sz w:val="20"/>
          <w:szCs w:val="20"/>
        </w:rPr>
        <w:t xml:space="preserve">.1 </w:t>
      </w:r>
      <w:r w:rsidR="00F55B50" w:rsidRPr="00B06D4C">
        <w:rPr>
          <w:rFonts w:ascii="Arial" w:hAnsi="Arial" w:cs="Arial"/>
          <w:b/>
          <w:bCs/>
          <w:sz w:val="20"/>
          <w:szCs w:val="20"/>
        </w:rPr>
        <w:t>Descriptive Statistics</w:t>
      </w:r>
    </w:p>
    <w:p w14:paraId="369FEA1D" w14:textId="0DAF413B" w:rsidR="00B06D4C" w:rsidRPr="00B06D4C" w:rsidRDefault="00B06D4C" w:rsidP="00F55B50">
      <w:pPr>
        <w:jc w:val="center"/>
        <w:rPr>
          <w:rFonts w:ascii="Arial" w:hAnsi="Arial" w:cs="Arial"/>
          <w:b/>
          <w:bCs/>
          <w:sz w:val="20"/>
          <w:szCs w:val="20"/>
        </w:rPr>
      </w:pPr>
      <w:r w:rsidRPr="00B06D4C">
        <w:rPr>
          <w:rFonts w:ascii="Arial" w:hAnsi="Arial" w:cs="Arial"/>
          <w:b/>
          <w:bCs/>
          <w:sz w:val="20"/>
          <w:szCs w:val="20"/>
        </w:rPr>
        <w:t xml:space="preserve">Table </w:t>
      </w:r>
      <w:r w:rsidR="005D0166">
        <w:rPr>
          <w:rFonts w:ascii="Arial" w:hAnsi="Arial" w:cs="Arial"/>
          <w:b/>
          <w:bCs/>
          <w:sz w:val="20"/>
          <w:szCs w:val="20"/>
        </w:rPr>
        <w:t>3</w:t>
      </w:r>
      <w:r w:rsidRPr="00B06D4C">
        <w:rPr>
          <w:rFonts w:ascii="Arial" w:hAnsi="Arial" w:cs="Arial"/>
          <w:b/>
          <w:bCs/>
          <w:sz w:val="20"/>
          <w:szCs w:val="20"/>
        </w:rPr>
        <w:t xml:space="preserve">: </w:t>
      </w:r>
      <w:r w:rsidR="00F55B50" w:rsidRPr="00B06D4C">
        <w:rPr>
          <w:rFonts w:ascii="Arial" w:hAnsi="Arial" w:cs="Arial"/>
          <w:b/>
          <w:bCs/>
          <w:sz w:val="20"/>
          <w:szCs w:val="20"/>
        </w:rPr>
        <w:t xml:space="preserve">Descriptive Statistics </w:t>
      </w:r>
      <w:r w:rsidR="00F55B50">
        <w:rPr>
          <w:rFonts w:ascii="Arial" w:hAnsi="Arial" w:cs="Arial"/>
          <w:b/>
          <w:bCs/>
          <w:sz w:val="20"/>
          <w:szCs w:val="20"/>
        </w:rPr>
        <w:t xml:space="preserve">of Sectoral Indices </w:t>
      </w:r>
      <w:r w:rsidR="00F55B50" w:rsidRPr="00B06D4C">
        <w:rPr>
          <w:rFonts w:ascii="Arial" w:hAnsi="Arial" w:cs="Arial"/>
          <w:b/>
          <w:bCs/>
          <w:sz w:val="20"/>
          <w:szCs w:val="20"/>
        </w:rPr>
        <w:t>Pre- and Post-</w:t>
      </w:r>
      <w:r w:rsidR="00F55B50">
        <w:rPr>
          <w:rFonts w:ascii="Arial" w:hAnsi="Arial" w:cs="Arial"/>
          <w:b/>
          <w:bCs/>
          <w:sz w:val="20"/>
          <w:szCs w:val="20"/>
        </w:rPr>
        <w:t>U.</w:t>
      </w:r>
      <w:proofErr w:type="gramStart"/>
      <w:r w:rsidR="00F55B50">
        <w:rPr>
          <w:rFonts w:ascii="Arial" w:hAnsi="Arial" w:cs="Arial"/>
          <w:b/>
          <w:bCs/>
          <w:sz w:val="20"/>
          <w:szCs w:val="20"/>
        </w:rPr>
        <w:t>S.A</w:t>
      </w:r>
      <w:proofErr w:type="gramEnd"/>
      <w:r w:rsidR="00F55B50" w:rsidRPr="00B06D4C">
        <w:rPr>
          <w:rFonts w:ascii="Arial" w:hAnsi="Arial" w:cs="Arial"/>
          <w:b/>
          <w:bCs/>
          <w:sz w:val="20"/>
          <w:szCs w:val="20"/>
        </w:rPr>
        <w:t xml:space="preserve"> Tariff Announcement</w:t>
      </w:r>
      <w:r w:rsidR="00F55B50">
        <w:rPr>
          <w:rFonts w:ascii="Arial" w:hAnsi="Arial" w:cs="Arial"/>
          <w:b/>
          <w:bCs/>
          <w:sz w:val="20"/>
          <w:szCs w:val="20"/>
        </w:rPr>
        <w:t xml:space="preserve"> (15 Days)</w:t>
      </w:r>
    </w:p>
    <w:tbl>
      <w:tblPr>
        <w:tblStyle w:val="PlainTable2"/>
        <w:tblW w:w="11248" w:type="dxa"/>
        <w:tblInd w:w="-1107" w:type="dxa"/>
        <w:tblLook w:val="04A0" w:firstRow="1" w:lastRow="0" w:firstColumn="1" w:lastColumn="0" w:noHBand="0" w:noVBand="1"/>
      </w:tblPr>
      <w:tblGrid>
        <w:gridCol w:w="1701"/>
        <w:gridCol w:w="1060"/>
        <w:gridCol w:w="1316"/>
        <w:gridCol w:w="1405"/>
        <w:gridCol w:w="895"/>
        <w:gridCol w:w="1115"/>
        <w:gridCol w:w="839"/>
        <w:gridCol w:w="1239"/>
        <w:gridCol w:w="839"/>
        <w:gridCol w:w="839"/>
      </w:tblGrid>
      <w:tr w:rsidR="00D83F49" w:rsidRPr="00ED530C" w14:paraId="303CB8EB" w14:textId="77777777" w:rsidTr="00D83F4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5168F80" w14:textId="7FD31C00" w:rsidR="00D83F49" w:rsidRPr="00ED530C" w:rsidRDefault="00B06D4C" w:rsidP="0094059A">
            <w:pPr>
              <w:jc w:val="center"/>
              <w:rPr>
                <w:rFonts w:ascii="Arial" w:hAnsi="Arial" w:cs="Arial"/>
                <w:sz w:val="20"/>
                <w:szCs w:val="20"/>
              </w:rPr>
            </w:pPr>
            <w:r w:rsidRPr="00ED530C">
              <w:rPr>
                <w:rFonts w:ascii="Arial" w:hAnsi="Arial" w:cs="Arial"/>
                <w:sz w:val="20"/>
                <w:szCs w:val="20"/>
              </w:rPr>
              <w:t>Sector</w:t>
            </w:r>
          </w:p>
        </w:tc>
        <w:tc>
          <w:tcPr>
            <w:tcW w:w="1294" w:type="dxa"/>
          </w:tcPr>
          <w:p w14:paraId="7F706D7C" w14:textId="0690099B"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 50</w:t>
            </w:r>
          </w:p>
        </w:tc>
        <w:tc>
          <w:tcPr>
            <w:tcW w:w="1294" w:type="dxa"/>
            <w:noWrap/>
            <w:hideMark/>
          </w:tcPr>
          <w:p w14:paraId="4D8BDB45" w14:textId="045D0409"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Automobile Sector</w:t>
            </w:r>
          </w:p>
        </w:tc>
        <w:tc>
          <w:tcPr>
            <w:tcW w:w="1405" w:type="dxa"/>
            <w:noWrap/>
            <w:hideMark/>
          </w:tcPr>
          <w:p w14:paraId="0967D001" w14:textId="791091DE"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Consumer Durable Sector</w:t>
            </w:r>
          </w:p>
        </w:tc>
        <w:tc>
          <w:tcPr>
            <w:tcW w:w="838" w:type="dxa"/>
            <w:noWrap/>
            <w:hideMark/>
          </w:tcPr>
          <w:p w14:paraId="6EA37334" w14:textId="35824C87"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Energy Sector</w:t>
            </w:r>
          </w:p>
        </w:tc>
        <w:tc>
          <w:tcPr>
            <w:tcW w:w="1115" w:type="dxa"/>
            <w:noWrap/>
            <w:hideMark/>
          </w:tcPr>
          <w:p w14:paraId="0F877E9D" w14:textId="47A04AC4"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Financial Services Sector</w:t>
            </w:r>
          </w:p>
        </w:tc>
        <w:tc>
          <w:tcPr>
            <w:tcW w:w="796" w:type="dxa"/>
            <w:noWrap/>
            <w:hideMark/>
          </w:tcPr>
          <w:p w14:paraId="5C111617" w14:textId="08069EC8"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FMCG Sector</w:t>
            </w:r>
          </w:p>
        </w:tc>
        <w:tc>
          <w:tcPr>
            <w:tcW w:w="1209" w:type="dxa"/>
            <w:noWrap/>
            <w:hideMark/>
          </w:tcPr>
          <w:p w14:paraId="16894E05" w14:textId="6376570D"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Healthcare Sector</w:t>
            </w:r>
          </w:p>
        </w:tc>
        <w:tc>
          <w:tcPr>
            <w:tcW w:w="796" w:type="dxa"/>
            <w:noWrap/>
            <w:hideMark/>
          </w:tcPr>
          <w:p w14:paraId="2C82CB3E" w14:textId="06425F27"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IT Sector</w:t>
            </w:r>
          </w:p>
        </w:tc>
        <w:tc>
          <w:tcPr>
            <w:tcW w:w="800" w:type="dxa"/>
            <w:noWrap/>
            <w:hideMark/>
          </w:tcPr>
          <w:p w14:paraId="30BBD08F" w14:textId="7BF78ACB"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Media Sector</w:t>
            </w:r>
          </w:p>
        </w:tc>
      </w:tr>
      <w:tr w:rsidR="00D83F49" w:rsidRPr="00ED530C" w14:paraId="55B94C28" w14:textId="77777777" w:rsidTr="00D83F4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687CDAD"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Mean</w:t>
            </w:r>
          </w:p>
          <w:p w14:paraId="6613EBD2" w14:textId="63F5F0E8" w:rsidR="00D83F49" w:rsidRPr="00ED530C" w:rsidRDefault="00D83F49" w:rsidP="0094059A">
            <w:pPr>
              <w:jc w:val="center"/>
              <w:rPr>
                <w:rFonts w:ascii="Arial" w:hAnsi="Arial" w:cs="Arial"/>
                <w:b w:val="0"/>
                <w:bCs w:val="0"/>
                <w:sz w:val="20"/>
                <w:szCs w:val="20"/>
              </w:rPr>
            </w:pPr>
            <w:r w:rsidRPr="00ED530C">
              <w:rPr>
                <w:rFonts w:ascii="Arial" w:hAnsi="Arial" w:cs="Arial"/>
                <w:sz w:val="20"/>
                <w:szCs w:val="20"/>
              </w:rPr>
              <w:t xml:space="preserve">7 days </w:t>
            </w:r>
            <w:r w:rsidR="00B06D4C" w:rsidRPr="00ED530C">
              <w:rPr>
                <w:rFonts w:ascii="Arial" w:hAnsi="Arial" w:cs="Arial"/>
                <w:sz w:val="20"/>
                <w:szCs w:val="20"/>
              </w:rPr>
              <w:t>Pre</w:t>
            </w:r>
            <w:r w:rsidRPr="00ED530C">
              <w:rPr>
                <w:rFonts w:ascii="Arial" w:hAnsi="Arial" w:cs="Arial"/>
                <w:sz w:val="20"/>
                <w:szCs w:val="20"/>
              </w:rPr>
              <w:t xml:space="preserve"> </w:t>
            </w:r>
          </w:p>
          <w:p w14:paraId="2C555DEE" w14:textId="05604349" w:rsidR="00D83F49" w:rsidRPr="00ED530C" w:rsidRDefault="00D83F49" w:rsidP="0094059A">
            <w:pPr>
              <w:jc w:val="center"/>
              <w:rPr>
                <w:rFonts w:ascii="Arial" w:hAnsi="Arial" w:cs="Arial"/>
                <w:b w:val="0"/>
                <w:bCs w:val="0"/>
                <w:sz w:val="20"/>
                <w:szCs w:val="20"/>
              </w:rPr>
            </w:pPr>
            <w:r w:rsidRPr="00ED530C">
              <w:rPr>
                <w:rFonts w:ascii="Arial" w:hAnsi="Arial" w:cs="Arial"/>
                <w:sz w:val="20"/>
                <w:szCs w:val="20"/>
              </w:rPr>
              <w:t xml:space="preserve">7 days </w:t>
            </w:r>
            <w:r w:rsidR="00B06D4C" w:rsidRPr="00ED530C">
              <w:rPr>
                <w:rFonts w:ascii="Arial" w:hAnsi="Arial" w:cs="Arial"/>
                <w:sz w:val="20"/>
                <w:szCs w:val="20"/>
              </w:rPr>
              <w:t>Post</w:t>
            </w:r>
          </w:p>
          <w:p w14:paraId="248EE757" w14:textId="3455E2A3" w:rsidR="00D83F49" w:rsidRPr="00ED530C" w:rsidRDefault="00D83F49" w:rsidP="0094059A">
            <w:pPr>
              <w:jc w:val="center"/>
              <w:rPr>
                <w:rFonts w:ascii="Arial" w:hAnsi="Arial" w:cs="Arial"/>
                <w:sz w:val="20"/>
                <w:szCs w:val="20"/>
              </w:rPr>
            </w:pPr>
            <w:r w:rsidRPr="00ED530C">
              <w:rPr>
                <w:rFonts w:ascii="Arial" w:hAnsi="Arial" w:cs="Arial"/>
                <w:sz w:val="20"/>
                <w:szCs w:val="20"/>
              </w:rPr>
              <w:t>14 days Overall</w:t>
            </w:r>
          </w:p>
        </w:tc>
        <w:tc>
          <w:tcPr>
            <w:tcW w:w="1294" w:type="dxa"/>
          </w:tcPr>
          <w:p w14:paraId="7F4AAFE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BE04A1" w14:textId="35C44D82" w:rsidR="00917261" w:rsidRPr="00ED530C" w:rsidRDefault="00917261" w:rsidP="009172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6D040230" w14:textId="0B65B1A9" w:rsidR="00D83F49"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09075804" w14:textId="53EDDBCD" w:rsidR="00D83F49"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0.05</w:t>
            </w:r>
          </w:p>
        </w:tc>
        <w:tc>
          <w:tcPr>
            <w:tcW w:w="1294" w:type="dxa"/>
            <w:noWrap/>
            <w:hideMark/>
          </w:tcPr>
          <w:p w14:paraId="067BE4F7" w14:textId="1725324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588865" w14:textId="582B24D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p w14:paraId="30EFB180" w14:textId="23A62680"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-0.08</w:t>
            </w:r>
          </w:p>
          <w:p w14:paraId="194DB186" w14:textId="6A754BF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tc>
        <w:tc>
          <w:tcPr>
            <w:tcW w:w="1405" w:type="dxa"/>
            <w:noWrap/>
            <w:hideMark/>
          </w:tcPr>
          <w:p w14:paraId="2353AFC0"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B482D99" w14:textId="4811799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-0.70</w:t>
            </w:r>
          </w:p>
          <w:p w14:paraId="2F81D5C9" w14:textId="38264E9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0.49</w:t>
            </w:r>
          </w:p>
          <w:p w14:paraId="54A02F01" w14:textId="5B0A26D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tc>
        <w:tc>
          <w:tcPr>
            <w:tcW w:w="838" w:type="dxa"/>
            <w:noWrap/>
            <w:hideMark/>
          </w:tcPr>
          <w:p w14:paraId="6B5B2F25"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4DC304" w14:textId="39560FF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1950AB8C" w14:textId="225D5D81"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20382497" w14:textId="0B3F5FF3"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tc>
        <w:tc>
          <w:tcPr>
            <w:tcW w:w="1115" w:type="dxa"/>
            <w:noWrap/>
            <w:hideMark/>
          </w:tcPr>
          <w:p w14:paraId="796BD1A9"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EE5867" w14:textId="1CB3B7A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3340A156" w14:textId="5089492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0.32</w:t>
            </w:r>
          </w:p>
          <w:p w14:paraId="24E06590" w14:textId="00C2263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tc>
        <w:tc>
          <w:tcPr>
            <w:tcW w:w="796" w:type="dxa"/>
            <w:noWrap/>
            <w:hideMark/>
          </w:tcPr>
          <w:p w14:paraId="57BD0431"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006C08" w14:textId="20B8744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p w14:paraId="70FF57D2" w14:textId="6E8F0BAF"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0.58</w:t>
            </w:r>
          </w:p>
          <w:p w14:paraId="4FA4FB56" w14:textId="743D5C00"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0.38</w:t>
            </w:r>
          </w:p>
        </w:tc>
        <w:tc>
          <w:tcPr>
            <w:tcW w:w="1209" w:type="dxa"/>
            <w:noWrap/>
            <w:hideMark/>
          </w:tcPr>
          <w:p w14:paraId="35414363"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9276E2" w14:textId="677D97C5"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-0.36</w:t>
            </w:r>
          </w:p>
          <w:p w14:paraId="6CADC996" w14:textId="67F6D26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074AEAA9" w14:textId="69E7622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tc>
        <w:tc>
          <w:tcPr>
            <w:tcW w:w="796" w:type="dxa"/>
            <w:noWrap/>
            <w:hideMark/>
          </w:tcPr>
          <w:p w14:paraId="4F7DF558"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32FC8D" w14:textId="7CE40A9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p w14:paraId="04A6C60E" w14:textId="13B324E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-1.20</w:t>
            </w:r>
          </w:p>
          <w:p w14:paraId="601915C2" w14:textId="6D0F727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-0.63</w:t>
            </w:r>
          </w:p>
        </w:tc>
        <w:tc>
          <w:tcPr>
            <w:tcW w:w="800" w:type="dxa"/>
            <w:noWrap/>
            <w:hideMark/>
          </w:tcPr>
          <w:p w14:paraId="2038170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3E2FBF" w14:textId="43F0548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p w14:paraId="5573B2C5" w14:textId="297980F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0.33</w:t>
            </w:r>
          </w:p>
          <w:p w14:paraId="3D648E71" w14:textId="2ABAA5B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r>
      <w:tr w:rsidR="00D83F49" w:rsidRPr="00ED530C" w14:paraId="727EB490" w14:textId="77777777" w:rsidTr="00D83F49">
        <w:trPr>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CF41368"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Maximum</w:t>
            </w:r>
          </w:p>
          <w:p w14:paraId="708516DC"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3CCAEEB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0778D978" w14:textId="50346819" w:rsidR="00D83F49" w:rsidRPr="00ED530C" w:rsidRDefault="00B06D4C" w:rsidP="00B06D4C">
            <w:pPr>
              <w:jc w:val="center"/>
              <w:rPr>
                <w:rFonts w:ascii="Arial" w:hAnsi="Arial" w:cs="Arial"/>
                <w:sz w:val="20"/>
                <w:szCs w:val="20"/>
              </w:rPr>
            </w:pPr>
            <w:r w:rsidRPr="00ED530C">
              <w:rPr>
                <w:rFonts w:ascii="Arial" w:hAnsi="Arial" w:cs="Arial"/>
                <w:sz w:val="20"/>
                <w:szCs w:val="20"/>
              </w:rPr>
              <w:lastRenderedPageBreak/>
              <w:t>14 days Overall</w:t>
            </w:r>
          </w:p>
        </w:tc>
        <w:tc>
          <w:tcPr>
            <w:tcW w:w="1294" w:type="dxa"/>
          </w:tcPr>
          <w:p w14:paraId="70B6DA9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6E7639"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p w14:paraId="3C0DB364"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2.19</w:t>
            </w:r>
          </w:p>
          <w:p w14:paraId="14749A72" w14:textId="6EEB72B6"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2.19</w:t>
            </w:r>
          </w:p>
        </w:tc>
        <w:tc>
          <w:tcPr>
            <w:tcW w:w="1294" w:type="dxa"/>
            <w:noWrap/>
            <w:hideMark/>
          </w:tcPr>
          <w:p w14:paraId="21FA3DBE" w14:textId="4C848F2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0EA1F4" w14:textId="7D86A35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0.84</w:t>
            </w:r>
          </w:p>
          <w:p w14:paraId="2E4C05E3" w14:textId="165B57E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3.39</w:t>
            </w:r>
          </w:p>
          <w:p w14:paraId="423B971A" w14:textId="1D67B30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3.39</w:t>
            </w:r>
          </w:p>
        </w:tc>
        <w:tc>
          <w:tcPr>
            <w:tcW w:w="1405" w:type="dxa"/>
            <w:noWrap/>
            <w:hideMark/>
          </w:tcPr>
          <w:p w14:paraId="2CD88D03"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14082A" w14:textId="46B122A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0.67</w:t>
            </w:r>
          </w:p>
          <w:p w14:paraId="7DEC4EDE" w14:textId="0C37064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0320975E" w14:textId="2E89F79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3.19</w:t>
            </w:r>
          </w:p>
        </w:tc>
        <w:tc>
          <w:tcPr>
            <w:tcW w:w="838" w:type="dxa"/>
            <w:noWrap/>
            <w:hideMark/>
          </w:tcPr>
          <w:p w14:paraId="3DDCA091"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C4FC5A4" w14:textId="09BD822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1.44</w:t>
            </w:r>
          </w:p>
          <w:p w14:paraId="73B075AE" w14:textId="66E4293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p w14:paraId="145B993D" w14:textId="4B5E174B"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2.70</w:t>
            </w:r>
          </w:p>
        </w:tc>
        <w:tc>
          <w:tcPr>
            <w:tcW w:w="1115" w:type="dxa"/>
            <w:noWrap/>
            <w:hideMark/>
          </w:tcPr>
          <w:p w14:paraId="0E7221E0"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02A2F99" w14:textId="4B505F4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27EC32CC" w14:textId="792F6DF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2.95</w:t>
            </w:r>
          </w:p>
          <w:p w14:paraId="19127376" w14:textId="3D70B56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2.95</w:t>
            </w:r>
          </w:p>
        </w:tc>
        <w:tc>
          <w:tcPr>
            <w:tcW w:w="796" w:type="dxa"/>
            <w:noWrap/>
            <w:hideMark/>
          </w:tcPr>
          <w:p w14:paraId="16EEDAC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42DA36" w14:textId="76DE3FE6"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0.59</w:t>
            </w:r>
          </w:p>
          <w:p w14:paraId="4C192A2D" w14:textId="65C7C8D0"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73E4261E" w14:textId="7EBA4C9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1.99</w:t>
            </w:r>
          </w:p>
        </w:tc>
        <w:tc>
          <w:tcPr>
            <w:tcW w:w="1209" w:type="dxa"/>
            <w:noWrap/>
            <w:hideMark/>
          </w:tcPr>
          <w:p w14:paraId="0A776AB8"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FAB0C7" w14:textId="4D78A74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1.39</w:t>
            </w:r>
          </w:p>
          <w:p w14:paraId="25EBF052" w14:textId="5B6D90C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1.98</w:t>
            </w:r>
          </w:p>
          <w:p w14:paraId="12974C34" w14:textId="745CC48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1.98</w:t>
            </w:r>
          </w:p>
        </w:tc>
        <w:tc>
          <w:tcPr>
            <w:tcW w:w="796" w:type="dxa"/>
            <w:noWrap/>
            <w:hideMark/>
          </w:tcPr>
          <w:p w14:paraId="5D151AB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9FCED7" w14:textId="46276C0F"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14F65685" w14:textId="3C1B4A3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1.76</w:t>
            </w:r>
          </w:p>
          <w:p w14:paraId="515331BE" w14:textId="21CEC8B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1.76</w:t>
            </w:r>
          </w:p>
        </w:tc>
        <w:tc>
          <w:tcPr>
            <w:tcW w:w="800" w:type="dxa"/>
            <w:noWrap/>
            <w:hideMark/>
          </w:tcPr>
          <w:p w14:paraId="4DC30AEA"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82D642" w14:textId="779B514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2.24</w:t>
            </w:r>
          </w:p>
          <w:p w14:paraId="600D6DF5" w14:textId="7B68E56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p w14:paraId="7FA83178" w14:textId="2862596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lastRenderedPageBreak/>
              <w:t>4.72</w:t>
            </w:r>
          </w:p>
        </w:tc>
      </w:tr>
      <w:tr w:rsidR="00D83F49" w:rsidRPr="00ED530C" w14:paraId="2499D661" w14:textId="77777777" w:rsidTr="00D83F4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6FB6030"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lastRenderedPageBreak/>
              <w:t>Minimum</w:t>
            </w:r>
          </w:p>
          <w:p w14:paraId="2C4A0627"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2EDAD54B"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01E1EEC7" w14:textId="1C3570E5"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1294" w:type="dxa"/>
          </w:tcPr>
          <w:p w14:paraId="66A17F8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A44A99" w14:textId="77777777"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-1.50</w:t>
            </w:r>
          </w:p>
          <w:p w14:paraId="233C3449" w14:textId="77777777"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6CF242DC" w14:textId="62DDC74F"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294" w:type="dxa"/>
            <w:noWrap/>
            <w:hideMark/>
          </w:tcPr>
          <w:p w14:paraId="05884967" w14:textId="5855C1A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E17B0D7" w14:textId="6655EE1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-1.04</w:t>
            </w:r>
          </w:p>
          <w:p w14:paraId="0583366A" w14:textId="1CD47773"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53920283" w14:textId="3DE7ED31"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1405" w:type="dxa"/>
            <w:noWrap/>
            <w:hideMark/>
          </w:tcPr>
          <w:p w14:paraId="3CC91978"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4618A7" w14:textId="68711E3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-2.50</w:t>
            </w:r>
          </w:p>
          <w:p w14:paraId="485B916D" w14:textId="66CBC01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p w14:paraId="23773A9A" w14:textId="422CB65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tc>
        <w:tc>
          <w:tcPr>
            <w:tcW w:w="838" w:type="dxa"/>
            <w:noWrap/>
            <w:hideMark/>
          </w:tcPr>
          <w:p w14:paraId="4353C28C"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7FAADD" w14:textId="7A60007F"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-1.33</w:t>
            </w:r>
          </w:p>
          <w:p w14:paraId="4DBA53B2" w14:textId="44FC431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p w14:paraId="300FFCB7" w14:textId="1BCACA29"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tc>
        <w:tc>
          <w:tcPr>
            <w:tcW w:w="1115" w:type="dxa"/>
            <w:noWrap/>
            <w:hideMark/>
          </w:tcPr>
          <w:p w14:paraId="4FA02624"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095FED" w14:textId="1BA8447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-2.18</w:t>
            </w:r>
          </w:p>
          <w:p w14:paraId="61F7FE62" w14:textId="22E97868"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-3.49</w:t>
            </w:r>
          </w:p>
          <w:p w14:paraId="705EB8FE" w14:textId="36B1E70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-3.49</w:t>
            </w:r>
          </w:p>
        </w:tc>
        <w:tc>
          <w:tcPr>
            <w:tcW w:w="796" w:type="dxa"/>
            <w:noWrap/>
            <w:hideMark/>
          </w:tcPr>
          <w:p w14:paraId="6F42EB2C"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563A6E" w14:textId="0AAD26F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-0.91</w:t>
            </w:r>
          </w:p>
          <w:p w14:paraId="2BEDD314" w14:textId="29426AF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p w14:paraId="7CEBD12B" w14:textId="5A0C7B9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tc>
        <w:tc>
          <w:tcPr>
            <w:tcW w:w="1209" w:type="dxa"/>
            <w:noWrap/>
            <w:hideMark/>
          </w:tcPr>
          <w:p w14:paraId="5B8EABE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C90B04" w14:textId="227CE70B"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-1.51</w:t>
            </w:r>
          </w:p>
          <w:p w14:paraId="34A3BD51" w14:textId="793A0F1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p w14:paraId="7DC46A36" w14:textId="6EB86FB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tc>
        <w:tc>
          <w:tcPr>
            <w:tcW w:w="796" w:type="dxa"/>
            <w:noWrap/>
            <w:hideMark/>
          </w:tcPr>
          <w:p w14:paraId="6FF43552"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BE1389" w14:textId="6BB4F929"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-2.45</w:t>
            </w:r>
          </w:p>
          <w:p w14:paraId="2E073445" w14:textId="4AD53F9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p w14:paraId="732B82BD" w14:textId="6A00714B"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tc>
        <w:tc>
          <w:tcPr>
            <w:tcW w:w="800" w:type="dxa"/>
            <w:noWrap/>
            <w:hideMark/>
          </w:tcPr>
          <w:p w14:paraId="58D167E1"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704FD88" w14:textId="04AC5ED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-2.40</w:t>
            </w:r>
          </w:p>
          <w:p w14:paraId="6309E257" w14:textId="55F54FB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p w14:paraId="674386DE" w14:textId="357EF85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tc>
      </w:tr>
      <w:tr w:rsidR="00D83F49" w:rsidRPr="00ED530C" w14:paraId="5884B5EB" w14:textId="77777777" w:rsidTr="00D83F49">
        <w:trPr>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BBC758C"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Std. Dev.</w:t>
            </w:r>
          </w:p>
          <w:p w14:paraId="217A5EA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6E8DB090"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3CC21803" w14:textId="4CBB6F3C"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1294" w:type="dxa"/>
          </w:tcPr>
          <w:p w14:paraId="77A0D11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5EC5D0"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0.95</w:t>
            </w:r>
          </w:p>
          <w:p w14:paraId="668AAD51"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2.02</w:t>
            </w:r>
          </w:p>
          <w:p w14:paraId="6C9C3460" w14:textId="31B2ECCF"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1.47</w:t>
            </w:r>
          </w:p>
        </w:tc>
        <w:tc>
          <w:tcPr>
            <w:tcW w:w="1294" w:type="dxa"/>
            <w:noWrap/>
            <w:hideMark/>
          </w:tcPr>
          <w:p w14:paraId="3D35879F" w14:textId="24FBD80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C57E65" w14:textId="38516AFB"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0.78</w:t>
            </w:r>
          </w:p>
          <w:p w14:paraId="21AD4565" w14:textId="1DE89A2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p w14:paraId="7D1FFD95" w14:textId="748EB47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1.81</w:t>
            </w:r>
          </w:p>
        </w:tc>
        <w:tc>
          <w:tcPr>
            <w:tcW w:w="1405" w:type="dxa"/>
            <w:noWrap/>
            <w:hideMark/>
          </w:tcPr>
          <w:p w14:paraId="5DA55074"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DF1EE9" w14:textId="3CD8CDCC"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1.16</w:t>
            </w:r>
          </w:p>
          <w:p w14:paraId="54DD891B" w14:textId="32607325"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2.30</w:t>
            </w:r>
          </w:p>
          <w:p w14:paraId="4F503CCE" w14:textId="62B1AA4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1.91</w:t>
            </w:r>
          </w:p>
        </w:tc>
        <w:tc>
          <w:tcPr>
            <w:tcW w:w="838" w:type="dxa"/>
            <w:noWrap/>
            <w:hideMark/>
          </w:tcPr>
          <w:p w14:paraId="33C73752"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21B0C9" w14:textId="3836CDAE"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1.25</w:t>
            </w:r>
          </w:p>
          <w:p w14:paraId="73F9583F" w14:textId="06EBC815"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2.46</w:t>
            </w:r>
          </w:p>
          <w:p w14:paraId="54399875" w14:textId="6E880A20"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1.82</w:t>
            </w:r>
          </w:p>
        </w:tc>
        <w:tc>
          <w:tcPr>
            <w:tcW w:w="1115" w:type="dxa"/>
            <w:noWrap/>
            <w:hideMark/>
          </w:tcPr>
          <w:p w14:paraId="570C9F3C"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7DC30C" w14:textId="4BB7C0C0"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1.38</w:t>
            </w:r>
          </w:p>
          <w:p w14:paraId="33971E7B" w14:textId="48ADB3CB"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2.10</w:t>
            </w:r>
          </w:p>
          <w:p w14:paraId="409A9061" w14:textId="7FB0902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1.66</w:t>
            </w:r>
          </w:p>
        </w:tc>
        <w:tc>
          <w:tcPr>
            <w:tcW w:w="796" w:type="dxa"/>
            <w:noWrap/>
            <w:hideMark/>
          </w:tcPr>
          <w:p w14:paraId="60C0682B"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71F59E" w14:textId="34D3C3C6"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0.55</w:t>
            </w:r>
          </w:p>
          <w:p w14:paraId="0AC1BB40" w14:textId="08CD1C5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1.07</w:t>
            </w:r>
          </w:p>
          <w:p w14:paraId="04A1A4D8" w14:textId="24E89C5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0.85</w:t>
            </w:r>
          </w:p>
        </w:tc>
        <w:tc>
          <w:tcPr>
            <w:tcW w:w="1209" w:type="dxa"/>
            <w:noWrap/>
            <w:hideMark/>
          </w:tcPr>
          <w:p w14:paraId="355B39CB"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59FA9" w14:textId="269112A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1.00</w:t>
            </w:r>
          </w:p>
          <w:p w14:paraId="1C382C04" w14:textId="332A5B8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2.27</w:t>
            </w:r>
          </w:p>
          <w:p w14:paraId="483DB082" w14:textId="2F2AE8F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1.65</w:t>
            </w:r>
          </w:p>
        </w:tc>
        <w:tc>
          <w:tcPr>
            <w:tcW w:w="796" w:type="dxa"/>
            <w:noWrap/>
            <w:hideMark/>
          </w:tcPr>
          <w:p w14:paraId="3AE2D4A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34F400" w14:textId="51C7171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1.51</w:t>
            </w:r>
          </w:p>
          <w:p w14:paraId="78CEC06D" w14:textId="0620CFC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2.51</w:t>
            </w:r>
          </w:p>
          <w:p w14:paraId="01A9545B" w14:textId="4281636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2.01</w:t>
            </w:r>
          </w:p>
        </w:tc>
        <w:tc>
          <w:tcPr>
            <w:tcW w:w="800" w:type="dxa"/>
            <w:noWrap/>
            <w:hideMark/>
          </w:tcPr>
          <w:p w14:paraId="4C722C87"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2F1817" w14:textId="64DC6166"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2.07</w:t>
            </w:r>
          </w:p>
          <w:p w14:paraId="714839E5" w14:textId="7EA8534F"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3.17</w:t>
            </w:r>
          </w:p>
          <w:p w14:paraId="5815D477" w14:textId="06BBE4E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2.49</w:t>
            </w:r>
          </w:p>
        </w:tc>
      </w:tr>
    </w:tbl>
    <w:p w14:paraId="08A26FFA" w14:textId="4D2485A4" w:rsidR="00B16012" w:rsidRDefault="00B16012" w:rsidP="00716357">
      <w:pPr>
        <w:jc w:val="center"/>
        <w:rPr>
          <w:rFonts w:ascii="Times New Roman" w:hAnsi="Times New Roman" w:cs="Times New Roman"/>
          <w:sz w:val="28"/>
          <w:szCs w:val="28"/>
        </w:rPr>
      </w:pPr>
    </w:p>
    <w:p w14:paraId="7D64EF85" w14:textId="77777777" w:rsidR="00B06D4C" w:rsidRDefault="00B06D4C" w:rsidP="00716357">
      <w:pPr>
        <w:jc w:val="center"/>
        <w:rPr>
          <w:rFonts w:ascii="Times New Roman" w:hAnsi="Times New Roman" w:cs="Times New Roman"/>
          <w:sz w:val="28"/>
          <w:szCs w:val="28"/>
        </w:rPr>
      </w:pPr>
    </w:p>
    <w:tbl>
      <w:tblPr>
        <w:tblStyle w:val="PlainTable2"/>
        <w:tblW w:w="11106" w:type="dxa"/>
        <w:tblInd w:w="-1134" w:type="dxa"/>
        <w:tblLook w:val="04A0" w:firstRow="1" w:lastRow="0" w:firstColumn="1" w:lastColumn="0" w:noHBand="0" w:noVBand="1"/>
      </w:tblPr>
      <w:tblGrid>
        <w:gridCol w:w="2817"/>
        <w:gridCol w:w="851"/>
        <w:gridCol w:w="992"/>
        <w:gridCol w:w="992"/>
        <w:gridCol w:w="1176"/>
        <w:gridCol w:w="1084"/>
        <w:gridCol w:w="1214"/>
        <w:gridCol w:w="874"/>
        <w:gridCol w:w="1106"/>
      </w:tblGrid>
      <w:tr w:rsidR="00D83F49" w:rsidRPr="00ED530C" w14:paraId="1E50C492" w14:textId="77777777" w:rsidTr="00EE00D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21C5CBBD" w14:textId="77777777" w:rsidR="0094059A" w:rsidRPr="00ED530C" w:rsidRDefault="0094059A" w:rsidP="00D83F49">
            <w:pPr>
              <w:jc w:val="center"/>
              <w:rPr>
                <w:rFonts w:ascii="Arial" w:hAnsi="Arial" w:cs="Arial"/>
                <w:b w:val="0"/>
                <w:bCs w:val="0"/>
                <w:sz w:val="20"/>
                <w:szCs w:val="20"/>
              </w:rPr>
            </w:pPr>
          </w:p>
          <w:p w14:paraId="139037AE" w14:textId="77777777" w:rsidR="009346CF" w:rsidRPr="00ED530C" w:rsidRDefault="009346CF" w:rsidP="00D83F49">
            <w:pPr>
              <w:jc w:val="center"/>
              <w:rPr>
                <w:rFonts w:ascii="Arial" w:hAnsi="Arial" w:cs="Arial"/>
                <w:sz w:val="20"/>
                <w:szCs w:val="20"/>
              </w:rPr>
            </w:pPr>
          </w:p>
        </w:tc>
        <w:tc>
          <w:tcPr>
            <w:tcW w:w="851" w:type="dxa"/>
            <w:noWrap/>
            <w:hideMark/>
          </w:tcPr>
          <w:p w14:paraId="43F4F1D2" w14:textId="12D98BC8"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Metal Sector</w:t>
            </w:r>
          </w:p>
        </w:tc>
        <w:tc>
          <w:tcPr>
            <w:tcW w:w="992" w:type="dxa"/>
            <w:noWrap/>
            <w:hideMark/>
          </w:tcPr>
          <w:p w14:paraId="26EDCC2C" w14:textId="706FDC04"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Oil &amp; Gas Sector</w:t>
            </w:r>
          </w:p>
        </w:tc>
        <w:tc>
          <w:tcPr>
            <w:tcW w:w="992" w:type="dxa"/>
            <w:noWrap/>
            <w:hideMark/>
          </w:tcPr>
          <w:p w14:paraId="0BBE8762" w14:textId="72C7A9E6"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Pharma Sector</w:t>
            </w:r>
          </w:p>
        </w:tc>
        <w:tc>
          <w:tcPr>
            <w:tcW w:w="1176" w:type="dxa"/>
            <w:noWrap/>
            <w:hideMark/>
          </w:tcPr>
          <w:p w14:paraId="275C7473" w14:textId="23DA38D1"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Private Bank Sector</w:t>
            </w:r>
          </w:p>
        </w:tc>
        <w:tc>
          <w:tcPr>
            <w:tcW w:w="1084" w:type="dxa"/>
            <w:noWrap/>
            <w:hideMark/>
          </w:tcPr>
          <w:p w14:paraId="20EC1BF2" w14:textId="0D99FDAE"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PSU Bank Sector</w:t>
            </w:r>
          </w:p>
        </w:tc>
        <w:tc>
          <w:tcPr>
            <w:tcW w:w="1214" w:type="dxa"/>
            <w:noWrap/>
            <w:hideMark/>
          </w:tcPr>
          <w:p w14:paraId="1CF8E749" w14:textId="58749A14"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Real Estate Sector</w:t>
            </w:r>
          </w:p>
        </w:tc>
        <w:tc>
          <w:tcPr>
            <w:tcW w:w="874" w:type="dxa"/>
            <w:noWrap/>
            <w:hideMark/>
          </w:tcPr>
          <w:p w14:paraId="13CDA33B" w14:textId="383F2861"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Bank Sector</w:t>
            </w:r>
          </w:p>
        </w:tc>
        <w:tc>
          <w:tcPr>
            <w:tcW w:w="1106" w:type="dxa"/>
            <w:noWrap/>
            <w:hideMark/>
          </w:tcPr>
          <w:p w14:paraId="52FBBB64" w14:textId="2615787A"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Chemical Sector</w:t>
            </w:r>
          </w:p>
        </w:tc>
      </w:tr>
      <w:tr w:rsidR="0094059A" w:rsidRPr="00ED530C" w14:paraId="47C7E671"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027136ED"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Mean</w:t>
            </w:r>
          </w:p>
          <w:p w14:paraId="22467370"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03C7627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198556F2" w14:textId="1319FDE0" w:rsidR="0094059A"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12D7410F" w14:textId="216186C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4CBFF9" w14:textId="7634E340"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-037</w:t>
            </w:r>
          </w:p>
          <w:p w14:paraId="5DC08104" w14:textId="260BA51C"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-0.97</w:t>
            </w:r>
          </w:p>
          <w:p w14:paraId="1B91D555" w14:textId="4B764CDB" w:rsidR="0094059A" w:rsidRPr="00ED530C" w:rsidRDefault="00002D9D"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w:t>
            </w:r>
            <w:r w:rsidR="0094059A" w:rsidRPr="00ED530C">
              <w:rPr>
                <w:rFonts w:ascii="Arial" w:hAnsi="Arial" w:cs="Arial"/>
                <w:sz w:val="20"/>
                <w:szCs w:val="20"/>
              </w:rPr>
              <w:t>0.58</w:t>
            </w:r>
          </w:p>
        </w:tc>
        <w:tc>
          <w:tcPr>
            <w:tcW w:w="992" w:type="dxa"/>
            <w:noWrap/>
            <w:hideMark/>
          </w:tcPr>
          <w:p w14:paraId="6316171A"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2779AE" w14:textId="21B155A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4830098" w14:textId="0F21B16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44B1CB83" w14:textId="0C73E0C8"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tc>
        <w:tc>
          <w:tcPr>
            <w:tcW w:w="992" w:type="dxa"/>
            <w:noWrap/>
            <w:hideMark/>
          </w:tcPr>
          <w:p w14:paraId="555A7F73"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34C042" w14:textId="53A8BBE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-0.38</w:t>
            </w:r>
          </w:p>
          <w:p w14:paraId="25B1884B" w14:textId="649A1194"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73D92BD1" w14:textId="02C048B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c>
          <w:tcPr>
            <w:tcW w:w="1176" w:type="dxa"/>
            <w:noWrap/>
            <w:hideMark/>
          </w:tcPr>
          <w:p w14:paraId="524D8A34"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F19806" w14:textId="34991CD3"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0.30</w:t>
            </w:r>
          </w:p>
          <w:p w14:paraId="06881A8C" w14:textId="71D9500B"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6D72D8D9" w14:textId="0D621339"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0.32</w:t>
            </w:r>
          </w:p>
        </w:tc>
        <w:tc>
          <w:tcPr>
            <w:tcW w:w="1084" w:type="dxa"/>
            <w:noWrap/>
            <w:hideMark/>
          </w:tcPr>
          <w:p w14:paraId="52171359"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C1634B" w14:textId="234AEE2E"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0.50</w:t>
            </w:r>
          </w:p>
          <w:p w14:paraId="17FAE3C7" w14:textId="790FFAF0"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-0.05</w:t>
            </w:r>
          </w:p>
          <w:p w14:paraId="69F5FAA2" w14:textId="2D0AF237"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tc>
        <w:tc>
          <w:tcPr>
            <w:tcW w:w="1214" w:type="dxa"/>
            <w:noWrap/>
            <w:hideMark/>
          </w:tcPr>
          <w:p w14:paraId="790D1CF1"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F2E6AF" w14:textId="1BC25084"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-0.49</w:t>
            </w:r>
          </w:p>
          <w:p w14:paraId="66543245" w14:textId="3974C19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1C9D1828" w14:textId="1B88B35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tc>
        <w:tc>
          <w:tcPr>
            <w:tcW w:w="874" w:type="dxa"/>
            <w:noWrap/>
            <w:hideMark/>
          </w:tcPr>
          <w:p w14:paraId="5EA77FE9"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86D557" w14:textId="471A7E94"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p w14:paraId="204FDB59" w14:textId="1029FFF1"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0.30</w:t>
            </w:r>
          </w:p>
          <w:p w14:paraId="51B4814F" w14:textId="48B3444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0.31</w:t>
            </w:r>
          </w:p>
        </w:tc>
        <w:tc>
          <w:tcPr>
            <w:tcW w:w="1106" w:type="dxa"/>
            <w:noWrap/>
            <w:hideMark/>
          </w:tcPr>
          <w:p w14:paraId="14C32631"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78A5BD" w14:textId="06EAB60A"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062AEB94" w14:textId="1808E2A5" w:rsidR="00054C5E" w:rsidRPr="00ED530C" w:rsidRDefault="00D83F49"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14D1982E" w14:textId="377B099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tc>
      </w:tr>
      <w:tr w:rsidR="0094059A" w:rsidRPr="00ED530C" w14:paraId="5854FD8D" w14:textId="77777777" w:rsidTr="00EE00D8">
        <w:trPr>
          <w:trHeight w:val="302"/>
        </w:trPr>
        <w:tc>
          <w:tcPr>
            <w:cnfStyle w:val="001000000000" w:firstRow="0" w:lastRow="0" w:firstColumn="1" w:lastColumn="0" w:oddVBand="0" w:evenVBand="0" w:oddHBand="0" w:evenHBand="0" w:firstRowFirstColumn="0" w:firstRowLastColumn="0" w:lastRowFirstColumn="0" w:lastRowLastColumn="0"/>
            <w:tcW w:w="2817" w:type="dxa"/>
          </w:tcPr>
          <w:p w14:paraId="2F4641E3"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Maximum</w:t>
            </w:r>
          </w:p>
          <w:p w14:paraId="4BC3502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1EE7B23B"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1FAA58D3" w14:textId="39AD39C8"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4147012E"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BCD061" w14:textId="6670BD71"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0.68</w:t>
            </w:r>
          </w:p>
          <w:p w14:paraId="7FA0D6A4" w14:textId="60A74CF4"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4.09</w:t>
            </w:r>
          </w:p>
          <w:p w14:paraId="5229C7A1" w14:textId="6B92F3D3"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4.09</w:t>
            </w:r>
          </w:p>
        </w:tc>
        <w:tc>
          <w:tcPr>
            <w:tcW w:w="992" w:type="dxa"/>
            <w:noWrap/>
            <w:hideMark/>
          </w:tcPr>
          <w:p w14:paraId="61A241A7"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B593B4" w14:textId="3A4112C3"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1.84</w:t>
            </w:r>
          </w:p>
          <w:p w14:paraId="6E259295" w14:textId="6D386F18"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27DC4DCC" w14:textId="38F01A16"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tc>
        <w:tc>
          <w:tcPr>
            <w:tcW w:w="992" w:type="dxa"/>
            <w:noWrap/>
            <w:hideMark/>
          </w:tcPr>
          <w:p w14:paraId="1CCEE23F"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75F187" w14:textId="021AFB2D"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1.34</w:t>
            </w:r>
          </w:p>
          <w:p w14:paraId="5FCEBFF8" w14:textId="56BEB7A1"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p w14:paraId="49A14A93" w14:textId="7CBFA94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tc>
        <w:tc>
          <w:tcPr>
            <w:tcW w:w="1176" w:type="dxa"/>
            <w:noWrap/>
            <w:hideMark/>
          </w:tcPr>
          <w:p w14:paraId="1647E471"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60AE99" w14:textId="40672E5C"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087B9E28" w14:textId="1093A6EC"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2.82</w:t>
            </w:r>
          </w:p>
          <w:p w14:paraId="4BB6BD79" w14:textId="0016DF27"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2.82</w:t>
            </w:r>
          </w:p>
        </w:tc>
        <w:tc>
          <w:tcPr>
            <w:tcW w:w="1084" w:type="dxa"/>
            <w:noWrap/>
            <w:hideMark/>
          </w:tcPr>
          <w:p w14:paraId="539A9D96"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F46933" w14:textId="2289B7A4"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7A4E1CA3" w14:textId="14B92F36"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p w14:paraId="3C8F9D27" w14:textId="72747F8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tc>
        <w:tc>
          <w:tcPr>
            <w:tcW w:w="1214" w:type="dxa"/>
            <w:noWrap/>
            <w:hideMark/>
          </w:tcPr>
          <w:p w14:paraId="17871B2B"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C59D6C" w14:textId="111AA89D"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1.53</w:t>
            </w:r>
          </w:p>
          <w:p w14:paraId="26548A81" w14:textId="29588573"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5.64</w:t>
            </w:r>
          </w:p>
          <w:p w14:paraId="6C8CC4F8" w14:textId="4C34F2D4"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5.64</w:t>
            </w:r>
          </w:p>
        </w:tc>
        <w:tc>
          <w:tcPr>
            <w:tcW w:w="874" w:type="dxa"/>
            <w:noWrap/>
            <w:hideMark/>
          </w:tcPr>
          <w:p w14:paraId="7EF8D763"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4B9EB44" w14:textId="29F6B891"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0E68C929" w14:textId="160EF81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p w14:paraId="6F6D5C32" w14:textId="4B837D3F"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tc>
        <w:tc>
          <w:tcPr>
            <w:tcW w:w="1106" w:type="dxa"/>
            <w:noWrap/>
            <w:hideMark/>
          </w:tcPr>
          <w:p w14:paraId="5DD9D03F"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3BE76F" w14:textId="5BA72612"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1.54</w:t>
            </w:r>
          </w:p>
          <w:p w14:paraId="1DE62CD5" w14:textId="515B4F02" w:rsidR="00054C5E" w:rsidRPr="00ED530C" w:rsidRDefault="00D83F49"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p w14:paraId="5176DEFA" w14:textId="7F2A8967"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tc>
      </w:tr>
      <w:tr w:rsidR="0094059A" w:rsidRPr="00ED530C" w14:paraId="5E0F98EE"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3B76FDA8"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Minimum</w:t>
            </w:r>
          </w:p>
          <w:p w14:paraId="059AFFB6"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2650A95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56BDFDC5" w14:textId="7F7CEEE7"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286ABD18"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C6B579" w14:textId="19AFBD0D"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393EE2A6" w14:textId="42743EBF"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p w14:paraId="4F8FF72B" w14:textId="1E2CD6F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tc>
        <w:tc>
          <w:tcPr>
            <w:tcW w:w="992" w:type="dxa"/>
            <w:noWrap/>
            <w:hideMark/>
          </w:tcPr>
          <w:p w14:paraId="6ED8613B"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74037A" w14:textId="02541CD4"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-1.36</w:t>
            </w:r>
          </w:p>
          <w:p w14:paraId="5C3103BC" w14:textId="50B3DA87"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610A0A81" w14:textId="3BB6503D"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992" w:type="dxa"/>
            <w:noWrap/>
            <w:hideMark/>
          </w:tcPr>
          <w:p w14:paraId="2B1914FC"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1F68B8" w14:textId="1C9E1458"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741571D4" w14:textId="13FEC91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p w14:paraId="5941E78E" w14:textId="27013330"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tc>
        <w:tc>
          <w:tcPr>
            <w:tcW w:w="1176" w:type="dxa"/>
            <w:noWrap/>
            <w:hideMark/>
          </w:tcPr>
          <w:p w14:paraId="794BD050"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FAB075" w14:textId="7C8A6B4C"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-1.21</w:t>
            </w:r>
          </w:p>
          <w:p w14:paraId="4093ECC0" w14:textId="0909C052"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p w14:paraId="505D139E" w14:textId="2B503F2A"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tc>
        <w:tc>
          <w:tcPr>
            <w:tcW w:w="1084" w:type="dxa"/>
            <w:noWrap/>
            <w:hideMark/>
          </w:tcPr>
          <w:p w14:paraId="58478C3E"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48DE7B" w14:textId="57631C43"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26441A15" w14:textId="0A0A0464"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p w14:paraId="1DC676DB" w14:textId="508C026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tc>
        <w:tc>
          <w:tcPr>
            <w:tcW w:w="1214" w:type="dxa"/>
            <w:noWrap/>
            <w:hideMark/>
          </w:tcPr>
          <w:p w14:paraId="4AD8B8E7"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118ADEA" w14:textId="1901D010"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-3.11</w:t>
            </w:r>
          </w:p>
          <w:p w14:paraId="4914F672" w14:textId="4851065F"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p w14:paraId="61CA7CF5" w14:textId="7AD49996"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tc>
        <w:tc>
          <w:tcPr>
            <w:tcW w:w="874" w:type="dxa"/>
            <w:noWrap/>
            <w:hideMark/>
          </w:tcPr>
          <w:p w14:paraId="5F2A48A4"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0F7B15" w14:textId="7DA33B86"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-1.43</w:t>
            </w:r>
          </w:p>
          <w:p w14:paraId="3EE74175" w14:textId="40C9670B"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3028B532" w14:textId="5CF1AF84"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1106" w:type="dxa"/>
            <w:noWrap/>
            <w:hideMark/>
          </w:tcPr>
          <w:p w14:paraId="55761BF4"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C60F55" w14:textId="16A9B6F6"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-1.12</w:t>
            </w:r>
          </w:p>
          <w:p w14:paraId="74A28E9D" w14:textId="4DE2EBD6" w:rsidR="00054C5E" w:rsidRPr="00ED530C" w:rsidRDefault="00D83F49"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p w14:paraId="24BC121D" w14:textId="5A47194D"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tc>
      </w:tr>
      <w:tr w:rsidR="0094059A" w:rsidRPr="00ED530C" w14:paraId="3B0FC597" w14:textId="77777777" w:rsidTr="00EE00D8">
        <w:trPr>
          <w:trHeight w:val="302"/>
        </w:trPr>
        <w:tc>
          <w:tcPr>
            <w:cnfStyle w:val="001000000000" w:firstRow="0" w:lastRow="0" w:firstColumn="1" w:lastColumn="0" w:oddVBand="0" w:evenVBand="0" w:oddHBand="0" w:evenHBand="0" w:firstRowFirstColumn="0" w:firstRowLastColumn="0" w:lastRowFirstColumn="0" w:lastRowLastColumn="0"/>
            <w:tcW w:w="2817" w:type="dxa"/>
          </w:tcPr>
          <w:p w14:paraId="3FDDD006"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Std. Dev.</w:t>
            </w:r>
          </w:p>
          <w:p w14:paraId="720C4D1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5CF73377"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6810929C" w14:textId="127E45A8"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0BB9A25A"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7DC435" w14:textId="1C99B844"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0.77</w:t>
            </w:r>
          </w:p>
          <w:p w14:paraId="08403C41" w14:textId="562CC572"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4.36</w:t>
            </w:r>
          </w:p>
          <w:p w14:paraId="176ADDB9" w14:textId="68DD2E25"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2.94</w:t>
            </w:r>
          </w:p>
        </w:tc>
        <w:tc>
          <w:tcPr>
            <w:tcW w:w="992" w:type="dxa"/>
            <w:noWrap/>
            <w:hideMark/>
          </w:tcPr>
          <w:p w14:paraId="61E4C8F1"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F3435D8" w14:textId="1BC9F6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p w14:paraId="63AD4322" w14:textId="0213864B"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2.39</w:t>
            </w:r>
          </w:p>
          <w:p w14:paraId="79C8ADF6" w14:textId="5102636E"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1.80</w:t>
            </w:r>
          </w:p>
        </w:tc>
        <w:tc>
          <w:tcPr>
            <w:tcW w:w="992" w:type="dxa"/>
            <w:noWrap/>
            <w:hideMark/>
          </w:tcPr>
          <w:p w14:paraId="63DCB4CD"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305C71" w14:textId="0A0E2E5C"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1.05</w:t>
            </w:r>
          </w:p>
          <w:p w14:paraId="337004B6" w14:textId="40577927"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2.80</w:t>
            </w:r>
          </w:p>
          <w:p w14:paraId="22C6B992" w14:textId="12571FEA"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tc>
        <w:tc>
          <w:tcPr>
            <w:tcW w:w="1176" w:type="dxa"/>
            <w:noWrap/>
            <w:hideMark/>
          </w:tcPr>
          <w:p w14:paraId="5CBB0186"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7A5975B" w14:textId="0CD224A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1.24</w:t>
            </w:r>
          </w:p>
          <w:p w14:paraId="40721929" w14:textId="1CF1BCF9"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1.98</w:t>
            </w:r>
          </w:p>
          <w:p w14:paraId="3CC9CB9D" w14:textId="26AC70DA"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1.54</w:t>
            </w:r>
          </w:p>
        </w:tc>
        <w:tc>
          <w:tcPr>
            <w:tcW w:w="1084" w:type="dxa"/>
            <w:noWrap/>
            <w:hideMark/>
          </w:tcPr>
          <w:p w14:paraId="060CB720"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28746D" w14:textId="42850763"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1.88</w:t>
            </w:r>
          </w:p>
          <w:p w14:paraId="00F38E8E" w14:textId="16566440"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24951B01" w14:textId="26074BC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2.03</w:t>
            </w:r>
          </w:p>
        </w:tc>
        <w:tc>
          <w:tcPr>
            <w:tcW w:w="1214" w:type="dxa"/>
            <w:noWrap/>
            <w:hideMark/>
          </w:tcPr>
          <w:p w14:paraId="5A09423B"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432DD7" w14:textId="52FB7948"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1.78</w:t>
            </w:r>
          </w:p>
          <w:p w14:paraId="367FE473" w14:textId="75BAA46A"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3.83</w:t>
            </w:r>
          </w:p>
          <w:p w14:paraId="0739CE75" w14:textId="7F42889D"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2.95</w:t>
            </w:r>
          </w:p>
        </w:tc>
        <w:tc>
          <w:tcPr>
            <w:tcW w:w="874" w:type="dxa"/>
            <w:noWrap/>
            <w:hideMark/>
          </w:tcPr>
          <w:p w14:paraId="1247C6C9"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6242C9" w14:textId="1D78411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1.21</w:t>
            </w:r>
          </w:p>
          <w:p w14:paraId="1D75FA2D" w14:textId="1D11FDD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1.89</w:t>
            </w:r>
          </w:p>
          <w:p w14:paraId="4FB210DB" w14:textId="1CA91421"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1.48</w:t>
            </w:r>
          </w:p>
        </w:tc>
        <w:tc>
          <w:tcPr>
            <w:tcW w:w="1106" w:type="dxa"/>
            <w:noWrap/>
            <w:hideMark/>
          </w:tcPr>
          <w:p w14:paraId="69D15671"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2118E1" w14:textId="480B1BB5"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0.87</w:t>
            </w:r>
          </w:p>
          <w:p w14:paraId="15480E1D" w14:textId="6544D887" w:rsidR="00054C5E" w:rsidRPr="00ED530C" w:rsidRDefault="00D83F49"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2.68</w:t>
            </w:r>
          </w:p>
          <w:p w14:paraId="7D3D7DCB" w14:textId="6568EB8B"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1.88</w:t>
            </w:r>
          </w:p>
        </w:tc>
      </w:tr>
      <w:tr w:rsidR="0094059A" w:rsidRPr="00ED530C" w14:paraId="623EB8C2"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5448F614" w14:textId="5874F472" w:rsidR="0094059A" w:rsidRPr="00ED530C" w:rsidRDefault="0094059A" w:rsidP="00D83F49">
            <w:pPr>
              <w:jc w:val="center"/>
              <w:rPr>
                <w:rFonts w:ascii="Arial" w:hAnsi="Arial" w:cs="Arial"/>
                <w:sz w:val="20"/>
                <w:szCs w:val="20"/>
              </w:rPr>
            </w:pPr>
            <w:r w:rsidRPr="00ED530C">
              <w:rPr>
                <w:rFonts w:ascii="Arial" w:hAnsi="Arial" w:cs="Arial"/>
                <w:sz w:val="20"/>
                <w:szCs w:val="20"/>
              </w:rPr>
              <w:t>Observations</w:t>
            </w:r>
          </w:p>
        </w:tc>
        <w:tc>
          <w:tcPr>
            <w:tcW w:w="851" w:type="dxa"/>
            <w:noWrap/>
            <w:hideMark/>
          </w:tcPr>
          <w:p w14:paraId="22B339FC" w14:textId="4C18F7D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992" w:type="dxa"/>
            <w:noWrap/>
            <w:hideMark/>
          </w:tcPr>
          <w:p w14:paraId="50C4457F" w14:textId="0297BBD5"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992" w:type="dxa"/>
            <w:noWrap/>
            <w:hideMark/>
          </w:tcPr>
          <w:p w14:paraId="14AB07E2" w14:textId="2C55A44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176" w:type="dxa"/>
            <w:noWrap/>
            <w:hideMark/>
          </w:tcPr>
          <w:p w14:paraId="005A2E6A" w14:textId="2DBC249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084" w:type="dxa"/>
            <w:noWrap/>
            <w:hideMark/>
          </w:tcPr>
          <w:p w14:paraId="1EB34CA9" w14:textId="79B1F6A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214" w:type="dxa"/>
            <w:noWrap/>
            <w:hideMark/>
          </w:tcPr>
          <w:p w14:paraId="5F90B30E" w14:textId="2C7610B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874" w:type="dxa"/>
            <w:noWrap/>
            <w:hideMark/>
          </w:tcPr>
          <w:p w14:paraId="4D320923" w14:textId="55DD275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106" w:type="dxa"/>
            <w:noWrap/>
            <w:hideMark/>
          </w:tcPr>
          <w:p w14:paraId="13955085" w14:textId="7CFD6D9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r>
    </w:tbl>
    <w:p w14:paraId="3644FE3D" w14:textId="528D7231"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32E2B1A" w14:textId="77777777" w:rsidR="00B01A95" w:rsidRDefault="00B01A95" w:rsidP="00F55B50">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23A75029" w14:textId="442A31EC" w:rsidR="00624897" w:rsidRPr="00624897" w:rsidRDefault="00624897" w:rsidP="00624897">
      <w:pPr>
        <w:jc w:val="both"/>
        <w:rPr>
          <w:rFonts w:ascii="Arial" w:hAnsi="Arial" w:cs="Arial"/>
          <w:sz w:val="20"/>
          <w:szCs w:val="20"/>
        </w:rPr>
      </w:pPr>
      <w:r w:rsidRPr="00624897">
        <w:rPr>
          <w:rFonts w:ascii="Arial" w:hAnsi="Arial" w:cs="Arial"/>
          <w:sz w:val="20"/>
          <w:szCs w:val="20"/>
        </w:rPr>
        <w:t xml:space="preserve">Table </w:t>
      </w:r>
      <w:r w:rsidR="005D0166">
        <w:rPr>
          <w:rFonts w:ascii="Arial" w:hAnsi="Arial" w:cs="Arial"/>
          <w:sz w:val="20"/>
          <w:szCs w:val="20"/>
        </w:rPr>
        <w:t>3</w:t>
      </w:r>
      <w:r w:rsidRPr="00624897">
        <w:rPr>
          <w:rFonts w:ascii="Arial" w:hAnsi="Arial" w:cs="Arial"/>
          <w:sz w:val="20"/>
          <w:szCs w:val="20"/>
        </w:rPr>
        <w:t xml:space="preserve"> presents the daily return </w:t>
      </w:r>
      <w:proofErr w:type="spellStart"/>
      <w:r w:rsidRPr="00624897">
        <w:rPr>
          <w:rFonts w:ascii="Arial" w:hAnsi="Arial" w:cs="Arial"/>
          <w:sz w:val="20"/>
          <w:szCs w:val="20"/>
        </w:rPr>
        <w:t>behavior</w:t>
      </w:r>
      <w:proofErr w:type="spellEnd"/>
      <w:r w:rsidRPr="00624897">
        <w:rPr>
          <w:rFonts w:ascii="Arial" w:hAnsi="Arial" w:cs="Arial"/>
          <w:sz w:val="20"/>
          <w:szCs w:val="20"/>
        </w:rPr>
        <w:t xml:space="preserve"> of the Nifty 50 and key Indian sectoral indices for the 7-day pre-announcement, 7-day post-announcement, and 14-day combined windows surrounding the U.S. tariff announcement. The data reveal that the overall market, as proxied by the Nifty 50, responded to the announcement with heightened volatility and a modest shift in returns. The mean return increased from –0.01% in the pre-event period to 0.02% post-announcement, while standard deviation rose markedly from 0.95% to 2.02%, indicating elevated investor uncertainty and market turbulence.</w:t>
      </w:r>
    </w:p>
    <w:p w14:paraId="64BAEA04" w14:textId="77777777" w:rsidR="00624897" w:rsidRPr="00624897" w:rsidRDefault="00624897" w:rsidP="00624897">
      <w:pPr>
        <w:jc w:val="both"/>
        <w:rPr>
          <w:rFonts w:ascii="Arial" w:hAnsi="Arial" w:cs="Arial"/>
          <w:sz w:val="20"/>
          <w:szCs w:val="20"/>
        </w:rPr>
      </w:pPr>
      <w:r w:rsidRPr="00624897">
        <w:rPr>
          <w:rFonts w:ascii="Arial" w:hAnsi="Arial" w:cs="Arial"/>
          <w:sz w:val="20"/>
          <w:szCs w:val="20"/>
        </w:rPr>
        <w:t>Among the sectors, FMCG exhibited notable resilience. Its mean return improved from 0.07% to 0.58%, while volatility increased moderately from 0.55% to 1.07%, reflecting strength and relative stability. Similarly, financial services and private banking sectors maintained consistent positive returns of 0.32% and 0.29%, respectively, despite global trade tensions, suggesting sustained investor confidence in these domains.</w:t>
      </w:r>
    </w:p>
    <w:p w14:paraId="71B09356" w14:textId="77777777" w:rsidR="00624897" w:rsidRPr="00624897" w:rsidRDefault="00624897" w:rsidP="00624897">
      <w:pPr>
        <w:jc w:val="both"/>
        <w:rPr>
          <w:rFonts w:ascii="Arial" w:hAnsi="Arial" w:cs="Arial"/>
          <w:sz w:val="20"/>
          <w:szCs w:val="20"/>
        </w:rPr>
      </w:pPr>
      <w:r w:rsidRPr="00624897">
        <w:rPr>
          <w:rFonts w:ascii="Arial" w:hAnsi="Arial" w:cs="Arial"/>
          <w:sz w:val="20"/>
          <w:szCs w:val="20"/>
        </w:rPr>
        <w:t>Conversely, sectors such as metals, real estate, and media experienced pronounced stress in the aftermath of the announcement. The metals sector’s average return deteriorated from –0.37% to –0.97%, and its volatility surged from 0.77% to 4.36%, underscoring market apprehension and negative sentiment. The real estate sector, though showing an increase in mean return from –0.49% to –0.27%, displayed extreme daily fluctuations, ranging from 5.64% gains to –5.69% losses, with a high standard deviation of 3.83%. Media also recorded increased volatility, from 2.07% to 3.17%, while its mean return rose to 0.33%, indicating inconsistent yet growing momentum.</w:t>
      </w:r>
    </w:p>
    <w:p w14:paraId="143DF61C" w14:textId="27DFF490" w:rsidR="002379D4" w:rsidRDefault="00624897" w:rsidP="00F55B50">
      <w:pPr>
        <w:jc w:val="both"/>
        <w:rPr>
          <w:rFonts w:ascii="Arial" w:hAnsi="Arial" w:cs="Arial"/>
          <w:sz w:val="20"/>
          <w:szCs w:val="20"/>
        </w:rPr>
      </w:pPr>
      <w:r w:rsidRPr="00624897">
        <w:rPr>
          <w:rFonts w:ascii="Arial" w:hAnsi="Arial" w:cs="Arial"/>
          <w:sz w:val="20"/>
          <w:szCs w:val="20"/>
        </w:rPr>
        <w:t xml:space="preserve">Overall, the descriptive statistics suggest that while sectors such as FMCG, financial services, and private banking demonstrated relative resilience and positive return performance, trade-sensitive </w:t>
      </w:r>
      <w:r w:rsidRPr="00624897">
        <w:rPr>
          <w:rFonts w:ascii="Arial" w:hAnsi="Arial" w:cs="Arial"/>
          <w:sz w:val="20"/>
          <w:szCs w:val="20"/>
        </w:rPr>
        <w:lastRenderedPageBreak/>
        <w:t>sectors like metals, real estate, and media were disproportionately affected by the policy shock</w:t>
      </w:r>
      <w:r>
        <w:rPr>
          <w:rFonts w:ascii="Arial" w:hAnsi="Arial" w:cs="Arial"/>
          <w:sz w:val="20"/>
          <w:szCs w:val="20"/>
        </w:rPr>
        <w:t xml:space="preserve"> in </w:t>
      </w:r>
      <w:proofErr w:type="gramStart"/>
      <w:r>
        <w:rPr>
          <w:rFonts w:ascii="Arial" w:hAnsi="Arial" w:cs="Arial"/>
          <w:sz w:val="20"/>
          <w:szCs w:val="20"/>
        </w:rPr>
        <w:t>7 day</w:t>
      </w:r>
      <w:proofErr w:type="gramEnd"/>
      <w:r>
        <w:rPr>
          <w:rFonts w:ascii="Arial" w:hAnsi="Arial" w:cs="Arial"/>
          <w:sz w:val="20"/>
          <w:szCs w:val="20"/>
        </w:rPr>
        <w:t xml:space="preserve"> window.</w:t>
      </w:r>
    </w:p>
    <w:p w14:paraId="3D3847F5" w14:textId="77777777" w:rsidR="00B01A95" w:rsidRDefault="00B01A95" w:rsidP="00113D9E">
      <w:pPr>
        <w:jc w:val="center"/>
        <w:rPr>
          <w:rFonts w:ascii="Arial" w:hAnsi="Arial" w:cs="Arial"/>
          <w:b/>
          <w:bCs/>
          <w:sz w:val="20"/>
          <w:szCs w:val="20"/>
        </w:rPr>
        <w:sectPr w:rsidR="00B01A95" w:rsidSect="00620C7B">
          <w:type w:val="continuous"/>
          <w:pgSz w:w="11906" w:h="16838"/>
          <w:pgMar w:top="1440" w:right="1440" w:bottom="1440" w:left="1440" w:header="708" w:footer="708" w:gutter="0"/>
          <w:cols w:space="708"/>
          <w:docGrid w:linePitch="360"/>
        </w:sectPr>
      </w:pPr>
    </w:p>
    <w:p w14:paraId="6C3235C5" w14:textId="77777777" w:rsidR="00B01A95" w:rsidRDefault="00B01A95" w:rsidP="00113D9E">
      <w:pPr>
        <w:jc w:val="center"/>
        <w:rPr>
          <w:rFonts w:ascii="Arial" w:hAnsi="Arial" w:cs="Arial"/>
          <w:b/>
          <w:bCs/>
          <w:sz w:val="20"/>
          <w:szCs w:val="20"/>
        </w:rPr>
      </w:pPr>
    </w:p>
    <w:p w14:paraId="293EB41C" w14:textId="5CF35A86" w:rsidR="00D376BC" w:rsidRPr="00113D9E" w:rsidRDefault="00ED530C" w:rsidP="00113D9E">
      <w:pPr>
        <w:jc w:val="center"/>
        <w:rPr>
          <w:rFonts w:ascii="Arial" w:hAnsi="Arial" w:cs="Arial"/>
          <w:b/>
          <w:bCs/>
          <w:sz w:val="20"/>
          <w:szCs w:val="20"/>
        </w:rPr>
      </w:pPr>
      <w:r w:rsidRPr="00B06D4C">
        <w:rPr>
          <w:rFonts w:ascii="Arial" w:hAnsi="Arial" w:cs="Arial"/>
          <w:b/>
          <w:bCs/>
          <w:sz w:val="20"/>
          <w:szCs w:val="20"/>
        </w:rPr>
        <w:t xml:space="preserve">Table </w:t>
      </w:r>
      <w:r w:rsidR="005D0166">
        <w:rPr>
          <w:rFonts w:ascii="Arial" w:hAnsi="Arial" w:cs="Arial"/>
          <w:b/>
          <w:bCs/>
          <w:sz w:val="20"/>
          <w:szCs w:val="20"/>
        </w:rPr>
        <w:t>4</w:t>
      </w:r>
      <w:r w:rsidRPr="00B06D4C">
        <w:rPr>
          <w:rFonts w:ascii="Arial" w:hAnsi="Arial" w:cs="Arial"/>
          <w:b/>
          <w:bCs/>
          <w:sz w:val="20"/>
          <w:szCs w:val="20"/>
        </w:rPr>
        <w:t xml:space="preserve">: Descriptive Statistics </w:t>
      </w:r>
      <w:r w:rsidR="00F55B50">
        <w:rPr>
          <w:rFonts w:ascii="Arial" w:hAnsi="Arial" w:cs="Arial"/>
          <w:b/>
          <w:bCs/>
          <w:sz w:val="20"/>
          <w:szCs w:val="20"/>
        </w:rPr>
        <w:t xml:space="preserve">of Sectoral Indices </w:t>
      </w:r>
      <w:r w:rsidRPr="00B06D4C">
        <w:rPr>
          <w:rFonts w:ascii="Arial" w:hAnsi="Arial" w:cs="Arial"/>
          <w:b/>
          <w:bCs/>
          <w:sz w:val="20"/>
          <w:szCs w:val="20"/>
        </w:rPr>
        <w:t>Pre- and Post-</w:t>
      </w:r>
      <w:r w:rsidR="00F732A3">
        <w:rPr>
          <w:rFonts w:ascii="Arial" w:hAnsi="Arial" w:cs="Arial"/>
          <w:b/>
          <w:bCs/>
          <w:sz w:val="20"/>
          <w:szCs w:val="20"/>
        </w:rPr>
        <w:t>U.</w:t>
      </w:r>
      <w:proofErr w:type="gramStart"/>
      <w:r w:rsidR="00F732A3">
        <w:rPr>
          <w:rFonts w:ascii="Arial" w:hAnsi="Arial" w:cs="Arial"/>
          <w:b/>
          <w:bCs/>
          <w:sz w:val="20"/>
          <w:szCs w:val="20"/>
        </w:rPr>
        <w:t>S.A</w:t>
      </w:r>
      <w:proofErr w:type="gramEnd"/>
      <w:r w:rsidRPr="00B06D4C">
        <w:rPr>
          <w:rFonts w:ascii="Arial" w:hAnsi="Arial" w:cs="Arial"/>
          <w:b/>
          <w:bCs/>
          <w:sz w:val="20"/>
          <w:szCs w:val="20"/>
        </w:rPr>
        <w:t xml:space="preserve"> Tariff Announcement</w:t>
      </w:r>
      <w:r>
        <w:rPr>
          <w:rFonts w:ascii="Arial" w:hAnsi="Arial" w:cs="Arial"/>
          <w:b/>
          <w:bCs/>
          <w:sz w:val="20"/>
          <w:szCs w:val="20"/>
        </w:rPr>
        <w:t xml:space="preserve"> (15 Days)</w:t>
      </w:r>
    </w:p>
    <w:tbl>
      <w:tblPr>
        <w:tblStyle w:val="PlainTable2"/>
        <w:tblW w:w="11440" w:type="dxa"/>
        <w:tblInd w:w="-1134" w:type="dxa"/>
        <w:tblLook w:val="04A0" w:firstRow="1" w:lastRow="0" w:firstColumn="1" w:lastColumn="0" w:noHBand="0" w:noVBand="1"/>
      </w:tblPr>
      <w:tblGrid>
        <w:gridCol w:w="1787"/>
        <w:gridCol w:w="883"/>
        <w:gridCol w:w="1316"/>
        <w:gridCol w:w="1500"/>
        <w:gridCol w:w="895"/>
        <w:gridCol w:w="1181"/>
        <w:gridCol w:w="839"/>
        <w:gridCol w:w="1239"/>
        <w:gridCol w:w="839"/>
        <w:gridCol w:w="1105"/>
      </w:tblGrid>
      <w:tr w:rsidR="008E1817" w:rsidRPr="00ED530C" w14:paraId="08AF6042" w14:textId="77777777" w:rsidTr="00CA6018">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87" w:type="dxa"/>
            <w:noWrap/>
            <w:hideMark/>
          </w:tcPr>
          <w:p w14:paraId="7CE07823" w14:textId="77777777" w:rsidR="008E1817" w:rsidRPr="00ED530C" w:rsidRDefault="008E1817" w:rsidP="00D376BC">
            <w:pPr>
              <w:jc w:val="center"/>
              <w:rPr>
                <w:rFonts w:ascii="Arial" w:eastAsia="Times New Roman" w:hAnsi="Arial" w:cs="Arial"/>
                <w:kern w:val="0"/>
                <w:sz w:val="20"/>
                <w:szCs w:val="20"/>
                <w:lang w:eastAsia="en-IN"/>
                <w14:ligatures w14:val="none"/>
              </w:rPr>
            </w:pPr>
            <w:bookmarkStart w:id="0" w:name="_Hlk202626054"/>
          </w:p>
        </w:tc>
        <w:tc>
          <w:tcPr>
            <w:tcW w:w="860" w:type="dxa"/>
          </w:tcPr>
          <w:p w14:paraId="5A1C91C3" w14:textId="34574C2D"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Nifty50</w:t>
            </w:r>
          </w:p>
        </w:tc>
        <w:tc>
          <w:tcPr>
            <w:tcW w:w="1282" w:type="dxa"/>
            <w:noWrap/>
            <w:hideMark/>
          </w:tcPr>
          <w:p w14:paraId="4A6DD0D9" w14:textId="64F9B188"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Automobile Sector</w:t>
            </w:r>
          </w:p>
        </w:tc>
        <w:tc>
          <w:tcPr>
            <w:tcW w:w="1500" w:type="dxa"/>
            <w:noWrap/>
            <w:hideMark/>
          </w:tcPr>
          <w:p w14:paraId="71F1F1AA" w14:textId="626C2D2E"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Consumer Durable Sector</w:t>
            </w:r>
          </w:p>
        </w:tc>
        <w:tc>
          <w:tcPr>
            <w:tcW w:w="872" w:type="dxa"/>
            <w:noWrap/>
            <w:hideMark/>
          </w:tcPr>
          <w:p w14:paraId="69D108FB" w14:textId="1864F9FB"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Energy Sector</w:t>
            </w:r>
          </w:p>
        </w:tc>
        <w:tc>
          <w:tcPr>
            <w:tcW w:w="1181" w:type="dxa"/>
            <w:noWrap/>
            <w:hideMark/>
          </w:tcPr>
          <w:p w14:paraId="135279B3" w14:textId="70F91894"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Financial Services Sector</w:t>
            </w:r>
          </w:p>
        </w:tc>
        <w:tc>
          <w:tcPr>
            <w:tcW w:w="817" w:type="dxa"/>
            <w:noWrap/>
            <w:hideMark/>
          </w:tcPr>
          <w:p w14:paraId="5E138CCF" w14:textId="2F134DF3"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FMCG Sector</w:t>
            </w:r>
          </w:p>
        </w:tc>
        <w:tc>
          <w:tcPr>
            <w:tcW w:w="1207" w:type="dxa"/>
            <w:noWrap/>
            <w:hideMark/>
          </w:tcPr>
          <w:p w14:paraId="2F0DD7AA" w14:textId="7329AF6C"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Healthcare Sector</w:t>
            </w:r>
          </w:p>
        </w:tc>
        <w:tc>
          <w:tcPr>
            <w:tcW w:w="829" w:type="dxa"/>
            <w:noWrap/>
            <w:hideMark/>
          </w:tcPr>
          <w:p w14:paraId="41174EE7" w14:textId="0D70EAEC"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IT Sector</w:t>
            </w:r>
          </w:p>
        </w:tc>
        <w:tc>
          <w:tcPr>
            <w:tcW w:w="1105" w:type="dxa"/>
            <w:noWrap/>
            <w:hideMark/>
          </w:tcPr>
          <w:p w14:paraId="363ACBF6" w14:textId="1F526698"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Media Sector</w:t>
            </w:r>
          </w:p>
        </w:tc>
      </w:tr>
      <w:bookmarkEnd w:id="0"/>
      <w:tr w:rsidR="008E1817" w:rsidRPr="00ED530C" w14:paraId="2E8236C7" w14:textId="77777777" w:rsidTr="00CA601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87" w:type="dxa"/>
            <w:noWrap/>
            <w:hideMark/>
          </w:tcPr>
          <w:p w14:paraId="1E61699B"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Mean</w:t>
            </w:r>
          </w:p>
          <w:p w14:paraId="1A1D2765" w14:textId="14215701" w:rsidR="008E1817" w:rsidRPr="00ED530C" w:rsidRDefault="008E1817" w:rsidP="00DD5943">
            <w:pPr>
              <w:jc w:val="center"/>
              <w:rPr>
                <w:rFonts w:ascii="Arial" w:hAnsi="Arial" w:cs="Arial"/>
                <w:b w:val="0"/>
                <w:bCs w:val="0"/>
                <w:sz w:val="20"/>
                <w:szCs w:val="20"/>
              </w:rPr>
            </w:pPr>
            <w:r w:rsidRPr="00ED530C">
              <w:rPr>
                <w:rFonts w:ascii="Arial" w:hAnsi="Arial" w:cs="Arial"/>
                <w:sz w:val="20"/>
                <w:szCs w:val="20"/>
              </w:rPr>
              <w:t xml:space="preserve">15 days </w:t>
            </w:r>
            <w:r w:rsidR="00ED530C">
              <w:rPr>
                <w:rFonts w:ascii="Arial" w:hAnsi="Arial" w:cs="Arial"/>
                <w:sz w:val="20"/>
                <w:szCs w:val="20"/>
              </w:rPr>
              <w:t>Pre</w:t>
            </w:r>
            <w:r w:rsidRPr="00ED530C">
              <w:rPr>
                <w:rFonts w:ascii="Arial" w:hAnsi="Arial" w:cs="Arial"/>
                <w:sz w:val="20"/>
                <w:szCs w:val="20"/>
              </w:rPr>
              <w:t xml:space="preserve"> </w:t>
            </w:r>
          </w:p>
          <w:p w14:paraId="6B7D0E21" w14:textId="0BCE178A" w:rsidR="008E1817" w:rsidRPr="00ED530C" w:rsidRDefault="008E1817" w:rsidP="00DD5943">
            <w:pPr>
              <w:jc w:val="center"/>
              <w:rPr>
                <w:rFonts w:ascii="Arial" w:hAnsi="Arial" w:cs="Arial"/>
                <w:b w:val="0"/>
                <w:bCs w:val="0"/>
                <w:sz w:val="20"/>
                <w:szCs w:val="20"/>
              </w:rPr>
            </w:pPr>
            <w:r w:rsidRPr="00ED530C">
              <w:rPr>
                <w:rFonts w:ascii="Arial" w:hAnsi="Arial" w:cs="Arial"/>
                <w:sz w:val="20"/>
                <w:szCs w:val="20"/>
              </w:rPr>
              <w:t xml:space="preserve">15 days </w:t>
            </w:r>
            <w:r w:rsidR="00ED530C">
              <w:rPr>
                <w:rFonts w:ascii="Arial" w:hAnsi="Arial" w:cs="Arial"/>
                <w:sz w:val="20"/>
                <w:szCs w:val="20"/>
              </w:rPr>
              <w:t>Post</w:t>
            </w:r>
          </w:p>
          <w:p w14:paraId="4B0C66D1" w14:textId="2D2C1C68" w:rsidR="008E1817" w:rsidRPr="00ED530C" w:rsidRDefault="008E1817" w:rsidP="00DD5943">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60" w:type="dxa"/>
          </w:tcPr>
          <w:p w14:paraId="158EF379"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B9E4AFD" w14:textId="4CED6C1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0.18</w:t>
            </w:r>
          </w:p>
          <w:p w14:paraId="7825E088" w14:textId="2FA7A70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0.29</w:t>
            </w:r>
          </w:p>
          <w:p w14:paraId="3DC19174" w14:textId="2D1C2CD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tc>
        <w:tc>
          <w:tcPr>
            <w:tcW w:w="1282" w:type="dxa"/>
            <w:noWrap/>
            <w:hideMark/>
          </w:tcPr>
          <w:p w14:paraId="451183CA" w14:textId="1510BA2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42CCD43" w14:textId="7C5E85A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0.08</w:t>
            </w:r>
          </w:p>
          <w:p w14:paraId="63DF951C" w14:textId="04A05A1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35D14B86" w14:textId="05CB509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0.21</w:t>
            </w:r>
          </w:p>
        </w:tc>
        <w:tc>
          <w:tcPr>
            <w:tcW w:w="1500" w:type="dxa"/>
            <w:noWrap/>
            <w:hideMark/>
          </w:tcPr>
          <w:p w14:paraId="1EC75B70"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3371850" w14:textId="677921E4"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-0.09</w:t>
            </w:r>
          </w:p>
          <w:p w14:paraId="48168919" w14:textId="33687EC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394B273A" w14:textId="43AC67C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0.18</w:t>
            </w:r>
          </w:p>
        </w:tc>
        <w:tc>
          <w:tcPr>
            <w:tcW w:w="872" w:type="dxa"/>
            <w:noWrap/>
            <w:hideMark/>
          </w:tcPr>
          <w:p w14:paraId="5AF9F444"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48B77B2" w14:textId="6C8634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0BBA9580" w14:textId="5900FBC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0.23</w:t>
            </w:r>
          </w:p>
          <w:p w14:paraId="132CA3DB" w14:textId="557BDC2D"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0.28</w:t>
            </w:r>
          </w:p>
        </w:tc>
        <w:tc>
          <w:tcPr>
            <w:tcW w:w="1181" w:type="dxa"/>
            <w:noWrap/>
            <w:hideMark/>
          </w:tcPr>
          <w:p w14:paraId="5037534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7EBE01F" w14:textId="19F861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0.40</w:t>
            </w:r>
          </w:p>
          <w:p w14:paraId="5920145A" w14:textId="4AF5D9B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p w14:paraId="3296BC7C" w14:textId="0F01F4F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tc>
        <w:tc>
          <w:tcPr>
            <w:tcW w:w="817" w:type="dxa"/>
            <w:noWrap/>
            <w:hideMark/>
          </w:tcPr>
          <w:p w14:paraId="74FC6250"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43EE8D4" w14:textId="7C074A6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0.16</w:t>
            </w:r>
          </w:p>
          <w:p w14:paraId="6C18281F" w14:textId="73FC01C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0.36</w:t>
            </w:r>
          </w:p>
          <w:p w14:paraId="5BC9B62A" w14:textId="2C76FEC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0.29</w:t>
            </w:r>
          </w:p>
        </w:tc>
        <w:tc>
          <w:tcPr>
            <w:tcW w:w="1207" w:type="dxa"/>
            <w:noWrap/>
            <w:hideMark/>
          </w:tcPr>
          <w:p w14:paraId="1C009A7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E11434B" w14:textId="2A28E09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0.23</w:t>
            </w:r>
          </w:p>
          <w:p w14:paraId="40AEAC2A" w14:textId="05B7D1D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0.27</w:t>
            </w:r>
          </w:p>
          <w:p w14:paraId="645E5048" w14:textId="774F850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0.27</w:t>
            </w:r>
          </w:p>
        </w:tc>
        <w:tc>
          <w:tcPr>
            <w:tcW w:w="829" w:type="dxa"/>
            <w:noWrap/>
            <w:hideMark/>
          </w:tcPr>
          <w:p w14:paraId="5C5EB9D6"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DA2851" w14:textId="50EAF69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33A4B4BE" w14:textId="28E9317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-0.12</w:t>
            </w:r>
          </w:p>
          <w:p w14:paraId="113AD0FF" w14:textId="034971F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-0.19</w:t>
            </w:r>
          </w:p>
        </w:tc>
        <w:tc>
          <w:tcPr>
            <w:tcW w:w="1105" w:type="dxa"/>
            <w:noWrap/>
            <w:hideMark/>
          </w:tcPr>
          <w:p w14:paraId="0ADD389F"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5E3D389" w14:textId="0A5C26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0.10</w:t>
            </w:r>
          </w:p>
          <w:p w14:paraId="222E181B" w14:textId="5BB772F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0.21</w:t>
            </w:r>
          </w:p>
          <w:p w14:paraId="18707D43" w14:textId="1036D24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0.17</w:t>
            </w:r>
          </w:p>
        </w:tc>
      </w:tr>
      <w:tr w:rsidR="008E1817" w:rsidRPr="00ED530C" w14:paraId="27E7812C" w14:textId="77777777" w:rsidTr="00CA6018">
        <w:trPr>
          <w:trHeight w:val="461"/>
        </w:trPr>
        <w:tc>
          <w:tcPr>
            <w:cnfStyle w:val="001000000000" w:firstRow="0" w:lastRow="0" w:firstColumn="1" w:lastColumn="0" w:oddVBand="0" w:evenVBand="0" w:oddHBand="0" w:evenHBand="0" w:firstRowFirstColumn="0" w:firstRowLastColumn="0" w:lastRowFirstColumn="0" w:lastRowLastColumn="0"/>
            <w:tcW w:w="1787" w:type="dxa"/>
            <w:noWrap/>
            <w:hideMark/>
          </w:tcPr>
          <w:p w14:paraId="15949A44"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Maximum</w:t>
            </w:r>
          </w:p>
          <w:p w14:paraId="334CB08C"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201DADEC"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466ACB23" w14:textId="2DA60004"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60" w:type="dxa"/>
          </w:tcPr>
          <w:p w14:paraId="267CE934"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926336C" w14:textId="598F947E" w:rsidR="008E1817" w:rsidRPr="00ED530C" w:rsidRDefault="008E1817" w:rsidP="008E18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1.44</w:t>
            </w:r>
          </w:p>
          <w:p w14:paraId="52D4740D" w14:textId="5C72360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2.19</w:t>
            </w:r>
          </w:p>
          <w:p w14:paraId="3355DA04" w14:textId="110E41D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2.19</w:t>
            </w:r>
          </w:p>
        </w:tc>
        <w:tc>
          <w:tcPr>
            <w:tcW w:w="1282" w:type="dxa"/>
            <w:noWrap/>
            <w:hideMark/>
          </w:tcPr>
          <w:p w14:paraId="6F52DC3C" w14:textId="42618C7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DB1B9BF" w14:textId="66990D4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2.38</w:t>
            </w:r>
          </w:p>
          <w:p w14:paraId="04321439" w14:textId="633D3EF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3.39</w:t>
            </w:r>
          </w:p>
          <w:p w14:paraId="09FFCF3E" w14:textId="562FD60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3.39</w:t>
            </w:r>
          </w:p>
        </w:tc>
        <w:tc>
          <w:tcPr>
            <w:tcW w:w="1500" w:type="dxa"/>
            <w:noWrap/>
            <w:hideMark/>
          </w:tcPr>
          <w:p w14:paraId="4ADE222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3D4EC3" w14:textId="77B9CE7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2.62</w:t>
            </w:r>
          </w:p>
          <w:p w14:paraId="314A8CA4" w14:textId="0BB7F63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p w14:paraId="35BE229D" w14:textId="6D0343B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tc>
        <w:tc>
          <w:tcPr>
            <w:tcW w:w="872" w:type="dxa"/>
            <w:noWrap/>
            <w:hideMark/>
          </w:tcPr>
          <w:p w14:paraId="367CA2E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051D6B" w14:textId="0B026E6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1.77</w:t>
            </w:r>
          </w:p>
          <w:p w14:paraId="48BBB57F" w14:textId="71A5DCA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p w14:paraId="5A42B780" w14:textId="20466C7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tc>
        <w:tc>
          <w:tcPr>
            <w:tcW w:w="1181" w:type="dxa"/>
            <w:noWrap/>
            <w:hideMark/>
          </w:tcPr>
          <w:p w14:paraId="6BB0A82E"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59F1A3" w14:textId="5D4BD8EA"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p w14:paraId="18DA3855" w14:textId="09FABB3C"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2.95</w:t>
            </w:r>
          </w:p>
          <w:p w14:paraId="4C869ADE" w14:textId="5697CE8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2.95</w:t>
            </w:r>
          </w:p>
        </w:tc>
        <w:tc>
          <w:tcPr>
            <w:tcW w:w="817" w:type="dxa"/>
            <w:noWrap/>
            <w:hideMark/>
          </w:tcPr>
          <w:p w14:paraId="204A20D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99A36E4" w14:textId="44B5008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1.36</w:t>
            </w:r>
          </w:p>
          <w:p w14:paraId="614CE83E" w14:textId="4C18638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p w14:paraId="62F009AB" w14:textId="3C38922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tc>
        <w:tc>
          <w:tcPr>
            <w:tcW w:w="1207" w:type="dxa"/>
            <w:noWrap/>
            <w:hideMark/>
          </w:tcPr>
          <w:p w14:paraId="03BA1456"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898A1E5" w14:textId="66EBB8E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1.66</w:t>
            </w:r>
          </w:p>
          <w:p w14:paraId="7BCFAF6C" w14:textId="03B3504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2.07</w:t>
            </w:r>
          </w:p>
          <w:p w14:paraId="2DAFC8DA" w14:textId="1287B8F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2.07</w:t>
            </w:r>
          </w:p>
        </w:tc>
        <w:tc>
          <w:tcPr>
            <w:tcW w:w="829" w:type="dxa"/>
            <w:noWrap/>
            <w:hideMark/>
          </w:tcPr>
          <w:p w14:paraId="6456FB7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2B04CA2" w14:textId="3095B04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1.40</w:t>
            </w:r>
          </w:p>
          <w:p w14:paraId="46D9B6B5" w14:textId="035851A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4.34</w:t>
            </w:r>
          </w:p>
          <w:p w14:paraId="4BB923F8" w14:textId="5078D6EA"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4.34</w:t>
            </w:r>
          </w:p>
        </w:tc>
        <w:tc>
          <w:tcPr>
            <w:tcW w:w="1105" w:type="dxa"/>
            <w:noWrap/>
            <w:hideMark/>
          </w:tcPr>
          <w:p w14:paraId="102BDA07"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4D21A20" w14:textId="61944EE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3.62</w:t>
            </w:r>
          </w:p>
          <w:p w14:paraId="0700B204" w14:textId="14DF7F6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4.72</w:t>
            </w:r>
          </w:p>
          <w:p w14:paraId="18A5B398" w14:textId="7B40FB9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4.72</w:t>
            </w:r>
          </w:p>
        </w:tc>
      </w:tr>
      <w:tr w:rsidR="008E1817" w:rsidRPr="00ED530C" w14:paraId="3E211D64" w14:textId="77777777" w:rsidTr="00CA601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87" w:type="dxa"/>
            <w:noWrap/>
            <w:hideMark/>
          </w:tcPr>
          <w:p w14:paraId="1263B5C9"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Minimum</w:t>
            </w:r>
          </w:p>
          <w:p w14:paraId="5157AD74"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2BA629A9"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77533C3D" w14:textId="20990F2A"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60" w:type="dxa"/>
          </w:tcPr>
          <w:p w14:paraId="7AD59081"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124FB01" w14:textId="2CE258E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-1.50</w:t>
            </w:r>
          </w:p>
          <w:p w14:paraId="28C345EC" w14:textId="75A9CC8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-3.24</w:t>
            </w:r>
          </w:p>
          <w:p w14:paraId="41EE9C5F" w14:textId="4CDD960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-3.24</w:t>
            </w:r>
          </w:p>
        </w:tc>
        <w:tc>
          <w:tcPr>
            <w:tcW w:w="1282" w:type="dxa"/>
            <w:noWrap/>
            <w:hideMark/>
          </w:tcPr>
          <w:p w14:paraId="38FDDD3D" w14:textId="7F9994C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1BB7962" w14:textId="21FC422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-1.22</w:t>
            </w:r>
          </w:p>
          <w:p w14:paraId="550A1196" w14:textId="7D42E65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p w14:paraId="4F3AE665" w14:textId="502C782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tc>
        <w:tc>
          <w:tcPr>
            <w:tcW w:w="1500" w:type="dxa"/>
            <w:noWrap/>
            <w:hideMark/>
          </w:tcPr>
          <w:p w14:paraId="17ECAAC7"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A80B7B" w14:textId="601D2DD4"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-2.50</w:t>
            </w:r>
          </w:p>
          <w:p w14:paraId="58FC6DE0" w14:textId="6EA9C09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-2.76</w:t>
            </w:r>
          </w:p>
          <w:p w14:paraId="21A5A2CF" w14:textId="00CD247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-2.76</w:t>
            </w:r>
          </w:p>
        </w:tc>
        <w:tc>
          <w:tcPr>
            <w:tcW w:w="872" w:type="dxa"/>
            <w:noWrap/>
            <w:hideMark/>
          </w:tcPr>
          <w:p w14:paraId="6DFFBDC9"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C248D1F" w14:textId="11EB30C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-1.53</w:t>
            </w:r>
          </w:p>
          <w:p w14:paraId="3A51FCD8" w14:textId="08C02AE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-3.73</w:t>
            </w:r>
          </w:p>
          <w:p w14:paraId="6A63AB2D" w14:textId="71468B1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-3.73</w:t>
            </w:r>
          </w:p>
        </w:tc>
        <w:tc>
          <w:tcPr>
            <w:tcW w:w="1181" w:type="dxa"/>
            <w:noWrap/>
            <w:hideMark/>
          </w:tcPr>
          <w:p w14:paraId="03ABBA1F"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1ECBA81" w14:textId="28CD0B9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-2.18</w:t>
            </w:r>
          </w:p>
          <w:p w14:paraId="3F2C597A" w14:textId="51D949D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-3.49</w:t>
            </w:r>
          </w:p>
          <w:p w14:paraId="0CAABE3C" w14:textId="21BBDD7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-3.49</w:t>
            </w:r>
          </w:p>
        </w:tc>
        <w:tc>
          <w:tcPr>
            <w:tcW w:w="817" w:type="dxa"/>
            <w:noWrap/>
            <w:hideMark/>
          </w:tcPr>
          <w:p w14:paraId="527F56D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80EBF16" w14:textId="30EE419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-0.91</w:t>
            </w:r>
          </w:p>
          <w:p w14:paraId="4F698AAB" w14:textId="020AEFD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-1.10</w:t>
            </w:r>
          </w:p>
          <w:p w14:paraId="0D50B1F5" w14:textId="78C5981D"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-1.10</w:t>
            </w:r>
          </w:p>
        </w:tc>
        <w:tc>
          <w:tcPr>
            <w:tcW w:w="1207" w:type="dxa"/>
            <w:noWrap/>
            <w:hideMark/>
          </w:tcPr>
          <w:p w14:paraId="6953F8DD"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93FF85" w14:textId="2F79939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-1.51</w:t>
            </w:r>
          </w:p>
          <w:p w14:paraId="20287402" w14:textId="22FD8D2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-3.05</w:t>
            </w:r>
          </w:p>
          <w:p w14:paraId="6BC7B348" w14:textId="6ABE434B"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-3.05</w:t>
            </w:r>
          </w:p>
        </w:tc>
        <w:tc>
          <w:tcPr>
            <w:tcW w:w="829" w:type="dxa"/>
            <w:noWrap/>
            <w:hideMark/>
          </w:tcPr>
          <w:p w14:paraId="06FDE783"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F037ED0" w14:textId="2B2A180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-2.91</w:t>
            </w:r>
          </w:p>
          <w:p w14:paraId="5E0CF498" w14:textId="148A7B7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-4.21</w:t>
            </w:r>
          </w:p>
          <w:p w14:paraId="6735C298" w14:textId="1424ACF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-4.21</w:t>
            </w:r>
          </w:p>
        </w:tc>
        <w:tc>
          <w:tcPr>
            <w:tcW w:w="1105" w:type="dxa"/>
            <w:noWrap/>
            <w:hideMark/>
          </w:tcPr>
          <w:p w14:paraId="38AB7A4A"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D9FCB59" w14:textId="5896FB0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-2.40</w:t>
            </w:r>
          </w:p>
          <w:p w14:paraId="035D6714" w14:textId="3C37CC5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-3.94</w:t>
            </w:r>
          </w:p>
          <w:p w14:paraId="147741B9" w14:textId="1648D69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-3.94</w:t>
            </w:r>
          </w:p>
        </w:tc>
      </w:tr>
      <w:tr w:rsidR="008E1817" w:rsidRPr="00ED530C" w14:paraId="04CB3E30" w14:textId="77777777" w:rsidTr="00CA6018">
        <w:trPr>
          <w:trHeight w:val="461"/>
        </w:trPr>
        <w:tc>
          <w:tcPr>
            <w:cnfStyle w:val="001000000000" w:firstRow="0" w:lastRow="0" w:firstColumn="1" w:lastColumn="0" w:oddVBand="0" w:evenVBand="0" w:oddHBand="0" w:evenHBand="0" w:firstRowFirstColumn="0" w:firstRowLastColumn="0" w:lastRowFirstColumn="0" w:lastRowLastColumn="0"/>
            <w:tcW w:w="1787" w:type="dxa"/>
            <w:noWrap/>
            <w:hideMark/>
          </w:tcPr>
          <w:p w14:paraId="1CA818BA"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Std. Dev.</w:t>
            </w:r>
          </w:p>
          <w:p w14:paraId="0DF73478"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5FA49E7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17714E3C" w14:textId="495FD78E"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60" w:type="dxa"/>
          </w:tcPr>
          <w:p w14:paraId="09675F0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4EBD704" w14:textId="0F0FCCB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0.81</w:t>
            </w:r>
          </w:p>
          <w:p w14:paraId="5DFFD270" w14:textId="24BF857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1.48</w:t>
            </w:r>
          </w:p>
          <w:p w14:paraId="4891E133" w14:textId="0190C56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1.16</w:t>
            </w:r>
          </w:p>
        </w:tc>
        <w:tc>
          <w:tcPr>
            <w:tcW w:w="1282" w:type="dxa"/>
            <w:noWrap/>
            <w:hideMark/>
          </w:tcPr>
          <w:p w14:paraId="37F184F4" w14:textId="79F1B3F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767F76E" w14:textId="02CDC80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1.06</w:t>
            </w:r>
          </w:p>
          <w:p w14:paraId="25A4D13D" w14:textId="2263CA2C"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2.01</w:t>
            </w:r>
          </w:p>
          <w:p w14:paraId="70D32385" w14:textId="3A8BF0E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1500" w:type="dxa"/>
            <w:noWrap/>
            <w:hideMark/>
          </w:tcPr>
          <w:p w14:paraId="60034139"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B88B8A5" w14:textId="3020F0A1"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1.35</w:t>
            </w:r>
          </w:p>
          <w:p w14:paraId="3407100E" w14:textId="7CB0195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1.71</w:t>
            </w:r>
          </w:p>
          <w:p w14:paraId="6F068958" w14:textId="77207A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872" w:type="dxa"/>
            <w:noWrap/>
            <w:hideMark/>
          </w:tcPr>
          <w:p w14:paraId="28924803"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7AEFE64" w14:textId="23A8206B"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1.12</w:t>
            </w:r>
          </w:p>
          <w:p w14:paraId="485724E0" w14:textId="4824973B"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1.94</w:t>
            </w:r>
          </w:p>
          <w:p w14:paraId="68CFE1B0" w14:textId="0F62475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1.53</w:t>
            </w:r>
          </w:p>
        </w:tc>
        <w:tc>
          <w:tcPr>
            <w:tcW w:w="1181" w:type="dxa"/>
            <w:noWrap/>
            <w:hideMark/>
          </w:tcPr>
          <w:p w14:paraId="5E853F1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4D0FE4B" w14:textId="4BCB784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1.05</w:t>
            </w:r>
          </w:p>
          <w:p w14:paraId="3A8795CC" w14:textId="0D6EF5A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1.60</w:t>
            </w:r>
          </w:p>
          <w:p w14:paraId="0A120C5C" w14:textId="00B8545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1.31</w:t>
            </w:r>
          </w:p>
        </w:tc>
        <w:tc>
          <w:tcPr>
            <w:tcW w:w="817" w:type="dxa"/>
            <w:noWrap/>
            <w:hideMark/>
          </w:tcPr>
          <w:p w14:paraId="21C1A0C6"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8B2FF98" w14:textId="70719D9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0.62</w:t>
            </w:r>
          </w:p>
          <w:p w14:paraId="06C049AB" w14:textId="14FD06A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1.02</w:t>
            </w:r>
          </w:p>
          <w:p w14:paraId="7170DCB7" w14:textId="26041C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0.84</w:t>
            </w:r>
          </w:p>
        </w:tc>
        <w:tc>
          <w:tcPr>
            <w:tcW w:w="1207" w:type="dxa"/>
            <w:noWrap/>
            <w:hideMark/>
          </w:tcPr>
          <w:p w14:paraId="61CD3C6D"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EC5767A" w14:textId="300605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1.04</w:t>
            </w:r>
          </w:p>
          <w:p w14:paraId="51566264" w14:textId="3938E1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1.78</w:t>
            </w:r>
          </w:p>
          <w:p w14:paraId="11D05AA2" w14:textId="585F0BD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1.41</w:t>
            </w:r>
          </w:p>
        </w:tc>
        <w:tc>
          <w:tcPr>
            <w:tcW w:w="829" w:type="dxa"/>
            <w:noWrap/>
            <w:hideMark/>
          </w:tcPr>
          <w:p w14:paraId="5874240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49BFC5F" w14:textId="6988F2FA"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1.37</w:t>
            </w:r>
          </w:p>
          <w:p w14:paraId="4DDAF784" w14:textId="22F9C7B5"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2.28</w:t>
            </w:r>
          </w:p>
          <w:p w14:paraId="0131BFF6" w14:textId="3F2D747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1.83</w:t>
            </w:r>
          </w:p>
        </w:tc>
        <w:tc>
          <w:tcPr>
            <w:tcW w:w="1105" w:type="dxa"/>
            <w:noWrap/>
            <w:hideMark/>
          </w:tcPr>
          <w:p w14:paraId="5EA5FB43"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C896794" w14:textId="6B1F052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1.82</w:t>
            </w:r>
          </w:p>
          <w:p w14:paraId="434EDFED" w14:textId="77675A0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2.33</w:t>
            </w:r>
          </w:p>
          <w:p w14:paraId="6C9E024D" w14:textId="3E57A48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2.02</w:t>
            </w:r>
          </w:p>
        </w:tc>
      </w:tr>
    </w:tbl>
    <w:p w14:paraId="1BF207D5" w14:textId="77777777" w:rsidR="00D376BC" w:rsidRDefault="00D376BC" w:rsidP="00D376BC">
      <w:pPr>
        <w:jc w:val="center"/>
        <w:rPr>
          <w:rFonts w:ascii="Times New Roman" w:hAnsi="Times New Roman" w:cs="Times New Roman"/>
          <w:sz w:val="28"/>
          <w:szCs w:val="28"/>
        </w:rPr>
      </w:pPr>
    </w:p>
    <w:tbl>
      <w:tblPr>
        <w:tblStyle w:val="PlainTable2"/>
        <w:tblW w:w="11031" w:type="dxa"/>
        <w:tblInd w:w="-1134" w:type="dxa"/>
        <w:tblLook w:val="04A0" w:firstRow="1" w:lastRow="0" w:firstColumn="1" w:lastColumn="0" w:noHBand="0" w:noVBand="1"/>
      </w:tblPr>
      <w:tblGrid>
        <w:gridCol w:w="2410"/>
        <w:gridCol w:w="839"/>
        <w:gridCol w:w="1091"/>
        <w:gridCol w:w="1091"/>
        <w:gridCol w:w="1091"/>
        <w:gridCol w:w="1091"/>
        <w:gridCol w:w="1091"/>
        <w:gridCol w:w="1159"/>
        <w:gridCol w:w="1168"/>
      </w:tblGrid>
      <w:tr w:rsidR="00D376BC" w:rsidRPr="00ED530C" w14:paraId="43A4E259" w14:textId="77777777" w:rsidTr="00EE00D8">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14F055C" w14:textId="77777777" w:rsidR="00D376BC" w:rsidRPr="00ED530C" w:rsidRDefault="00D376BC" w:rsidP="00DD5943">
            <w:pPr>
              <w:jc w:val="center"/>
              <w:rPr>
                <w:rFonts w:ascii="Arial" w:eastAsia="Times New Roman" w:hAnsi="Arial" w:cs="Arial"/>
                <w:kern w:val="0"/>
                <w:sz w:val="20"/>
                <w:szCs w:val="20"/>
                <w:lang w:eastAsia="en-IN"/>
                <w14:ligatures w14:val="none"/>
              </w:rPr>
            </w:pPr>
          </w:p>
        </w:tc>
        <w:tc>
          <w:tcPr>
            <w:tcW w:w="839" w:type="dxa"/>
            <w:noWrap/>
            <w:hideMark/>
          </w:tcPr>
          <w:p w14:paraId="6F8D523E"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Metal Sector</w:t>
            </w:r>
          </w:p>
        </w:tc>
        <w:tc>
          <w:tcPr>
            <w:tcW w:w="1091" w:type="dxa"/>
            <w:noWrap/>
            <w:hideMark/>
          </w:tcPr>
          <w:p w14:paraId="1B98FABA"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Oil &amp; Gas Sector</w:t>
            </w:r>
          </w:p>
        </w:tc>
        <w:tc>
          <w:tcPr>
            <w:tcW w:w="1091" w:type="dxa"/>
            <w:noWrap/>
            <w:hideMark/>
          </w:tcPr>
          <w:p w14:paraId="56D7821E"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Pharma Sector</w:t>
            </w:r>
          </w:p>
        </w:tc>
        <w:tc>
          <w:tcPr>
            <w:tcW w:w="1091" w:type="dxa"/>
            <w:noWrap/>
            <w:hideMark/>
          </w:tcPr>
          <w:p w14:paraId="24A79CDB"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Private Bank Sector</w:t>
            </w:r>
          </w:p>
        </w:tc>
        <w:tc>
          <w:tcPr>
            <w:tcW w:w="1091" w:type="dxa"/>
            <w:noWrap/>
            <w:hideMark/>
          </w:tcPr>
          <w:p w14:paraId="4D393CDF"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PSU Bank Sector</w:t>
            </w:r>
          </w:p>
        </w:tc>
        <w:tc>
          <w:tcPr>
            <w:tcW w:w="1091" w:type="dxa"/>
            <w:noWrap/>
            <w:hideMark/>
          </w:tcPr>
          <w:p w14:paraId="27E12382"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Real Estate Sector</w:t>
            </w:r>
          </w:p>
        </w:tc>
        <w:tc>
          <w:tcPr>
            <w:tcW w:w="1159" w:type="dxa"/>
            <w:noWrap/>
            <w:hideMark/>
          </w:tcPr>
          <w:p w14:paraId="031C0CAB"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Bank Sector</w:t>
            </w:r>
          </w:p>
        </w:tc>
        <w:tc>
          <w:tcPr>
            <w:tcW w:w="1168" w:type="dxa"/>
            <w:noWrap/>
            <w:hideMark/>
          </w:tcPr>
          <w:p w14:paraId="661EB8D0"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Chemical Sector</w:t>
            </w:r>
          </w:p>
        </w:tc>
      </w:tr>
      <w:tr w:rsidR="00D376BC" w:rsidRPr="00ED530C" w14:paraId="4B660770" w14:textId="77777777" w:rsidTr="00EE00D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05756CA" w14:textId="53D30E3F"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Mean</w:t>
            </w:r>
          </w:p>
          <w:p w14:paraId="4C6FC9C6"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779C7E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278C588F" w14:textId="49AD0E73"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50D0FE86"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9341912" w14:textId="4A57677C"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0.07</w:t>
            </w:r>
          </w:p>
          <w:p w14:paraId="2305F905" w14:textId="114744A2"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p w14:paraId="4E2E32D3" w14:textId="7EB28E31"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-0.06</w:t>
            </w:r>
          </w:p>
        </w:tc>
        <w:tc>
          <w:tcPr>
            <w:tcW w:w="1091" w:type="dxa"/>
            <w:noWrap/>
            <w:hideMark/>
          </w:tcPr>
          <w:p w14:paraId="2066B654"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8825029" w14:textId="5AE9A0C9"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1903F2DD" w14:textId="64C4EEE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0.36</w:t>
            </w:r>
          </w:p>
          <w:p w14:paraId="5D60B06D" w14:textId="4A4A21EA"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0.33</w:t>
            </w:r>
          </w:p>
        </w:tc>
        <w:tc>
          <w:tcPr>
            <w:tcW w:w="1091" w:type="dxa"/>
            <w:noWrap/>
            <w:hideMark/>
          </w:tcPr>
          <w:p w14:paraId="6666992E"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CC8911A" w14:textId="491B3AD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0.13</w:t>
            </w:r>
          </w:p>
          <w:p w14:paraId="563C5324" w14:textId="523481B3"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615D3564" w14:textId="2573602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tc>
        <w:tc>
          <w:tcPr>
            <w:tcW w:w="1091" w:type="dxa"/>
            <w:noWrap/>
            <w:hideMark/>
          </w:tcPr>
          <w:p w14:paraId="53E7A02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EA479BF" w14:textId="6979E57D"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606728DA" w14:textId="41E968B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0.51</w:t>
            </w:r>
          </w:p>
          <w:p w14:paraId="4FD61777" w14:textId="26DF525B"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tc>
        <w:tc>
          <w:tcPr>
            <w:tcW w:w="1091" w:type="dxa"/>
            <w:noWrap/>
            <w:hideMark/>
          </w:tcPr>
          <w:p w14:paraId="6D91274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FFA5F94" w14:textId="7773AFE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0.37</w:t>
            </w:r>
          </w:p>
          <w:p w14:paraId="3FCA2088" w14:textId="7D5C6920"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p w14:paraId="634F1DC6" w14:textId="2331926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0.41</w:t>
            </w:r>
          </w:p>
        </w:tc>
        <w:tc>
          <w:tcPr>
            <w:tcW w:w="1091" w:type="dxa"/>
            <w:noWrap/>
            <w:hideMark/>
          </w:tcPr>
          <w:p w14:paraId="132F9DB8"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DE848C5" w14:textId="6B51E50A"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0.09</w:t>
            </w:r>
          </w:p>
          <w:p w14:paraId="25A4A120" w14:textId="7305F80E"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0.17</w:t>
            </w:r>
          </w:p>
          <w:p w14:paraId="6D362432" w14:textId="633C9172"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0.24</w:t>
            </w:r>
          </w:p>
        </w:tc>
        <w:tc>
          <w:tcPr>
            <w:tcW w:w="1159" w:type="dxa"/>
            <w:noWrap/>
            <w:hideMark/>
          </w:tcPr>
          <w:p w14:paraId="44CF1BC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60CB5C1" w14:textId="2B08EC32"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51E4E4A2" w14:textId="713DCB2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0.52</w:t>
            </w:r>
          </w:p>
          <w:p w14:paraId="51178840" w14:textId="30A5561A"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0.44</w:t>
            </w:r>
          </w:p>
        </w:tc>
        <w:tc>
          <w:tcPr>
            <w:tcW w:w="1168" w:type="dxa"/>
            <w:noWrap/>
            <w:hideMark/>
          </w:tcPr>
          <w:p w14:paraId="5F973A29"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F1AADE5" w14:textId="2F462B8D"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4E3D218F" w14:textId="1107583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0ED2E348" w14:textId="7D8E115D"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0.34</w:t>
            </w:r>
          </w:p>
        </w:tc>
      </w:tr>
      <w:tr w:rsidR="00D376BC" w:rsidRPr="00ED530C" w14:paraId="1918E2EB" w14:textId="77777777" w:rsidTr="00EE00D8">
        <w:trPr>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695FA8E" w14:textId="68651903"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Maximum</w:t>
            </w:r>
          </w:p>
          <w:p w14:paraId="782737EF"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1399B7CD"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4C649E51" w14:textId="0B2CDD36"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6F73F54F"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C337CE" w14:textId="1E820C71"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2.13</w:t>
            </w:r>
          </w:p>
          <w:p w14:paraId="0EA21A6B" w14:textId="7D522520"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4.09</w:t>
            </w:r>
          </w:p>
          <w:p w14:paraId="4B1A65F6" w14:textId="7E40950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4.09</w:t>
            </w:r>
          </w:p>
        </w:tc>
        <w:tc>
          <w:tcPr>
            <w:tcW w:w="1091" w:type="dxa"/>
            <w:noWrap/>
            <w:hideMark/>
          </w:tcPr>
          <w:p w14:paraId="487DA2EB"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7B6C3A3" w14:textId="47ECB4B1"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1.84</w:t>
            </w:r>
          </w:p>
          <w:p w14:paraId="148C4AF5" w14:textId="2171B4F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p w14:paraId="4EC674B8" w14:textId="297BFC56"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tc>
        <w:tc>
          <w:tcPr>
            <w:tcW w:w="1091" w:type="dxa"/>
            <w:noWrap/>
            <w:hideMark/>
          </w:tcPr>
          <w:p w14:paraId="3E79C6A1"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187412" w14:textId="4EA75D9D"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1.63</w:t>
            </w:r>
          </w:p>
          <w:p w14:paraId="61D6FF28" w14:textId="10BA773C"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2.43</w:t>
            </w:r>
          </w:p>
          <w:p w14:paraId="2E789554" w14:textId="7C29921B"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2.43</w:t>
            </w:r>
          </w:p>
        </w:tc>
        <w:tc>
          <w:tcPr>
            <w:tcW w:w="1091" w:type="dxa"/>
            <w:noWrap/>
            <w:hideMark/>
          </w:tcPr>
          <w:p w14:paraId="0C53A352"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A08503" w14:textId="26974698"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2.42</w:t>
            </w:r>
          </w:p>
          <w:p w14:paraId="3C59353E" w14:textId="194B8EEA"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2.82</w:t>
            </w:r>
          </w:p>
          <w:p w14:paraId="6305933A" w14:textId="6A1B820E"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2.82</w:t>
            </w:r>
          </w:p>
        </w:tc>
        <w:tc>
          <w:tcPr>
            <w:tcW w:w="1091" w:type="dxa"/>
            <w:noWrap/>
            <w:hideMark/>
          </w:tcPr>
          <w:p w14:paraId="045EB5D3"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212B924" w14:textId="3EB45262"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p w14:paraId="16294C9D" w14:textId="697029B9"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2.64</w:t>
            </w:r>
          </w:p>
          <w:p w14:paraId="67EDFE7F" w14:textId="53559B0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tc>
        <w:tc>
          <w:tcPr>
            <w:tcW w:w="1091" w:type="dxa"/>
            <w:noWrap/>
            <w:hideMark/>
          </w:tcPr>
          <w:p w14:paraId="6FFB0AEC"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0781E3E" w14:textId="3FF587A7"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3.63</w:t>
            </w:r>
          </w:p>
          <w:p w14:paraId="0CD0627B" w14:textId="5F0DEE39"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5.64</w:t>
            </w:r>
          </w:p>
          <w:p w14:paraId="30493397" w14:textId="7B2D1D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5.64</w:t>
            </w:r>
          </w:p>
        </w:tc>
        <w:tc>
          <w:tcPr>
            <w:tcW w:w="1159" w:type="dxa"/>
            <w:noWrap/>
            <w:hideMark/>
          </w:tcPr>
          <w:p w14:paraId="1DD4DAFF"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309CE73" w14:textId="24D58118"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2.20</w:t>
            </w:r>
          </w:p>
          <w:p w14:paraId="7B583C54" w14:textId="4AAEA18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p w14:paraId="034CFF73" w14:textId="6A41DA15"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tc>
        <w:tc>
          <w:tcPr>
            <w:tcW w:w="1168" w:type="dxa"/>
            <w:noWrap/>
            <w:hideMark/>
          </w:tcPr>
          <w:p w14:paraId="0102F651" w14:textId="5574D47F" w:rsidR="00D376BC" w:rsidRPr="00ED530C" w:rsidRDefault="00D376BC" w:rsidP="004C54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99C770F" w14:textId="3D273CCD"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1.82</w:t>
            </w:r>
          </w:p>
          <w:p w14:paraId="262F4A5C" w14:textId="36D77BD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4.28</w:t>
            </w:r>
          </w:p>
          <w:p w14:paraId="3BF09F37" w14:textId="7290558F"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4.28</w:t>
            </w:r>
          </w:p>
        </w:tc>
      </w:tr>
      <w:tr w:rsidR="00D376BC" w:rsidRPr="00ED530C" w14:paraId="547A23A8" w14:textId="77777777" w:rsidTr="00EE00D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0F33F0E" w14:textId="2CDD39B5"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Minimum</w:t>
            </w:r>
          </w:p>
          <w:p w14:paraId="512282E1"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3403DBFD"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6AC604FF" w14:textId="131B421E"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7DEAE45C"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148D6F1" w14:textId="3B436EF3"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-1.40</w:t>
            </w:r>
          </w:p>
          <w:p w14:paraId="0219B660" w14:textId="7DDF1696"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-6.75</w:t>
            </w:r>
          </w:p>
          <w:p w14:paraId="49BA8A3F" w14:textId="726AB11E"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-6.75</w:t>
            </w:r>
          </w:p>
        </w:tc>
        <w:tc>
          <w:tcPr>
            <w:tcW w:w="1091" w:type="dxa"/>
            <w:noWrap/>
            <w:hideMark/>
          </w:tcPr>
          <w:p w14:paraId="6569EADE"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D4D356A" w14:textId="79BCBABC"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-1.90</w:t>
            </w:r>
          </w:p>
          <w:p w14:paraId="6717DB25" w14:textId="4DCD479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p w14:paraId="14566409" w14:textId="56070A02"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tc>
        <w:tc>
          <w:tcPr>
            <w:tcW w:w="1091" w:type="dxa"/>
            <w:noWrap/>
            <w:hideMark/>
          </w:tcPr>
          <w:p w14:paraId="23F9A89C"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AE20797" w14:textId="610E929B"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-1.73</w:t>
            </w:r>
          </w:p>
          <w:p w14:paraId="0B8A94B7" w14:textId="70AB7646"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-4.03</w:t>
            </w:r>
          </w:p>
          <w:p w14:paraId="51487C3E" w14:textId="0C49F00B"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-4.03</w:t>
            </w:r>
          </w:p>
        </w:tc>
        <w:tc>
          <w:tcPr>
            <w:tcW w:w="1091" w:type="dxa"/>
            <w:noWrap/>
            <w:hideMark/>
          </w:tcPr>
          <w:p w14:paraId="38A1DD7A"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F9C6AD4" w14:textId="0D681FA0"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-1.38</w:t>
            </w:r>
          </w:p>
          <w:p w14:paraId="52125C3B" w14:textId="1E86DFF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-3.47</w:t>
            </w:r>
          </w:p>
          <w:p w14:paraId="64D34198" w14:textId="5EBB49FD"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-3.47</w:t>
            </w:r>
          </w:p>
        </w:tc>
        <w:tc>
          <w:tcPr>
            <w:tcW w:w="1091" w:type="dxa"/>
            <w:noWrap/>
            <w:hideMark/>
          </w:tcPr>
          <w:p w14:paraId="4CA8F732"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FE1AF63" w14:textId="6DC14EE3"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-1.86</w:t>
            </w:r>
          </w:p>
          <w:p w14:paraId="578B4B27" w14:textId="3377A6DC"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-2.84</w:t>
            </w:r>
          </w:p>
          <w:p w14:paraId="178853B7" w14:textId="0012426F"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-2.84</w:t>
            </w:r>
          </w:p>
        </w:tc>
        <w:tc>
          <w:tcPr>
            <w:tcW w:w="1091" w:type="dxa"/>
            <w:noWrap/>
            <w:hideMark/>
          </w:tcPr>
          <w:p w14:paraId="4205F63F"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9670F4A" w14:textId="27A03EF7"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-3.11</w:t>
            </w:r>
          </w:p>
          <w:p w14:paraId="221AD6B8" w14:textId="7E2554C8"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-5.69</w:t>
            </w:r>
          </w:p>
          <w:p w14:paraId="640051BE" w14:textId="51C23291"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-5.69</w:t>
            </w:r>
          </w:p>
        </w:tc>
        <w:tc>
          <w:tcPr>
            <w:tcW w:w="1159" w:type="dxa"/>
            <w:noWrap/>
            <w:hideMark/>
          </w:tcPr>
          <w:p w14:paraId="36CF3133"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40B0A7" w14:textId="4827346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-1.43</w:t>
            </w:r>
          </w:p>
          <w:p w14:paraId="30FD5507" w14:textId="207DA327"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p w14:paraId="7B4CE40D" w14:textId="6EC5AFFC"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tc>
        <w:tc>
          <w:tcPr>
            <w:tcW w:w="1168" w:type="dxa"/>
            <w:noWrap/>
            <w:hideMark/>
          </w:tcPr>
          <w:p w14:paraId="66B5E623"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C9C1EF7" w14:textId="06D8595F"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-1.12</w:t>
            </w:r>
          </w:p>
          <w:p w14:paraId="0C6319C0" w14:textId="528BE829"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-3.22</w:t>
            </w:r>
          </w:p>
          <w:p w14:paraId="4FD5B47E" w14:textId="7C5CBA4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-3.22</w:t>
            </w:r>
          </w:p>
        </w:tc>
      </w:tr>
      <w:tr w:rsidR="00D376BC" w:rsidRPr="00ED530C" w14:paraId="71BB02C4" w14:textId="77777777" w:rsidTr="00EE00D8">
        <w:trPr>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CBBD67E" w14:textId="7ABC3684"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Std. Dev.</w:t>
            </w:r>
          </w:p>
          <w:p w14:paraId="5E9071E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666E4C5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6CB6D4B9" w14:textId="30735988"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2D2C040D"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328732E" w14:textId="57AF894D"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1.02</w:t>
            </w:r>
          </w:p>
          <w:p w14:paraId="07446A1A" w14:textId="1E0CB685"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3.06</w:t>
            </w:r>
          </w:p>
          <w:p w14:paraId="3D0B9E3D" w14:textId="1C55164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2.22</w:t>
            </w:r>
          </w:p>
        </w:tc>
        <w:tc>
          <w:tcPr>
            <w:tcW w:w="1091" w:type="dxa"/>
            <w:noWrap/>
            <w:hideMark/>
          </w:tcPr>
          <w:p w14:paraId="35616EA8"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3368F9D" w14:textId="2275D965"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1.17</w:t>
            </w:r>
          </w:p>
          <w:p w14:paraId="582BF6CB" w14:textId="0FCC1253"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1.96</w:t>
            </w:r>
          </w:p>
          <w:p w14:paraId="01C26CB2" w14:textId="5F3039F3"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1091" w:type="dxa"/>
            <w:noWrap/>
            <w:hideMark/>
          </w:tcPr>
          <w:p w14:paraId="2393F11E"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73FDBFF" w14:textId="722844C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1.01</w:t>
            </w:r>
          </w:p>
          <w:p w14:paraId="423E939C" w14:textId="1F36E5AD"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2.08</w:t>
            </w:r>
          </w:p>
          <w:p w14:paraId="1AD096AC" w14:textId="67E7CA08"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1.59</w:t>
            </w:r>
          </w:p>
        </w:tc>
        <w:tc>
          <w:tcPr>
            <w:tcW w:w="1091" w:type="dxa"/>
            <w:noWrap/>
            <w:hideMark/>
          </w:tcPr>
          <w:p w14:paraId="3B71060C"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05C5B0D" w14:textId="47CBC1F7"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1.08</w:t>
            </w:r>
          </w:p>
          <w:p w14:paraId="2A4FA518" w14:textId="48EAC975"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1.63</w:t>
            </w:r>
          </w:p>
          <w:p w14:paraId="4F310C31" w14:textId="621DBFB0"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1.34</w:t>
            </w:r>
          </w:p>
        </w:tc>
        <w:tc>
          <w:tcPr>
            <w:tcW w:w="1091" w:type="dxa"/>
            <w:noWrap/>
            <w:hideMark/>
          </w:tcPr>
          <w:p w14:paraId="011679FD"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784C020" w14:textId="431C879F"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1.59</w:t>
            </w:r>
          </w:p>
          <w:p w14:paraId="64152509" w14:textId="7FC1B0C8"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2.05</w:t>
            </w:r>
          </w:p>
          <w:p w14:paraId="27AD9E20" w14:textId="7ACB4B50"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1.77</w:t>
            </w:r>
          </w:p>
        </w:tc>
        <w:tc>
          <w:tcPr>
            <w:tcW w:w="1091" w:type="dxa"/>
            <w:noWrap/>
            <w:hideMark/>
          </w:tcPr>
          <w:p w14:paraId="5979B807"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7F16207" w14:textId="4283BC9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2.12</w:t>
            </w:r>
          </w:p>
          <w:p w14:paraId="6F76BDE9" w14:textId="7D1619A3"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2.85</w:t>
            </w:r>
          </w:p>
          <w:p w14:paraId="4A9801CC" w14:textId="324A8255"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2.50</w:t>
            </w:r>
          </w:p>
        </w:tc>
        <w:tc>
          <w:tcPr>
            <w:tcW w:w="1159" w:type="dxa"/>
            <w:noWrap/>
            <w:hideMark/>
          </w:tcPr>
          <w:p w14:paraId="447472DC"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FE1FD31" w14:textId="7BA5C79E"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1.01</w:t>
            </w:r>
          </w:p>
          <w:p w14:paraId="00E35AD2" w14:textId="7290AD98"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1.51</w:t>
            </w:r>
          </w:p>
          <w:p w14:paraId="4489D696" w14:textId="6BBB0608"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1.25</w:t>
            </w:r>
          </w:p>
        </w:tc>
        <w:tc>
          <w:tcPr>
            <w:tcW w:w="1168" w:type="dxa"/>
            <w:noWrap/>
            <w:hideMark/>
          </w:tcPr>
          <w:p w14:paraId="37D998EA"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FC7BBF2" w14:textId="5AF56C8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0.80</w:t>
            </w:r>
          </w:p>
          <w:p w14:paraId="1B76C60F" w14:textId="689E18EC"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1.91</w:t>
            </w:r>
          </w:p>
          <w:p w14:paraId="76FA0C69" w14:textId="2C823D4F"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1.43</w:t>
            </w:r>
          </w:p>
        </w:tc>
      </w:tr>
    </w:tbl>
    <w:p w14:paraId="57ADF37C" w14:textId="77777777" w:rsidR="00B01A95" w:rsidRDefault="00B01A95" w:rsidP="00EE00D8">
      <w:pPr>
        <w:jc w:val="both"/>
        <w:rPr>
          <w:rFonts w:ascii="Arial" w:hAnsi="Arial" w:cs="Arial"/>
          <w:b/>
          <w:bCs/>
          <w:sz w:val="20"/>
          <w:szCs w:val="20"/>
        </w:rPr>
      </w:pPr>
    </w:p>
    <w:p w14:paraId="2A666BDE" w14:textId="5D45BE9A"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762B835" w14:textId="77777777" w:rsidR="00B01A95" w:rsidRDefault="00B01A95" w:rsidP="00F55B50">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7A8B37A9" w14:textId="24DA9563" w:rsidR="00F55B50" w:rsidRPr="00F55B50" w:rsidRDefault="00F55B50" w:rsidP="00F55B50">
      <w:pPr>
        <w:jc w:val="both"/>
        <w:rPr>
          <w:rFonts w:ascii="Arial" w:hAnsi="Arial" w:cs="Arial"/>
          <w:sz w:val="20"/>
          <w:szCs w:val="20"/>
        </w:rPr>
      </w:pPr>
      <w:r w:rsidRPr="00F55B50">
        <w:rPr>
          <w:rFonts w:ascii="Arial" w:hAnsi="Arial" w:cs="Arial"/>
          <w:sz w:val="20"/>
          <w:szCs w:val="20"/>
        </w:rPr>
        <w:t xml:space="preserve">Table </w:t>
      </w:r>
      <w:r w:rsidR="005D0166">
        <w:rPr>
          <w:rFonts w:ascii="Arial" w:hAnsi="Arial" w:cs="Arial"/>
          <w:sz w:val="20"/>
          <w:szCs w:val="20"/>
        </w:rPr>
        <w:t>4</w:t>
      </w:r>
      <w:r w:rsidRPr="00F55B50">
        <w:rPr>
          <w:rFonts w:ascii="Arial" w:hAnsi="Arial" w:cs="Arial"/>
          <w:sz w:val="20"/>
          <w:szCs w:val="20"/>
        </w:rPr>
        <w:t xml:space="preserve"> compares the Indian stock market's sectoral performance 15 days pre, 15 days after, and 30 days total to an important economic or policy event. Post-event mean returns across most sectors are positive, reflecting optimistic market sentiment. After the incident, private banks (mean return climbed to 0.51%), FMCG (0.42%), and automobiles (0.31%) did well, showing they were positively affected or resilient. The media sector went from negative (-0.32%) before the event to 0.21% after, and metals continued to underperform with a mean of -0.06% over 30 days.</w:t>
      </w:r>
    </w:p>
    <w:p w14:paraId="49F88E6D" w14:textId="15FA459D" w:rsidR="002379D4" w:rsidRPr="00F55B50" w:rsidRDefault="00F55B50" w:rsidP="00F55B50">
      <w:pPr>
        <w:jc w:val="both"/>
        <w:rPr>
          <w:rFonts w:ascii="Arial" w:hAnsi="Arial" w:cs="Arial"/>
          <w:sz w:val="20"/>
          <w:szCs w:val="20"/>
        </w:rPr>
      </w:pPr>
      <w:r w:rsidRPr="00F55B50">
        <w:rPr>
          <w:rFonts w:ascii="Arial" w:hAnsi="Arial" w:cs="Arial"/>
          <w:sz w:val="20"/>
          <w:szCs w:val="20"/>
        </w:rPr>
        <w:lastRenderedPageBreak/>
        <w:t> Post-event maximum return values increased due to sector-specific short-term rallies. Real estate had the highest maximum return of 5.64%, followed by media (4.72%) and IT (4.34%), indicating speculative inflows or favourable policy implications. However, minimum return values fell dramatically, especially in high-beta industries. Metals (-6.75%), real estate (-5.69%), and pharma (-4.03%) fell sharply post-event, indicating market overreactions and dangers. Most sectors' standard deviation volatility increased significantly following the occurrence. The Nifty50 index's standard deviation rose from 0.81 to 1.48 post-event, while the Automobile (2.01), Metal (3.06), Media (2.33), and IT (2.33) sectors surged, indicating increased uncertainty and investor repositioning. Even if the average trend was positive, price swings were wider, making the market riskier in the near term.</w:t>
      </w:r>
    </w:p>
    <w:p w14:paraId="3141B321" w14:textId="77777777" w:rsidR="00B01A95" w:rsidRDefault="00B01A95" w:rsidP="00F55B50">
      <w:pPr>
        <w:jc w:val="center"/>
        <w:rPr>
          <w:rFonts w:ascii="Arial" w:hAnsi="Arial" w:cs="Arial"/>
          <w:b/>
          <w:bCs/>
        </w:rPr>
        <w:sectPr w:rsidR="00B01A95" w:rsidSect="00620C7B">
          <w:type w:val="continuous"/>
          <w:pgSz w:w="11906" w:h="16838"/>
          <w:pgMar w:top="1440" w:right="1440" w:bottom="1440" w:left="1440" w:header="708" w:footer="708" w:gutter="0"/>
          <w:cols w:space="708"/>
          <w:docGrid w:linePitch="360"/>
        </w:sectPr>
      </w:pPr>
    </w:p>
    <w:p w14:paraId="2A1C453E" w14:textId="061CF6D4" w:rsidR="00D376BC" w:rsidRPr="00F55B50" w:rsidRDefault="00ED530C" w:rsidP="00F55B50">
      <w:pPr>
        <w:jc w:val="center"/>
        <w:rPr>
          <w:rFonts w:ascii="Arial" w:hAnsi="Arial" w:cs="Arial"/>
          <w:b/>
          <w:bCs/>
        </w:rPr>
      </w:pPr>
      <w:r w:rsidRPr="00ED530C">
        <w:rPr>
          <w:rFonts w:ascii="Arial" w:hAnsi="Arial" w:cs="Arial"/>
          <w:b/>
          <w:bCs/>
        </w:rPr>
        <w:t xml:space="preserve">Table </w:t>
      </w:r>
      <w:r w:rsidR="005D0166">
        <w:rPr>
          <w:rFonts w:ascii="Arial" w:hAnsi="Arial" w:cs="Arial"/>
          <w:b/>
          <w:bCs/>
        </w:rPr>
        <w:t>5</w:t>
      </w:r>
      <w:r w:rsidR="00F55B50">
        <w:rPr>
          <w:rFonts w:ascii="Arial" w:hAnsi="Arial" w:cs="Arial"/>
          <w:b/>
          <w:bCs/>
          <w:sz w:val="20"/>
          <w:szCs w:val="20"/>
        </w:rPr>
        <w:t xml:space="preserve">: </w:t>
      </w:r>
      <w:r w:rsidR="00F55B50" w:rsidRPr="00B06D4C">
        <w:rPr>
          <w:rFonts w:ascii="Arial" w:hAnsi="Arial" w:cs="Arial"/>
          <w:b/>
          <w:bCs/>
          <w:sz w:val="20"/>
          <w:szCs w:val="20"/>
        </w:rPr>
        <w:t xml:space="preserve">Descriptive Statistics </w:t>
      </w:r>
      <w:r w:rsidR="00F55B50">
        <w:rPr>
          <w:rFonts w:ascii="Arial" w:hAnsi="Arial" w:cs="Arial"/>
          <w:b/>
          <w:bCs/>
          <w:sz w:val="20"/>
          <w:szCs w:val="20"/>
        </w:rPr>
        <w:t xml:space="preserve">of Sectoral Indices </w:t>
      </w:r>
      <w:r w:rsidR="00F55B50" w:rsidRPr="00B06D4C">
        <w:rPr>
          <w:rFonts w:ascii="Arial" w:hAnsi="Arial" w:cs="Arial"/>
          <w:b/>
          <w:bCs/>
          <w:sz w:val="20"/>
          <w:szCs w:val="20"/>
        </w:rPr>
        <w:t>Pre- and Post-</w:t>
      </w:r>
      <w:r w:rsidR="00F55B50">
        <w:rPr>
          <w:rFonts w:ascii="Arial" w:hAnsi="Arial" w:cs="Arial"/>
          <w:b/>
          <w:bCs/>
          <w:sz w:val="20"/>
          <w:szCs w:val="20"/>
        </w:rPr>
        <w:t>U.</w:t>
      </w:r>
      <w:proofErr w:type="gramStart"/>
      <w:r w:rsidR="00F55B50">
        <w:rPr>
          <w:rFonts w:ascii="Arial" w:hAnsi="Arial" w:cs="Arial"/>
          <w:b/>
          <w:bCs/>
          <w:sz w:val="20"/>
          <w:szCs w:val="20"/>
        </w:rPr>
        <w:t>S.A</w:t>
      </w:r>
      <w:proofErr w:type="gramEnd"/>
      <w:r w:rsidR="00F55B50" w:rsidRPr="00B06D4C">
        <w:rPr>
          <w:rFonts w:ascii="Arial" w:hAnsi="Arial" w:cs="Arial"/>
          <w:b/>
          <w:bCs/>
          <w:sz w:val="20"/>
          <w:szCs w:val="20"/>
        </w:rPr>
        <w:t xml:space="preserve"> Tariff Announcement</w:t>
      </w:r>
      <w:r w:rsidR="00F55B50">
        <w:rPr>
          <w:rFonts w:ascii="Arial" w:hAnsi="Arial" w:cs="Arial"/>
          <w:b/>
          <w:bCs/>
          <w:sz w:val="20"/>
          <w:szCs w:val="20"/>
        </w:rPr>
        <w:t xml:space="preserve"> (30 Days)</w:t>
      </w:r>
    </w:p>
    <w:tbl>
      <w:tblPr>
        <w:tblStyle w:val="PlainTable2"/>
        <w:tblW w:w="11352" w:type="dxa"/>
        <w:tblInd w:w="-1156" w:type="dxa"/>
        <w:tblLook w:val="04A0" w:firstRow="1" w:lastRow="0" w:firstColumn="1" w:lastColumn="0" w:noHBand="0" w:noVBand="1"/>
      </w:tblPr>
      <w:tblGrid>
        <w:gridCol w:w="2004"/>
        <w:gridCol w:w="1025"/>
        <w:gridCol w:w="1316"/>
        <w:gridCol w:w="1255"/>
        <w:gridCol w:w="895"/>
        <w:gridCol w:w="1083"/>
        <w:gridCol w:w="839"/>
        <w:gridCol w:w="1239"/>
        <w:gridCol w:w="848"/>
        <w:gridCol w:w="848"/>
      </w:tblGrid>
      <w:tr w:rsidR="00C53C57" w:rsidRPr="00ED530C" w14:paraId="59278429" w14:textId="77777777" w:rsidTr="00C53C57">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2DB59EDE" w14:textId="77777777" w:rsidR="00C53C57" w:rsidRPr="00ED530C" w:rsidRDefault="00C53C57" w:rsidP="0024665C">
            <w:pPr>
              <w:jc w:val="center"/>
              <w:rPr>
                <w:rFonts w:ascii="Arial" w:hAnsi="Arial" w:cs="Arial"/>
                <w:sz w:val="20"/>
                <w:szCs w:val="20"/>
              </w:rPr>
            </w:pPr>
          </w:p>
        </w:tc>
        <w:tc>
          <w:tcPr>
            <w:tcW w:w="1266" w:type="dxa"/>
          </w:tcPr>
          <w:p w14:paraId="7526E6A5" w14:textId="2A35D6A4"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Nifty50</w:t>
            </w:r>
          </w:p>
        </w:tc>
        <w:tc>
          <w:tcPr>
            <w:tcW w:w="1266" w:type="dxa"/>
            <w:noWrap/>
            <w:hideMark/>
          </w:tcPr>
          <w:p w14:paraId="2B9C6CA9" w14:textId="3FF6ABBA"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Automobile Sector</w:t>
            </w:r>
          </w:p>
        </w:tc>
        <w:tc>
          <w:tcPr>
            <w:tcW w:w="1255" w:type="dxa"/>
            <w:noWrap/>
            <w:hideMark/>
          </w:tcPr>
          <w:p w14:paraId="2B016A36" w14:textId="30F5A75A"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Consumer Durable Sector</w:t>
            </w:r>
          </w:p>
        </w:tc>
        <w:tc>
          <w:tcPr>
            <w:tcW w:w="848" w:type="dxa"/>
            <w:noWrap/>
            <w:hideMark/>
          </w:tcPr>
          <w:p w14:paraId="705452C9" w14:textId="42095D4C"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Energy Sector</w:t>
            </w:r>
          </w:p>
        </w:tc>
        <w:tc>
          <w:tcPr>
            <w:tcW w:w="1029" w:type="dxa"/>
            <w:noWrap/>
            <w:hideMark/>
          </w:tcPr>
          <w:p w14:paraId="6DF8D98F" w14:textId="3028B088"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Financial Services Sector</w:t>
            </w:r>
          </w:p>
        </w:tc>
        <w:tc>
          <w:tcPr>
            <w:tcW w:w="804" w:type="dxa"/>
            <w:noWrap/>
            <w:hideMark/>
          </w:tcPr>
          <w:p w14:paraId="7EBF3C8E" w14:textId="0BED02AB"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FMCG Sector</w:t>
            </w:r>
          </w:p>
        </w:tc>
        <w:tc>
          <w:tcPr>
            <w:tcW w:w="1184" w:type="dxa"/>
            <w:noWrap/>
            <w:hideMark/>
          </w:tcPr>
          <w:p w14:paraId="09830C4D" w14:textId="00C117ED"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Healthcare Sector</w:t>
            </w:r>
          </w:p>
        </w:tc>
        <w:tc>
          <w:tcPr>
            <w:tcW w:w="848" w:type="dxa"/>
            <w:noWrap/>
            <w:hideMark/>
          </w:tcPr>
          <w:p w14:paraId="037B8B11" w14:textId="732A5A47"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IT Sector</w:t>
            </w:r>
          </w:p>
        </w:tc>
        <w:tc>
          <w:tcPr>
            <w:tcW w:w="848" w:type="dxa"/>
            <w:noWrap/>
            <w:hideMark/>
          </w:tcPr>
          <w:p w14:paraId="3592BB48" w14:textId="4B957A85"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Media Sector</w:t>
            </w:r>
          </w:p>
        </w:tc>
      </w:tr>
      <w:tr w:rsidR="00C53C57" w:rsidRPr="00ED530C" w14:paraId="3D17CB36" w14:textId="77777777" w:rsidTr="00C53C5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7EBEEE84" w14:textId="67957FFA"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Mean</w:t>
            </w:r>
          </w:p>
          <w:p w14:paraId="7DD13037" w14:textId="3BE5A5E9"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 xml:space="preserve">30 days </w:t>
            </w:r>
            <w:r w:rsidR="00ED530C">
              <w:rPr>
                <w:rFonts w:ascii="Arial" w:hAnsi="Arial" w:cs="Arial"/>
                <w:sz w:val="20"/>
                <w:szCs w:val="20"/>
              </w:rPr>
              <w:t>Pre</w:t>
            </w:r>
          </w:p>
          <w:p w14:paraId="5D33AE55" w14:textId="7C112262"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 xml:space="preserve">30 days </w:t>
            </w:r>
            <w:r w:rsidR="00ED530C">
              <w:rPr>
                <w:rFonts w:ascii="Arial" w:hAnsi="Arial" w:cs="Arial"/>
                <w:sz w:val="20"/>
                <w:szCs w:val="20"/>
              </w:rPr>
              <w:t>Post</w:t>
            </w:r>
          </w:p>
          <w:p w14:paraId="5C05EBEA" w14:textId="5D10FC13" w:rsidR="00C53C57" w:rsidRPr="00ED530C" w:rsidRDefault="00C53C57" w:rsidP="0024665C">
            <w:pPr>
              <w:jc w:val="center"/>
              <w:rPr>
                <w:rFonts w:ascii="Arial" w:hAnsi="Arial" w:cs="Arial"/>
                <w:sz w:val="20"/>
                <w:szCs w:val="20"/>
              </w:rPr>
            </w:pPr>
            <w:r w:rsidRPr="00ED530C">
              <w:rPr>
                <w:rFonts w:ascii="Arial" w:hAnsi="Arial" w:cs="Arial"/>
                <w:sz w:val="20"/>
                <w:szCs w:val="20"/>
              </w:rPr>
              <w:t>60 days Overall</w:t>
            </w:r>
          </w:p>
        </w:tc>
        <w:tc>
          <w:tcPr>
            <w:tcW w:w="1266" w:type="dxa"/>
          </w:tcPr>
          <w:p w14:paraId="11187136"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183774" w14:textId="5A5DB68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5270F721" w14:textId="6BECF6B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5AB3938A" w14:textId="732917B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c>
          <w:tcPr>
            <w:tcW w:w="1266" w:type="dxa"/>
            <w:noWrap/>
            <w:hideMark/>
          </w:tcPr>
          <w:p w14:paraId="05D46648" w14:textId="706B2D3E"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AF5320" w14:textId="66691BE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-0.16</w:t>
            </w:r>
          </w:p>
          <w:p w14:paraId="43E32CBC" w14:textId="2572D32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0.33</w:t>
            </w:r>
          </w:p>
          <w:p w14:paraId="6A3853BC" w14:textId="1D14D95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tc>
        <w:tc>
          <w:tcPr>
            <w:tcW w:w="1255" w:type="dxa"/>
            <w:noWrap/>
            <w:hideMark/>
          </w:tcPr>
          <w:p w14:paraId="66F37EB0"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FF4E51" w14:textId="36C6318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5F26EB5F" w14:textId="18F2C37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0.24</w:t>
            </w:r>
          </w:p>
          <w:p w14:paraId="0DF14A70" w14:textId="5F6C773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tc>
        <w:tc>
          <w:tcPr>
            <w:tcW w:w="848" w:type="dxa"/>
            <w:noWrap/>
            <w:hideMark/>
          </w:tcPr>
          <w:p w14:paraId="42C0C726"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642549" w14:textId="3D4F4B6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p w14:paraId="5D4A496E" w14:textId="6A7681E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0.21</w:t>
            </w:r>
          </w:p>
          <w:p w14:paraId="7CC156D1" w14:textId="70F760D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tc>
        <w:tc>
          <w:tcPr>
            <w:tcW w:w="1029" w:type="dxa"/>
            <w:noWrap/>
            <w:hideMark/>
          </w:tcPr>
          <w:p w14:paraId="5F47A985"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B0C6CE" w14:textId="0737DBB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p w14:paraId="7EF3B350" w14:textId="777738C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202C8F9B" w14:textId="2CC7903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tc>
        <w:tc>
          <w:tcPr>
            <w:tcW w:w="804" w:type="dxa"/>
            <w:noWrap/>
            <w:hideMark/>
          </w:tcPr>
          <w:p w14:paraId="4F73A839"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D9E5120" w14:textId="20448C9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3E826F09" w14:textId="27BE77DE"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0.16</w:t>
            </w:r>
          </w:p>
          <w:p w14:paraId="688DF490" w14:textId="7D9B010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tc>
        <w:tc>
          <w:tcPr>
            <w:tcW w:w="1184" w:type="dxa"/>
            <w:noWrap/>
            <w:hideMark/>
          </w:tcPr>
          <w:p w14:paraId="3C44708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96DC2C" w14:textId="7727C834"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p w14:paraId="43FD49FE" w14:textId="661B2F0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p w14:paraId="28EC2E8D" w14:textId="5B89793F"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tc>
        <w:tc>
          <w:tcPr>
            <w:tcW w:w="848" w:type="dxa"/>
            <w:noWrap/>
            <w:hideMark/>
          </w:tcPr>
          <w:p w14:paraId="612C92EF"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70C6D1A" w14:textId="4FFA432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-0.45</w:t>
            </w:r>
          </w:p>
          <w:p w14:paraId="45123692" w14:textId="2928332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p w14:paraId="07C2A2D4" w14:textId="12C25A6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-0.15</w:t>
            </w:r>
          </w:p>
        </w:tc>
        <w:tc>
          <w:tcPr>
            <w:tcW w:w="848" w:type="dxa"/>
            <w:noWrap/>
            <w:hideMark/>
          </w:tcPr>
          <w:p w14:paraId="1575C2B5"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EA9DF7" w14:textId="15AB109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p w14:paraId="6856DC3D" w14:textId="6B9147B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0ED5D0E" w14:textId="68BAFBB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r>
      <w:tr w:rsidR="00C53C57" w:rsidRPr="00ED530C" w14:paraId="47A41F20" w14:textId="77777777" w:rsidTr="00C53C57">
        <w:trPr>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1F1FED8F"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Maximum</w:t>
            </w:r>
          </w:p>
          <w:p w14:paraId="5F093378"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7F087E39"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296BB09E" w14:textId="03DF45AD"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77A2E9E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1CF6B8" w14:textId="2B1A2B7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1.45</w:t>
            </w:r>
          </w:p>
          <w:p w14:paraId="71A1C223" w14:textId="728F3B9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3.82</w:t>
            </w:r>
          </w:p>
          <w:p w14:paraId="6B1FF366" w14:textId="17DE384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3.82</w:t>
            </w:r>
          </w:p>
        </w:tc>
        <w:tc>
          <w:tcPr>
            <w:tcW w:w="1266" w:type="dxa"/>
            <w:noWrap/>
            <w:hideMark/>
          </w:tcPr>
          <w:p w14:paraId="0768B5E3" w14:textId="3630044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503C91" w14:textId="226FB78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2.60</w:t>
            </w:r>
          </w:p>
          <w:p w14:paraId="728D2ED9" w14:textId="5D3E6A82"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3.41</w:t>
            </w:r>
          </w:p>
          <w:p w14:paraId="236362A2" w14:textId="22DA96E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3.41</w:t>
            </w:r>
          </w:p>
        </w:tc>
        <w:tc>
          <w:tcPr>
            <w:tcW w:w="1255" w:type="dxa"/>
            <w:noWrap/>
            <w:hideMark/>
          </w:tcPr>
          <w:p w14:paraId="38DFC8B5"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0CD7A4" w14:textId="2DC2FC7E"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p w14:paraId="0C9B3E99" w14:textId="5AF1837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36CBB466" w14:textId="36B9AFD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848" w:type="dxa"/>
            <w:noWrap/>
            <w:hideMark/>
          </w:tcPr>
          <w:p w14:paraId="03A4B23D"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C62438" w14:textId="5B2618C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p w14:paraId="260B70E4" w14:textId="00CA1F9D"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4.19</w:t>
            </w:r>
          </w:p>
          <w:p w14:paraId="3FD474D6" w14:textId="13685E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4.19</w:t>
            </w:r>
          </w:p>
        </w:tc>
        <w:tc>
          <w:tcPr>
            <w:tcW w:w="1029" w:type="dxa"/>
            <w:noWrap/>
            <w:hideMark/>
          </w:tcPr>
          <w:p w14:paraId="558980C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BEB9B5" w14:textId="359C9BA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4EB49444" w14:textId="52D6FEB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3.90</w:t>
            </w:r>
          </w:p>
          <w:p w14:paraId="54931008" w14:textId="3AE718F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3.90</w:t>
            </w:r>
          </w:p>
        </w:tc>
        <w:tc>
          <w:tcPr>
            <w:tcW w:w="804" w:type="dxa"/>
            <w:noWrap/>
            <w:hideMark/>
          </w:tcPr>
          <w:p w14:paraId="673959F8"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783B3A" w14:textId="045028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1.49</w:t>
            </w:r>
          </w:p>
          <w:p w14:paraId="55AAFA5E" w14:textId="66FA866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p w14:paraId="28DAD807" w14:textId="2684F4A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tc>
        <w:tc>
          <w:tcPr>
            <w:tcW w:w="1184" w:type="dxa"/>
            <w:noWrap/>
            <w:hideMark/>
          </w:tcPr>
          <w:p w14:paraId="7A3136F4"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662255" w14:textId="3EA8EEA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1.66</w:t>
            </w:r>
          </w:p>
          <w:p w14:paraId="3974B5CB" w14:textId="44C597F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2.07</w:t>
            </w:r>
          </w:p>
          <w:p w14:paraId="6E9E4534" w14:textId="5440150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2.07</w:t>
            </w:r>
          </w:p>
        </w:tc>
        <w:tc>
          <w:tcPr>
            <w:tcW w:w="848" w:type="dxa"/>
            <w:noWrap/>
            <w:hideMark/>
          </w:tcPr>
          <w:p w14:paraId="36B8A18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2A5035" w14:textId="49C43F3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2.13</w:t>
            </w:r>
          </w:p>
          <w:p w14:paraId="228FE9C8" w14:textId="11DEB61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6.70</w:t>
            </w:r>
          </w:p>
          <w:p w14:paraId="48D1D2BA" w14:textId="378F152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6.70</w:t>
            </w:r>
          </w:p>
        </w:tc>
        <w:tc>
          <w:tcPr>
            <w:tcW w:w="848" w:type="dxa"/>
            <w:noWrap/>
            <w:hideMark/>
          </w:tcPr>
          <w:p w14:paraId="1196811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41F4B2" w14:textId="22526A5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3.62</w:t>
            </w:r>
          </w:p>
          <w:p w14:paraId="2BDD7E27" w14:textId="6009513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p w14:paraId="348E06B5" w14:textId="5954F8E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tc>
      </w:tr>
      <w:tr w:rsidR="00C53C57" w:rsidRPr="00ED530C" w14:paraId="6D22867C" w14:textId="77777777" w:rsidTr="00C53C5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5DE10B08"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Minimum</w:t>
            </w:r>
          </w:p>
          <w:p w14:paraId="0C7EED17"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7C5A43A0"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7E4AF280" w14:textId="2DE13AC6"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0B068937"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16185AF" w14:textId="3691B2FF"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-1.86</w:t>
            </w:r>
          </w:p>
          <w:p w14:paraId="52BE00E1" w14:textId="17CAD9F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23B36820" w14:textId="410B9919"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266" w:type="dxa"/>
            <w:noWrap/>
            <w:hideMark/>
          </w:tcPr>
          <w:p w14:paraId="2B0771E4" w14:textId="43C97C5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ADC61D" w14:textId="100F82F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-3.92</w:t>
            </w:r>
          </w:p>
          <w:p w14:paraId="4B99EE4C" w14:textId="73FA1B38"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1C461D93" w14:textId="0D95EC6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-3.92</w:t>
            </w:r>
          </w:p>
        </w:tc>
        <w:tc>
          <w:tcPr>
            <w:tcW w:w="1255" w:type="dxa"/>
            <w:noWrap/>
            <w:hideMark/>
          </w:tcPr>
          <w:p w14:paraId="21A570C2"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2ACC8D" w14:textId="0A710D0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-2.50</w:t>
            </w:r>
          </w:p>
          <w:p w14:paraId="65584D0D" w14:textId="7E49713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p w14:paraId="48E95AA8" w14:textId="7DF61A3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tc>
        <w:tc>
          <w:tcPr>
            <w:tcW w:w="848" w:type="dxa"/>
            <w:noWrap/>
            <w:hideMark/>
          </w:tcPr>
          <w:p w14:paraId="5AB5576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C608E3" w14:textId="6AFA8F0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-2.28</w:t>
            </w:r>
          </w:p>
          <w:p w14:paraId="08D0607E" w14:textId="3976BA5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p w14:paraId="3B47B918" w14:textId="584FCF4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tc>
        <w:tc>
          <w:tcPr>
            <w:tcW w:w="1029" w:type="dxa"/>
            <w:noWrap/>
            <w:hideMark/>
          </w:tcPr>
          <w:p w14:paraId="306D84B3"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4BE777" w14:textId="0C0CF75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-2.18</w:t>
            </w:r>
          </w:p>
          <w:p w14:paraId="743E82A0" w14:textId="07EFA548"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-3.50</w:t>
            </w:r>
          </w:p>
          <w:p w14:paraId="4994B44C" w14:textId="5EFB92E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-3.50</w:t>
            </w:r>
          </w:p>
        </w:tc>
        <w:tc>
          <w:tcPr>
            <w:tcW w:w="804" w:type="dxa"/>
            <w:noWrap/>
            <w:hideMark/>
          </w:tcPr>
          <w:p w14:paraId="59AD3A8F"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98228B" w14:textId="2518EA9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p w14:paraId="14DF5DA3" w14:textId="63B4FE96"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-1.34</w:t>
            </w:r>
          </w:p>
          <w:p w14:paraId="68D594A2" w14:textId="1E71F56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tc>
        <w:tc>
          <w:tcPr>
            <w:tcW w:w="1184" w:type="dxa"/>
            <w:noWrap/>
            <w:hideMark/>
          </w:tcPr>
          <w:p w14:paraId="296151FB"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70B54B" w14:textId="465D47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-2.46</w:t>
            </w:r>
          </w:p>
          <w:p w14:paraId="4C5F80EA" w14:textId="32EC0A3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p w14:paraId="64B40090" w14:textId="04E7D19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tc>
        <w:tc>
          <w:tcPr>
            <w:tcW w:w="848" w:type="dxa"/>
            <w:noWrap/>
            <w:hideMark/>
          </w:tcPr>
          <w:p w14:paraId="12B86264"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E26C84" w14:textId="1CEB97E9"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-4.18</w:t>
            </w:r>
          </w:p>
          <w:p w14:paraId="5B4FECE6" w14:textId="4B3F88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p w14:paraId="68867BDC" w14:textId="7D69B4F4"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tc>
        <w:tc>
          <w:tcPr>
            <w:tcW w:w="848" w:type="dxa"/>
            <w:noWrap/>
            <w:hideMark/>
          </w:tcPr>
          <w:p w14:paraId="4B6249E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D13E21" w14:textId="2C40053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-3.58</w:t>
            </w:r>
          </w:p>
          <w:p w14:paraId="339823E0" w14:textId="500FDE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p w14:paraId="0A4AA82D" w14:textId="6D49644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tc>
      </w:tr>
      <w:tr w:rsidR="00C53C57" w:rsidRPr="00ED530C" w14:paraId="7CF81315" w14:textId="77777777" w:rsidTr="00C53C57">
        <w:trPr>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3A96D80C"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Std. Dev.</w:t>
            </w:r>
          </w:p>
          <w:p w14:paraId="5DAFAA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372BF8FE"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608E2F77" w14:textId="2CFBE69E"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2D1FFEB5"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4D38C71" w14:textId="36C6C285" w:rsidR="00C53C57" w:rsidRPr="00ED530C" w:rsidRDefault="0024665C"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0.76</w:t>
            </w:r>
          </w:p>
          <w:p w14:paraId="41641FB1" w14:textId="69F968AA" w:rsidR="00C53C57" w:rsidRPr="00ED530C" w:rsidRDefault="0024665C"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2131B0D9" w14:textId="3DC2FE4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1.09</w:t>
            </w:r>
          </w:p>
        </w:tc>
        <w:tc>
          <w:tcPr>
            <w:tcW w:w="1266" w:type="dxa"/>
            <w:noWrap/>
            <w:hideMark/>
          </w:tcPr>
          <w:p w14:paraId="4D9A869F" w14:textId="34AE63A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B670FE" w14:textId="0A73872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76DD1B48" w14:textId="7A4944F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49BFE223" w14:textId="0019BFB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1.55</w:t>
            </w:r>
          </w:p>
        </w:tc>
        <w:tc>
          <w:tcPr>
            <w:tcW w:w="1255" w:type="dxa"/>
            <w:noWrap/>
            <w:hideMark/>
          </w:tcPr>
          <w:p w14:paraId="30A039AB"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CFD2E1" w14:textId="484F70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1.24</w:t>
            </w:r>
          </w:p>
          <w:p w14:paraId="63CFD0B5" w14:textId="47E3ECD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1.47</w:t>
            </w:r>
          </w:p>
          <w:p w14:paraId="615346DC" w14:textId="5ED9C7B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1.39</w:t>
            </w:r>
          </w:p>
        </w:tc>
        <w:tc>
          <w:tcPr>
            <w:tcW w:w="848" w:type="dxa"/>
            <w:noWrap/>
            <w:hideMark/>
          </w:tcPr>
          <w:p w14:paraId="64F71FC1"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09AAD1" w14:textId="4532478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1.29</w:t>
            </w:r>
          </w:p>
          <w:p w14:paraId="275ABBCC" w14:textId="241D555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1.71</w:t>
            </w:r>
          </w:p>
          <w:p w14:paraId="52D24036" w14:textId="0CEAD0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1.49</w:t>
            </w:r>
          </w:p>
        </w:tc>
        <w:tc>
          <w:tcPr>
            <w:tcW w:w="1029" w:type="dxa"/>
            <w:noWrap/>
            <w:hideMark/>
          </w:tcPr>
          <w:p w14:paraId="5000122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7D2193" w14:textId="2C06865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0.84</w:t>
            </w:r>
          </w:p>
          <w:p w14:paraId="00F26E2C" w14:textId="2BB249C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1.46</w:t>
            </w:r>
          </w:p>
          <w:p w14:paraId="66F62CBC" w14:textId="717DC4C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1.18</w:t>
            </w:r>
          </w:p>
        </w:tc>
        <w:tc>
          <w:tcPr>
            <w:tcW w:w="804" w:type="dxa"/>
            <w:noWrap/>
            <w:hideMark/>
          </w:tcPr>
          <w:p w14:paraId="17083D9E"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BEACB5" w14:textId="28281D0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0.80</w:t>
            </w:r>
          </w:p>
          <w:p w14:paraId="69BBA5AC" w14:textId="1240A8E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1.03</w:t>
            </w:r>
          </w:p>
          <w:p w14:paraId="0D1F0F54" w14:textId="4FF449A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0.92</w:t>
            </w:r>
          </w:p>
        </w:tc>
        <w:tc>
          <w:tcPr>
            <w:tcW w:w="1184" w:type="dxa"/>
            <w:noWrap/>
            <w:hideMark/>
          </w:tcPr>
          <w:p w14:paraId="616AB0BF"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434B8D" w14:textId="6CFD7E1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1.14</w:t>
            </w:r>
          </w:p>
          <w:p w14:paraId="2B65E5F0" w14:textId="606A11A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7B9BB39F" w14:textId="14B6299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1.26</w:t>
            </w:r>
          </w:p>
        </w:tc>
        <w:tc>
          <w:tcPr>
            <w:tcW w:w="848" w:type="dxa"/>
            <w:noWrap/>
            <w:hideMark/>
          </w:tcPr>
          <w:p w14:paraId="60B3F14D"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B1F667" w14:textId="6BC33DC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1.41</w:t>
            </w:r>
          </w:p>
          <w:p w14:paraId="5F5B0560" w14:textId="49ECE28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2.13</w:t>
            </w:r>
          </w:p>
          <w:p w14:paraId="1F46DE1D" w14:textId="654691F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1.80</w:t>
            </w:r>
          </w:p>
        </w:tc>
        <w:tc>
          <w:tcPr>
            <w:tcW w:w="848" w:type="dxa"/>
            <w:noWrap/>
            <w:hideMark/>
          </w:tcPr>
          <w:p w14:paraId="4DF7164E"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030BAE" w14:textId="16C3379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1.96</w:t>
            </w:r>
          </w:p>
          <w:p w14:paraId="63F56DA8" w14:textId="36D3374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1.90</w:t>
            </w:r>
          </w:p>
          <w:p w14:paraId="7CC3C20B" w14:textId="69E3D1D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1.91</w:t>
            </w:r>
          </w:p>
        </w:tc>
      </w:tr>
    </w:tbl>
    <w:p w14:paraId="4BDE5C93" w14:textId="77777777" w:rsidR="003117B2" w:rsidRDefault="003117B2" w:rsidP="008F14A3">
      <w:pPr>
        <w:rPr>
          <w:rFonts w:ascii="Times New Roman" w:hAnsi="Times New Roman" w:cs="Times New Roman"/>
          <w:sz w:val="28"/>
          <w:szCs w:val="28"/>
        </w:rPr>
      </w:pPr>
    </w:p>
    <w:tbl>
      <w:tblPr>
        <w:tblStyle w:val="PlainTable2"/>
        <w:tblW w:w="11229" w:type="dxa"/>
        <w:tblInd w:w="-1134" w:type="dxa"/>
        <w:tblLook w:val="04A0" w:firstRow="1" w:lastRow="0" w:firstColumn="1" w:lastColumn="0" w:noHBand="0" w:noVBand="1"/>
      </w:tblPr>
      <w:tblGrid>
        <w:gridCol w:w="2284"/>
        <w:gridCol w:w="1238"/>
        <w:gridCol w:w="890"/>
        <w:gridCol w:w="1104"/>
        <w:gridCol w:w="1066"/>
        <w:gridCol w:w="1130"/>
        <w:gridCol w:w="1130"/>
        <w:gridCol w:w="1130"/>
        <w:gridCol w:w="1257"/>
      </w:tblGrid>
      <w:tr w:rsidR="0024665C" w:rsidRPr="00ED530C" w14:paraId="0DE873D8" w14:textId="77777777" w:rsidTr="0024665C">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56857E91" w14:textId="77777777" w:rsidR="003117B2" w:rsidRPr="00ED530C" w:rsidRDefault="003117B2" w:rsidP="0024665C">
            <w:pPr>
              <w:jc w:val="center"/>
              <w:rPr>
                <w:rFonts w:ascii="Arial" w:hAnsi="Arial" w:cs="Arial"/>
                <w:sz w:val="20"/>
                <w:szCs w:val="20"/>
              </w:rPr>
            </w:pPr>
          </w:p>
        </w:tc>
        <w:tc>
          <w:tcPr>
            <w:tcW w:w="1238" w:type="dxa"/>
            <w:noWrap/>
            <w:hideMark/>
          </w:tcPr>
          <w:p w14:paraId="5A556B5F"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Metal Sector</w:t>
            </w:r>
          </w:p>
        </w:tc>
        <w:tc>
          <w:tcPr>
            <w:tcW w:w="890" w:type="dxa"/>
            <w:noWrap/>
            <w:hideMark/>
          </w:tcPr>
          <w:p w14:paraId="1A050E87"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Oil &amp; Gas Sector</w:t>
            </w:r>
          </w:p>
        </w:tc>
        <w:tc>
          <w:tcPr>
            <w:tcW w:w="1104" w:type="dxa"/>
            <w:noWrap/>
            <w:hideMark/>
          </w:tcPr>
          <w:p w14:paraId="4F0B23EA"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Pharma Sector</w:t>
            </w:r>
          </w:p>
        </w:tc>
        <w:tc>
          <w:tcPr>
            <w:tcW w:w="1066" w:type="dxa"/>
            <w:noWrap/>
            <w:hideMark/>
          </w:tcPr>
          <w:p w14:paraId="796D9DCC"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Private Bank Sector</w:t>
            </w:r>
          </w:p>
        </w:tc>
        <w:tc>
          <w:tcPr>
            <w:tcW w:w="1130" w:type="dxa"/>
            <w:noWrap/>
            <w:hideMark/>
          </w:tcPr>
          <w:p w14:paraId="7D4B9A7C"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PSU Bank Sector</w:t>
            </w:r>
          </w:p>
        </w:tc>
        <w:tc>
          <w:tcPr>
            <w:tcW w:w="1130" w:type="dxa"/>
            <w:noWrap/>
            <w:hideMark/>
          </w:tcPr>
          <w:p w14:paraId="58727F28"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Real Estate Sector</w:t>
            </w:r>
          </w:p>
        </w:tc>
        <w:tc>
          <w:tcPr>
            <w:tcW w:w="1130" w:type="dxa"/>
            <w:noWrap/>
            <w:hideMark/>
          </w:tcPr>
          <w:p w14:paraId="3B8501F7"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Bank Sector</w:t>
            </w:r>
          </w:p>
        </w:tc>
        <w:tc>
          <w:tcPr>
            <w:tcW w:w="1257" w:type="dxa"/>
            <w:noWrap/>
            <w:hideMark/>
          </w:tcPr>
          <w:p w14:paraId="78A931CD"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Chemical Sector</w:t>
            </w:r>
          </w:p>
        </w:tc>
      </w:tr>
      <w:tr w:rsidR="0024665C" w:rsidRPr="00ED530C" w14:paraId="1B21891A" w14:textId="77777777" w:rsidTr="0024665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2E7C15D5"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Mean</w:t>
            </w:r>
          </w:p>
          <w:p w14:paraId="42F2D0C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783FF3C0"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7969106C" w14:textId="4876F2F4"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p w14:paraId="29B0EE60" w14:textId="28CBC86B" w:rsidR="003117B2" w:rsidRPr="00ED530C" w:rsidRDefault="003117B2" w:rsidP="0024665C">
            <w:pPr>
              <w:jc w:val="center"/>
              <w:rPr>
                <w:rFonts w:ascii="Arial" w:hAnsi="Arial" w:cs="Arial"/>
                <w:sz w:val="20"/>
                <w:szCs w:val="20"/>
              </w:rPr>
            </w:pPr>
          </w:p>
        </w:tc>
        <w:tc>
          <w:tcPr>
            <w:tcW w:w="1238" w:type="dxa"/>
            <w:noWrap/>
            <w:hideMark/>
          </w:tcPr>
          <w:p w14:paraId="13BB995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1AA9AC" w14:textId="3CC68997"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6F2A09B7" w14:textId="5830AFC4"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p w14:paraId="03B5A89A" w14:textId="1AEC1D3A"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0.17</w:t>
            </w:r>
          </w:p>
        </w:tc>
        <w:tc>
          <w:tcPr>
            <w:tcW w:w="890" w:type="dxa"/>
            <w:noWrap/>
            <w:hideMark/>
          </w:tcPr>
          <w:p w14:paraId="69C9EB7A"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CF4185" w14:textId="3B3FFE76"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3C071EE0" w14:textId="01D1F190"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0.28</w:t>
            </w:r>
          </w:p>
          <w:p w14:paraId="6B11D99C" w14:textId="1D114EC2"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tc>
        <w:tc>
          <w:tcPr>
            <w:tcW w:w="1104" w:type="dxa"/>
            <w:noWrap/>
            <w:hideMark/>
          </w:tcPr>
          <w:p w14:paraId="51256175" w14:textId="569BA8A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EFFEC0" w14:textId="2E05288C"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7904E3BA" w14:textId="784CAD72"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p w14:paraId="26D62252" w14:textId="1A0CD2EF"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tc>
        <w:tc>
          <w:tcPr>
            <w:tcW w:w="1066" w:type="dxa"/>
            <w:noWrap/>
            <w:hideMark/>
          </w:tcPr>
          <w:p w14:paraId="3DD02542"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32BC85" w14:textId="46B7BCF3"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3C81D6F0" w14:textId="14650449"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p w14:paraId="7FEF65F2" w14:textId="1B76ED7F"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c>
          <w:tcPr>
            <w:tcW w:w="1130" w:type="dxa"/>
            <w:noWrap/>
            <w:hideMark/>
          </w:tcPr>
          <w:p w14:paraId="0D55227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8CD3BA" w14:textId="298A5101"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0.15</w:t>
            </w:r>
          </w:p>
          <w:p w14:paraId="619C8EFB" w14:textId="5FFF5E3C"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1E270408" w14:textId="47A35FB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tc>
        <w:tc>
          <w:tcPr>
            <w:tcW w:w="1130" w:type="dxa"/>
            <w:noWrap/>
            <w:hideMark/>
          </w:tcPr>
          <w:p w14:paraId="08876DC3"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DEE07B" w14:textId="785FCFEE"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p w14:paraId="23FC34D2" w14:textId="4E94A3F8"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9D257FC" w14:textId="7156A4C6"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0.17</w:t>
            </w:r>
          </w:p>
        </w:tc>
        <w:tc>
          <w:tcPr>
            <w:tcW w:w="1130" w:type="dxa"/>
            <w:noWrap/>
            <w:hideMark/>
          </w:tcPr>
          <w:p w14:paraId="22222C4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C765BF" w14:textId="6D0EDDF2"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205B0C4D" w14:textId="0AF6519B"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p w14:paraId="75863769" w14:textId="0C973864"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c>
          <w:tcPr>
            <w:tcW w:w="1257" w:type="dxa"/>
            <w:noWrap/>
            <w:hideMark/>
          </w:tcPr>
          <w:p w14:paraId="5557C43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FDEABC" w14:textId="18D39762"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221F24E0" w14:textId="5727936F"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3908A152" w14:textId="4722EE5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tc>
      </w:tr>
      <w:tr w:rsidR="0024665C" w:rsidRPr="00ED530C" w14:paraId="11FE7E72" w14:textId="77777777" w:rsidTr="0024665C">
        <w:trPr>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1C31581A"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Maximum</w:t>
            </w:r>
          </w:p>
          <w:p w14:paraId="1478546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674A6601"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5D825E4B" w14:textId="2C3820DC"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6D9C26F4"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6DCD50" w14:textId="48B71D9E"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4.04</w:t>
            </w:r>
          </w:p>
          <w:p w14:paraId="1A63C955" w14:textId="5C3E37E8"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5.86</w:t>
            </w:r>
          </w:p>
          <w:p w14:paraId="6D6855E2" w14:textId="036A26EB"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5.86</w:t>
            </w:r>
          </w:p>
        </w:tc>
        <w:tc>
          <w:tcPr>
            <w:tcW w:w="890" w:type="dxa"/>
            <w:noWrap/>
            <w:hideMark/>
          </w:tcPr>
          <w:p w14:paraId="28143AFF"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CEACE5" w14:textId="65E9667B"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2.59</w:t>
            </w:r>
          </w:p>
          <w:p w14:paraId="00495EC5" w14:textId="5F3B4D4F"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56B3BBDB" w14:textId="6BCBB0C5"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tc>
        <w:tc>
          <w:tcPr>
            <w:tcW w:w="1104" w:type="dxa"/>
            <w:noWrap/>
            <w:hideMark/>
          </w:tcPr>
          <w:p w14:paraId="5BAF352D"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E99CBF" w14:textId="2CA2C3AC"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1.63</w:t>
            </w:r>
          </w:p>
          <w:p w14:paraId="7510F457" w14:textId="7B397A9E" w:rsidR="00CF6BC9"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p w14:paraId="483AAB08" w14:textId="714284B2"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tc>
        <w:tc>
          <w:tcPr>
            <w:tcW w:w="1066" w:type="dxa"/>
            <w:noWrap/>
            <w:hideMark/>
          </w:tcPr>
          <w:p w14:paraId="6E83674C"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F0D34F" w14:textId="617473F4"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56102F8D" w14:textId="2922BAE2"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0DC03005" w14:textId="5BE75E0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130" w:type="dxa"/>
            <w:noWrap/>
            <w:hideMark/>
          </w:tcPr>
          <w:p w14:paraId="3BAB8FA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70E1AB" w14:textId="27C684DA"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5765B8EB" w14:textId="2B8343F1"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3.27</w:t>
            </w:r>
          </w:p>
          <w:p w14:paraId="20FEE8B0" w14:textId="088E5529"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3.27</w:t>
            </w:r>
          </w:p>
        </w:tc>
        <w:tc>
          <w:tcPr>
            <w:tcW w:w="1130" w:type="dxa"/>
            <w:noWrap/>
            <w:hideMark/>
          </w:tcPr>
          <w:p w14:paraId="70D7FE26"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BF694D" w14:textId="462A2646"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3.63</w:t>
            </w:r>
          </w:p>
          <w:p w14:paraId="0E1E0A06" w14:textId="48CC6E73"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5.93</w:t>
            </w:r>
          </w:p>
          <w:p w14:paraId="6E317C9B" w14:textId="1537860B"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5.93</w:t>
            </w:r>
          </w:p>
        </w:tc>
        <w:tc>
          <w:tcPr>
            <w:tcW w:w="1130" w:type="dxa"/>
            <w:noWrap/>
            <w:hideMark/>
          </w:tcPr>
          <w:p w14:paraId="7790A90C"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2127AD" w14:textId="5EF66032"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4992AF26" w14:textId="33E55ABA"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3.34</w:t>
            </w:r>
          </w:p>
          <w:p w14:paraId="7B8629E3" w14:textId="7DFC0D2F"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3.34</w:t>
            </w:r>
          </w:p>
        </w:tc>
        <w:tc>
          <w:tcPr>
            <w:tcW w:w="1257" w:type="dxa"/>
            <w:noWrap/>
            <w:hideMark/>
          </w:tcPr>
          <w:p w14:paraId="3AF88079"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E0608C" w14:textId="33378B83"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2.54</w:t>
            </w:r>
          </w:p>
          <w:p w14:paraId="1D0C332D" w14:textId="7F8818ED"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p w14:paraId="6501D2BD" w14:textId="61E4AEA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tc>
      </w:tr>
      <w:tr w:rsidR="0024665C" w:rsidRPr="00ED530C" w14:paraId="236BDBF0" w14:textId="77777777" w:rsidTr="0024665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24F8F186"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Minimum</w:t>
            </w:r>
          </w:p>
          <w:p w14:paraId="4F9D16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5874251B"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6B459076" w14:textId="7AC05C6A"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1902E434"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F6A789" w14:textId="4E17CB5F"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-2.17</w:t>
            </w:r>
          </w:p>
          <w:p w14:paraId="1F8B0599" w14:textId="4AC8EB36"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p w14:paraId="66C3EFC8" w14:textId="7D862D76"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tc>
        <w:tc>
          <w:tcPr>
            <w:tcW w:w="890" w:type="dxa"/>
            <w:noWrap/>
            <w:hideMark/>
          </w:tcPr>
          <w:p w14:paraId="43FE791E"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14A079" w14:textId="0CF42ADB"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-2.22</w:t>
            </w:r>
          </w:p>
          <w:p w14:paraId="6820D66B" w14:textId="1AA53241"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05D2C1AC" w14:textId="6B5CF49B"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1104" w:type="dxa"/>
            <w:noWrap/>
            <w:hideMark/>
          </w:tcPr>
          <w:p w14:paraId="0A890132"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FBB0A6" w14:textId="0DE17DD8"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-2.87</w:t>
            </w:r>
          </w:p>
          <w:p w14:paraId="2638D56F" w14:textId="1CE576A6"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p w14:paraId="015C9A30" w14:textId="21B48AAD"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tc>
        <w:tc>
          <w:tcPr>
            <w:tcW w:w="1066" w:type="dxa"/>
            <w:noWrap/>
            <w:hideMark/>
          </w:tcPr>
          <w:p w14:paraId="634A0228"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F15AA0" w14:textId="77042A9D"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-1.38</w:t>
            </w:r>
          </w:p>
          <w:p w14:paraId="19016FFA" w14:textId="1B009583"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p w14:paraId="5893C77A" w14:textId="3E2E806B"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tc>
        <w:tc>
          <w:tcPr>
            <w:tcW w:w="1130" w:type="dxa"/>
            <w:noWrap/>
            <w:hideMark/>
          </w:tcPr>
          <w:p w14:paraId="21C8C01F"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93B1EB" w14:textId="6147EC19"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-2.83</w:t>
            </w:r>
          </w:p>
          <w:p w14:paraId="7E8A21CC" w14:textId="4C3E480C"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-4.84</w:t>
            </w:r>
          </w:p>
          <w:p w14:paraId="38587B53" w14:textId="541D2E68"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-4.84</w:t>
            </w:r>
          </w:p>
        </w:tc>
        <w:tc>
          <w:tcPr>
            <w:tcW w:w="1130" w:type="dxa"/>
            <w:noWrap/>
            <w:hideMark/>
          </w:tcPr>
          <w:p w14:paraId="2C8DD02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D6B208" w14:textId="06346324"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-3.11</w:t>
            </w:r>
          </w:p>
          <w:p w14:paraId="19729851" w14:textId="49274783"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p w14:paraId="357FE297" w14:textId="67789ED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tc>
        <w:tc>
          <w:tcPr>
            <w:tcW w:w="1130" w:type="dxa"/>
            <w:noWrap/>
            <w:hideMark/>
          </w:tcPr>
          <w:p w14:paraId="4F644E53"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9E2FCF" w14:textId="57EA2A74"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-1.43</w:t>
            </w:r>
          </w:p>
          <w:p w14:paraId="5B0F7A87" w14:textId="714DA52D"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0624809E" w14:textId="779CF27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1257" w:type="dxa"/>
            <w:noWrap/>
            <w:hideMark/>
          </w:tcPr>
          <w:p w14:paraId="35343AAC"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1C672B" w14:textId="5A278711"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-2.90</w:t>
            </w:r>
          </w:p>
          <w:p w14:paraId="3D4CD685" w14:textId="7B2B95E4"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p w14:paraId="4166E4FF" w14:textId="0FAEBB1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tc>
      </w:tr>
      <w:tr w:rsidR="0024665C" w:rsidRPr="00ED530C" w14:paraId="026B98D8" w14:textId="77777777" w:rsidTr="0024665C">
        <w:trPr>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56492791"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Std. Dev.</w:t>
            </w:r>
          </w:p>
          <w:p w14:paraId="45D8FCDE"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30699C54"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7BE13CBB" w14:textId="5E9F0786"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6753465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32009F" w14:textId="2C63392E"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1.38</w:t>
            </w:r>
          </w:p>
          <w:p w14:paraId="736F3E2E" w14:textId="24C2A004"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2.53</w:t>
            </w:r>
          </w:p>
          <w:p w14:paraId="0AE3DB22" w14:textId="714EB47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2.01</w:t>
            </w:r>
          </w:p>
        </w:tc>
        <w:tc>
          <w:tcPr>
            <w:tcW w:w="890" w:type="dxa"/>
            <w:noWrap/>
            <w:hideMark/>
          </w:tcPr>
          <w:p w14:paraId="68F52C68"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0220FF" w14:textId="17DFFF18"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1.27</w:t>
            </w:r>
          </w:p>
          <w:p w14:paraId="65876556" w14:textId="2330425F"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1.63</w:t>
            </w:r>
          </w:p>
          <w:p w14:paraId="625A4AF1" w14:textId="62B8C5C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1.44</w:t>
            </w:r>
          </w:p>
        </w:tc>
        <w:tc>
          <w:tcPr>
            <w:tcW w:w="1104" w:type="dxa"/>
            <w:noWrap/>
            <w:hideMark/>
          </w:tcPr>
          <w:p w14:paraId="32ECE129"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F0E08F" w14:textId="1BBC95F6"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1.14</w:t>
            </w:r>
          </w:p>
          <w:p w14:paraId="380BD9BD" w14:textId="7B2EF2E6"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1.58</w:t>
            </w:r>
          </w:p>
          <w:p w14:paraId="3CF9E41B" w14:textId="33E374FD"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1.36</w:t>
            </w:r>
          </w:p>
        </w:tc>
        <w:tc>
          <w:tcPr>
            <w:tcW w:w="1066" w:type="dxa"/>
            <w:noWrap/>
            <w:hideMark/>
          </w:tcPr>
          <w:p w14:paraId="7044A26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2207AB" w14:textId="0262CA55"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0.86</w:t>
            </w:r>
          </w:p>
          <w:p w14:paraId="1556D140" w14:textId="3B9868DD"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59B0B081" w14:textId="648D21C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1.15</w:t>
            </w:r>
          </w:p>
        </w:tc>
        <w:tc>
          <w:tcPr>
            <w:tcW w:w="1130" w:type="dxa"/>
            <w:noWrap/>
            <w:hideMark/>
          </w:tcPr>
          <w:p w14:paraId="62AC615D"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DB8095" w14:textId="3DF70379"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1.56</w:t>
            </w:r>
          </w:p>
          <w:p w14:paraId="06FB7445" w14:textId="3FE9CF39"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1.94</w:t>
            </w:r>
          </w:p>
          <w:p w14:paraId="6A7036C1" w14:textId="7EE0892D"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1.74</w:t>
            </w:r>
          </w:p>
        </w:tc>
        <w:tc>
          <w:tcPr>
            <w:tcW w:w="1130" w:type="dxa"/>
            <w:noWrap/>
            <w:hideMark/>
          </w:tcPr>
          <w:p w14:paraId="21A314A6"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B608AD" w14:textId="7BA8DB7C"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1.75</w:t>
            </w:r>
          </w:p>
          <w:p w14:paraId="0533A19C" w14:textId="477B4777"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2.58</w:t>
            </w:r>
          </w:p>
          <w:p w14:paraId="6DF1678C" w14:textId="21779FA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2.22</w:t>
            </w:r>
          </w:p>
        </w:tc>
        <w:tc>
          <w:tcPr>
            <w:tcW w:w="1130" w:type="dxa"/>
            <w:noWrap/>
            <w:hideMark/>
          </w:tcPr>
          <w:p w14:paraId="535DA703"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9EB172" w14:textId="5D16387D"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0.82</w:t>
            </w:r>
          </w:p>
          <w:p w14:paraId="0077CC2D" w14:textId="5DC0D529"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611E531A" w14:textId="550A1FE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tc>
        <w:tc>
          <w:tcPr>
            <w:tcW w:w="1257" w:type="dxa"/>
            <w:noWrap/>
            <w:hideMark/>
          </w:tcPr>
          <w:p w14:paraId="5AE0687A"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11BC72" w14:textId="74CE2698"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p w14:paraId="5C5F7051" w14:textId="424EA275"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1.52</w:t>
            </w:r>
          </w:p>
          <w:p w14:paraId="6367065A" w14:textId="4A774358"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tc>
      </w:tr>
    </w:tbl>
    <w:p w14:paraId="73E203C6" w14:textId="77777777" w:rsidR="00D423BF" w:rsidRDefault="00D423BF" w:rsidP="00EE00D8">
      <w:pPr>
        <w:jc w:val="both"/>
        <w:rPr>
          <w:rFonts w:ascii="Arial" w:hAnsi="Arial" w:cs="Arial"/>
          <w:b/>
          <w:bCs/>
          <w:sz w:val="20"/>
          <w:szCs w:val="20"/>
        </w:rPr>
      </w:pPr>
    </w:p>
    <w:p w14:paraId="4E22DC33" w14:textId="4E46240E"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081C5B7" w14:textId="77777777" w:rsidR="00B01A95" w:rsidRDefault="00B01A95" w:rsidP="00113D9E">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621D372F" w14:textId="4D136A34" w:rsidR="00113D9E" w:rsidRDefault="00113D9E" w:rsidP="00113D9E">
      <w:pPr>
        <w:jc w:val="both"/>
        <w:rPr>
          <w:rFonts w:ascii="Arial" w:hAnsi="Arial" w:cs="Arial"/>
          <w:sz w:val="20"/>
          <w:szCs w:val="20"/>
        </w:rPr>
      </w:pPr>
      <w:r w:rsidRPr="00113D9E">
        <w:rPr>
          <w:rFonts w:ascii="Arial" w:hAnsi="Arial" w:cs="Arial"/>
          <w:sz w:val="20"/>
          <w:szCs w:val="20"/>
        </w:rPr>
        <w:t xml:space="preserve">Table </w:t>
      </w:r>
      <w:r w:rsidR="005D0166">
        <w:rPr>
          <w:rFonts w:ascii="Arial" w:hAnsi="Arial" w:cs="Arial"/>
          <w:sz w:val="20"/>
          <w:szCs w:val="20"/>
        </w:rPr>
        <w:t>5</w:t>
      </w:r>
      <w:r w:rsidRPr="00113D9E">
        <w:rPr>
          <w:rFonts w:ascii="Arial" w:hAnsi="Arial" w:cs="Arial"/>
          <w:sz w:val="20"/>
          <w:szCs w:val="20"/>
        </w:rPr>
        <w:t xml:space="preserve"> presents a statistical analysis of the Nifty50 and other Indian sectoral indices 30 days before, 30 days after, and 60 days after a significant market or policy event. The analysis revealed that most </w:t>
      </w:r>
      <w:r w:rsidRPr="00113D9E">
        <w:rPr>
          <w:rFonts w:ascii="Arial" w:hAnsi="Arial" w:cs="Arial"/>
          <w:sz w:val="20"/>
          <w:szCs w:val="20"/>
        </w:rPr>
        <w:lastRenderedPageBreak/>
        <w:t>sectors showed a significant post-event increase in mean returns, indicating investor optimism. The Nifty50 index rose from 0.02% to 0.20%, while Automobiles, Consumer Durables, Energy, and Financial Services all gained. Underperforming sectors, including IT and media, reversed their unfavourable trends, signalling restored confidence or revaluation. Media and IT reached 6.7%, real estate at 5.93%, and metal at 5.86%, indicating strong positive sentiment. However, minimum return analysis revealed that negative risks persisted, with metals, real estate, pharmaceuticals, and media seeing no significant drop in their lower return ranges, signalling investor caution and price corrections. Standard deviation research showed significant market volatility, with the Nifty50 index's volatility surging from 0.76% to 1.35%, and Metal, Real Estate, and Media experiencing large standard deviation rises. The incident affected trading behaviour for 60 days, as volatility remained greater than usual.</w:t>
      </w:r>
    </w:p>
    <w:p w14:paraId="32743752" w14:textId="39BF6088" w:rsidR="00D423BF" w:rsidRPr="00113D9E" w:rsidRDefault="00D423BF" w:rsidP="00D423BF">
      <w:pPr>
        <w:jc w:val="both"/>
        <w:rPr>
          <w:rFonts w:ascii="Arial" w:hAnsi="Arial" w:cs="Arial"/>
          <w:sz w:val="20"/>
          <w:szCs w:val="20"/>
        </w:rPr>
      </w:pPr>
      <w:r w:rsidRPr="00D423BF">
        <w:rPr>
          <w:rFonts w:ascii="Arial" w:hAnsi="Arial" w:cs="Arial"/>
          <w:sz w:val="20"/>
          <w:szCs w:val="20"/>
        </w:rPr>
        <w:t>We can visualise this in figures 1, 2, and 3, where we can clearly see that, from 7 days to 30 days, the market has been stable.</w:t>
      </w:r>
      <w:r w:rsidR="00CA6018">
        <w:rPr>
          <w:rFonts w:ascii="Arial" w:hAnsi="Arial" w:cs="Arial"/>
          <w:sz w:val="20"/>
          <w:szCs w:val="20"/>
        </w:rPr>
        <w:t xml:space="preserve"> </w:t>
      </w:r>
      <w:r w:rsidRPr="00113D9E">
        <w:rPr>
          <w:rFonts w:ascii="Arial" w:hAnsi="Arial" w:cs="Arial"/>
          <w:sz w:val="20"/>
          <w:szCs w:val="20"/>
        </w:rPr>
        <w:t>The Indian stock market has displayed slight volatility across 7, 15, and 30-day periods, subsequently followed by periods of calm. Certain sectors have shown recovery from instability, particularly financial services, banking, and FMCG, which rebounded within 15 days. However, sectors such as IT, metals, and oil &amp; gas have experienced declines despite these positive trends, reflecting concerns surrounding global policy and demand uncertainties.</w:t>
      </w:r>
    </w:p>
    <w:p w14:paraId="2F7B05D4" w14:textId="6313F1BA" w:rsidR="00D423BF" w:rsidRPr="00113D9E" w:rsidRDefault="00D423BF" w:rsidP="00D423BF">
      <w:pPr>
        <w:jc w:val="both"/>
        <w:rPr>
          <w:rFonts w:ascii="Arial" w:hAnsi="Arial" w:cs="Arial"/>
          <w:sz w:val="20"/>
          <w:szCs w:val="20"/>
        </w:rPr>
      </w:pPr>
      <w:r w:rsidRPr="00113D9E">
        <w:rPr>
          <w:rFonts w:ascii="Arial" w:hAnsi="Arial" w:cs="Arial"/>
          <w:sz w:val="20"/>
          <w:szCs w:val="20"/>
        </w:rPr>
        <w:t xml:space="preserve">FMCG, financial services, and private banks have recorded gains in pre-announcement returns, signalling investor confidence in domestic and defensive sectors. In contrast, IT and </w:t>
      </w:r>
      <w:r w:rsidR="00CA6018">
        <w:rPr>
          <w:rFonts w:ascii="Arial" w:hAnsi="Arial" w:cs="Arial"/>
          <w:sz w:val="20"/>
          <w:szCs w:val="20"/>
        </w:rPr>
        <w:t xml:space="preserve">metal </w:t>
      </w:r>
      <w:r w:rsidRPr="00113D9E">
        <w:rPr>
          <w:rFonts w:ascii="Arial" w:hAnsi="Arial" w:cs="Arial"/>
          <w:sz w:val="20"/>
          <w:szCs w:val="20"/>
        </w:rPr>
        <w:t>remain susceptible to global trade issues. Over the 15 days following the announcement, most sectors observed improved average returns, with private banks, banking, FMCG, and PSU banks leading the recovery. Nonetheless, metals and energy sectors continue to exhibit weakness, while IT and media are beginning to rebound.</w:t>
      </w:r>
    </w:p>
    <w:p w14:paraId="1D9B62F8" w14:textId="77777777" w:rsidR="00D423BF" w:rsidRPr="00113D9E" w:rsidRDefault="00D423BF" w:rsidP="00D423BF">
      <w:pPr>
        <w:jc w:val="both"/>
        <w:rPr>
          <w:rFonts w:ascii="Arial" w:hAnsi="Arial" w:cs="Arial"/>
          <w:sz w:val="20"/>
          <w:szCs w:val="20"/>
        </w:rPr>
      </w:pPr>
      <w:r w:rsidRPr="00113D9E">
        <w:rPr>
          <w:rFonts w:ascii="Arial" w:hAnsi="Arial" w:cs="Arial"/>
          <w:sz w:val="20"/>
          <w:szCs w:val="20"/>
        </w:rPr>
        <w:t>In the 30 and 60 days subsequent to the news, consumer durables, automobiles, and IT showed stronger performance. Financial services, metals, and private banks have demonstrated resilience, indicating concentrated investor confidence in pivotal industries. Capital allocation has shifted towards consumer, manufacturing, and healthcare sectors, with auto, consumer durables, FMCG, and pharma sectors experiencing growth. High-tech and sentiment-driven equities have facilitated a recovery in IT and media.</w:t>
      </w:r>
    </w:p>
    <w:p w14:paraId="6D308C79" w14:textId="77777777" w:rsidR="00D423BF" w:rsidRPr="002379D4" w:rsidRDefault="00D423BF" w:rsidP="00D423BF">
      <w:pPr>
        <w:jc w:val="both"/>
        <w:rPr>
          <w:rFonts w:ascii="Arial" w:hAnsi="Arial" w:cs="Arial"/>
          <w:sz w:val="20"/>
          <w:szCs w:val="20"/>
        </w:rPr>
      </w:pPr>
      <w:r w:rsidRPr="00113D9E">
        <w:rPr>
          <w:rFonts w:ascii="Arial" w:hAnsi="Arial" w:cs="Arial"/>
          <w:sz w:val="20"/>
          <w:szCs w:val="20"/>
        </w:rPr>
        <w:t>Assessing the statistical significance of variations in post-announcement volatility is essential for determining whether market normalisation results from diminished uncertainty or risk recovery. This review elucidates how Indian markets adapt to external trade policy changes.</w:t>
      </w:r>
    </w:p>
    <w:p w14:paraId="4D8AD752" w14:textId="77777777" w:rsidR="00B01A95" w:rsidRDefault="00B01A95" w:rsidP="0090229C">
      <w:pPr>
        <w:jc w:val="both"/>
        <w:rPr>
          <w:rFonts w:ascii="Times New Roman" w:hAnsi="Times New Roman" w:cs="Times New Roman"/>
        </w:rPr>
        <w:sectPr w:rsidR="00B01A95" w:rsidSect="00620C7B">
          <w:type w:val="continuous"/>
          <w:pgSz w:w="11906" w:h="16838"/>
          <w:pgMar w:top="1440" w:right="1440" w:bottom="1440" w:left="1440" w:header="708" w:footer="708" w:gutter="0"/>
          <w:cols w:space="708"/>
          <w:docGrid w:linePitch="360"/>
        </w:sectPr>
      </w:pPr>
    </w:p>
    <w:p w14:paraId="5C7399A3" w14:textId="7A89E9A0" w:rsidR="00853C12" w:rsidRDefault="00853C12" w:rsidP="0090229C">
      <w:pPr>
        <w:jc w:val="both"/>
        <w:rPr>
          <w:rFonts w:ascii="Times New Roman" w:hAnsi="Times New Roman" w:cs="Times New Roman"/>
        </w:rPr>
      </w:pPr>
    </w:p>
    <w:p w14:paraId="311C4471" w14:textId="752F3B18" w:rsidR="0090229C"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1: Market and Sector wise Return of 7days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Post</w:t>
      </w:r>
      <w:r w:rsidRPr="00ED530C">
        <w:rPr>
          <w:rFonts w:ascii="Arial" w:hAnsi="Arial" w:cs="Arial"/>
          <w:b/>
          <w:bCs/>
          <w:sz w:val="20"/>
          <w:szCs w:val="20"/>
        </w:rPr>
        <w:t xml:space="preserve"> USA Tariff Announcement</w:t>
      </w:r>
    </w:p>
    <w:p w14:paraId="6B23489D" w14:textId="41BFDCD7" w:rsidR="0090229C" w:rsidRPr="0090229C" w:rsidRDefault="0090229C" w:rsidP="0090229C">
      <w:pPr>
        <w:jc w:val="both"/>
        <w:rPr>
          <w:rFonts w:ascii="Times New Roman" w:hAnsi="Times New Roman" w:cs="Times New Roman"/>
        </w:rPr>
      </w:pPr>
      <w:r>
        <w:rPr>
          <w:rFonts w:ascii="Times New Roman" w:hAnsi="Times New Roman" w:cs="Times New Roman"/>
          <w:noProof/>
        </w:rPr>
        <w:lastRenderedPageBreak/>
        <w:drawing>
          <wp:inline distT="0" distB="0" distL="0" distR="0" wp14:anchorId="78880E5A" wp14:editId="49FD98F2">
            <wp:extent cx="5957104" cy="2967925"/>
            <wp:effectExtent l="0" t="0" r="5715" b="4445"/>
            <wp:docPr id="52607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75311" name="Picture 526075311"/>
                    <pic:cNvPicPr/>
                  </pic:nvPicPr>
                  <pic:blipFill rotWithShape="1">
                    <a:blip r:embed="rId14" cstate="print">
                      <a:extLst>
                        <a:ext uri="{28A0092B-C50C-407E-A947-70E740481C1C}">
                          <a14:useLocalDpi xmlns:a14="http://schemas.microsoft.com/office/drawing/2010/main" val="0"/>
                        </a:ext>
                      </a:extLst>
                    </a:blip>
                    <a:srcRect t="5951"/>
                    <a:stretch>
                      <a:fillRect/>
                    </a:stretch>
                  </pic:blipFill>
                  <pic:spPr bwMode="auto">
                    <a:xfrm>
                      <a:off x="0" y="0"/>
                      <a:ext cx="6011342" cy="2994947"/>
                    </a:xfrm>
                    <a:prstGeom prst="rect">
                      <a:avLst/>
                    </a:prstGeom>
                    <a:ln>
                      <a:noFill/>
                    </a:ln>
                    <a:extLst>
                      <a:ext uri="{53640926-AAD7-44D8-BBD7-CCE9431645EC}">
                        <a14:shadowObscured xmlns:a14="http://schemas.microsoft.com/office/drawing/2010/main"/>
                      </a:ext>
                    </a:extLst>
                  </pic:spPr>
                </pic:pic>
              </a:graphicData>
            </a:graphic>
          </wp:inline>
        </w:drawing>
      </w:r>
    </w:p>
    <w:p w14:paraId="4135583B" w14:textId="77CBF56D" w:rsidR="00853C12"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2: Market and Sector wise </w:t>
      </w:r>
      <w:r w:rsidR="00EE00D8">
        <w:rPr>
          <w:rFonts w:ascii="Arial" w:hAnsi="Arial" w:cs="Arial"/>
          <w:b/>
          <w:bCs/>
          <w:sz w:val="20"/>
          <w:szCs w:val="20"/>
        </w:rPr>
        <w:t xml:space="preserve">Mean </w:t>
      </w:r>
      <w:r w:rsidRPr="00ED530C">
        <w:rPr>
          <w:rFonts w:ascii="Arial" w:hAnsi="Arial" w:cs="Arial"/>
          <w:b/>
          <w:bCs/>
          <w:sz w:val="20"/>
          <w:szCs w:val="20"/>
        </w:rPr>
        <w:t xml:space="preserve">Return of 15 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Post</w:t>
      </w:r>
      <w:r w:rsidRPr="00ED530C">
        <w:rPr>
          <w:rFonts w:ascii="Arial" w:hAnsi="Arial" w:cs="Arial"/>
          <w:b/>
          <w:bCs/>
          <w:sz w:val="20"/>
          <w:szCs w:val="20"/>
        </w:rPr>
        <w:t xml:space="preserve"> USA Tariff Announcement</w:t>
      </w:r>
    </w:p>
    <w:p w14:paraId="4897F5A9" w14:textId="631BCABB" w:rsidR="00D376BC" w:rsidRPr="00B01A95" w:rsidRDefault="00B01A95" w:rsidP="00B01A95">
      <w:pPr>
        <w:jc w:val="both"/>
        <w:rPr>
          <w:rFonts w:ascii="Arial" w:hAnsi="Arial" w:cs="Arial"/>
          <w:b/>
          <w:bCs/>
          <w:sz w:val="20"/>
          <w:szCs w:val="20"/>
        </w:rPr>
      </w:pPr>
      <w:r>
        <w:rPr>
          <w:rFonts w:ascii="Times New Roman" w:hAnsi="Times New Roman" w:cs="Times New Roman"/>
          <w:noProof/>
          <w:sz w:val="28"/>
          <w:szCs w:val="28"/>
        </w:rPr>
        <w:drawing>
          <wp:inline distT="0" distB="0" distL="0" distR="0" wp14:anchorId="6C101B32" wp14:editId="04A81283">
            <wp:extent cx="6090834" cy="2804795"/>
            <wp:effectExtent l="0" t="0" r="5715" b="0"/>
            <wp:docPr id="1482984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84193" name="Picture 1482984193"/>
                    <pic:cNvPicPr/>
                  </pic:nvPicPr>
                  <pic:blipFill rotWithShape="1">
                    <a:blip r:embed="rId15" cstate="print">
                      <a:extLst>
                        <a:ext uri="{28A0092B-C50C-407E-A947-70E740481C1C}">
                          <a14:useLocalDpi xmlns:a14="http://schemas.microsoft.com/office/drawing/2010/main" val="0"/>
                        </a:ext>
                      </a:extLst>
                    </a:blip>
                    <a:srcRect t="5400"/>
                    <a:stretch>
                      <a:fillRect/>
                    </a:stretch>
                  </pic:blipFill>
                  <pic:spPr bwMode="auto">
                    <a:xfrm>
                      <a:off x="0" y="0"/>
                      <a:ext cx="6094047" cy="2806275"/>
                    </a:xfrm>
                    <a:prstGeom prst="rect">
                      <a:avLst/>
                    </a:prstGeom>
                    <a:ln>
                      <a:noFill/>
                    </a:ln>
                    <a:extLst>
                      <a:ext uri="{53640926-AAD7-44D8-BBD7-CCE9431645EC}">
                        <a14:shadowObscured xmlns:a14="http://schemas.microsoft.com/office/drawing/2010/main"/>
                      </a:ext>
                    </a:extLst>
                  </pic:spPr>
                </pic:pic>
              </a:graphicData>
            </a:graphic>
          </wp:inline>
        </w:drawing>
      </w:r>
    </w:p>
    <w:p w14:paraId="68C4B833" w14:textId="63C0408A" w:rsidR="00853C12"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3: Market and Sector wise Return of 30 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 xml:space="preserve">Post </w:t>
      </w:r>
      <w:r w:rsidRPr="00ED530C">
        <w:rPr>
          <w:rFonts w:ascii="Arial" w:hAnsi="Arial" w:cs="Arial"/>
          <w:b/>
          <w:bCs/>
          <w:sz w:val="20"/>
          <w:szCs w:val="20"/>
        </w:rPr>
        <w:t>USA Tariff Announcement</w:t>
      </w:r>
    </w:p>
    <w:p w14:paraId="7ECF6692" w14:textId="77777777" w:rsidR="00283821" w:rsidRPr="00ED530C" w:rsidRDefault="00283821" w:rsidP="008F14A3">
      <w:pPr>
        <w:rPr>
          <w:rFonts w:ascii="Arial" w:hAnsi="Arial" w:cs="Arial"/>
          <w:b/>
          <w:bCs/>
          <w:sz w:val="20"/>
          <w:szCs w:val="20"/>
        </w:rPr>
      </w:pPr>
    </w:p>
    <w:p w14:paraId="6A7E4F99" w14:textId="2099FD9D" w:rsidR="00283821" w:rsidRDefault="0090229C" w:rsidP="008F14A3">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EA341EE" wp14:editId="4514617C">
            <wp:extent cx="5974080" cy="2937323"/>
            <wp:effectExtent l="0" t="0" r="7620" b="0"/>
            <wp:docPr id="1154275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75345" name="Picture 1154275345"/>
                    <pic:cNvPicPr/>
                  </pic:nvPicPr>
                  <pic:blipFill rotWithShape="1">
                    <a:blip r:embed="rId16" cstate="print">
                      <a:extLst>
                        <a:ext uri="{28A0092B-C50C-407E-A947-70E740481C1C}">
                          <a14:useLocalDpi xmlns:a14="http://schemas.microsoft.com/office/drawing/2010/main" val="0"/>
                        </a:ext>
                      </a:extLst>
                    </a:blip>
                    <a:srcRect t="5012"/>
                    <a:stretch>
                      <a:fillRect/>
                    </a:stretch>
                  </pic:blipFill>
                  <pic:spPr bwMode="auto">
                    <a:xfrm>
                      <a:off x="0" y="0"/>
                      <a:ext cx="5991580" cy="2945927"/>
                    </a:xfrm>
                    <a:prstGeom prst="rect">
                      <a:avLst/>
                    </a:prstGeom>
                    <a:ln>
                      <a:noFill/>
                    </a:ln>
                    <a:extLst>
                      <a:ext uri="{53640926-AAD7-44D8-BBD7-CCE9431645EC}">
                        <a14:shadowObscured xmlns:a14="http://schemas.microsoft.com/office/drawing/2010/main"/>
                      </a:ext>
                    </a:extLst>
                  </pic:spPr>
                </pic:pic>
              </a:graphicData>
            </a:graphic>
          </wp:inline>
        </w:drawing>
      </w:r>
    </w:p>
    <w:p w14:paraId="65AE968C" w14:textId="77777777" w:rsidR="00D423BF" w:rsidRPr="00EE00D8" w:rsidRDefault="00D423BF" w:rsidP="00D423BF">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4E58F8B" w14:textId="5AC81383" w:rsidR="006804E3" w:rsidRPr="00113D9E" w:rsidRDefault="00217AC9" w:rsidP="008F14A3">
      <w:pPr>
        <w:rPr>
          <w:rFonts w:ascii="Arial" w:hAnsi="Arial" w:cs="Arial"/>
          <w:b/>
          <w:bCs/>
        </w:rPr>
      </w:pPr>
      <w:r>
        <w:rPr>
          <w:rFonts w:ascii="Arial" w:hAnsi="Arial" w:cs="Arial"/>
          <w:b/>
          <w:bCs/>
        </w:rPr>
        <w:t>5</w:t>
      </w:r>
      <w:r w:rsidR="00113D9E" w:rsidRPr="00113D9E">
        <w:rPr>
          <w:rFonts w:ascii="Arial" w:hAnsi="Arial" w:cs="Arial"/>
          <w:b/>
          <w:bCs/>
        </w:rPr>
        <w:t xml:space="preserve">.2 </w:t>
      </w:r>
      <w:r w:rsidR="00665BC1" w:rsidRPr="00113D9E">
        <w:rPr>
          <w:rFonts w:ascii="Arial" w:hAnsi="Arial" w:cs="Arial"/>
          <w:b/>
          <w:bCs/>
        </w:rPr>
        <w:t xml:space="preserve">Unit Root </w:t>
      </w:r>
      <w:r w:rsidR="00113D9E" w:rsidRPr="00113D9E">
        <w:rPr>
          <w:rFonts w:ascii="Arial" w:hAnsi="Arial" w:cs="Arial"/>
          <w:b/>
          <w:bCs/>
        </w:rPr>
        <w:t>Test:</w:t>
      </w:r>
    </w:p>
    <w:p w14:paraId="3C3D4EA9" w14:textId="77777777" w:rsidR="00B01A95" w:rsidRDefault="00B01A95" w:rsidP="00AE246F">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02653791" w14:textId="10345D07" w:rsidR="002379D4" w:rsidRDefault="00113D9E" w:rsidP="00AE246F">
      <w:pPr>
        <w:jc w:val="both"/>
        <w:rPr>
          <w:rFonts w:ascii="Arial" w:hAnsi="Arial" w:cs="Arial"/>
          <w:sz w:val="20"/>
          <w:szCs w:val="20"/>
        </w:rPr>
      </w:pPr>
      <w:r w:rsidRPr="00113D9E">
        <w:rPr>
          <w:rFonts w:ascii="Arial" w:hAnsi="Arial" w:cs="Arial"/>
          <w:sz w:val="20"/>
          <w:szCs w:val="20"/>
        </w:rPr>
        <w:t>T</w:t>
      </w:r>
      <w:r w:rsidR="00CC2B7C">
        <w:rPr>
          <w:rFonts w:ascii="Arial" w:hAnsi="Arial" w:cs="Arial"/>
          <w:sz w:val="20"/>
          <w:szCs w:val="20"/>
        </w:rPr>
        <w:t>able 6</w:t>
      </w:r>
      <w:r w:rsidRPr="00113D9E">
        <w:rPr>
          <w:rFonts w:ascii="Arial" w:hAnsi="Arial" w:cs="Arial"/>
          <w:sz w:val="20"/>
          <w:szCs w:val="20"/>
        </w:rPr>
        <w:t xml:space="preserve"> reveals that most sectoral volatility series exhibit stationarity, indicating consistent return behaviour across medium- to long-term horizons. However, after U.S.A. tariffs, the Automobile, IT, Metal, Chemical, and Nifty 50 sectors showed non-stationarity over 7 days, indicating short-term volatility. Short-term series require differentiation before modelling, while longer-term windows can be evaluated at level for more accurate econometric estimations.</w:t>
      </w:r>
    </w:p>
    <w:p w14:paraId="16FF845C" w14:textId="77777777" w:rsidR="00B01A95" w:rsidRDefault="00B01A95" w:rsidP="00B548EB">
      <w:pPr>
        <w:jc w:val="center"/>
        <w:rPr>
          <w:rFonts w:ascii="Arial" w:hAnsi="Arial" w:cs="Arial"/>
          <w:b/>
          <w:bCs/>
          <w:sz w:val="20"/>
          <w:szCs w:val="20"/>
        </w:rPr>
        <w:sectPr w:rsidR="00B01A95" w:rsidSect="00620C7B">
          <w:type w:val="continuous"/>
          <w:pgSz w:w="11906" w:h="16838"/>
          <w:pgMar w:top="1440" w:right="1440" w:bottom="1440" w:left="1440" w:header="708" w:footer="708" w:gutter="0"/>
          <w:cols w:space="708"/>
          <w:docGrid w:linePitch="360"/>
        </w:sectPr>
      </w:pPr>
    </w:p>
    <w:p w14:paraId="2699792C" w14:textId="63CE98AE" w:rsidR="00B73A36" w:rsidRPr="00B548EB" w:rsidRDefault="00B73A36" w:rsidP="00B548EB">
      <w:pPr>
        <w:jc w:val="center"/>
        <w:rPr>
          <w:rFonts w:ascii="Arial" w:hAnsi="Arial" w:cs="Arial"/>
          <w:b/>
          <w:bCs/>
          <w:sz w:val="20"/>
          <w:szCs w:val="20"/>
        </w:rPr>
      </w:pPr>
      <w:r w:rsidRPr="00B73A36">
        <w:rPr>
          <w:rFonts w:ascii="Arial" w:hAnsi="Arial" w:cs="Arial"/>
          <w:b/>
          <w:bCs/>
          <w:sz w:val="20"/>
          <w:szCs w:val="20"/>
        </w:rPr>
        <w:t xml:space="preserve">Table </w:t>
      </w:r>
      <w:r w:rsidR="00CC2B7C">
        <w:rPr>
          <w:rFonts w:ascii="Arial" w:hAnsi="Arial" w:cs="Arial"/>
          <w:b/>
          <w:bCs/>
          <w:sz w:val="20"/>
          <w:szCs w:val="20"/>
        </w:rPr>
        <w:t>6</w:t>
      </w:r>
      <w:r w:rsidRPr="00B73A36">
        <w:rPr>
          <w:rFonts w:ascii="Arial" w:hAnsi="Arial" w:cs="Arial"/>
          <w:b/>
          <w:bCs/>
          <w:sz w:val="20"/>
          <w:szCs w:val="20"/>
        </w:rPr>
        <w:t xml:space="preserve">: </w:t>
      </w:r>
      <w:r w:rsidR="00AE246F" w:rsidRPr="00AE246F">
        <w:rPr>
          <w:rFonts w:ascii="Arial" w:hAnsi="Arial" w:cs="Arial"/>
          <w:b/>
          <w:bCs/>
          <w:sz w:val="20"/>
          <w:szCs w:val="20"/>
        </w:rPr>
        <w:t>Stationarity Tests Across Event Windows</w:t>
      </w:r>
    </w:p>
    <w:tbl>
      <w:tblPr>
        <w:tblStyle w:val="PlainTable2"/>
        <w:tblW w:w="0" w:type="auto"/>
        <w:tblLook w:val="04A0" w:firstRow="1" w:lastRow="0" w:firstColumn="1" w:lastColumn="0" w:noHBand="0" w:noVBand="1"/>
      </w:tblPr>
      <w:tblGrid>
        <w:gridCol w:w="2067"/>
        <w:gridCol w:w="981"/>
        <w:gridCol w:w="1306"/>
        <w:gridCol w:w="1245"/>
        <w:gridCol w:w="1284"/>
        <w:gridCol w:w="893"/>
        <w:gridCol w:w="1250"/>
      </w:tblGrid>
      <w:tr w:rsidR="0076089F" w:rsidRPr="00B548EB" w14:paraId="41C27FAA" w14:textId="2F8A0C04" w:rsidTr="00EE00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ACB0463" w14:textId="7E7F07A8" w:rsidR="0076089F" w:rsidRPr="00B548EB" w:rsidRDefault="0076089F" w:rsidP="00B73A36">
            <w:pPr>
              <w:jc w:val="center"/>
              <w:rPr>
                <w:rFonts w:ascii="Arial" w:hAnsi="Arial" w:cs="Arial"/>
                <w:sz w:val="20"/>
                <w:szCs w:val="20"/>
              </w:rPr>
            </w:pPr>
            <w:r w:rsidRPr="00B548EB">
              <w:rPr>
                <w:rFonts w:ascii="Arial" w:hAnsi="Arial" w:cs="Arial"/>
                <w:sz w:val="20"/>
                <w:szCs w:val="20"/>
              </w:rPr>
              <w:t>Sector</w:t>
            </w:r>
          </w:p>
        </w:tc>
        <w:tc>
          <w:tcPr>
            <w:tcW w:w="2287" w:type="dxa"/>
            <w:gridSpan w:val="2"/>
          </w:tcPr>
          <w:p w14:paraId="3829A086" w14:textId="01C5EC30"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ADF</w:t>
            </w:r>
          </w:p>
        </w:tc>
        <w:tc>
          <w:tcPr>
            <w:tcW w:w="2529" w:type="dxa"/>
            <w:gridSpan w:val="2"/>
          </w:tcPr>
          <w:p w14:paraId="0E4DC994" w14:textId="6A55B11D"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PP test</w:t>
            </w:r>
          </w:p>
        </w:tc>
        <w:tc>
          <w:tcPr>
            <w:tcW w:w="893" w:type="dxa"/>
            <w:vMerge w:val="restart"/>
          </w:tcPr>
          <w:p w14:paraId="593AD9CD" w14:textId="747893C0"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p-value</w:t>
            </w:r>
          </w:p>
        </w:tc>
        <w:tc>
          <w:tcPr>
            <w:tcW w:w="1250" w:type="dxa"/>
            <w:vMerge w:val="restart"/>
          </w:tcPr>
          <w:p w14:paraId="5DFBC639" w14:textId="58BCEB39"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Order of integration</w:t>
            </w:r>
          </w:p>
        </w:tc>
      </w:tr>
      <w:tr w:rsidR="004918C2" w:rsidRPr="00B548EB" w14:paraId="7FAADF20" w14:textId="1EF07192"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DA86FB4" w14:textId="1DEAEACC" w:rsidR="0076089F" w:rsidRPr="00B548EB" w:rsidRDefault="0076089F" w:rsidP="00B73A36">
            <w:pPr>
              <w:jc w:val="center"/>
              <w:rPr>
                <w:rFonts w:ascii="Arial" w:hAnsi="Arial" w:cs="Arial"/>
                <w:sz w:val="20"/>
                <w:szCs w:val="20"/>
              </w:rPr>
            </w:pPr>
          </w:p>
        </w:tc>
        <w:tc>
          <w:tcPr>
            <w:tcW w:w="981" w:type="dxa"/>
          </w:tcPr>
          <w:p w14:paraId="21D22927" w14:textId="4C40A697" w:rsidR="0076089F" w:rsidRPr="00BE4B90"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E4B90">
              <w:rPr>
                <w:rFonts w:ascii="Arial" w:hAnsi="Arial" w:cs="Arial"/>
                <w:b/>
                <w:bCs/>
                <w:sz w:val="20"/>
                <w:szCs w:val="20"/>
              </w:rPr>
              <w:t>Levels</w:t>
            </w:r>
          </w:p>
        </w:tc>
        <w:tc>
          <w:tcPr>
            <w:tcW w:w="1306" w:type="dxa"/>
          </w:tcPr>
          <w:p w14:paraId="16819211" w14:textId="2EDBC1D0"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b/>
                <w:bCs/>
                <w:sz w:val="20"/>
                <w:szCs w:val="20"/>
              </w:rPr>
              <w:t>1st Differences</w:t>
            </w:r>
          </w:p>
        </w:tc>
        <w:tc>
          <w:tcPr>
            <w:tcW w:w="1245" w:type="dxa"/>
          </w:tcPr>
          <w:p w14:paraId="03CD41F0" w14:textId="15183E5E" w:rsidR="0076089F" w:rsidRPr="00BE4B90"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E4B90">
              <w:rPr>
                <w:rFonts w:ascii="Arial" w:hAnsi="Arial" w:cs="Arial"/>
                <w:b/>
                <w:bCs/>
                <w:sz w:val="20"/>
                <w:szCs w:val="20"/>
              </w:rPr>
              <w:t>Levels</w:t>
            </w:r>
          </w:p>
        </w:tc>
        <w:tc>
          <w:tcPr>
            <w:tcW w:w="1284" w:type="dxa"/>
          </w:tcPr>
          <w:p w14:paraId="74674AA8" w14:textId="04F90004"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b/>
                <w:bCs/>
                <w:sz w:val="20"/>
                <w:szCs w:val="20"/>
              </w:rPr>
              <w:t>1st differences</w:t>
            </w:r>
          </w:p>
        </w:tc>
        <w:tc>
          <w:tcPr>
            <w:tcW w:w="893" w:type="dxa"/>
            <w:vMerge/>
          </w:tcPr>
          <w:p w14:paraId="39A81142" w14:textId="77777777"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0" w:type="dxa"/>
            <w:vMerge/>
          </w:tcPr>
          <w:p w14:paraId="0941A0FE" w14:textId="77777777"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918C2" w:rsidRPr="00B548EB" w14:paraId="462B155C" w14:textId="35C9F788" w:rsidTr="00EE00D8">
        <w:tc>
          <w:tcPr>
            <w:cnfStyle w:val="001000000000" w:firstRow="0" w:lastRow="0" w:firstColumn="1" w:lastColumn="0" w:oddVBand="0" w:evenVBand="0" w:oddHBand="0" w:evenHBand="0" w:firstRowFirstColumn="0" w:firstRowLastColumn="0" w:lastRowFirstColumn="0" w:lastRowLastColumn="0"/>
            <w:tcW w:w="2067" w:type="dxa"/>
          </w:tcPr>
          <w:p w14:paraId="381EDB1F" w14:textId="77777777" w:rsidR="006804E3" w:rsidRPr="00B548EB" w:rsidRDefault="006804E3" w:rsidP="00B73A36">
            <w:pPr>
              <w:jc w:val="center"/>
              <w:rPr>
                <w:rFonts w:ascii="Arial" w:hAnsi="Arial" w:cs="Arial"/>
                <w:sz w:val="20"/>
                <w:szCs w:val="20"/>
                <w:u w:val="single"/>
              </w:rPr>
            </w:pPr>
            <w:r w:rsidRPr="00B548EB">
              <w:rPr>
                <w:rFonts w:ascii="Arial" w:hAnsi="Arial" w:cs="Arial"/>
                <w:sz w:val="20"/>
                <w:szCs w:val="20"/>
                <w:u w:val="single"/>
              </w:rPr>
              <w:t>Nifty 50</w:t>
            </w:r>
          </w:p>
          <w:p w14:paraId="4E4AF427" w14:textId="77777777" w:rsidR="0076089F" w:rsidRPr="00B548EB" w:rsidRDefault="0076089F" w:rsidP="00B73A36">
            <w:pPr>
              <w:jc w:val="center"/>
              <w:rPr>
                <w:rFonts w:ascii="Arial" w:hAnsi="Arial" w:cs="Arial"/>
                <w:sz w:val="20"/>
                <w:szCs w:val="20"/>
              </w:rPr>
            </w:pPr>
            <w:r w:rsidRPr="00B548EB">
              <w:rPr>
                <w:rFonts w:ascii="Arial" w:hAnsi="Arial" w:cs="Arial"/>
                <w:sz w:val="20"/>
                <w:szCs w:val="20"/>
              </w:rPr>
              <w:t>7 days</w:t>
            </w:r>
          </w:p>
          <w:p w14:paraId="452C8ACE" w14:textId="77777777" w:rsidR="0076089F" w:rsidRPr="00B548EB" w:rsidRDefault="0076089F" w:rsidP="00B73A36">
            <w:pPr>
              <w:jc w:val="center"/>
              <w:rPr>
                <w:rFonts w:ascii="Arial" w:hAnsi="Arial" w:cs="Arial"/>
                <w:sz w:val="20"/>
                <w:szCs w:val="20"/>
              </w:rPr>
            </w:pPr>
            <w:r w:rsidRPr="00B548EB">
              <w:rPr>
                <w:rFonts w:ascii="Arial" w:hAnsi="Arial" w:cs="Arial"/>
                <w:sz w:val="20"/>
                <w:szCs w:val="20"/>
              </w:rPr>
              <w:t>15days</w:t>
            </w:r>
          </w:p>
          <w:p w14:paraId="593EB9C5" w14:textId="2CD7FE71" w:rsidR="0076089F" w:rsidRPr="00B548EB" w:rsidRDefault="0076089F"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74FF2F5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CA5E25" w14:textId="07E08958"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w:t>
            </w:r>
            <w:r w:rsidR="0076089F" w:rsidRPr="00B548EB">
              <w:rPr>
                <w:rFonts w:ascii="Arial" w:hAnsi="Arial" w:cs="Arial"/>
                <w:sz w:val="20"/>
                <w:szCs w:val="20"/>
              </w:rPr>
              <w:t>7</w:t>
            </w:r>
          </w:p>
          <w:p w14:paraId="624D65FE" w14:textId="3A29296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-4.27</w:t>
            </w:r>
          </w:p>
          <w:p w14:paraId="5669B12D" w14:textId="50847CB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-7.44</w:t>
            </w:r>
          </w:p>
        </w:tc>
        <w:tc>
          <w:tcPr>
            <w:tcW w:w="1306" w:type="dxa"/>
          </w:tcPr>
          <w:p w14:paraId="4E665AD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B3F4E7" w14:textId="3507544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-5.9</w:t>
            </w:r>
            <w:r w:rsidR="0076089F" w:rsidRPr="00B548EB">
              <w:rPr>
                <w:rFonts w:ascii="Arial" w:hAnsi="Arial" w:cs="Arial"/>
                <w:sz w:val="20"/>
                <w:szCs w:val="20"/>
              </w:rPr>
              <w:t>7</w:t>
            </w:r>
          </w:p>
          <w:p w14:paraId="2EE7B5CA" w14:textId="2CF5ACB2"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FBEF9CB" w14:textId="0A35DA2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C842AA6"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7AA0E4" w14:textId="75390021"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-2.67</w:t>
            </w:r>
          </w:p>
          <w:p w14:paraId="23EB2D7C" w14:textId="5D0CD642"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-4.43</w:t>
            </w:r>
          </w:p>
          <w:p w14:paraId="4C81B08B" w14:textId="05B1510D"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-7.52</w:t>
            </w:r>
          </w:p>
        </w:tc>
        <w:tc>
          <w:tcPr>
            <w:tcW w:w="1284" w:type="dxa"/>
          </w:tcPr>
          <w:p w14:paraId="58F4251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3AFD9B" w14:textId="26C6F81D"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-6.31</w:t>
            </w:r>
          </w:p>
          <w:p w14:paraId="4E17724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65EAF7F" w14:textId="74892AA5"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A50B23D"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A0DBB8"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A2B33CB"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197F5D4D" w14:textId="1986F874"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1D14AAB"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23C14C"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16421D24"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029EC48" w14:textId="7D53112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4918C2" w:rsidRPr="00B548EB" w14:paraId="6370EDBD" w14:textId="035A51C3"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475BC087" w14:textId="6B34C64A" w:rsidR="006804E3" w:rsidRPr="00B548EB" w:rsidRDefault="006159AB" w:rsidP="00B73A36">
            <w:pPr>
              <w:jc w:val="center"/>
              <w:rPr>
                <w:rFonts w:ascii="Arial" w:hAnsi="Arial" w:cs="Arial"/>
                <w:sz w:val="20"/>
                <w:szCs w:val="20"/>
                <w:u w:val="single"/>
              </w:rPr>
            </w:pPr>
            <w:r w:rsidRPr="00B548EB">
              <w:rPr>
                <w:rFonts w:ascii="Arial" w:hAnsi="Arial" w:cs="Arial"/>
                <w:sz w:val="20"/>
                <w:szCs w:val="20"/>
                <w:u w:val="single"/>
              </w:rPr>
              <w:t>Automobile</w:t>
            </w:r>
          </w:p>
          <w:p w14:paraId="5D69881A" w14:textId="77777777" w:rsidR="006159AB" w:rsidRPr="00B548EB" w:rsidRDefault="006159AB" w:rsidP="00B73A36">
            <w:pPr>
              <w:jc w:val="center"/>
              <w:rPr>
                <w:rFonts w:ascii="Arial" w:hAnsi="Arial" w:cs="Arial"/>
                <w:sz w:val="20"/>
                <w:szCs w:val="20"/>
              </w:rPr>
            </w:pPr>
            <w:r w:rsidRPr="00B548EB">
              <w:rPr>
                <w:rFonts w:ascii="Arial" w:hAnsi="Arial" w:cs="Arial"/>
                <w:sz w:val="20"/>
                <w:szCs w:val="20"/>
              </w:rPr>
              <w:t>7 days</w:t>
            </w:r>
          </w:p>
          <w:p w14:paraId="349740E9" w14:textId="77777777" w:rsidR="006159AB" w:rsidRPr="00B548EB" w:rsidRDefault="006159AB" w:rsidP="00B73A36">
            <w:pPr>
              <w:jc w:val="center"/>
              <w:rPr>
                <w:rFonts w:ascii="Arial" w:hAnsi="Arial" w:cs="Arial"/>
                <w:sz w:val="20"/>
                <w:szCs w:val="20"/>
              </w:rPr>
            </w:pPr>
            <w:r w:rsidRPr="00B548EB">
              <w:rPr>
                <w:rFonts w:ascii="Arial" w:hAnsi="Arial" w:cs="Arial"/>
                <w:sz w:val="20"/>
                <w:szCs w:val="20"/>
              </w:rPr>
              <w:t>15days</w:t>
            </w:r>
          </w:p>
          <w:p w14:paraId="59E91222" w14:textId="29A200F7" w:rsidR="006159AB" w:rsidRPr="00B548EB" w:rsidRDefault="006159AB" w:rsidP="00B73A36">
            <w:pPr>
              <w:jc w:val="center"/>
              <w:rPr>
                <w:rFonts w:ascii="Arial" w:hAnsi="Arial" w:cs="Arial"/>
                <w:sz w:val="20"/>
                <w:szCs w:val="20"/>
              </w:rPr>
            </w:pPr>
            <w:r w:rsidRPr="00B548EB">
              <w:rPr>
                <w:rFonts w:ascii="Arial" w:hAnsi="Arial" w:cs="Arial"/>
                <w:sz w:val="20"/>
                <w:szCs w:val="20"/>
              </w:rPr>
              <w:t>30days</w:t>
            </w:r>
          </w:p>
          <w:p w14:paraId="7DDF41B6" w14:textId="62A7F832" w:rsidR="006159AB" w:rsidRPr="00B548EB" w:rsidRDefault="006159AB" w:rsidP="00B73A36">
            <w:pPr>
              <w:jc w:val="center"/>
              <w:rPr>
                <w:rFonts w:ascii="Arial" w:hAnsi="Arial" w:cs="Arial"/>
                <w:sz w:val="20"/>
                <w:szCs w:val="20"/>
              </w:rPr>
            </w:pPr>
          </w:p>
        </w:tc>
        <w:tc>
          <w:tcPr>
            <w:tcW w:w="981" w:type="dxa"/>
          </w:tcPr>
          <w:p w14:paraId="28F02D60"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6E6F2DF" w14:textId="68CA4328"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-1.65</w:t>
            </w:r>
          </w:p>
          <w:p w14:paraId="799BA15C"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-4.09</w:t>
            </w:r>
          </w:p>
          <w:p w14:paraId="78E8D468" w14:textId="4C36B82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-6.87</w:t>
            </w:r>
          </w:p>
        </w:tc>
        <w:tc>
          <w:tcPr>
            <w:tcW w:w="1306" w:type="dxa"/>
          </w:tcPr>
          <w:p w14:paraId="1387752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2DFE1B"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4.48</w:t>
            </w:r>
          </w:p>
          <w:p w14:paraId="3B126BE9"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7298C33" w14:textId="4CC2922D"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59EF50D2"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5DC0444"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-1.67</w:t>
            </w:r>
          </w:p>
          <w:p w14:paraId="3153E87E"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-4.16</w:t>
            </w:r>
          </w:p>
          <w:p w14:paraId="2FF44217" w14:textId="6E98280C"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-6.91</w:t>
            </w:r>
          </w:p>
        </w:tc>
        <w:tc>
          <w:tcPr>
            <w:tcW w:w="1284" w:type="dxa"/>
          </w:tcPr>
          <w:p w14:paraId="02230CA1"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FE678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-4.53</w:t>
            </w:r>
          </w:p>
          <w:p w14:paraId="23A1D74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89843B9" w14:textId="12CDA733"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DC26517"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D7228A"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B3DA141"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146AE21B" w14:textId="3FB3BD8D"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3C2CDFAB"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A48095"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3CC77AAC"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AFF63E2" w14:textId="73F72434"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4918C2" w:rsidRPr="00B548EB" w14:paraId="204851CB" w14:textId="72A797DC" w:rsidTr="00EE00D8">
        <w:trPr>
          <w:trHeight w:val="1167"/>
        </w:trPr>
        <w:tc>
          <w:tcPr>
            <w:cnfStyle w:val="001000000000" w:firstRow="0" w:lastRow="0" w:firstColumn="1" w:lastColumn="0" w:oddVBand="0" w:evenVBand="0" w:oddHBand="0" w:evenHBand="0" w:firstRowFirstColumn="0" w:firstRowLastColumn="0" w:lastRowFirstColumn="0" w:lastRowLastColumn="0"/>
            <w:tcW w:w="2067" w:type="dxa"/>
          </w:tcPr>
          <w:p w14:paraId="621DA694" w14:textId="60DB790A" w:rsidR="006804E3" w:rsidRPr="00B548EB" w:rsidRDefault="004918C2" w:rsidP="00B73A36">
            <w:pPr>
              <w:jc w:val="center"/>
              <w:rPr>
                <w:rFonts w:ascii="Arial" w:hAnsi="Arial" w:cs="Arial"/>
                <w:sz w:val="20"/>
                <w:szCs w:val="20"/>
                <w:u w:val="single"/>
              </w:rPr>
            </w:pPr>
            <w:r w:rsidRPr="00B548EB">
              <w:rPr>
                <w:rFonts w:ascii="Arial" w:hAnsi="Arial" w:cs="Arial"/>
                <w:sz w:val="20"/>
                <w:szCs w:val="20"/>
                <w:u w:val="single"/>
              </w:rPr>
              <w:t>Consumer Durable</w:t>
            </w:r>
          </w:p>
          <w:p w14:paraId="40DD1789"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7 days</w:t>
            </w:r>
          </w:p>
          <w:p w14:paraId="7CDCA9B0"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15days</w:t>
            </w:r>
          </w:p>
          <w:p w14:paraId="7E5D53E2" w14:textId="7E420FD0" w:rsidR="004918C2" w:rsidRPr="00B548EB" w:rsidRDefault="004918C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4C8E465"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EF66F4"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-2.69</w:t>
            </w:r>
          </w:p>
          <w:p w14:paraId="2FF76CBA" w14:textId="24BDEAEE"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-4.39</w:t>
            </w:r>
          </w:p>
          <w:p w14:paraId="5D67F857" w14:textId="69F17F5E"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-7.10</w:t>
            </w:r>
          </w:p>
        </w:tc>
        <w:tc>
          <w:tcPr>
            <w:tcW w:w="1306" w:type="dxa"/>
          </w:tcPr>
          <w:p w14:paraId="11592C46"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71522E"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-5.96</w:t>
            </w:r>
          </w:p>
          <w:p w14:paraId="60DF6D81"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8AF0987" w14:textId="7678CD65"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84C14EA"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7D6836"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-2.71</w:t>
            </w:r>
          </w:p>
          <w:p w14:paraId="464CAD0B"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-4.45</w:t>
            </w:r>
          </w:p>
          <w:p w14:paraId="6E0D7DC5" w14:textId="5EECF723"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-7.12</w:t>
            </w:r>
          </w:p>
        </w:tc>
        <w:tc>
          <w:tcPr>
            <w:tcW w:w="1284" w:type="dxa"/>
          </w:tcPr>
          <w:p w14:paraId="4D32ACD4"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FE83E9"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-6.85</w:t>
            </w:r>
          </w:p>
          <w:p w14:paraId="68C6C58B"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69EE6FB" w14:textId="2C9547BB"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42605285"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BE05CA"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34BE1927"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90FDAC3" w14:textId="15EA7926"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F4946CB"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25A874"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4548F5C6"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279CD0F" w14:textId="484AF266"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4918C2" w:rsidRPr="00B548EB" w14:paraId="2E538B01" w14:textId="35BC6EEC"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442248BF" w14:textId="77777777" w:rsidR="006804E3" w:rsidRPr="00B548EB" w:rsidRDefault="004918C2" w:rsidP="00B73A36">
            <w:pPr>
              <w:jc w:val="center"/>
              <w:rPr>
                <w:rFonts w:ascii="Arial" w:hAnsi="Arial" w:cs="Arial"/>
                <w:sz w:val="20"/>
                <w:szCs w:val="20"/>
                <w:u w:val="single"/>
              </w:rPr>
            </w:pPr>
            <w:r w:rsidRPr="00B548EB">
              <w:rPr>
                <w:rFonts w:ascii="Arial" w:hAnsi="Arial" w:cs="Arial"/>
                <w:sz w:val="20"/>
                <w:szCs w:val="20"/>
                <w:u w:val="single"/>
              </w:rPr>
              <w:t>Energy</w:t>
            </w:r>
          </w:p>
          <w:p w14:paraId="30CEA32D"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7 days</w:t>
            </w:r>
          </w:p>
          <w:p w14:paraId="0256CD64"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15days</w:t>
            </w:r>
          </w:p>
          <w:p w14:paraId="1176A241" w14:textId="6051C612" w:rsidR="004918C2" w:rsidRPr="00B548EB" w:rsidRDefault="004918C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92559AC"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F3665A"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-2.74</w:t>
            </w:r>
          </w:p>
          <w:p w14:paraId="4B227F25"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-4.45</w:t>
            </w:r>
          </w:p>
          <w:p w14:paraId="0F3B525C" w14:textId="40CB7A43"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-6.94</w:t>
            </w:r>
          </w:p>
        </w:tc>
        <w:tc>
          <w:tcPr>
            <w:tcW w:w="1306" w:type="dxa"/>
          </w:tcPr>
          <w:p w14:paraId="5F799CEC"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264FBB"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-4.89</w:t>
            </w:r>
          </w:p>
          <w:p w14:paraId="78D1C034"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1D3567B" w14:textId="21C793F0"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3AE98AF"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3950C5"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-2.70</w:t>
            </w:r>
          </w:p>
          <w:p w14:paraId="409129B0" w14:textId="77777777" w:rsidR="004918C2"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-4.52</w:t>
            </w:r>
          </w:p>
          <w:p w14:paraId="53A99C53" w14:textId="2425627B"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-6.99</w:t>
            </w:r>
          </w:p>
        </w:tc>
        <w:tc>
          <w:tcPr>
            <w:tcW w:w="1284" w:type="dxa"/>
          </w:tcPr>
          <w:p w14:paraId="3BA5F205"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5C41F0"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-5.28</w:t>
            </w:r>
          </w:p>
          <w:p w14:paraId="2FF6A1F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CDF0EDE" w14:textId="23B0CA84"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7AEB7946"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B38C49"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A056C2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44A3803" w14:textId="2295E744"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EBBF91F"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20CFFD"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0546003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8F82F99" w14:textId="4D5F6926"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D557D6" w:rsidRPr="00B548EB" w14:paraId="02B54280"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31E277AD" w14:textId="77777777" w:rsidR="00D557D6" w:rsidRPr="00B548EB" w:rsidRDefault="00D557D6" w:rsidP="00B73A36">
            <w:pPr>
              <w:jc w:val="center"/>
              <w:rPr>
                <w:rFonts w:ascii="Arial" w:hAnsi="Arial" w:cs="Arial"/>
                <w:sz w:val="20"/>
                <w:szCs w:val="20"/>
                <w:u w:val="single"/>
              </w:rPr>
            </w:pPr>
            <w:r w:rsidRPr="00B548EB">
              <w:rPr>
                <w:rFonts w:ascii="Arial" w:hAnsi="Arial" w:cs="Arial"/>
                <w:sz w:val="20"/>
                <w:szCs w:val="20"/>
                <w:u w:val="single"/>
              </w:rPr>
              <w:t>Financial Service</w:t>
            </w:r>
          </w:p>
          <w:p w14:paraId="2A9A1F48"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7 days</w:t>
            </w:r>
          </w:p>
          <w:p w14:paraId="75AEC846"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15days</w:t>
            </w:r>
          </w:p>
          <w:p w14:paraId="17DD7D1D" w14:textId="1CF56822" w:rsidR="00D557D6" w:rsidRPr="00B548EB" w:rsidRDefault="00D557D6"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5703837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75EB71" w14:textId="4ECF89E8"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-3.21</w:t>
            </w:r>
          </w:p>
          <w:p w14:paraId="29CCC926" w14:textId="365E13D2"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-4.70</w:t>
            </w:r>
          </w:p>
          <w:p w14:paraId="27158306" w14:textId="0DA88F09"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-7.91</w:t>
            </w:r>
          </w:p>
        </w:tc>
        <w:tc>
          <w:tcPr>
            <w:tcW w:w="1306" w:type="dxa"/>
          </w:tcPr>
          <w:p w14:paraId="5FE9026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B9B026E"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31DA2FA"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F504D93" w14:textId="43020BB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13581C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4A7D75"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-3.19</w:t>
            </w:r>
          </w:p>
          <w:p w14:paraId="4584FBB9"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-4.80</w:t>
            </w:r>
          </w:p>
          <w:p w14:paraId="46BCFCC9" w14:textId="517DDB0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284" w:type="dxa"/>
          </w:tcPr>
          <w:p w14:paraId="4D5E645D"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156ED9"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AEBA0DA"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B3A7293" w14:textId="4C869D9E"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2153CC1"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C3C9D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0.02</w:t>
            </w:r>
          </w:p>
          <w:p w14:paraId="7CDFD2C3"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C4A5D26" w14:textId="49FD90B9"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040085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45E00C"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BCD207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7BE45C48" w14:textId="5257853D"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D557D6" w:rsidRPr="00B548EB" w14:paraId="637E1D09"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9437BEB" w14:textId="4CF5B1E6" w:rsidR="00D557D6" w:rsidRPr="00B548EB" w:rsidRDefault="00D557D6" w:rsidP="00B73A36">
            <w:pPr>
              <w:jc w:val="center"/>
              <w:rPr>
                <w:rFonts w:ascii="Arial" w:hAnsi="Arial" w:cs="Arial"/>
                <w:sz w:val="20"/>
                <w:szCs w:val="20"/>
                <w:u w:val="single"/>
              </w:rPr>
            </w:pPr>
            <w:r w:rsidRPr="00B548EB">
              <w:rPr>
                <w:rFonts w:ascii="Arial" w:hAnsi="Arial" w:cs="Arial"/>
                <w:sz w:val="20"/>
                <w:szCs w:val="20"/>
                <w:u w:val="single"/>
              </w:rPr>
              <w:t>FMCG</w:t>
            </w:r>
          </w:p>
          <w:p w14:paraId="08B6A1FE"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7 days</w:t>
            </w:r>
          </w:p>
          <w:p w14:paraId="61715427"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lastRenderedPageBreak/>
              <w:t>15days</w:t>
            </w:r>
          </w:p>
          <w:p w14:paraId="3B4529B1" w14:textId="53B655ED" w:rsidR="00D557D6" w:rsidRPr="00B548EB" w:rsidRDefault="00D557D6"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C6EA3DD"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6393C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-2.92</w:t>
            </w:r>
          </w:p>
          <w:p w14:paraId="789F71A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-5.58</w:t>
            </w:r>
          </w:p>
          <w:p w14:paraId="675D44C3" w14:textId="08BE963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-7.62</w:t>
            </w:r>
          </w:p>
        </w:tc>
        <w:tc>
          <w:tcPr>
            <w:tcW w:w="1306" w:type="dxa"/>
          </w:tcPr>
          <w:p w14:paraId="46ED835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34254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C938E2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w:t>
            </w:r>
          </w:p>
          <w:p w14:paraId="0023E867" w14:textId="13C0B680"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4E58DE6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E2530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-2.88</w:t>
            </w:r>
          </w:p>
          <w:p w14:paraId="441648C7" w14:textId="25F2C9DE"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-5.59</w:t>
            </w:r>
          </w:p>
          <w:p w14:paraId="7C9758AF" w14:textId="241227FB" w:rsidR="00D557D6"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-7.62</w:t>
            </w:r>
          </w:p>
        </w:tc>
        <w:tc>
          <w:tcPr>
            <w:tcW w:w="1284" w:type="dxa"/>
          </w:tcPr>
          <w:p w14:paraId="6AAA2E6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B1480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BB9C19F"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w:t>
            </w:r>
          </w:p>
          <w:p w14:paraId="5532244A" w14:textId="3045C761"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421EC15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E6538F5"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0.04</w:t>
            </w:r>
          </w:p>
          <w:p w14:paraId="6846887D"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0.00</w:t>
            </w:r>
          </w:p>
          <w:p w14:paraId="7FA716B3" w14:textId="6B650ACA"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2BBD8F3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A23CF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235AC43"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lastRenderedPageBreak/>
              <w:t>I(</w:t>
            </w:r>
            <w:proofErr w:type="gramEnd"/>
            <w:r w:rsidRPr="00B548EB">
              <w:rPr>
                <w:rFonts w:ascii="Arial" w:hAnsi="Arial" w:cs="Arial"/>
                <w:sz w:val="20"/>
                <w:szCs w:val="20"/>
              </w:rPr>
              <w:t>0)</w:t>
            </w:r>
          </w:p>
          <w:p w14:paraId="481EDFD7" w14:textId="0751329B"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7B0972" w:rsidRPr="00B548EB" w14:paraId="643700EA"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319F9465" w14:textId="77777777" w:rsidR="007B0972" w:rsidRPr="00B548EB" w:rsidRDefault="007B0972" w:rsidP="00B73A36">
            <w:pPr>
              <w:jc w:val="center"/>
              <w:rPr>
                <w:rFonts w:ascii="Arial" w:hAnsi="Arial" w:cs="Arial"/>
                <w:sz w:val="20"/>
                <w:szCs w:val="20"/>
                <w:u w:val="single"/>
              </w:rPr>
            </w:pPr>
            <w:r w:rsidRPr="00B548EB">
              <w:rPr>
                <w:rFonts w:ascii="Arial" w:hAnsi="Arial" w:cs="Arial"/>
                <w:sz w:val="20"/>
                <w:szCs w:val="20"/>
                <w:u w:val="single"/>
              </w:rPr>
              <w:lastRenderedPageBreak/>
              <w:t>Health Care</w:t>
            </w:r>
          </w:p>
          <w:p w14:paraId="0E4707A2"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7 days</w:t>
            </w:r>
          </w:p>
          <w:p w14:paraId="55FC8267"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15days</w:t>
            </w:r>
          </w:p>
          <w:p w14:paraId="3D522395" w14:textId="53239E3B" w:rsidR="007B0972" w:rsidRPr="00B548EB" w:rsidRDefault="007B097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FE13E5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B0C76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-3.69</w:t>
            </w:r>
          </w:p>
          <w:p w14:paraId="188C14A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-5.16</w:t>
            </w:r>
          </w:p>
          <w:p w14:paraId="132BDE74" w14:textId="0378E6C9"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306" w:type="dxa"/>
          </w:tcPr>
          <w:p w14:paraId="10D2270E"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B67F9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94748C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501BB05" w14:textId="6EC11845"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5ED1E5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7E72D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-3.71</w:t>
            </w:r>
          </w:p>
          <w:p w14:paraId="534E9894"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-5.22</w:t>
            </w:r>
          </w:p>
          <w:p w14:paraId="7E706F1A" w14:textId="2F423931"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284" w:type="dxa"/>
          </w:tcPr>
          <w:p w14:paraId="6405678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E98F5C"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31A9E2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A6332CE" w14:textId="5F3363F0"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CD4AA58"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F9B527"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49E027F4"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AA0D424" w14:textId="65BE6F9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15E051A"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19F11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A1FCEFD"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56F7319C" w14:textId="33B5B11B"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7B0972" w:rsidRPr="00B548EB" w14:paraId="2B441C37"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52570B2" w14:textId="77777777" w:rsidR="007B0972" w:rsidRPr="00B548EB" w:rsidRDefault="007B0972" w:rsidP="00B73A36">
            <w:pPr>
              <w:jc w:val="center"/>
              <w:rPr>
                <w:rFonts w:ascii="Arial" w:hAnsi="Arial" w:cs="Arial"/>
                <w:sz w:val="20"/>
                <w:szCs w:val="20"/>
                <w:u w:val="single"/>
              </w:rPr>
            </w:pPr>
            <w:r w:rsidRPr="00B548EB">
              <w:rPr>
                <w:rFonts w:ascii="Arial" w:hAnsi="Arial" w:cs="Arial"/>
                <w:sz w:val="20"/>
                <w:szCs w:val="20"/>
                <w:u w:val="single"/>
              </w:rPr>
              <w:t>IT</w:t>
            </w:r>
          </w:p>
          <w:p w14:paraId="285CBF42"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7 days</w:t>
            </w:r>
          </w:p>
          <w:p w14:paraId="0921FF07"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15days</w:t>
            </w:r>
          </w:p>
          <w:p w14:paraId="258EA8DE" w14:textId="78415DEC" w:rsidR="007B0972" w:rsidRPr="00B548EB" w:rsidRDefault="007B097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64CDC63"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F1B195"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-2.02</w:t>
            </w:r>
          </w:p>
          <w:p w14:paraId="04818C8C" w14:textId="78F98A68" w:rsidR="00A6136B"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-4.07</w:t>
            </w:r>
          </w:p>
          <w:p w14:paraId="6CF11F71" w14:textId="461EC1BB" w:rsidR="007B0972"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-7.42</w:t>
            </w:r>
          </w:p>
        </w:tc>
        <w:tc>
          <w:tcPr>
            <w:tcW w:w="1306" w:type="dxa"/>
          </w:tcPr>
          <w:p w14:paraId="6911E816"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02830C"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-4.95</w:t>
            </w:r>
          </w:p>
          <w:p w14:paraId="0BF0A61D"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950273C" w14:textId="2A216E65"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F7E948F"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2D48F4"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-2.02</w:t>
            </w:r>
          </w:p>
          <w:p w14:paraId="31376A11"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-4.21</w:t>
            </w:r>
          </w:p>
          <w:p w14:paraId="12FE2C4D" w14:textId="35ECE8EA"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-7.55</w:t>
            </w:r>
          </w:p>
        </w:tc>
        <w:tc>
          <w:tcPr>
            <w:tcW w:w="1284" w:type="dxa"/>
          </w:tcPr>
          <w:p w14:paraId="3E8A42D4"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032B30"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-4.95</w:t>
            </w:r>
          </w:p>
          <w:p w14:paraId="6B71CA66"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BF6310F" w14:textId="5CB03192"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FA7F745"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73A763"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28F060B"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6EC4D0EE" w14:textId="69DFF2E1"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02918E3F"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74E551"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6E3CF2F2"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F903B6A" w14:textId="4C7EAFE0"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A6136B" w:rsidRPr="00B548EB" w14:paraId="3A3863B5"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735E55C3" w14:textId="77777777" w:rsidR="00A6136B" w:rsidRPr="00B548EB" w:rsidRDefault="00A6136B" w:rsidP="00B73A36">
            <w:pPr>
              <w:jc w:val="center"/>
              <w:rPr>
                <w:rFonts w:ascii="Arial" w:hAnsi="Arial" w:cs="Arial"/>
                <w:sz w:val="20"/>
                <w:szCs w:val="20"/>
                <w:u w:val="single"/>
              </w:rPr>
            </w:pPr>
            <w:r w:rsidRPr="00B548EB">
              <w:rPr>
                <w:rFonts w:ascii="Arial" w:hAnsi="Arial" w:cs="Arial"/>
                <w:sz w:val="20"/>
                <w:szCs w:val="20"/>
                <w:u w:val="single"/>
              </w:rPr>
              <w:t>Media</w:t>
            </w:r>
          </w:p>
          <w:p w14:paraId="00ED9EBE"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7 days</w:t>
            </w:r>
          </w:p>
          <w:p w14:paraId="36EF8BFB"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15days</w:t>
            </w:r>
          </w:p>
          <w:p w14:paraId="1BB61153" w14:textId="1ED9F56D" w:rsidR="00A6136B" w:rsidRPr="00B548EB" w:rsidRDefault="00A6136B"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597A2AC"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E6DDB4"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-4.12</w:t>
            </w:r>
          </w:p>
          <w:p w14:paraId="279E3A5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-5.50</w:t>
            </w:r>
          </w:p>
          <w:p w14:paraId="32C35174" w14:textId="7570C513"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-6.74</w:t>
            </w:r>
          </w:p>
        </w:tc>
        <w:tc>
          <w:tcPr>
            <w:tcW w:w="1306" w:type="dxa"/>
          </w:tcPr>
          <w:p w14:paraId="5F16482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BBC81B"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B18B5B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A18A0BE" w14:textId="3DFF6BFF"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6294CCA6"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D70A2A"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-4.27</w:t>
            </w:r>
          </w:p>
          <w:p w14:paraId="24B2D736"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-5.51</w:t>
            </w:r>
          </w:p>
          <w:p w14:paraId="6DDB4514" w14:textId="736CA8D8"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-6.74</w:t>
            </w:r>
          </w:p>
        </w:tc>
        <w:tc>
          <w:tcPr>
            <w:tcW w:w="1284" w:type="dxa"/>
          </w:tcPr>
          <w:p w14:paraId="3AE7552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7B1CF22"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7AE3DA4"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FF608FA" w14:textId="227F9C5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26F1DB97"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43BFD6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69E533F"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CC32A45" w14:textId="07C45ECB"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2F59900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DB3C02"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2B1671E"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63995E6" w14:textId="3E02E465"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A6136B" w:rsidRPr="00B548EB" w14:paraId="13312135"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6965FC3F" w14:textId="77777777" w:rsidR="00A6136B" w:rsidRPr="00B548EB" w:rsidRDefault="00A6136B" w:rsidP="00B73A36">
            <w:pPr>
              <w:jc w:val="center"/>
              <w:rPr>
                <w:rFonts w:ascii="Arial" w:hAnsi="Arial" w:cs="Arial"/>
                <w:sz w:val="20"/>
                <w:szCs w:val="20"/>
                <w:u w:val="single"/>
              </w:rPr>
            </w:pPr>
            <w:r w:rsidRPr="00B548EB">
              <w:rPr>
                <w:rFonts w:ascii="Arial" w:hAnsi="Arial" w:cs="Arial"/>
                <w:sz w:val="20"/>
                <w:szCs w:val="20"/>
                <w:u w:val="single"/>
              </w:rPr>
              <w:t>Metal</w:t>
            </w:r>
          </w:p>
          <w:p w14:paraId="460EA561"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7 days</w:t>
            </w:r>
          </w:p>
          <w:p w14:paraId="3AEB55E0"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15days</w:t>
            </w:r>
          </w:p>
          <w:p w14:paraId="6AA3D88D" w14:textId="714A51D5" w:rsidR="00A6136B" w:rsidRPr="00B548EB" w:rsidRDefault="00A6136B"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21904E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8C87CF"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-2.13</w:t>
            </w:r>
          </w:p>
          <w:p w14:paraId="2F6293C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-3.69</w:t>
            </w:r>
          </w:p>
          <w:p w14:paraId="2AB79B26" w14:textId="37E6161F"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-6.18</w:t>
            </w:r>
          </w:p>
        </w:tc>
        <w:tc>
          <w:tcPr>
            <w:tcW w:w="1306" w:type="dxa"/>
          </w:tcPr>
          <w:p w14:paraId="1E589F7B"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B3587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-4.57</w:t>
            </w:r>
          </w:p>
          <w:p w14:paraId="324E2119"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0C7D94B" w14:textId="7A587E2A"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A28C4CD"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659F0D"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-2.15</w:t>
            </w:r>
          </w:p>
          <w:p w14:paraId="35F45FE8" w14:textId="77777777" w:rsidR="00A6136B"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-3.73</w:t>
            </w:r>
          </w:p>
          <w:p w14:paraId="6DE7FFF0" w14:textId="3FBBD9F0"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-6.24</w:t>
            </w:r>
          </w:p>
        </w:tc>
        <w:tc>
          <w:tcPr>
            <w:tcW w:w="1284" w:type="dxa"/>
          </w:tcPr>
          <w:p w14:paraId="1B85DC27"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1CFB66"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-4.64</w:t>
            </w:r>
          </w:p>
          <w:p w14:paraId="5D0BFA7F"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8529764" w14:textId="2F95BE64"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705D68C"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9CCFF6"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1FFECF7"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1386C540" w14:textId="00D31122"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483744C"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AED6F9" w14:textId="216A4C56"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00CF0B50" w:rsidRPr="00B548EB">
              <w:rPr>
                <w:rFonts w:ascii="Arial" w:hAnsi="Arial" w:cs="Arial"/>
                <w:sz w:val="20"/>
                <w:szCs w:val="20"/>
              </w:rPr>
              <w:t>1</w:t>
            </w:r>
            <w:r w:rsidRPr="00B548EB">
              <w:rPr>
                <w:rFonts w:ascii="Arial" w:hAnsi="Arial" w:cs="Arial"/>
                <w:sz w:val="20"/>
                <w:szCs w:val="20"/>
              </w:rPr>
              <w:t>)</w:t>
            </w:r>
          </w:p>
          <w:p w14:paraId="3D66AA8D"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449EDB6" w14:textId="496E4D4D"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CF0B50" w:rsidRPr="00B548EB" w14:paraId="366D8018"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50EB52AA" w14:textId="77777777" w:rsidR="00CF0B50" w:rsidRPr="00B548EB" w:rsidRDefault="00CF0B50" w:rsidP="00B73A36">
            <w:pPr>
              <w:jc w:val="center"/>
              <w:rPr>
                <w:rFonts w:ascii="Arial" w:hAnsi="Arial" w:cs="Arial"/>
                <w:sz w:val="20"/>
                <w:szCs w:val="20"/>
                <w:u w:val="single"/>
              </w:rPr>
            </w:pPr>
            <w:r w:rsidRPr="00B548EB">
              <w:rPr>
                <w:rFonts w:ascii="Arial" w:hAnsi="Arial" w:cs="Arial"/>
                <w:sz w:val="20"/>
                <w:szCs w:val="20"/>
                <w:u w:val="single"/>
              </w:rPr>
              <w:t>Oil and Gas</w:t>
            </w:r>
          </w:p>
          <w:p w14:paraId="2277F35F" w14:textId="77777777" w:rsidR="00CF0B50" w:rsidRPr="00B548EB" w:rsidRDefault="00CF0B50" w:rsidP="00B73A36">
            <w:pPr>
              <w:jc w:val="center"/>
              <w:rPr>
                <w:rFonts w:ascii="Arial" w:hAnsi="Arial" w:cs="Arial"/>
                <w:sz w:val="20"/>
                <w:szCs w:val="20"/>
              </w:rPr>
            </w:pPr>
            <w:r w:rsidRPr="00B548EB">
              <w:rPr>
                <w:rFonts w:ascii="Arial" w:hAnsi="Arial" w:cs="Arial"/>
                <w:sz w:val="20"/>
                <w:szCs w:val="20"/>
              </w:rPr>
              <w:t>7 days</w:t>
            </w:r>
          </w:p>
          <w:p w14:paraId="6EC050AF" w14:textId="77777777" w:rsidR="00CF0B50" w:rsidRPr="00B548EB" w:rsidRDefault="00CF0B50" w:rsidP="00B73A36">
            <w:pPr>
              <w:jc w:val="center"/>
              <w:rPr>
                <w:rFonts w:ascii="Arial" w:hAnsi="Arial" w:cs="Arial"/>
                <w:sz w:val="20"/>
                <w:szCs w:val="20"/>
              </w:rPr>
            </w:pPr>
            <w:r w:rsidRPr="00B548EB">
              <w:rPr>
                <w:rFonts w:ascii="Arial" w:hAnsi="Arial" w:cs="Arial"/>
                <w:sz w:val="20"/>
                <w:szCs w:val="20"/>
              </w:rPr>
              <w:t>15days</w:t>
            </w:r>
          </w:p>
          <w:p w14:paraId="56427504" w14:textId="62E44D39" w:rsidR="00CF0B50" w:rsidRPr="00B548EB" w:rsidRDefault="00CF0B50"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44AD4BF6"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1FB1E7" w14:textId="77777777" w:rsidR="00CF0B50"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-2.72</w:t>
            </w:r>
          </w:p>
          <w:p w14:paraId="3420AFBF"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-4.21</w:t>
            </w:r>
          </w:p>
          <w:p w14:paraId="4E8FEC93" w14:textId="25C43A5A"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-6.52</w:t>
            </w:r>
          </w:p>
        </w:tc>
        <w:tc>
          <w:tcPr>
            <w:tcW w:w="1306" w:type="dxa"/>
          </w:tcPr>
          <w:p w14:paraId="770B0AF6"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589DD1D"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-4.26</w:t>
            </w:r>
          </w:p>
          <w:p w14:paraId="23D6956F"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273A03E" w14:textId="7A2F7D64"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A54E832"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A35247"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-2.67</w:t>
            </w:r>
          </w:p>
          <w:p w14:paraId="5BF5935C"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-4.23</w:t>
            </w:r>
          </w:p>
          <w:p w14:paraId="28D72006" w14:textId="0D74902A"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-6.52</w:t>
            </w:r>
          </w:p>
        </w:tc>
        <w:tc>
          <w:tcPr>
            <w:tcW w:w="1284" w:type="dxa"/>
          </w:tcPr>
          <w:p w14:paraId="727C2E34"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7A97D4"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-4.51</w:t>
            </w:r>
          </w:p>
          <w:p w14:paraId="4FB289D3"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FF4542E" w14:textId="0F5E42F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83BBCCC"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059EC4"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34F0CD2"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3B4E5CED" w14:textId="315E34D4"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5199122"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5D1300"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317D47E9"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84FBF5F" w14:textId="6ACEAE9F"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tc>
      </w:tr>
      <w:tr w:rsidR="000C5C8A" w:rsidRPr="00B548EB" w14:paraId="03FAFAC7"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6171136B" w14:textId="327F3BE2" w:rsidR="000C5C8A" w:rsidRPr="00B548EB" w:rsidRDefault="000C5C8A" w:rsidP="00B73A36">
            <w:pPr>
              <w:jc w:val="center"/>
              <w:rPr>
                <w:rFonts w:ascii="Arial" w:hAnsi="Arial" w:cs="Arial"/>
                <w:sz w:val="20"/>
                <w:szCs w:val="20"/>
                <w:u w:val="single"/>
              </w:rPr>
            </w:pPr>
            <w:r w:rsidRPr="00B548EB">
              <w:rPr>
                <w:rFonts w:ascii="Arial" w:hAnsi="Arial" w:cs="Arial"/>
                <w:sz w:val="20"/>
                <w:szCs w:val="20"/>
                <w:u w:val="single"/>
              </w:rPr>
              <w:t>Pharma</w:t>
            </w:r>
          </w:p>
          <w:p w14:paraId="1AB35437" w14:textId="77777777" w:rsidR="000C5C8A" w:rsidRPr="00B548EB" w:rsidRDefault="000C5C8A" w:rsidP="00B73A36">
            <w:pPr>
              <w:jc w:val="center"/>
              <w:rPr>
                <w:rFonts w:ascii="Arial" w:hAnsi="Arial" w:cs="Arial"/>
                <w:sz w:val="20"/>
                <w:szCs w:val="20"/>
              </w:rPr>
            </w:pPr>
            <w:r w:rsidRPr="00B548EB">
              <w:rPr>
                <w:rFonts w:ascii="Arial" w:hAnsi="Arial" w:cs="Arial"/>
                <w:sz w:val="20"/>
                <w:szCs w:val="20"/>
              </w:rPr>
              <w:t>7 days</w:t>
            </w:r>
          </w:p>
          <w:p w14:paraId="6CB27800" w14:textId="77777777" w:rsidR="000C5C8A" w:rsidRPr="00B548EB" w:rsidRDefault="000C5C8A" w:rsidP="00B73A36">
            <w:pPr>
              <w:jc w:val="center"/>
              <w:rPr>
                <w:rFonts w:ascii="Arial" w:hAnsi="Arial" w:cs="Arial"/>
                <w:sz w:val="20"/>
                <w:szCs w:val="20"/>
              </w:rPr>
            </w:pPr>
            <w:r w:rsidRPr="00B548EB">
              <w:rPr>
                <w:rFonts w:ascii="Arial" w:hAnsi="Arial" w:cs="Arial"/>
                <w:sz w:val="20"/>
                <w:szCs w:val="20"/>
              </w:rPr>
              <w:t>15days</w:t>
            </w:r>
          </w:p>
          <w:p w14:paraId="11F3490F" w14:textId="15B296C8" w:rsidR="000C5C8A" w:rsidRPr="00B548EB" w:rsidRDefault="000C5C8A"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25958B6"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B7791D"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-3.86</w:t>
            </w:r>
          </w:p>
          <w:p w14:paraId="0EDF5555"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-5.70</w:t>
            </w:r>
          </w:p>
          <w:p w14:paraId="3D466E69" w14:textId="2307162E"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-8.26</w:t>
            </w:r>
          </w:p>
        </w:tc>
        <w:tc>
          <w:tcPr>
            <w:tcW w:w="1306" w:type="dxa"/>
          </w:tcPr>
          <w:p w14:paraId="1C9970EA"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BF4A1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3A3F22B"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2068131" w14:textId="438E0EDF"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00E7DF4"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728ED9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-3.89</w:t>
            </w:r>
          </w:p>
          <w:p w14:paraId="37579ED5"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-5.71</w:t>
            </w:r>
          </w:p>
          <w:p w14:paraId="5E9726D7" w14:textId="67911AD6"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-8.54</w:t>
            </w:r>
          </w:p>
        </w:tc>
        <w:tc>
          <w:tcPr>
            <w:tcW w:w="1284" w:type="dxa"/>
          </w:tcPr>
          <w:p w14:paraId="587CAD0F"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788F76"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E3EFA3C"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7B9F17A" w14:textId="5112CC7A"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278F093A"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9E5D16"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523C6C0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371BA52" w14:textId="56DA10FC"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C465A69"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7E7C09"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15163EE"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D05D64D" w14:textId="140FF2E4"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33425B" w:rsidRPr="00B548EB" w14:paraId="68956939"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5F1CDD94" w14:textId="77777777" w:rsidR="0033425B"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Private Bank</w:t>
            </w:r>
          </w:p>
          <w:p w14:paraId="56FDC501"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607B9BD7"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033B182D" w14:textId="01167734"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4382E69"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B3405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-2.82</w:t>
            </w:r>
          </w:p>
          <w:p w14:paraId="70C85E29"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-4.03</w:t>
            </w:r>
          </w:p>
          <w:p w14:paraId="0D1B1C57" w14:textId="134F88CA"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-6.69</w:t>
            </w:r>
          </w:p>
        </w:tc>
        <w:tc>
          <w:tcPr>
            <w:tcW w:w="1306" w:type="dxa"/>
          </w:tcPr>
          <w:p w14:paraId="6AEE2B68"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9443E1"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-5.48</w:t>
            </w:r>
          </w:p>
          <w:p w14:paraId="3730DE87"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41AEC9A" w14:textId="68D5C346"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978B59A"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1D71D0"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-2.76</w:t>
            </w:r>
          </w:p>
          <w:p w14:paraId="0809761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-4.09</w:t>
            </w:r>
          </w:p>
          <w:p w14:paraId="77F3CD37" w14:textId="68A0BEB3"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-6.79</w:t>
            </w:r>
          </w:p>
        </w:tc>
        <w:tc>
          <w:tcPr>
            <w:tcW w:w="1284" w:type="dxa"/>
          </w:tcPr>
          <w:p w14:paraId="1B748590"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936548"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-5.85</w:t>
            </w:r>
          </w:p>
          <w:p w14:paraId="73E4FA6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F149C82" w14:textId="32681538"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66CDA8EF"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49545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DBD70D2"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34C505DD" w14:textId="4E2297DE"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CEBDE97"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B00E6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5D76EA6A"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57EB293" w14:textId="17D3FA8C"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601764" w:rsidRPr="00B548EB" w14:paraId="05D9581A"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53D623B" w14:textId="77777777" w:rsidR="00601764"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PSU Bank</w:t>
            </w:r>
          </w:p>
          <w:p w14:paraId="72CB67ED"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005EDBF9"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44E520F4" w14:textId="1F89716A"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F98D1BC"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A9B7B0"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-4.51</w:t>
            </w:r>
          </w:p>
          <w:p w14:paraId="21B1D8C4"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-5.72</w:t>
            </w:r>
          </w:p>
          <w:p w14:paraId="252E0742" w14:textId="4C674433"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-7.23</w:t>
            </w:r>
          </w:p>
        </w:tc>
        <w:tc>
          <w:tcPr>
            <w:tcW w:w="1306" w:type="dxa"/>
          </w:tcPr>
          <w:p w14:paraId="07480F47"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A83A78E"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09D87EF"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1D947EA" w14:textId="6674C360"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5C68FB8A"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7B7E17"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-5.07</w:t>
            </w:r>
          </w:p>
          <w:p w14:paraId="21C72316"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-5.71</w:t>
            </w:r>
          </w:p>
          <w:p w14:paraId="37A8CD26" w14:textId="72F38775"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-7.24</w:t>
            </w:r>
          </w:p>
        </w:tc>
        <w:tc>
          <w:tcPr>
            <w:tcW w:w="1284" w:type="dxa"/>
          </w:tcPr>
          <w:p w14:paraId="2AD71E56"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6C62C32"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EEB3F8F"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1D30F6F" w14:textId="61F21BE0"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1F11AA4"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4E7BA0E"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C88F73C"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903ECFD" w14:textId="050DF73D"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4BA0D73"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395743"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17B3B70"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6A793AF" w14:textId="0252982E"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601764" w:rsidRPr="00B548EB" w14:paraId="00A97585"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10E26517" w14:textId="77777777" w:rsidR="00601764"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Reality</w:t>
            </w:r>
          </w:p>
          <w:p w14:paraId="414E6258"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771FA0BC"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018AD152" w14:textId="1366332D"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22C2E3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B1E86B"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-2.52</w:t>
            </w:r>
          </w:p>
          <w:p w14:paraId="23963A49" w14:textId="77777777" w:rsidR="00601764"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-4.60</w:t>
            </w:r>
          </w:p>
          <w:p w14:paraId="458CEAF0" w14:textId="45792064"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-7.21</w:t>
            </w:r>
          </w:p>
        </w:tc>
        <w:tc>
          <w:tcPr>
            <w:tcW w:w="1306" w:type="dxa"/>
          </w:tcPr>
          <w:p w14:paraId="4E269C49"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04D7CA"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-4.75</w:t>
            </w:r>
          </w:p>
          <w:p w14:paraId="712F2473"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A1DE336" w14:textId="38965141"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6D511D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1BF2FB"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-2.44</w:t>
            </w:r>
          </w:p>
          <w:p w14:paraId="22D7B017"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-4.60</w:t>
            </w:r>
          </w:p>
          <w:p w14:paraId="77A274BE" w14:textId="1ABF5C6E"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-7.24</w:t>
            </w:r>
          </w:p>
        </w:tc>
        <w:tc>
          <w:tcPr>
            <w:tcW w:w="1284" w:type="dxa"/>
          </w:tcPr>
          <w:p w14:paraId="4AA1DC31"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CB7EA0"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-5.33</w:t>
            </w:r>
          </w:p>
          <w:p w14:paraId="201C18C4"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E658CF8" w14:textId="70EECCED"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59D244B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1E50A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7068E36"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8DDC7F6" w14:textId="18A6B7E0"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DD5A9D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9EAC7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529BF9CA"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F4CCEE1" w14:textId="62ABF26D"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6C05D8" w:rsidRPr="00B548EB" w14:paraId="24B2656F"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2283D5E" w14:textId="77777777" w:rsidR="006C05D8" w:rsidRPr="00B548EB" w:rsidRDefault="006C05D8" w:rsidP="00B73A36">
            <w:pPr>
              <w:jc w:val="center"/>
              <w:rPr>
                <w:rFonts w:ascii="Arial" w:hAnsi="Arial" w:cs="Arial"/>
                <w:sz w:val="20"/>
                <w:szCs w:val="20"/>
                <w:u w:val="single"/>
              </w:rPr>
            </w:pPr>
            <w:r w:rsidRPr="00B548EB">
              <w:rPr>
                <w:rFonts w:ascii="Arial" w:hAnsi="Arial" w:cs="Arial"/>
                <w:sz w:val="20"/>
                <w:szCs w:val="20"/>
                <w:u w:val="single"/>
              </w:rPr>
              <w:t>Bank</w:t>
            </w:r>
          </w:p>
          <w:p w14:paraId="3F8E7F06"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7 days</w:t>
            </w:r>
          </w:p>
          <w:p w14:paraId="58ABE27E"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15days</w:t>
            </w:r>
          </w:p>
          <w:p w14:paraId="5E23913E" w14:textId="51329790" w:rsidR="006C05D8" w:rsidRPr="00B548EB" w:rsidRDefault="006C05D8"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59B9C53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3B6827"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-3.04</w:t>
            </w:r>
          </w:p>
          <w:p w14:paraId="1613189C"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-4.17</w:t>
            </w:r>
          </w:p>
          <w:p w14:paraId="1587DE7A" w14:textId="4E5D813D"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-6.94</w:t>
            </w:r>
          </w:p>
        </w:tc>
        <w:tc>
          <w:tcPr>
            <w:tcW w:w="1306" w:type="dxa"/>
          </w:tcPr>
          <w:p w14:paraId="2166B8DB"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8DADA1"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4C9FC26"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86EB7D4" w14:textId="53DAFA1F"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B70A339"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B8AB53"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-2.98</w:t>
            </w:r>
          </w:p>
          <w:p w14:paraId="120AF58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-4.24</w:t>
            </w:r>
          </w:p>
          <w:p w14:paraId="6A8EFAC2" w14:textId="1094E551"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-7.05</w:t>
            </w:r>
          </w:p>
        </w:tc>
        <w:tc>
          <w:tcPr>
            <w:tcW w:w="1284" w:type="dxa"/>
          </w:tcPr>
          <w:p w14:paraId="1BC63A9E"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AA40CC"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0F78ED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A36CDE7" w14:textId="642EF04B"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10A53145"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70232E"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0.04</w:t>
            </w:r>
          </w:p>
          <w:p w14:paraId="69A341DD"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385E032" w14:textId="6495F4B5"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334822D9"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E41D7E4"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639F6F5"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71F6D0BA" w14:textId="6B7D3FA9"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6C05D8" w:rsidRPr="00B548EB" w14:paraId="34777492"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2F34774C" w14:textId="56292B96" w:rsidR="006C05D8" w:rsidRPr="00B548EB" w:rsidRDefault="006C05D8" w:rsidP="00B73A36">
            <w:pPr>
              <w:jc w:val="center"/>
              <w:rPr>
                <w:rFonts w:ascii="Arial" w:hAnsi="Arial" w:cs="Arial"/>
                <w:sz w:val="20"/>
                <w:szCs w:val="20"/>
                <w:u w:val="single"/>
              </w:rPr>
            </w:pPr>
            <w:r w:rsidRPr="00B548EB">
              <w:rPr>
                <w:rFonts w:ascii="Arial" w:hAnsi="Arial" w:cs="Arial"/>
                <w:sz w:val="20"/>
                <w:szCs w:val="20"/>
                <w:u w:val="single"/>
              </w:rPr>
              <w:t>Chemical</w:t>
            </w:r>
          </w:p>
          <w:p w14:paraId="02CFF8C6"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7 days</w:t>
            </w:r>
          </w:p>
          <w:p w14:paraId="7F876D10"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15days</w:t>
            </w:r>
          </w:p>
          <w:p w14:paraId="6DEB6732" w14:textId="096FF44E" w:rsidR="006C05D8" w:rsidRPr="00B548EB" w:rsidRDefault="006C05D8"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025ECD2"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AD369F" w14:textId="77777777" w:rsidR="006C05D8"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-2.35</w:t>
            </w:r>
          </w:p>
          <w:p w14:paraId="42CB8CF1"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-4.23</w:t>
            </w:r>
          </w:p>
          <w:p w14:paraId="7AE2E086" w14:textId="26D0D6D4"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-6.68</w:t>
            </w:r>
          </w:p>
        </w:tc>
        <w:tc>
          <w:tcPr>
            <w:tcW w:w="1306" w:type="dxa"/>
          </w:tcPr>
          <w:p w14:paraId="286B77D9"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03785D9"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-5.41</w:t>
            </w:r>
          </w:p>
          <w:p w14:paraId="66F34719"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CCC5C27" w14:textId="1DFB730F"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8D65BDD"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18BA80"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-2.41</w:t>
            </w:r>
          </w:p>
          <w:p w14:paraId="259ECB16"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-4.26</w:t>
            </w:r>
          </w:p>
          <w:p w14:paraId="76F83E86" w14:textId="5FC3A63B"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-6.70</w:t>
            </w:r>
          </w:p>
        </w:tc>
        <w:tc>
          <w:tcPr>
            <w:tcW w:w="1284" w:type="dxa"/>
          </w:tcPr>
          <w:p w14:paraId="790E4336"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E59603"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-5.30</w:t>
            </w:r>
          </w:p>
          <w:p w14:paraId="28CB56B0"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C838C59" w14:textId="1BC959CF"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55214440"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9FD42F"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6E50EDB"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DABFAF0" w14:textId="11C82CE6"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50CD8259"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AB6928" w14:textId="4AB2B82E"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10D6F173"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59C6A366" w14:textId="146FDC9D"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bl>
    <w:p w14:paraId="03181679" w14:textId="77777777" w:rsidR="00EE00D8" w:rsidRDefault="00EE00D8" w:rsidP="00EE00D8">
      <w:pPr>
        <w:jc w:val="both"/>
        <w:rPr>
          <w:rFonts w:ascii="Arial" w:hAnsi="Arial" w:cs="Arial"/>
          <w:b/>
          <w:bCs/>
          <w:sz w:val="20"/>
          <w:szCs w:val="20"/>
        </w:rPr>
      </w:pPr>
    </w:p>
    <w:p w14:paraId="32FA7678" w14:textId="36D96FC8"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13ADB8BF" w14:textId="725E1DBA" w:rsidR="00303D3D" w:rsidRPr="00577BDE" w:rsidRDefault="00217AC9" w:rsidP="008F14A3">
      <w:pPr>
        <w:rPr>
          <w:rFonts w:ascii="Arial" w:hAnsi="Arial" w:cs="Arial"/>
          <w:b/>
          <w:bCs/>
        </w:rPr>
      </w:pPr>
      <w:r>
        <w:rPr>
          <w:rFonts w:ascii="Arial" w:hAnsi="Arial" w:cs="Arial"/>
          <w:b/>
          <w:bCs/>
        </w:rPr>
        <w:t>5</w:t>
      </w:r>
      <w:r w:rsidR="00AE246F">
        <w:rPr>
          <w:rFonts w:ascii="Arial" w:hAnsi="Arial" w:cs="Arial"/>
          <w:b/>
          <w:bCs/>
        </w:rPr>
        <w:t xml:space="preserve">.3 </w:t>
      </w:r>
      <w:r w:rsidR="00577BDE" w:rsidRPr="00577BDE">
        <w:rPr>
          <w:rFonts w:ascii="Arial" w:hAnsi="Arial" w:cs="Arial"/>
          <w:b/>
          <w:bCs/>
        </w:rPr>
        <w:t xml:space="preserve">Assessment of Autocorrelation </w:t>
      </w:r>
      <w:r w:rsidR="00577BDE">
        <w:rPr>
          <w:rFonts w:ascii="Arial" w:hAnsi="Arial" w:cs="Arial"/>
          <w:b/>
          <w:bCs/>
        </w:rPr>
        <w:t>of</w:t>
      </w:r>
      <w:r w:rsidR="00577BDE" w:rsidRPr="00577BDE">
        <w:rPr>
          <w:rFonts w:ascii="Arial" w:hAnsi="Arial" w:cs="Arial"/>
          <w:b/>
          <w:bCs/>
        </w:rPr>
        <w:t xml:space="preserve"> Market and Sectoral Returns: </w:t>
      </w:r>
    </w:p>
    <w:p w14:paraId="63858487" w14:textId="77777777" w:rsidR="00B01A95" w:rsidRDefault="00B01A95" w:rsidP="00D423BF">
      <w:pPr>
        <w:spacing w:after="200" w:line="276" w:lineRule="auto"/>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538C9466" w14:textId="7E7C473E" w:rsidR="00AE246F" w:rsidRPr="00AE246F" w:rsidRDefault="00AE246F" w:rsidP="00D423BF">
      <w:pPr>
        <w:spacing w:after="200" w:line="276" w:lineRule="auto"/>
        <w:jc w:val="both"/>
        <w:rPr>
          <w:rFonts w:ascii="Arial" w:hAnsi="Arial" w:cs="Arial"/>
          <w:sz w:val="20"/>
          <w:szCs w:val="20"/>
        </w:rPr>
      </w:pPr>
      <w:r w:rsidRPr="00AE246F">
        <w:rPr>
          <w:rFonts w:ascii="Arial" w:hAnsi="Arial" w:cs="Arial"/>
          <w:sz w:val="20"/>
          <w:szCs w:val="20"/>
        </w:rPr>
        <w:t>The Durbin-Watson (DW) test for three intervals—7 days, 15 days, and 30 days—found no significant autocorrelation in the return series</w:t>
      </w:r>
      <w:r w:rsidR="00CC2B7C">
        <w:rPr>
          <w:rFonts w:ascii="Arial" w:hAnsi="Arial" w:cs="Arial"/>
          <w:sz w:val="20"/>
          <w:szCs w:val="20"/>
        </w:rPr>
        <w:t xml:space="preserve"> in table 7</w:t>
      </w:r>
      <w:r w:rsidRPr="00AE246F">
        <w:rPr>
          <w:rFonts w:ascii="Arial" w:hAnsi="Arial" w:cs="Arial"/>
          <w:sz w:val="20"/>
          <w:szCs w:val="20"/>
        </w:rPr>
        <w:t>. A DW value between 1.50 and 2.50 generally indicates no first-order autocorrelation (Gujarati &amp; Porter, 2009), and this standard is satisfied in all cases analysed.</w:t>
      </w:r>
    </w:p>
    <w:p w14:paraId="143A1759" w14:textId="69A602C8" w:rsidR="00B01A95" w:rsidRDefault="00AE246F" w:rsidP="00D423BF">
      <w:pPr>
        <w:spacing w:after="200" w:line="276" w:lineRule="auto"/>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r w:rsidRPr="00AE246F">
        <w:rPr>
          <w:rFonts w:ascii="Arial" w:hAnsi="Arial" w:cs="Arial"/>
          <w:sz w:val="20"/>
          <w:szCs w:val="20"/>
        </w:rPr>
        <w:t xml:space="preserve">The Nifty 50 index recorded DW values of 1.61, 1.61, and 1.98, indicating consistent residual patterns at the market level. This confirms that autocorrelation does not pose a significant problem within the </w:t>
      </w:r>
      <w:r w:rsidRPr="00AE246F">
        <w:rPr>
          <w:rFonts w:ascii="Arial" w:hAnsi="Arial" w:cs="Arial"/>
          <w:sz w:val="20"/>
          <w:szCs w:val="20"/>
        </w:rPr>
        <w:lastRenderedPageBreak/>
        <w:t>dataset, enhancing the credibility of volatility assessments across different sectors. The findings also show that the changes in returns after the U.S.A. tariff announcement are based on reliable information instead of repeated patterns, which boosts the trustworthiness of volatility assessmen</w:t>
      </w:r>
      <w:r w:rsidR="00B01A95">
        <w:rPr>
          <w:rFonts w:ascii="Arial" w:hAnsi="Arial" w:cs="Arial"/>
          <w:sz w:val="20"/>
          <w:szCs w:val="20"/>
        </w:rPr>
        <w:t>t.</w:t>
      </w:r>
    </w:p>
    <w:p w14:paraId="44F88936" w14:textId="622FCB6A" w:rsidR="00B548EB" w:rsidRPr="00577BDE" w:rsidRDefault="00B548EB" w:rsidP="00577BDE">
      <w:pPr>
        <w:spacing w:after="200" w:line="276" w:lineRule="auto"/>
        <w:jc w:val="both"/>
      </w:pPr>
    </w:p>
    <w:p w14:paraId="0E4B1FEF" w14:textId="3F214D2D" w:rsidR="00B548EB" w:rsidRPr="00B548EB" w:rsidRDefault="00B548EB" w:rsidP="00B548EB">
      <w:pPr>
        <w:jc w:val="center"/>
        <w:rPr>
          <w:rFonts w:ascii="Arial" w:hAnsi="Arial" w:cs="Arial"/>
          <w:b/>
          <w:bCs/>
        </w:rPr>
      </w:pPr>
      <w:r w:rsidRPr="00B548EB">
        <w:rPr>
          <w:rFonts w:ascii="Arial" w:hAnsi="Arial" w:cs="Arial"/>
          <w:b/>
          <w:bCs/>
        </w:rPr>
        <w:t xml:space="preserve">Table </w:t>
      </w:r>
      <w:r w:rsidR="00CC2B7C">
        <w:rPr>
          <w:rFonts w:ascii="Arial" w:hAnsi="Arial" w:cs="Arial"/>
          <w:b/>
          <w:bCs/>
        </w:rPr>
        <w:t>7</w:t>
      </w:r>
      <w:r w:rsidRPr="00B548EB">
        <w:rPr>
          <w:rFonts w:ascii="Arial" w:hAnsi="Arial" w:cs="Arial"/>
          <w:b/>
          <w:bCs/>
        </w:rPr>
        <w:t xml:space="preserve">: </w:t>
      </w:r>
      <w:r w:rsidR="00AE246F" w:rsidRPr="00AE246F">
        <w:rPr>
          <w:rFonts w:ascii="Arial" w:hAnsi="Arial" w:cs="Arial"/>
          <w:b/>
          <w:bCs/>
        </w:rPr>
        <w:t>Durbin–Watson Across Event Windows</w:t>
      </w:r>
    </w:p>
    <w:tbl>
      <w:tblPr>
        <w:tblStyle w:val="PlainTable2"/>
        <w:tblW w:w="0" w:type="auto"/>
        <w:tblLook w:val="04A0" w:firstRow="1" w:lastRow="0" w:firstColumn="1" w:lastColumn="0" w:noHBand="0" w:noVBand="1"/>
      </w:tblPr>
      <w:tblGrid>
        <w:gridCol w:w="3417"/>
        <w:gridCol w:w="2376"/>
        <w:gridCol w:w="3233"/>
      </w:tblGrid>
      <w:tr w:rsidR="00B548EB" w14:paraId="718E035E" w14:textId="77777777" w:rsidTr="00D12CA6">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417" w:type="dxa"/>
          </w:tcPr>
          <w:p w14:paraId="2F6F9967" w14:textId="77777777" w:rsidR="00B548EB" w:rsidRPr="00162770" w:rsidRDefault="00B548EB" w:rsidP="00066445">
            <w:pPr>
              <w:jc w:val="center"/>
              <w:rPr>
                <w:rFonts w:ascii="Arial" w:hAnsi="Arial" w:cs="Arial"/>
                <w:b w:val="0"/>
                <w:bCs w:val="0"/>
                <w:sz w:val="20"/>
                <w:szCs w:val="20"/>
              </w:rPr>
            </w:pPr>
          </w:p>
          <w:p w14:paraId="157FE5CF" w14:textId="65F2D203" w:rsidR="00B548EB" w:rsidRPr="00162770" w:rsidRDefault="00B548EB" w:rsidP="00066445">
            <w:pPr>
              <w:jc w:val="center"/>
              <w:rPr>
                <w:rFonts w:ascii="Arial" w:hAnsi="Arial" w:cs="Arial"/>
                <w:sz w:val="20"/>
                <w:szCs w:val="20"/>
              </w:rPr>
            </w:pPr>
            <w:r w:rsidRPr="00162770">
              <w:rPr>
                <w:rFonts w:ascii="Arial" w:hAnsi="Arial" w:cs="Arial"/>
                <w:sz w:val="20"/>
                <w:szCs w:val="20"/>
              </w:rPr>
              <w:t>Sector</w:t>
            </w:r>
          </w:p>
        </w:tc>
        <w:tc>
          <w:tcPr>
            <w:tcW w:w="2376" w:type="dxa"/>
          </w:tcPr>
          <w:tbl>
            <w:tblPr>
              <w:tblW w:w="162"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162"/>
            </w:tblGrid>
            <w:tr w:rsidR="00B548EB" w:rsidRPr="00162770" w14:paraId="24E4EA87" w14:textId="77777777" w:rsidTr="00D12CA6">
              <w:trPr>
                <w:trHeight w:hRule="exact" w:val="12"/>
                <w:tblCellSpacing w:w="15" w:type="dxa"/>
              </w:trPr>
              <w:tc>
                <w:tcPr>
                  <w:tcW w:w="0" w:type="auto"/>
                  <w:vAlign w:val="center"/>
                  <w:hideMark/>
                </w:tcPr>
                <w:p w14:paraId="47E7DBB8" w14:textId="77777777" w:rsidR="00B548EB" w:rsidRPr="00162770" w:rsidRDefault="00B548EB" w:rsidP="00066445">
                  <w:pPr>
                    <w:spacing w:after="0" w:line="240" w:lineRule="auto"/>
                    <w:jc w:val="center"/>
                    <w:rPr>
                      <w:rFonts w:ascii="Arial" w:hAnsi="Arial" w:cs="Arial"/>
                      <w:sz w:val="20"/>
                      <w:szCs w:val="20"/>
                    </w:rPr>
                  </w:pPr>
                </w:p>
              </w:tc>
            </w:tr>
          </w:tbl>
          <w:p w14:paraId="7D05F7DC"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vanish/>
                <w:sz w:val="20"/>
                <w:szCs w:val="20"/>
              </w:rPr>
            </w:pPr>
          </w:p>
          <w:tbl>
            <w:tblPr>
              <w:tblW w:w="2036"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2036"/>
            </w:tblGrid>
            <w:tr w:rsidR="00B548EB" w:rsidRPr="00162770" w14:paraId="25401F96" w14:textId="77777777" w:rsidTr="00D12CA6">
              <w:trPr>
                <w:trHeight w:val="505"/>
                <w:tblCellSpacing w:w="15" w:type="dxa"/>
              </w:trPr>
              <w:tc>
                <w:tcPr>
                  <w:tcW w:w="0" w:type="auto"/>
                  <w:vAlign w:val="center"/>
                  <w:hideMark/>
                </w:tcPr>
                <w:p w14:paraId="6902A350" w14:textId="0B9D3988" w:rsidR="00B548EB" w:rsidRPr="00162770" w:rsidRDefault="00B548EB" w:rsidP="00B548EB">
                  <w:pPr>
                    <w:spacing w:after="0" w:line="240" w:lineRule="auto"/>
                    <w:rPr>
                      <w:rFonts w:ascii="Arial" w:hAnsi="Arial" w:cs="Arial"/>
                      <w:b/>
                      <w:bCs/>
                      <w:sz w:val="20"/>
                      <w:szCs w:val="20"/>
                    </w:rPr>
                  </w:pPr>
                  <w:r w:rsidRPr="00162770">
                    <w:rPr>
                      <w:rFonts w:ascii="Arial" w:hAnsi="Arial" w:cs="Arial"/>
                      <w:b/>
                      <w:bCs/>
                      <w:sz w:val="20"/>
                      <w:szCs w:val="20"/>
                    </w:rPr>
                    <w:t xml:space="preserve">      DW Statistic</w:t>
                  </w:r>
                </w:p>
              </w:tc>
            </w:tr>
          </w:tbl>
          <w:p w14:paraId="669FE973"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3233" w:type="dxa"/>
          </w:tcPr>
          <w:p w14:paraId="194422AC"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1FCBC3E9" w14:textId="29B4D460"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No Autocorrelation Range</w:t>
            </w:r>
          </w:p>
        </w:tc>
      </w:tr>
      <w:tr w:rsidR="00B548EB" w14:paraId="3B1B6ADF" w14:textId="77777777" w:rsidTr="00D12CA6">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417" w:type="dxa"/>
          </w:tcPr>
          <w:p w14:paraId="52540B3E" w14:textId="77777777" w:rsidR="00B548EB" w:rsidRPr="00162770" w:rsidRDefault="00B548EB" w:rsidP="00066445">
            <w:pPr>
              <w:jc w:val="center"/>
              <w:rPr>
                <w:rFonts w:ascii="Arial" w:hAnsi="Arial" w:cs="Arial"/>
                <w:sz w:val="20"/>
                <w:szCs w:val="20"/>
                <w:u w:val="single"/>
              </w:rPr>
            </w:pPr>
            <w:r w:rsidRPr="00162770">
              <w:rPr>
                <w:rFonts w:ascii="Arial" w:hAnsi="Arial" w:cs="Arial"/>
                <w:sz w:val="20"/>
                <w:szCs w:val="20"/>
                <w:u w:val="single"/>
              </w:rPr>
              <w:t>Nifty 50</w:t>
            </w:r>
          </w:p>
          <w:p w14:paraId="7D401E6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1FDBC0F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02429D4" w14:textId="4C87AD1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43C9822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119CCE" w14:textId="00888116"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F0DB1F8" w14:textId="75AFC8FB"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79DAD81" w14:textId="586D570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p w14:paraId="36658D7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33" w:type="dxa"/>
          </w:tcPr>
          <w:p w14:paraId="02BA5D7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6C52B1"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ECEADDB"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0F029C0" w14:textId="79F07A6E"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31959204" w14:textId="77777777" w:rsidTr="00D12CA6">
        <w:trPr>
          <w:trHeight w:val="1284"/>
        </w:trPr>
        <w:tc>
          <w:tcPr>
            <w:cnfStyle w:val="001000000000" w:firstRow="0" w:lastRow="0" w:firstColumn="1" w:lastColumn="0" w:oddVBand="0" w:evenVBand="0" w:oddHBand="0" w:evenHBand="0" w:firstRowFirstColumn="0" w:firstRowLastColumn="0" w:lastRowFirstColumn="0" w:lastRowLastColumn="0"/>
            <w:tcW w:w="3417" w:type="dxa"/>
          </w:tcPr>
          <w:p w14:paraId="01531C50"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Automobile</w:t>
            </w:r>
          </w:p>
          <w:p w14:paraId="7F0522E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318692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FBC89F3" w14:textId="5A8705C3"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25DFD0AB" w14:textId="0EEEAD61" w:rsidR="00B548EB" w:rsidRPr="00162770" w:rsidRDefault="00B548EB" w:rsidP="00066445">
            <w:pPr>
              <w:jc w:val="center"/>
              <w:rPr>
                <w:rFonts w:ascii="Arial" w:hAnsi="Arial" w:cs="Arial"/>
                <w:sz w:val="20"/>
                <w:szCs w:val="20"/>
              </w:rPr>
            </w:pPr>
          </w:p>
        </w:tc>
        <w:tc>
          <w:tcPr>
            <w:tcW w:w="2376" w:type="dxa"/>
          </w:tcPr>
          <w:p w14:paraId="6B7CD6D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4B902E"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1.12</w:t>
            </w:r>
          </w:p>
          <w:p w14:paraId="7BEA0FC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1.52</w:t>
            </w:r>
          </w:p>
          <w:p w14:paraId="1654F9EE" w14:textId="062BB068"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1.87</w:t>
            </w:r>
          </w:p>
        </w:tc>
        <w:tc>
          <w:tcPr>
            <w:tcW w:w="3233" w:type="dxa"/>
          </w:tcPr>
          <w:p w14:paraId="01C7D81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B95A52"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63CADA93"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504CFB7" w14:textId="783021A0"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CCB7F67" w14:textId="77777777" w:rsidTr="00D12CA6">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417" w:type="dxa"/>
          </w:tcPr>
          <w:p w14:paraId="31797B37"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Consumer Durable</w:t>
            </w:r>
          </w:p>
          <w:p w14:paraId="1D70AB7E"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66FB261"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061AF02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520F6191" w14:textId="1FADBA41" w:rsidR="00B548EB" w:rsidRPr="00162770" w:rsidRDefault="00B548EB" w:rsidP="00066445">
            <w:pPr>
              <w:jc w:val="center"/>
              <w:rPr>
                <w:rFonts w:ascii="Arial" w:hAnsi="Arial" w:cs="Arial"/>
                <w:sz w:val="20"/>
                <w:szCs w:val="20"/>
              </w:rPr>
            </w:pPr>
          </w:p>
        </w:tc>
        <w:tc>
          <w:tcPr>
            <w:tcW w:w="2376" w:type="dxa"/>
          </w:tcPr>
          <w:p w14:paraId="0A0323F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2A047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p w14:paraId="7ECE137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p w14:paraId="331EE7C5" w14:textId="587BFF9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1.80</w:t>
            </w:r>
          </w:p>
        </w:tc>
        <w:tc>
          <w:tcPr>
            <w:tcW w:w="3233" w:type="dxa"/>
          </w:tcPr>
          <w:p w14:paraId="60A8D10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66E4B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161E42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3AE4037" w14:textId="337B710F"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BDE8266" w14:textId="77777777" w:rsidTr="00D12CA6">
        <w:trPr>
          <w:trHeight w:val="1024"/>
        </w:trPr>
        <w:tc>
          <w:tcPr>
            <w:cnfStyle w:val="001000000000" w:firstRow="0" w:lastRow="0" w:firstColumn="1" w:lastColumn="0" w:oddVBand="0" w:evenVBand="0" w:oddHBand="0" w:evenHBand="0" w:firstRowFirstColumn="0" w:firstRowLastColumn="0" w:lastRowFirstColumn="0" w:lastRowLastColumn="0"/>
            <w:tcW w:w="3417" w:type="dxa"/>
          </w:tcPr>
          <w:p w14:paraId="53663D95" w14:textId="74D42CB0"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Energy</w:t>
            </w:r>
          </w:p>
          <w:p w14:paraId="145563C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AE1C3A7"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45E3540E" w14:textId="186DF34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041AD33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788A7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p w14:paraId="19C248B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D1C7B6C" w14:textId="3F4FCEA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1.74</w:t>
            </w:r>
          </w:p>
        </w:tc>
        <w:tc>
          <w:tcPr>
            <w:tcW w:w="3233" w:type="dxa"/>
          </w:tcPr>
          <w:p w14:paraId="5BA4214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9E074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389D7C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8B7AC03" w14:textId="1A27D4D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2746359" w14:textId="77777777" w:rsidTr="00D12CA6">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3417" w:type="dxa"/>
          </w:tcPr>
          <w:p w14:paraId="647284C2"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Financial Service</w:t>
            </w:r>
          </w:p>
          <w:p w14:paraId="308A80EE"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C80F3A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5336A86" w14:textId="0A10AC5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123D3B54" w14:textId="7F30FAC8" w:rsidR="00B548EB" w:rsidRPr="00162770" w:rsidRDefault="00B548EB" w:rsidP="00066445">
            <w:pPr>
              <w:jc w:val="center"/>
              <w:rPr>
                <w:rFonts w:ascii="Arial" w:hAnsi="Arial" w:cs="Arial"/>
                <w:sz w:val="20"/>
                <w:szCs w:val="20"/>
              </w:rPr>
            </w:pPr>
          </w:p>
        </w:tc>
        <w:tc>
          <w:tcPr>
            <w:tcW w:w="2376" w:type="dxa"/>
          </w:tcPr>
          <w:p w14:paraId="3DDF2A6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68C1F9" w14:textId="5C573E5D"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1.91</w:t>
            </w:r>
          </w:p>
          <w:p w14:paraId="1BD2BE14" w14:textId="75F22B6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1.78</w:t>
            </w:r>
          </w:p>
          <w:p w14:paraId="2499B52C" w14:textId="6CD23FD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2.08</w:t>
            </w:r>
          </w:p>
          <w:p w14:paraId="5219C8C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33" w:type="dxa"/>
          </w:tcPr>
          <w:p w14:paraId="5A59FFD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B89FA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AD21E5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2393EA8" w14:textId="79E1CFEE"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B60EC8F" w14:textId="77777777" w:rsidTr="00D12CA6">
        <w:trPr>
          <w:trHeight w:val="1012"/>
        </w:trPr>
        <w:tc>
          <w:tcPr>
            <w:cnfStyle w:val="001000000000" w:firstRow="0" w:lastRow="0" w:firstColumn="1" w:lastColumn="0" w:oddVBand="0" w:evenVBand="0" w:oddHBand="0" w:evenHBand="0" w:firstRowFirstColumn="0" w:firstRowLastColumn="0" w:lastRowFirstColumn="0" w:lastRowLastColumn="0"/>
            <w:tcW w:w="3417" w:type="dxa"/>
          </w:tcPr>
          <w:p w14:paraId="5E73E1F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FMCG</w:t>
            </w:r>
          </w:p>
          <w:p w14:paraId="1EB05A5C"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6E87338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A8EEFB1" w14:textId="1C3FD2AF"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0BF5BF4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E1865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1.94</w:t>
            </w:r>
          </w:p>
          <w:p w14:paraId="67928AE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2.14</w:t>
            </w:r>
          </w:p>
          <w:p w14:paraId="788E1025" w14:textId="312B2DB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2.02</w:t>
            </w:r>
          </w:p>
        </w:tc>
        <w:tc>
          <w:tcPr>
            <w:tcW w:w="3233" w:type="dxa"/>
          </w:tcPr>
          <w:p w14:paraId="77792603"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B444F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7C6859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D0E5A24" w14:textId="65FF747A"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AF5D02C" w14:textId="77777777" w:rsidTr="00D12CA6">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3417" w:type="dxa"/>
          </w:tcPr>
          <w:p w14:paraId="2BC78E4E" w14:textId="20981154"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Health</w:t>
            </w:r>
          </w:p>
          <w:p w14:paraId="3CB2383F" w14:textId="4A61FA2E"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1C24A49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36C67DC6" w14:textId="44CB6802"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486DC8F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F81BF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2.07</w:t>
            </w:r>
          </w:p>
          <w:p w14:paraId="261C9E0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1.96</w:t>
            </w:r>
          </w:p>
          <w:p w14:paraId="77D3F5BC" w14:textId="6AEBE11A"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tc>
        <w:tc>
          <w:tcPr>
            <w:tcW w:w="3233" w:type="dxa"/>
          </w:tcPr>
          <w:p w14:paraId="50B26CE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089A0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D0AF78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9872137" w14:textId="18C609B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41756350" w14:textId="77777777" w:rsidTr="00D12CA6">
        <w:trPr>
          <w:trHeight w:val="246"/>
        </w:trPr>
        <w:tc>
          <w:tcPr>
            <w:cnfStyle w:val="001000000000" w:firstRow="0" w:lastRow="0" w:firstColumn="1" w:lastColumn="0" w:oddVBand="0" w:evenVBand="0" w:oddHBand="0" w:evenHBand="0" w:firstRowFirstColumn="0" w:firstRowLastColumn="0" w:lastRowFirstColumn="0" w:lastRowLastColumn="0"/>
            <w:tcW w:w="3417" w:type="dxa"/>
          </w:tcPr>
          <w:p w14:paraId="0CE5CAFC"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IT</w:t>
            </w:r>
          </w:p>
          <w:p w14:paraId="52832664"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C64B94D"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6848F8F1" w14:textId="0F2572D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28705EC1" w14:textId="64B2C2AF" w:rsidR="00B548EB" w:rsidRPr="00162770" w:rsidRDefault="00B548EB" w:rsidP="00066445">
            <w:pPr>
              <w:jc w:val="center"/>
              <w:rPr>
                <w:rFonts w:ascii="Arial" w:hAnsi="Arial" w:cs="Arial"/>
                <w:sz w:val="20"/>
                <w:szCs w:val="20"/>
              </w:rPr>
            </w:pPr>
          </w:p>
        </w:tc>
        <w:tc>
          <w:tcPr>
            <w:tcW w:w="2376" w:type="dxa"/>
          </w:tcPr>
          <w:p w14:paraId="2DB88FE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DB062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1.17</w:t>
            </w:r>
          </w:p>
          <w:p w14:paraId="028C8B9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1.60</w:t>
            </w:r>
          </w:p>
          <w:p w14:paraId="79EFD2D9" w14:textId="52F13FB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2.06</w:t>
            </w:r>
          </w:p>
        </w:tc>
        <w:tc>
          <w:tcPr>
            <w:tcW w:w="3233" w:type="dxa"/>
          </w:tcPr>
          <w:p w14:paraId="37818E8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4532B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9B6CCA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078CCA4" w14:textId="74D6E5E8"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40EE553E" w14:textId="77777777" w:rsidTr="00D12CA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17" w:type="dxa"/>
          </w:tcPr>
          <w:p w14:paraId="2DBE267B"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Media</w:t>
            </w:r>
          </w:p>
          <w:p w14:paraId="72D71805"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0C161C4"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496640FC" w14:textId="55D0700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30537FE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94944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2.36</w:t>
            </w:r>
          </w:p>
          <w:p w14:paraId="7B0B3EE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2.11</w:t>
            </w:r>
          </w:p>
          <w:p w14:paraId="72D7D717" w14:textId="13F03864"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1.70</w:t>
            </w:r>
          </w:p>
        </w:tc>
        <w:tc>
          <w:tcPr>
            <w:tcW w:w="3233" w:type="dxa"/>
          </w:tcPr>
          <w:p w14:paraId="5134299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2CECB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B81CDF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D637B80" w14:textId="2DC68FDC"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B437494" w14:textId="77777777" w:rsidTr="00D12CA6">
        <w:trPr>
          <w:trHeight w:val="144"/>
        </w:trPr>
        <w:tc>
          <w:tcPr>
            <w:cnfStyle w:val="001000000000" w:firstRow="0" w:lastRow="0" w:firstColumn="1" w:lastColumn="0" w:oddVBand="0" w:evenVBand="0" w:oddHBand="0" w:evenHBand="0" w:firstRowFirstColumn="0" w:firstRowLastColumn="0" w:lastRowFirstColumn="0" w:lastRowLastColumn="0"/>
            <w:tcW w:w="3417" w:type="dxa"/>
          </w:tcPr>
          <w:p w14:paraId="76044248" w14:textId="6C1AAD4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Metal</w:t>
            </w:r>
          </w:p>
          <w:p w14:paraId="5C831907" w14:textId="3C03BA06"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C63FA8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531EB83" w14:textId="129011B3" w:rsidR="00B548EB" w:rsidRPr="00162770" w:rsidRDefault="00B548EB" w:rsidP="00066445">
            <w:pPr>
              <w:jc w:val="center"/>
              <w:rPr>
                <w:rFonts w:ascii="Arial" w:hAnsi="Arial" w:cs="Arial"/>
                <w:sz w:val="20"/>
                <w:szCs w:val="20"/>
              </w:rPr>
            </w:pPr>
            <w:r w:rsidRPr="00162770">
              <w:rPr>
                <w:rFonts w:ascii="Arial" w:hAnsi="Arial" w:cs="Arial"/>
                <w:sz w:val="20"/>
                <w:szCs w:val="20"/>
              </w:rPr>
              <w:lastRenderedPageBreak/>
              <w:t>30days</w:t>
            </w:r>
          </w:p>
        </w:tc>
        <w:tc>
          <w:tcPr>
            <w:tcW w:w="2376" w:type="dxa"/>
          </w:tcPr>
          <w:p w14:paraId="7957D9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D54263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1.29</w:t>
            </w:r>
          </w:p>
          <w:p w14:paraId="0181B5C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1.34</w:t>
            </w:r>
          </w:p>
          <w:p w14:paraId="3724D064" w14:textId="62E8CD9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lastRenderedPageBreak/>
              <w:t>1.57</w:t>
            </w:r>
          </w:p>
        </w:tc>
        <w:tc>
          <w:tcPr>
            <w:tcW w:w="3233" w:type="dxa"/>
          </w:tcPr>
          <w:p w14:paraId="01BE597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7B22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4EFA351"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A5B50F7" w14:textId="08594D4B"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lastRenderedPageBreak/>
              <w:t>(1.50-2.50)</w:t>
            </w:r>
          </w:p>
        </w:tc>
      </w:tr>
      <w:tr w:rsidR="00B548EB" w14:paraId="17E3B714" w14:textId="77777777" w:rsidTr="00D12CA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17" w:type="dxa"/>
          </w:tcPr>
          <w:p w14:paraId="794FD3EC"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lastRenderedPageBreak/>
              <w:t>Oil &amp; Gas</w:t>
            </w:r>
          </w:p>
          <w:p w14:paraId="4FF2B05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C64207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7C78A08" w14:textId="321FF2F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7D07A41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6D53A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1.47</w:t>
            </w:r>
          </w:p>
          <w:p w14:paraId="3BC852D4"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1.53</w:t>
            </w:r>
          </w:p>
          <w:p w14:paraId="3D07406E" w14:textId="61783D05"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1.68</w:t>
            </w:r>
          </w:p>
        </w:tc>
        <w:tc>
          <w:tcPr>
            <w:tcW w:w="3233" w:type="dxa"/>
          </w:tcPr>
          <w:p w14:paraId="720EF1B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25D04A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588539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A3F889C" w14:textId="59FC527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51261634" w14:textId="77777777" w:rsidTr="00D12CA6">
        <w:trPr>
          <w:trHeight w:val="144"/>
        </w:trPr>
        <w:tc>
          <w:tcPr>
            <w:cnfStyle w:val="001000000000" w:firstRow="0" w:lastRow="0" w:firstColumn="1" w:lastColumn="0" w:oddVBand="0" w:evenVBand="0" w:oddHBand="0" w:evenHBand="0" w:firstRowFirstColumn="0" w:firstRowLastColumn="0" w:lastRowFirstColumn="0" w:lastRowLastColumn="0"/>
            <w:tcW w:w="3417" w:type="dxa"/>
          </w:tcPr>
          <w:p w14:paraId="3EB2E92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Pharma</w:t>
            </w:r>
          </w:p>
          <w:p w14:paraId="29C6467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368A66B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380702F5" w14:textId="7693C515"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29E90AD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F324E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2.19</w:t>
            </w:r>
          </w:p>
          <w:p w14:paraId="0D52ECE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2.16</w:t>
            </w:r>
          </w:p>
          <w:p w14:paraId="00094767" w14:textId="5822D17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2.12</w:t>
            </w:r>
          </w:p>
        </w:tc>
        <w:tc>
          <w:tcPr>
            <w:tcW w:w="3233" w:type="dxa"/>
          </w:tcPr>
          <w:p w14:paraId="0B6EAF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57826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832867B"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F04D816" w14:textId="355DE71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589D438" w14:textId="77777777" w:rsidTr="00D12CA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17" w:type="dxa"/>
          </w:tcPr>
          <w:p w14:paraId="4864D05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Private Bank</w:t>
            </w:r>
          </w:p>
          <w:p w14:paraId="7DC6A52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8BA32FD"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2BCE4A4" w14:textId="6600A0E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2D187FB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E0960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1.67</w:t>
            </w:r>
          </w:p>
          <w:p w14:paraId="03C2D0C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1.49</w:t>
            </w:r>
          </w:p>
          <w:p w14:paraId="339C44F1" w14:textId="4462A426"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1.75</w:t>
            </w:r>
          </w:p>
        </w:tc>
        <w:tc>
          <w:tcPr>
            <w:tcW w:w="3233" w:type="dxa"/>
          </w:tcPr>
          <w:p w14:paraId="6AECD49B"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AA5328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E900E0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D0D9178" w14:textId="07770A19"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05B4C617" w14:textId="77777777" w:rsidTr="00D12CA6">
        <w:trPr>
          <w:trHeight w:val="144"/>
        </w:trPr>
        <w:tc>
          <w:tcPr>
            <w:cnfStyle w:val="001000000000" w:firstRow="0" w:lastRow="0" w:firstColumn="1" w:lastColumn="0" w:oddVBand="0" w:evenVBand="0" w:oddHBand="0" w:evenHBand="0" w:firstRowFirstColumn="0" w:firstRowLastColumn="0" w:lastRowFirstColumn="0" w:lastRowLastColumn="0"/>
            <w:tcW w:w="3417" w:type="dxa"/>
          </w:tcPr>
          <w:p w14:paraId="28F8C274"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PSU Bank</w:t>
            </w:r>
          </w:p>
          <w:p w14:paraId="6A48B1DB"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1DC16F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2D67989" w14:textId="1B15206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7F3AAF52"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4D9DC2" w14:textId="3DE551FB"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2.26</w:t>
            </w:r>
          </w:p>
          <w:p w14:paraId="4C7F6787" w14:textId="73498894"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2.01</w:t>
            </w:r>
          </w:p>
          <w:p w14:paraId="49013C89" w14:textId="1488C332"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1.86</w:t>
            </w:r>
          </w:p>
        </w:tc>
        <w:tc>
          <w:tcPr>
            <w:tcW w:w="3233" w:type="dxa"/>
          </w:tcPr>
          <w:p w14:paraId="1608C1D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000E9E"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23DBD3B"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F7C1D59" w14:textId="5591679C"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33D6259F" w14:textId="77777777" w:rsidTr="00D12CA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17" w:type="dxa"/>
          </w:tcPr>
          <w:p w14:paraId="76D5490B"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Reality</w:t>
            </w:r>
          </w:p>
          <w:p w14:paraId="3F14443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78AFD28"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6DF4D358" w14:textId="7A1E99F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7404091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B3937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1.58</w:t>
            </w:r>
          </w:p>
          <w:p w14:paraId="7577D08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1.70</w:t>
            </w:r>
          </w:p>
          <w:p w14:paraId="645CC64F" w14:textId="680477A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1.91</w:t>
            </w:r>
          </w:p>
        </w:tc>
        <w:tc>
          <w:tcPr>
            <w:tcW w:w="3233" w:type="dxa"/>
          </w:tcPr>
          <w:p w14:paraId="39C9BC6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4C731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EE6EB8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630C1E7" w14:textId="4BE67528"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BD1767F" w14:textId="77777777" w:rsidTr="00D12CA6">
        <w:trPr>
          <w:trHeight w:val="144"/>
        </w:trPr>
        <w:tc>
          <w:tcPr>
            <w:cnfStyle w:val="001000000000" w:firstRow="0" w:lastRow="0" w:firstColumn="1" w:lastColumn="0" w:oddVBand="0" w:evenVBand="0" w:oddHBand="0" w:evenHBand="0" w:firstRowFirstColumn="0" w:firstRowLastColumn="0" w:lastRowFirstColumn="0" w:lastRowLastColumn="0"/>
            <w:tcW w:w="3417" w:type="dxa"/>
          </w:tcPr>
          <w:p w14:paraId="799C40FA"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Bank</w:t>
            </w:r>
          </w:p>
          <w:p w14:paraId="7D7071DC"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5DCCFFB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329076E" w14:textId="66AD6340"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0C9B6E5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C9242C" w14:textId="5E7D6BB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1.80</w:t>
            </w:r>
          </w:p>
          <w:p w14:paraId="6FFF9D5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1.54</w:t>
            </w:r>
          </w:p>
          <w:p w14:paraId="280EC2D5" w14:textId="7CC9D99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1.83</w:t>
            </w:r>
          </w:p>
        </w:tc>
        <w:tc>
          <w:tcPr>
            <w:tcW w:w="3233" w:type="dxa"/>
          </w:tcPr>
          <w:p w14:paraId="439E6B7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8D627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E07257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9551DE0" w14:textId="5335A6A4"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E99B6E1" w14:textId="77777777" w:rsidTr="00D12CA6">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3417" w:type="dxa"/>
          </w:tcPr>
          <w:p w14:paraId="50626D51"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Chemical</w:t>
            </w:r>
          </w:p>
          <w:p w14:paraId="051FD3F2"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3112A3D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F93AB60" w14:textId="77EFBA76"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376" w:type="dxa"/>
          </w:tcPr>
          <w:p w14:paraId="503414F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F3DEE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1.39</w:t>
            </w:r>
          </w:p>
          <w:p w14:paraId="61A21A33"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1.59</w:t>
            </w:r>
          </w:p>
          <w:p w14:paraId="3F225904" w14:textId="6944596F"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tc>
        <w:tc>
          <w:tcPr>
            <w:tcW w:w="3233" w:type="dxa"/>
          </w:tcPr>
          <w:p w14:paraId="50A4E8A3"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7D981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A41AE1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3BDD1CF" w14:textId="34C141A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bl>
    <w:p w14:paraId="3D07D5B7" w14:textId="77777777" w:rsidR="00303D3D" w:rsidRDefault="00303D3D" w:rsidP="008F14A3">
      <w:pPr>
        <w:rPr>
          <w:rFonts w:ascii="Times New Roman" w:hAnsi="Times New Roman" w:cs="Times New Roman"/>
        </w:rPr>
      </w:pPr>
    </w:p>
    <w:p w14:paraId="5E36C0FD" w14:textId="1940248B"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AB66982" w14:textId="77777777" w:rsidR="00EE00D8" w:rsidRDefault="00EE00D8" w:rsidP="00162770">
      <w:pPr>
        <w:jc w:val="both"/>
        <w:rPr>
          <w:rFonts w:ascii="Times New Roman" w:hAnsi="Times New Roman" w:cs="Times New Roman"/>
        </w:rPr>
      </w:pPr>
    </w:p>
    <w:p w14:paraId="470DF714" w14:textId="746B45AC" w:rsidR="00162770" w:rsidRDefault="00217AC9" w:rsidP="00162770">
      <w:pPr>
        <w:jc w:val="both"/>
        <w:rPr>
          <w:rFonts w:ascii="Arial" w:hAnsi="Arial" w:cs="Arial"/>
          <w:b/>
          <w:bCs/>
          <w:sz w:val="20"/>
          <w:szCs w:val="20"/>
        </w:rPr>
      </w:pPr>
      <w:r>
        <w:rPr>
          <w:rFonts w:ascii="Arial" w:hAnsi="Arial" w:cs="Arial"/>
          <w:b/>
          <w:bCs/>
          <w:sz w:val="20"/>
          <w:szCs w:val="20"/>
        </w:rPr>
        <w:t>5</w:t>
      </w:r>
      <w:r w:rsidR="00AE246F">
        <w:rPr>
          <w:rFonts w:ascii="Arial" w:hAnsi="Arial" w:cs="Arial"/>
          <w:b/>
          <w:bCs/>
          <w:sz w:val="20"/>
          <w:szCs w:val="20"/>
        </w:rPr>
        <w:t xml:space="preserve">.4 </w:t>
      </w:r>
      <w:r w:rsidR="00162770">
        <w:rPr>
          <w:rFonts w:ascii="Arial" w:hAnsi="Arial" w:cs="Arial"/>
          <w:b/>
          <w:bCs/>
          <w:sz w:val="20"/>
          <w:szCs w:val="20"/>
        </w:rPr>
        <w:t xml:space="preserve">Normality Test: </w:t>
      </w:r>
    </w:p>
    <w:p w14:paraId="20C58FCB" w14:textId="77777777" w:rsidR="00B01A95" w:rsidRDefault="00B01A95" w:rsidP="008D7FD0">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562A301E" w14:textId="5EB405BA" w:rsidR="00B01A95" w:rsidRDefault="008D7FD0" w:rsidP="008D7FD0">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r w:rsidRPr="008D7FD0">
        <w:rPr>
          <w:rFonts w:ascii="Arial" w:hAnsi="Arial" w:cs="Arial"/>
          <w:sz w:val="20"/>
          <w:szCs w:val="20"/>
        </w:rPr>
        <w:t xml:space="preserve">The Shapiro–Wilk test </w:t>
      </w:r>
      <w:r w:rsidR="00CC2B7C">
        <w:rPr>
          <w:rFonts w:ascii="Arial" w:hAnsi="Arial" w:cs="Arial"/>
          <w:sz w:val="20"/>
          <w:szCs w:val="20"/>
        </w:rPr>
        <w:t xml:space="preserve">in table 8 </w:t>
      </w:r>
      <w:r w:rsidRPr="008D7FD0">
        <w:rPr>
          <w:rFonts w:ascii="Arial" w:hAnsi="Arial" w:cs="Arial"/>
          <w:sz w:val="20"/>
          <w:szCs w:val="20"/>
        </w:rPr>
        <w:t>serves to evaluate the normality of market and sectoral returns across 7, 15, and 30-day intervals. The findings suggest that the choice of variance tests has been tailored to correspond with the distribution characteristics inherent to each sector. Levene’s test is utilised under the condition that the normality assumption is satisfied to evaluate the homogeneity of variances. The Brown–Forsythe test serves as an alternative in situations where normality is not present, due to its resilience against outliers and non-normal distributions. This method guarantees the statistical integrity of variance comparisons among sectors, regardless of their distributional characteristics.</w:t>
      </w:r>
    </w:p>
    <w:p w14:paraId="5E1D38BD" w14:textId="729B0745" w:rsidR="008D7FD0" w:rsidRDefault="008D7FD0" w:rsidP="008D7FD0">
      <w:pPr>
        <w:jc w:val="both"/>
        <w:rPr>
          <w:rFonts w:ascii="Arial" w:hAnsi="Arial" w:cs="Arial"/>
          <w:sz w:val="20"/>
          <w:szCs w:val="20"/>
        </w:rPr>
      </w:pPr>
    </w:p>
    <w:p w14:paraId="3BA10E86" w14:textId="496D5BA1" w:rsidR="00665BC1" w:rsidRPr="00162770" w:rsidRDefault="00162770" w:rsidP="00162770">
      <w:pPr>
        <w:jc w:val="center"/>
        <w:rPr>
          <w:rFonts w:ascii="Arial" w:hAnsi="Arial" w:cs="Arial"/>
          <w:b/>
          <w:bCs/>
          <w:sz w:val="20"/>
          <w:szCs w:val="20"/>
        </w:rPr>
      </w:pPr>
      <w:r w:rsidRPr="00162770">
        <w:rPr>
          <w:rFonts w:ascii="Arial" w:hAnsi="Arial" w:cs="Arial"/>
          <w:b/>
          <w:bCs/>
          <w:sz w:val="20"/>
          <w:szCs w:val="20"/>
        </w:rPr>
        <w:t xml:space="preserve">Table </w:t>
      </w:r>
      <w:r w:rsidR="00CC2B7C">
        <w:rPr>
          <w:rFonts w:ascii="Arial" w:hAnsi="Arial" w:cs="Arial"/>
          <w:b/>
          <w:bCs/>
          <w:sz w:val="20"/>
          <w:szCs w:val="20"/>
        </w:rPr>
        <w:t>8</w:t>
      </w:r>
      <w:r w:rsidRPr="00162770">
        <w:rPr>
          <w:rFonts w:ascii="Arial" w:hAnsi="Arial" w:cs="Arial"/>
          <w:b/>
          <w:bCs/>
          <w:sz w:val="20"/>
          <w:szCs w:val="20"/>
        </w:rPr>
        <w:t xml:space="preserve">: </w:t>
      </w:r>
      <w:r w:rsidR="00AE246F" w:rsidRPr="00AE246F">
        <w:rPr>
          <w:rFonts w:ascii="Arial" w:hAnsi="Arial" w:cs="Arial"/>
          <w:b/>
          <w:bCs/>
          <w:sz w:val="20"/>
          <w:szCs w:val="20"/>
        </w:rPr>
        <w:t>Normality Check Across Event Windows</w:t>
      </w:r>
    </w:p>
    <w:tbl>
      <w:tblPr>
        <w:tblStyle w:val="PlainTable2"/>
        <w:tblW w:w="9808" w:type="dxa"/>
        <w:jc w:val="center"/>
        <w:tblLook w:val="04A0" w:firstRow="1" w:lastRow="0" w:firstColumn="1" w:lastColumn="0" w:noHBand="0" w:noVBand="1"/>
      </w:tblPr>
      <w:tblGrid>
        <w:gridCol w:w="2452"/>
        <w:gridCol w:w="1229"/>
        <w:gridCol w:w="1276"/>
        <w:gridCol w:w="4851"/>
      </w:tblGrid>
      <w:tr w:rsidR="00C2550C" w14:paraId="0DE76129" w14:textId="77777777" w:rsidTr="00866C9D">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07DF394F" w14:textId="44DDC9D5" w:rsidR="00C2550C" w:rsidRDefault="00712EB8" w:rsidP="00866C9D">
            <w:pPr>
              <w:jc w:val="center"/>
              <w:rPr>
                <w:rFonts w:ascii="Times New Roman" w:hAnsi="Times New Roman" w:cs="Times New Roman"/>
              </w:rPr>
            </w:pPr>
            <w:r>
              <w:rPr>
                <w:rFonts w:ascii="Times New Roman" w:hAnsi="Times New Roman" w:cs="Times New Roman"/>
              </w:rPr>
              <w:t>Sector</w:t>
            </w:r>
          </w:p>
        </w:tc>
        <w:tc>
          <w:tcPr>
            <w:tcW w:w="1229" w:type="dxa"/>
          </w:tcPr>
          <w:p w14:paraId="19A65189" w14:textId="623647C8" w:rsidR="00C2550C" w:rsidRDefault="00C2550C"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 statistic</w:t>
            </w:r>
          </w:p>
        </w:tc>
        <w:tc>
          <w:tcPr>
            <w:tcW w:w="1276" w:type="dxa"/>
          </w:tcPr>
          <w:p w14:paraId="1C92B356" w14:textId="155A4918" w:rsidR="00C2550C" w:rsidRDefault="00BD4B25"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p-value</w:t>
            </w:r>
          </w:p>
        </w:tc>
        <w:tc>
          <w:tcPr>
            <w:tcW w:w="4851" w:type="dxa"/>
          </w:tcPr>
          <w:p w14:paraId="42F6B76B" w14:textId="29713B2C" w:rsidR="00C2550C" w:rsidRDefault="00BD4B25"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Interpretation</w:t>
            </w:r>
          </w:p>
        </w:tc>
      </w:tr>
      <w:tr w:rsidR="00C2550C" w14:paraId="112B3069" w14:textId="77777777" w:rsidTr="00866C9D">
        <w:trPr>
          <w:cnfStyle w:val="000000100000" w:firstRow="0" w:lastRow="0" w:firstColumn="0" w:lastColumn="0" w:oddVBand="0" w:evenVBand="0" w:oddHBand="1" w:evenHBand="0" w:firstRowFirstColumn="0" w:firstRowLastColumn="0" w:lastRowFirstColumn="0" w:lastRowLastColumn="0"/>
          <w:trHeight w:val="1022"/>
          <w:jc w:val="center"/>
        </w:trPr>
        <w:tc>
          <w:tcPr>
            <w:cnfStyle w:val="001000000000" w:firstRow="0" w:lastRow="0" w:firstColumn="1" w:lastColumn="0" w:oddVBand="0" w:evenVBand="0" w:oddHBand="0" w:evenHBand="0" w:firstRowFirstColumn="0" w:firstRowLastColumn="0" w:lastRowFirstColumn="0" w:lastRowLastColumn="0"/>
            <w:tcW w:w="2452" w:type="dxa"/>
          </w:tcPr>
          <w:p w14:paraId="5BCFDD44" w14:textId="77777777" w:rsidR="00C2550C" w:rsidRPr="0076089F" w:rsidRDefault="00C2550C" w:rsidP="00866C9D">
            <w:pPr>
              <w:jc w:val="center"/>
              <w:rPr>
                <w:rFonts w:ascii="Times New Roman" w:hAnsi="Times New Roman" w:cs="Times New Roman"/>
                <w:u w:val="single"/>
              </w:rPr>
            </w:pPr>
            <w:r w:rsidRPr="0076089F">
              <w:rPr>
                <w:rFonts w:ascii="Times New Roman" w:hAnsi="Times New Roman" w:cs="Times New Roman"/>
                <w:u w:val="single"/>
              </w:rPr>
              <w:t>Nifty 50</w:t>
            </w:r>
          </w:p>
          <w:p w14:paraId="50686081" w14:textId="77777777" w:rsidR="00C2550C" w:rsidRDefault="00C2550C" w:rsidP="00866C9D">
            <w:pPr>
              <w:jc w:val="center"/>
              <w:rPr>
                <w:rFonts w:ascii="Times New Roman" w:hAnsi="Times New Roman" w:cs="Times New Roman"/>
              </w:rPr>
            </w:pPr>
            <w:r>
              <w:rPr>
                <w:rFonts w:ascii="Times New Roman" w:hAnsi="Times New Roman" w:cs="Times New Roman"/>
              </w:rPr>
              <w:t>7 days</w:t>
            </w:r>
          </w:p>
          <w:p w14:paraId="4F4B16CB" w14:textId="77777777" w:rsidR="00C2550C" w:rsidRDefault="00C2550C" w:rsidP="00866C9D">
            <w:pPr>
              <w:jc w:val="center"/>
              <w:rPr>
                <w:rFonts w:ascii="Times New Roman" w:hAnsi="Times New Roman" w:cs="Times New Roman"/>
              </w:rPr>
            </w:pPr>
            <w:r>
              <w:rPr>
                <w:rFonts w:ascii="Times New Roman" w:hAnsi="Times New Roman" w:cs="Times New Roman"/>
              </w:rPr>
              <w:t>15days</w:t>
            </w:r>
          </w:p>
          <w:p w14:paraId="00871AD8" w14:textId="0EB65319" w:rsidR="00C2550C" w:rsidRDefault="00C2550C" w:rsidP="00866C9D">
            <w:pPr>
              <w:jc w:val="center"/>
              <w:rPr>
                <w:rFonts w:ascii="Times New Roman" w:hAnsi="Times New Roman" w:cs="Times New Roman"/>
              </w:rPr>
            </w:pPr>
            <w:r>
              <w:rPr>
                <w:rFonts w:ascii="Times New Roman" w:hAnsi="Times New Roman" w:cs="Times New Roman"/>
              </w:rPr>
              <w:t>30days</w:t>
            </w:r>
          </w:p>
        </w:tc>
        <w:tc>
          <w:tcPr>
            <w:tcW w:w="1229" w:type="dxa"/>
          </w:tcPr>
          <w:p w14:paraId="445BC3ED"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0D92E39"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676B727" w14:textId="035D2585" w:rsidR="00EB0438"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5A1D85BE" w14:textId="16EDBA6F" w:rsidR="00BD4B25"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776664B3"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09EE5E"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0.80</w:t>
            </w:r>
          </w:p>
          <w:p w14:paraId="1A6CFDFF"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0.28</w:t>
            </w:r>
          </w:p>
          <w:p w14:paraId="39A0A97C" w14:textId="10E8FFD3" w:rsid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5D0011">
              <w:rPr>
                <w:rFonts w:ascii="Times New Roman" w:hAnsi="Times New Roman" w:cs="Times New Roman"/>
              </w:rPr>
              <w:t>3</w:t>
            </w:r>
          </w:p>
        </w:tc>
        <w:tc>
          <w:tcPr>
            <w:tcW w:w="4851" w:type="dxa"/>
          </w:tcPr>
          <w:p w14:paraId="441CBB6E"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378C" w14:textId="1DAD8BA2"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w:t>
            </w:r>
            <w:r w:rsidR="00EB0438">
              <w:rPr>
                <w:rFonts w:ascii="Times New Roman" w:hAnsi="Times New Roman" w:cs="Times New Roman"/>
              </w:rPr>
              <w:t>Normally Distributed</w:t>
            </w:r>
            <w:r>
              <w:rPr>
                <w:rFonts w:ascii="Times New Roman" w:hAnsi="Times New Roman" w:cs="Times New Roman"/>
              </w:rPr>
              <w:t>)</w:t>
            </w:r>
          </w:p>
          <w:p w14:paraId="53A9BF2E" w14:textId="77777777" w:rsid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392C8B8" w14:textId="3C200CD0" w:rsidR="00BD4B25" w:rsidRP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H0: </w:t>
            </w:r>
            <w:r w:rsidR="005D0011">
              <w:rPr>
                <w:rFonts w:ascii="Times New Roman" w:hAnsi="Times New Roman" w:cs="Times New Roman"/>
              </w:rPr>
              <w:t>Rejected</w:t>
            </w:r>
            <w:r>
              <w:rPr>
                <w:rFonts w:ascii="Times New Roman" w:hAnsi="Times New Roman" w:cs="Times New Roman"/>
              </w:rPr>
              <w:t xml:space="preserve"> (Normally Distributed)</w:t>
            </w:r>
          </w:p>
        </w:tc>
      </w:tr>
      <w:tr w:rsidR="00C2550C" w14:paraId="072D5267" w14:textId="77777777" w:rsidTr="00866C9D">
        <w:trPr>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53304E1A" w14:textId="77777777" w:rsidR="00EB0438" w:rsidRPr="00EB0438" w:rsidRDefault="00EB0438" w:rsidP="00866C9D">
            <w:pPr>
              <w:jc w:val="center"/>
              <w:rPr>
                <w:rFonts w:ascii="Times New Roman" w:hAnsi="Times New Roman" w:cs="Times New Roman"/>
                <w:u w:val="single"/>
              </w:rPr>
            </w:pPr>
            <w:r w:rsidRPr="00EB0438">
              <w:rPr>
                <w:rFonts w:ascii="Times New Roman" w:hAnsi="Times New Roman" w:cs="Times New Roman"/>
                <w:u w:val="single"/>
              </w:rPr>
              <w:t>Automobile</w:t>
            </w:r>
          </w:p>
          <w:p w14:paraId="7F312ADC" w14:textId="77777777" w:rsidR="00EB0438" w:rsidRDefault="00EB0438" w:rsidP="00866C9D">
            <w:pPr>
              <w:jc w:val="center"/>
              <w:rPr>
                <w:rFonts w:ascii="Times New Roman" w:hAnsi="Times New Roman" w:cs="Times New Roman"/>
              </w:rPr>
            </w:pPr>
            <w:r>
              <w:rPr>
                <w:rFonts w:ascii="Times New Roman" w:hAnsi="Times New Roman" w:cs="Times New Roman"/>
              </w:rPr>
              <w:t>7 days</w:t>
            </w:r>
          </w:p>
          <w:p w14:paraId="1C463DF3" w14:textId="77777777" w:rsidR="00EB0438" w:rsidRDefault="00EB0438" w:rsidP="00866C9D">
            <w:pPr>
              <w:jc w:val="center"/>
              <w:rPr>
                <w:rFonts w:ascii="Times New Roman" w:hAnsi="Times New Roman" w:cs="Times New Roman"/>
              </w:rPr>
            </w:pPr>
            <w:r>
              <w:rPr>
                <w:rFonts w:ascii="Times New Roman" w:hAnsi="Times New Roman" w:cs="Times New Roman"/>
              </w:rPr>
              <w:t>15days</w:t>
            </w:r>
          </w:p>
          <w:p w14:paraId="4DC348DA" w14:textId="77777777" w:rsidR="00EB0438" w:rsidRDefault="00EB0438" w:rsidP="00866C9D">
            <w:pPr>
              <w:jc w:val="center"/>
              <w:rPr>
                <w:rFonts w:ascii="Times New Roman" w:hAnsi="Times New Roman" w:cs="Times New Roman"/>
              </w:rPr>
            </w:pPr>
            <w:r>
              <w:rPr>
                <w:rFonts w:ascii="Times New Roman" w:hAnsi="Times New Roman" w:cs="Times New Roman"/>
              </w:rPr>
              <w:t>30days</w:t>
            </w:r>
          </w:p>
          <w:p w14:paraId="40ECDF65" w14:textId="77777777" w:rsidR="00C2550C" w:rsidRDefault="00C2550C" w:rsidP="00866C9D">
            <w:pPr>
              <w:jc w:val="center"/>
              <w:rPr>
                <w:rFonts w:ascii="Times New Roman" w:hAnsi="Times New Roman" w:cs="Times New Roman"/>
              </w:rPr>
            </w:pPr>
          </w:p>
        </w:tc>
        <w:tc>
          <w:tcPr>
            <w:tcW w:w="1229" w:type="dxa"/>
          </w:tcPr>
          <w:p w14:paraId="2E162C59"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7878EF"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22B3C717"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A4308D2" w14:textId="11C305F0"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3BCF3E25"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023CC47"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B6EF8F4"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5F837C09" w14:textId="6DB6B0D5"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0.73</w:t>
            </w:r>
          </w:p>
          <w:p w14:paraId="58B6460A" w14:textId="0DDF81DD"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51" w:type="dxa"/>
          </w:tcPr>
          <w:p w14:paraId="68088557"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9F05591"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40F51EE"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3A9E118" w14:textId="5AC6B80E"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63CCA" w14:paraId="319C5BAB"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415828FB" w14:textId="77777777" w:rsidR="00C63CCA" w:rsidRPr="008D7FD0" w:rsidRDefault="00C63CCA" w:rsidP="00866C9D">
            <w:pPr>
              <w:jc w:val="center"/>
              <w:rPr>
                <w:rFonts w:ascii="Times New Roman" w:hAnsi="Times New Roman" w:cs="Times New Roman"/>
                <w:u w:val="single"/>
              </w:rPr>
            </w:pPr>
            <w:r w:rsidRPr="008D7FD0">
              <w:rPr>
                <w:rFonts w:ascii="Times New Roman" w:hAnsi="Times New Roman" w:cs="Times New Roman"/>
                <w:u w:val="single"/>
              </w:rPr>
              <w:lastRenderedPageBreak/>
              <w:t>Consumer Durable</w:t>
            </w:r>
          </w:p>
          <w:p w14:paraId="6E28F594" w14:textId="77777777" w:rsidR="00C63CCA" w:rsidRDefault="00C63CCA" w:rsidP="00866C9D">
            <w:pPr>
              <w:jc w:val="center"/>
              <w:rPr>
                <w:rFonts w:ascii="Times New Roman" w:hAnsi="Times New Roman" w:cs="Times New Roman"/>
              </w:rPr>
            </w:pPr>
            <w:r>
              <w:rPr>
                <w:rFonts w:ascii="Times New Roman" w:hAnsi="Times New Roman" w:cs="Times New Roman"/>
              </w:rPr>
              <w:t>7 days</w:t>
            </w:r>
          </w:p>
          <w:p w14:paraId="34622B26" w14:textId="77777777" w:rsidR="00C63CCA" w:rsidRDefault="00C63CCA" w:rsidP="00866C9D">
            <w:pPr>
              <w:jc w:val="center"/>
              <w:rPr>
                <w:rFonts w:ascii="Times New Roman" w:hAnsi="Times New Roman" w:cs="Times New Roman"/>
              </w:rPr>
            </w:pPr>
            <w:r>
              <w:rPr>
                <w:rFonts w:ascii="Times New Roman" w:hAnsi="Times New Roman" w:cs="Times New Roman"/>
              </w:rPr>
              <w:t>15days</w:t>
            </w:r>
          </w:p>
          <w:p w14:paraId="70BEF67B" w14:textId="0A1B3443" w:rsidR="00C63CCA" w:rsidRPr="008D7FD0" w:rsidRDefault="00C63CCA" w:rsidP="008D7FD0">
            <w:pPr>
              <w:jc w:val="center"/>
              <w:rPr>
                <w:rFonts w:ascii="Times New Roman" w:hAnsi="Times New Roman" w:cs="Times New Roman"/>
              </w:rPr>
            </w:pPr>
            <w:r>
              <w:rPr>
                <w:rFonts w:ascii="Times New Roman" w:hAnsi="Times New Roman" w:cs="Times New Roman"/>
              </w:rPr>
              <w:t>30days</w:t>
            </w:r>
          </w:p>
        </w:tc>
        <w:tc>
          <w:tcPr>
            <w:tcW w:w="1229" w:type="dxa"/>
          </w:tcPr>
          <w:p w14:paraId="3EFDEC1A"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C7CE9D"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42A36D31"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6902CE4F" w14:textId="2366EB7A"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3C5D9B4E"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56CE32"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0.58</w:t>
            </w:r>
          </w:p>
          <w:p w14:paraId="2F714271"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0.67</w:t>
            </w:r>
          </w:p>
          <w:p w14:paraId="2BB18FD5" w14:textId="697FBE9C"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tc>
        <w:tc>
          <w:tcPr>
            <w:tcW w:w="4851" w:type="dxa"/>
          </w:tcPr>
          <w:p w14:paraId="7D777B47"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C15E62"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44EBEB9"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5E79DC4" w14:textId="0BF7B96B"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63CCA" w14:paraId="72A24EEE" w14:textId="77777777" w:rsidTr="00866C9D">
        <w:trPr>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291BB14B" w14:textId="0B94B804" w:rsidR="00C63CCA" w:rsidRPr="008D7FD0" w:rsidRDefault="00C63CCA" w:rsidP="00866C9D">
            <w:pPr>
              <w:jc w:val="center"/>
              <w:rPr>
                <w:rFonts w:ascii="Times New Roman" w:hAnsi="Times New Roman" w:cs="Times New Roman"/>
                <w:u w:val="single"/>
              </w:rPr>
            </w:pPr>
            <w:r w:rsidRPr="008D7FD0">
              <w:rPr>
                <w:rFonts w:ascii="Times New Roman" w:hAnsi="Times New Roman" w:cs="Times New Roman"/>
                <w:u w:val="single"/>
              </w:rPr>
              <w:t>Energy</w:t>
            </w:r>
          </w:p>
          <w:p w14:paraId="0EE2F856" w14:textId="77777777" w:rsidR="00C63CCA" w:rsidRDefault="00C63CCA" w:rsidP="00866C9D">
            <w:pPr>
              <w:jc w:val="center"/>
              <w:rPr>
                <w:rFonts w:ascii="Times New Roman" w:hAnsi="Times New Roman" w:cs="Times New Roman"/>
              </w:rPr>
            </w:pPr>
            <w:r>
              <w:rPr>
                <w:rFonts w:ascii="Times New Roman" w:hAnsi="Times New Roman" w:cs="Times New Roman"/>
              </w:rPr>
              <w:t>7 days</w:t>
            </w:r>
          </w:p>
          <w:p w14:paraId="345DC220" w14:textId="77777777" w:rsidR="00C63CCA" w:rsidRDefault="00C63CCA" w:rsidP="00866C9D">
            <w:pPr>
              <w:jc w:val="center"/>
              <w:rPr>
                <w:rFonts w:ascii="Times New Roman" w:hAnsi="Times New Roman" w:cs="Times New Roman"/>
              </w:rPr>
            </w:pPr>
            <w:r>
              <w:rPr>
                <w:rFonts w:ascii="Times New Roman" w:hAnsi="Times New Roman" w:cs="Times New Roman"/>
              </w:rPr>
              <w:t>15days</w:t>
            </w:r>
          </w:p>
          <w:p w14:paraId="56758570" w14:textId="4D1A4999" w:rsidR="00C63CCA" w:rsidRDefault="00C63CCA" w:rsidP="00866C9D">
            <w:pPr>
              <w:jc w:val="center"/>
              <w:rPr>
                <w:rFonts w:ascii="Times New Roman" w:hAnsi="Times New Roman" w:cs="Times New Roman"/>
              </w:rPr>
            </w:pPr>
            <w:r>
              <w:rPr>
                <w:rFonts w:ascii="Times New Roman" w:hAnsi="Times New Roman" w:cs="Times New Roman"/>
              </w:rPr>
              <w:t>30days</w:t>
            </w:r>
          </w:p>
        </w:tc>
        <w:tc>
          <w:tcPr>
            <w:tcW w:w="1229" w:type="dxa"/>
          </w:tcPr>
          <w:p w14:paraId="6D291A92"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D2DA35C"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0F8766A5"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758CFD1D" w14:textId="30FC44C4"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2D8BD30F"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F49F4F"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0.44</w:t>
            </w:r>
          </w:p>
          <w:p w14:paraId="2B0CF41B"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0.27</w:t>
            </w:r>
          </w:p>
          <w:p w14:paraId="3CD74329" w14:textId="2C3FDFD3"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tc>
        <w:tc>
          <w:tcPr>
            <w:tcW w:w="4851" w:type="dxa"/>
          </w:tcPr>
          <w:p w14:paraId="2CEEB1AB"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22AE02"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97A681B"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9385F07" w14:textId="27F8A46F"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443840" w14:paraId="74018AF5"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217DD96" w14:textId="77777777" w:rsidR="00443840" w:rsidRPr="008D7FD0" w:rsidRDefault="00443840" w:rsidP="00866C9D">
            <w:pPr>
              <w:jc w:val="center"/>
              <w:rPr>
                <w:rFonts w:ascii="Times New Roman" w:hAnsi="Times New Roman" w:cs="Times New Roman"/>
                <w:u w:val="single"/>
              </w:rPr>
            </w:pPr>
            <w:r w:rsidRPr="008D7FD0">
              <w:rPr>
                <w:rFonts w:ascii="Times New Roman" w:hAnsi="Times New Roman" w:cs="Times New Roman"/>
                <w:u w:val="single"/>
              </w:rPr>
              <w:t>Financial Service</w:t>
            </w:r>
          </w:p>
          <w:p w14:paraId="789CA0C6" w14:textId="77777777" w:rsidR="00443840" w:rsidRDefault="00443840" w:rsidP="00866C9D">
            <w:pPr>
              <w:jc w:val="center"/>
              <w:rPr>
                <w:rFonts w:ascii="Times New Roman" w:hAnsi="Times New Roman" w:cs="Times New Roman"/>
              </w:rPr>
            </w:pPr>
            <w:r>
              <w:rPr>
                <w:rFonts w:ascii="Times New Roman" w:hAnsi="Times New Roman" w:cs="Times New Roman"/>
              </w:rPr>
              <w:t>7 days</w:t>
            </w:r>
          </w:p>
          <w:p w14:paraId="2BD0D19A" w14:textId="77777777" w:rsidR="00443840" w:rsidRDefault="00443840" w:rsidP="00866C9D">
            <w:pPr>
              <w:jc w:val="center"/>
              <w:rPr>
                <w:rFonts w:ascii="Times New Roman" w:hAnsi="Times New Roman" w:cs="Times New Roman"/>
              </w:rPr>
            </w:pPr>
            <w:r>
              <w:rPr>
                <w:rFonts w:ascii="Times New Roman" w:hAnsi="Times New Roman" w:cs="Times New Roman"/>
              </w:rPr>
              <w:t>15days</w:t>
            </w:r>
          </w:p>
          <w:p w14:paraId="57BAF3ED" w14:textId="11E4276A" w:rsidR="00443840" w:rsidRDefault="00443840" w:rsidP="00866C9D">
            <w:pPr>
              <w:jc w:val="center"/>
              <w:rPr>
                <w:rFonts w:ascii="Times New Roman" w:hAnsi="Times New Roman" w:cs="Times New Roman"/>
              </w:rPr>
            </w:pPr>
            <w:r>
              <w:rPr>
                <w:rFonts w:ascii="Times New Roman" w:hAnsi="Times New Roman" w:cs="Times New Roman"/>
              </w:rPr>
              <w:t>30days</w:t>
            </w:r>
          </w:p>
        </w:tc>
        <w:tc>
          <w:tcPr>
            <w:tcW w:w="1229" w:type="dxa"/>
          </w:tcPr>
          <w:p w14:paraId="75420EFD"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0D5E30"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49D52001"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A2CA17E" w14:textId="5649D006"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0AD7DC61"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A30606"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0.84</w:t>
            </w:r>
          </w:p>
          <w:p w14:paraId="6B637B35"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p w14:paraId="5D3C22CF" w14:textId="65397BD4"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4851" w:type="dxa"/>
          </w:tcPr>
          <w:p w14:paraId="2D0D72A1"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F35EC8"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E8805C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7103657" w14:textId="5351BAEB"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E636E9" w14:paraId="6C51852F"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0E6F57C9" w14:textId="77777777" w:rsidR="00E636E9" w:rsidRPr="008D7FD0" w:rsidRDefault="00E636E9" w:rsidP="00866C9D">
            <w:pPr>
              <w:jc w:val="center"/>
              <w:rPr>
                <w:rFonts w:ascii="Times New Roman" w:hAnsi="Times New Roman" w:cs="Times New Roman"/>
                <w:u w:val="single"/>
              </w:rPr>
            </w:pPr>
            <w:r w:rsidRPr="008D7FD0">
              <w:rPr>
                <w:rFonts w:ascii="Times New Roman" w:hAnsi="Times New Roman" w:cs="Times New Roman"/>
                <w:u w:val="single"/>
              </w:rPr>
              <w:t>FMCG</w:t>
            </w:r>
          </w:p>
          <w:p w14:paraId="6087694C" w14:textId="77777777" w:rsidR="00E636E9" w:rsidRDefault="00E636E9" w:rsidP="00866C9D">
            <w:pPr>
              <w:jc w:val="center"/>
              <w:rPr>
                <w:rFonts w:ascii="Times New Roman" w:hAnsi="Times New Roman" w:cs="Times New Roman"/>
              </w:rPr>
            </w:pPr>
            <w:r>
              <w:rPr>
                <w:rFonts w:ascii="Times New Roman" w:hAnsi="Times New Roman" w:cs="Times New Roman"/>
              </w:rPr>
              <w:t>7 days</w:t>
            </w:r>
          </w:p>
          <w:p w14:paraId="45DF7A0D" w14:textId="77777777" w:rsidR="00E636E9" w:rsidRDefault="00E636E9" w:rsidP="00866C9D">
            <w:pPr>
              <w:jc w:val="center"/>
              <w:rPr>
                <w:rFonts w:ascii="Times New Roman" w:hAnsi="Times New Roman" w:cs="Times New Roman"/>
              </w:rPr>
            </w:pPr>
            <w:r>
              <w:rPr>
                <w:rFonts w:ascii="Times New Roman" w:hAnsi="Times New Roman" w:cs="Times New Roman"/>
              </w:rPr>
              <w:t>15days</w:t>
            </w:r>
          </w:p>
          <w:p w14:paraId="4C267E57" w14:textId="295A1EB7" w:rsidR="00E636E9" w:rsidRDefault="00E636E9" w:rsidP="00866C9D">
            <w:pPr>
              <w:jc w:val="center"/>
              <w:rPr>
                <w:rFonts w:ascii="Times New Roman" w:hAnsi="Times New Roman" w:cs="Times New Roman"/>
              </w:rPr>
            </w:pPr>
            <w:r>
              <w:rPr>
                <w:rFonts w:ascii="Times New Roman" w:hAnsi="Times New Roman" w:cs="Times New Roman"/>
              </w:rPr>
              <w:t>30days</w:t>
            </w:r>
          </w:p>
        </w:tc>
        <w:tc>
          <w:tcPr>
            <w:tcW w:w="1229" w:type="dxa"/>
          </w:tcPr>
          <w:p w14:paraId="5023AFB8"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B70BAA3"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03E18080"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7BC99B94" w14:textId="25A28D43"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306C001D"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212DC5C"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0.54</w:t>
            </w:r>
          </w:p>
          <w:p w14:paraId="19A5C302"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0.32</w:t>
            </w:r>
          </w:p>
          <w:p w14:paraId="00628404" w14:textId="1BA36F36"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0.25</w:t>
            </w:r>
          </w:p>
        </w:tc>
        <w:tc>
          <w:tcPr>
            <w:tcW w:w="4851" w:type="dxa"/>
          </w:tcPr>
          <w:p w14:paraId="3630B01E"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4E13928"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F5A673B"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E6F3BAF" w14:textId="5A372902"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E636E9" w14:paraId="0D98A059"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E274460" w14:textId="63641771" w:rsidR="00E636E9" w:rsidRPr="008D7FD0" w:rsidRDefault="00C179A9" w:rsidP="00866C9D">
            <w:pPr>
              <w:jc w:val="center"/>
              <w:rPr>
                <w:rFonts w:ascii="Times New Roman" w:hAnsi="Times New Roman" w:cs="Times New Roman"/>
                <w:u w:val="single"/>
              </w:rPr>
            </w:pPr>
            <w:r w:rsidRPr="008D7FD0">
              <w:rPr>
                <w:rFonts w:ascii="Times New Roman" w:hAnsi="Times New Roman" w:cs="Times New Roman"/>
                <w:u w:val="single"/>
              </w:rPr>
              <w:t>Health</w:t>
            </w:r>
          </w:p>
          <w:p w14:paraId="6EED5C18" w14:textId="77777777" w:rsidR="00C179A9" w:rsidRDefault="00C179A9" w:rsidP="00866C9D">
            <w:pPr>
              <w:jc w:val="center"/>
              <w:rPr>
                <w:rFonts w:ascii="Times New Roman" w:hAnsi="Times New Roman" w:cs="Times New Roman"/>
              </w:rPr>
            </w:pPr>
            <w:r>
              <w:rPr>
                <w:rFonts w:ascii="Times New Roman" w:hAnsi="Times New Roman" w:cs="Times New Roman"/>
              </w:rPr>
              <w:t>7 days</w:t>
            </w:r>
          </w:p>
          <w:p w14:paraId="22F30081" w14:textId="77777777" w:rsidR="00C179A9" w:rsidRDefault="00C179A9" w:rsidP="00866C9D">
            <w:pPr>
              <w:jc w:val="center"/>
              <w:rPr>
                <w:rFonts w:ascii="Times New Roman" w:hAnsi="Times New Roman" w:cs="Times New Roman"/>
              </w:rPr>
            </w:pPr>
            <w:r>
              <w:rPr>
                <w:rFonts w:ascii="Times New Roman" w:hAnsi="Times New Roman" w:cs="Times New Roman"/>
              </w:rPr>
              <w:t>15days</w:t>
            </w:r>
          </w:p>
          <w:p w14:paraId="5EA9609C" w14:textId="0F1F3EA0" w:rsidR="00C179A9" w:rsidRDefault="00C179A9" w:rsidP="00866C9D">
            <w:pPr>
              <w:jc w:val="center"/>
              <w:rPr>
                <w:rFonts w:ascii="Times New Roman" w:hAnsi="Times New Roman" w:cs="Times New Roman"/>
              </w:rPr>
            </w:pPr>
            <w:r>
              <w:rPr>
                <w:rFonts w:ascii="Times New Roman" w:hAnsi="Times New Roman" w:cs="Times New Roman"/>
              </w:rPr>
              <w:t>30days</w:t>
            </w:r>
          </w:p>
        </w:tc>
        <w:tc>
          <w:tcPr>
            <w:tcW w:w="1229" w:type="dxa"/>
          </w:tcPr>
          <w:p w14:paraId="4338714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B80D3D1"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01B7CF4F"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22EC3530" w14:textId="1C7F41CE"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1DEE2BA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6030D0"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0.26</w:t>
            </w:r>
          </w:p>
          <w:p w14:paraId="587EC0B3" w14:textId="7081673F"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2*</w:t>
            </w:r>
          </w:p>
          <w:p w14:paraId="5AC13738" w14:textId="7AD69BD0"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6</w:t>
            </w:r>
          </w:p>
        </w:tc>
        <w:tc>
          <w:tcPr>
            <w:tcW w:w="4851" w:type="dxa"/>
          </w:tcPr>
          <w:p w14:paraId="1AB2FAED"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F510E9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3A9B569" w14:textId="3539C510"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p w14:paraId="417055CE" w14:textId="60A14EF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179A9" w14:paraId="03EF6408"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38B4E48" w14:textId="77777777" w:rsidR="00C179A9" w:rsidRPr="008D7FD0" w:rsidRDefault="00C179A9" w:rsidP="00866C9D">
            <w:pPr>
              <w:jc w:val="center"/>
              <w:rPr>
                <w:rFonts w:ascii="Times New Roman" w:hAnsi="Times New Roman" w:cs="Times New Roman"/>
                <w:u w:val="single"/>
              </w:rPr>
            </w:pPr>
            <w:r w:rsidRPr="008D7FD0">
              <w:rPr>
                <w:rFonts w:ascii="Times New Roman" w:hAnsi="Times New Roman" w:cs="Times New Roman"/>
                <w:u w:val="single"/>
              </w:rPr>
              <w:t>IT</w:t>
            </w:r>
          </w:p>
          <w:p w14:paraId="2C98E0DD" w14:textId="77777777" w:rsidR="00C179A9" w:rsidRDefault="00C179A9" w:rsidP="00866C9D">
            <w:pPr>
              <w:jc w:val="center"/>
              <w:rPr>
                <w:rFonts w:ascii="Times New Roman" w:hAnsi="Times New Roman" w:cs="Times New Roman"/>
              </w:rPr>
            </w:pPr>
            <w:r>
              <w:rPr>
                <w:rFonts w:ascii="Times New Roman" w:hAnsi="Times New Roman" w:cs="Times New Roman"/>
              </w:rPr>
              <w:t>7 days</w:t>
            </w:r>
          </w:p>
          <w:p w14:paraId="7FF7386D" w14:textId="77777777" w:rsidR="00C179A9" w:rsidRDefault="00C179A9" w:rsidP="00866C9D">
            <w:pPr>
              <w:jc w:val="center"/>
              <w:rPr>
                <w:rFonts w:ascii="Times New Roman" w:hAnsi="Times New Roman" w:cs="Times New Roman"/>
              </w:rPr>
            </w:pPr>
            <w:r>
              <w:rPr>
                <w:rFonts w:ascii="Times New Roman" w:hAnsi="Times New Roman" w:cs="Times New Roman"/>
              </w:rPr>
              <w:t>15days</w:t>
            </w:r>
          </w:p>
          <w:p w14:paraId="75735E00" w14:textId="12490A50" w:rsidR="00C179A9" w:rsidRDefault="00C179A9" w:rsidP="00866C9D">
            <w:pPr>
              <w:jc w:val="center"/>
              <w:rPr>
                <w:rFonts w:ascii="Times New Roman" w:hAnsi="Times New Roman" w:cs="Times New Roman"/>
              </w:rPr>
            </w:pPr>
            <w:r>
              <w:rPr>
                <w:rFonts w:ascii="Times New Roman" w:hAnsi="Times New Roman" w:cs="Times New Roman"/>
              </w:rPr>
              <w:t>30days</w:t>
            </w:r>
          </w:p>
        </w:tc>
        <w:tc>
          <w:tcPr>
            <w:tcW w:w="1229" w:type="dxa"/>
          </w:tcPr>
          <w:p w14:paraId="1C439F40"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BE1D05"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6B537B61"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65EA0E60" w14:textId="2E18237A"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tc>
        <w:tc>
          <w:tcPr>
            <w:tcW w:w="1276" w:type="dxa"/>
          </w:tcPr>
          <w:p w14:paraId="2D93B28D"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050E00"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0.18</w:t>
            </w:r>
          </w:p>
          <w:p w14:paraId="3380D3D8"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0.80</w:t>
            </w:r>
          </w:p>
          <w:p w14:paraId="5F3653C3" w14:textId="5A0B6484"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1*</w:t>
            </w:r>
          </w:p>
        </w:tc>
        <w:tc>
          <w:tcPr>
            <w:tcW w:w="4851" w:type="dxa"/>
          </w:tcPr>
          <w:p w14:paraId="72B86CC4"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8317F8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DF666A4"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2384658" w14:textId="40CC5A1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2B5EE27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5E1CDC1"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Media</w:t>
            </w:r>
          </w:p>
          <w:p w14:paraId="46D11344"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5DDCF0CB"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577977ED" w14:textId="000E7477"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70DB4341"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33FD66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032A5A7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9FAA885" w14:textId="6E6ADD4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23443E4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6EA0E1"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0.70</w:t>
            </w:r>
          </w:p>
          <w:p w14:paraId="77AE40DB"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01FE5F5" w14:textId="49BE4FC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0.60</w:t>
            </w:r>
          </w:p>
        </w:tc>
        <w:tc>
          <w:tcPr>
            <w:tcW w:w="4851" w:type="dxa"/>
          </w:tcPr>
          <w:p w14:paraId="47F728F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EB68A4"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51A3E6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2C5DA91" w14:textId="4AD90C1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2C3FB6B0"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7F39853"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Metal</w:t>
            </w:r>
          </w:p>
          <w:p w14:paraId="469B80D2"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56A9C4F1"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454D6EAB" w14:textId="49F5246C" w:rsidR="00712EB8" w:rsidRDefault="00712EB8" w:rsidP="00866C9D">
            <w:pPr>
              <w:jc w:val="center"/>
              <w:rPr>
                <w:rFonts w:ascii="Times New Roman" w:hAnsi="Times New Roman" w:cs="Times New Roman"/>
              </w:rPr>
            </w:pPr>
            <w:r>
              <w:rPr>
                <w:rFonts w:ascii="Times New Roman" w:hAnsi="Times New Roman" w:cs="Times New Roman"/>
              </w:rPr>
              <w:t>30days</w:t>
            </w:r>
          </w:p>
          <w:p w14:paraId="36258A91" w14:textId="5BCAC6DE" w:rsidR="00712EB8" w:rsidRDefault="00712EB8" w:rsidP="00866C9D">
            <w:pPr>
              <w:jc w:val="center"/>
              <w:rPr>
                <w:rFonts w:ascii="Times New Roman" w:hAnsi="Times New Roman" w:cs="Times New Roman"/>
              </w:rPr>
            </w:pPr>
          </w:p>
        </w:tc>
        <w:tc>
          <w:tcPr>
            <w:tcW w:w="1229" w:type="dxa"/>
          </w:tcPr>
          <w:p w14:paraId="065A6C2A"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5D1A36"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0.84</w:t>
            </w:r>
          </w:p>
          <w:p w14:paraId="6E05013B"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0.86</w:t>
            </w:r>
          </w:p>
          <w:p w14:paraId="5941AE92" w14:textId="6F929CD0"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tc>
        <w:tc>
          <w:tcPr>
            <w:tcW w:w="1276" w:type="dxa"/>
          </w:tcPr>
          <w:p w14:paraId="167544D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2AD092D" w14:textId="061671CA"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p w14:paraId="4302F5FC" w14:textId="52C51D22"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w:t>
            </w:r>
          </w:p>
          <w:p w14:paraId="47D30555" w14:textId="6EFB72B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w:t>
            </w:r>
          </w:p>
        </w:tc>
        <w:tc>
          <w:tcPr>
            <w:tcW w:w="4851" w:type="dxa"/>
          </w:tcPr>
          <w:p w14:paraId="25808523"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80631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E670962" w14:textId="794C0490"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p w14:paraId="0580761C" w14:textId="41DFB0C5"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3619B33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6BB40DE8" w14:textId="42FEECEE"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Oil &amp; Gas</w:t>
            </w:r>
          </w:p>
          <w:p w14:paraId="32B51597"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680A0297"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C28469F" w14:textId="631258A9"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1EDBE22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51478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59F5532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02A3CCC" w14:textId="19239314"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757E747F"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DE5F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w:t>
            </w:r>
          </w:p>
          <w:p w14:paraId="4BFDA6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0.40</w:t>
            </w:r>
          </w:p>
          <w:p w14:paraId="5F6B1B79" w14:textId="2FE1342A"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tc>
        <w:tc>
          <w:tcPr>
            <w:tcW w:w="4851" w:type="dxa"/>
          </w:tcPr>
          <w:p w14:paraId="6DF87C6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CB99A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9D2E1D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B09E818" w14:textId="70382D3E"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0B791123"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3E9318BF"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Pharma</w:t>
            </w:r>
          </w:p>
          <w:p w14:paraId="2C293799"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4446A4C0"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630CF8C9" w14:textId="652B2E1E"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286B576A"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7BF2E27"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33D79F3E"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03B1173B" w14:textId="2EAE23D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061B67B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E69BF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0.43</w:t>
            </w:r>
          </w:p>
          <w:p w14:paraId="35BD84A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0.11</w:t>
            </w:r>
          </w:p>
          <w:p w14:paraId="3BD4EE9A" w14:textId="75D3041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tc>
        <w:tc>
          <w:tcPr>
            <w:tcW w:w="4851" w:type="dxa"/>
          </w:tcPr>
          <w:p w14:paraId="6F7E981F"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9ED08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5B1A66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2D25E50" w14:textId="3B4A7AF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454CBA1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B8BCDF0"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Private Bank</w:t>
            </w:r>
          </w:p>
          <w:p w14:paraId="2D6831E7"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114F29DC"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43A2FD11" w14:textId="2505A694"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3E52AA9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4338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7211DDFF"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5ED34473" w14:textId="3FB2A80C"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tc>
        <w:tc>
          <w:tcPr>
            <w:tcW w:w="1276" w:type="dxa"/>
          </w:tcPr>
          <w:p w14:paraId="5A7BAD2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6BF53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0.57</w:t>
            </w:r>
          </w:p>
          <w:p w14:paraId="36FEFCE6"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0.58</w:t>
            </w:r>
          </w:p>
          <w:p w14:paraId="69F5D05C" w14:textId="2DC9F25F"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0.03*</w:t>
            </w:r>
          </w:p>
        </w:tc>
        <w:tc>
          <w:tcPr>
            <w:tcW w:w="4851" w:type="dxa"/>
          </w:tcPr>
          <w:p w14:paraId="3C61717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4A0DC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0FFBD0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647386F" w14:textId="3E036353"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7E1564DB"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7FEAEB3"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PSU Bank</w:t>
            </w:r>
          </w:p>
          <w:p w14:paraId="1D4D8FAA"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438D355D"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A5B580B" w14:textId="1B450B00" w:rsidR="00712EB8" w:rsidRDefault="00712EB8" w:rsidP="00866C9D">
            <w:pPr>
              <w:jc w:val="center"/>
              <w:rPr>
                <w:rFonts w:ascii="Times New Roman" w:hAnsi="Times New Roman" w:cs="Times New Roman"/>
              </w:rPr>
            </w:pPr>
            <w:r>
              <w:rPr>
                <w:rFonts w:ascii="Times New Roman" w:hAnsi="Times New Roman" w:cs="Times New Roman"/>
              </w:rPr>
              <w:t>30days</w:t>
            </w:r>
          </w:p>
          <w:p w14:paraId="4E40B49C" w14:textId="524D9BA7" w:rsidR="00712EB8" w:rsidRDefault="00712EB8" w:rsidP="00866C9D">
            <w:pPr>
              <w:jc w:val="center"/>
              <w:rPr>
                <w:rFonts w:ascii="Times New Roman" w:hAnsi="Times New Roman" w:cs="Times New Roman"/>
              </w:rPr>
            </w:pPr>
          </w:p>
        </w:tc>
        <w:tc>
          <w:tcPr>
            <w:tcW w:w="1229" w:type="dxa"/>
          </w:tcPr>
          <w:p w14:paraId="075911C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FC2EF8" w14:textId="282DFD3F"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0D9A4566"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235D9BD1" w14:textId="361099FC"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tc>
        <w:tc>
          <w:tcPr>
            <w:tcW w:w="1276" w:type="dxa"/>
          </w:tcPr>
          <w:p w14:paraId="0D3B1B72"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E23A797" w14:textId="7F0C12D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0.20</w:t>
            </w:r>
          </w:p>
          <w:p w14:paraId="4253E967"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p w14:paraId="5AE69058" w14:textId="6803EBB8"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0.35</w:t>
            </w:r>
          </w:p>
          <w:p w14:paraId="592F5DEB" w14:textId="5A425AC4"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51" w:type="dxa"/>
          </w:tcPr>
          <w:p w14:paraId="716ED32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3A7ABE1"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279A471"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932D4AB" w14:textId="5FA6446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31669B55"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4861EBB6"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Reality</w:t>
            </w:r>
          </w:p>
          <w:p w14:paraId="6F9C8B2B"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6393D998"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67AC2487" w14:textId="3A0F887E"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4F62BA3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6ED4A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815B6F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20241C2" w14:textId="2875E87B"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01D2C45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3D70BC"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5B192D8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0.88</w:t>
            </w:r>
          </w:p>
          <w:p w14:paraId="3BA18CD6" w14:textId="64E5DF10"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0.55</w:t>
            </w:r>
          </w:p>
        </w:tc>
        <w:tc>
          <w:tcPr>
            <w:tcW w:w="4851" w:type="dxa"/>
          </w:tcPr>
          <w:p w14:paraId="28328DA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70B9C0"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D92C72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FA4D405" w14:textId="22EFEDAE"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3FC0B06F"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3D32C028" w14:textId="7A0288FE"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lastRenderedPageBreak/>
              <w:t>Bank</w:t>
            </w:r>
          </w:p>
          <w:p w14:paraId="47AB4ABE" w14:textId="098B39BD" w:rsidR="00712EB8" w:rsidRDefault="00712EB8" w:rsidP="00866C9D">
            <w:pPr>
              <w:jc w:val="center"/>
              <w:rPr>
                <w:rFonts w:ascii="Times New Roman" w:hAnsi="Times New Roman" w:cs="Times New Roman"/>
              </w:rPr>
            </w:pPr>
            <w:r>
              <w:rPr>
                <w:rFonts w:ascii="Times New Roman" w:hAnsi="Times New Roman" w:cs="Times New Roman"/>
              </w:rPr>
              <w:t>7 days</w:t>
            </w:r>
          </w:p>
          <w:p w14:paraId="115F3085"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AD3A390" w14:textId="0BD51B76"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3328D56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2F52A5"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4006CFB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2436BA49" w14:textId="1AD932E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48AEA5A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BD08F3"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291226D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0.52</w:t>
            </w:r>
          </w:p>
          <w:p w14:paraId="62953671" w14:textId="08E82F22"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4851" w:type="dxa"/>
          </w:tcPr>
          <w:p w14:paraId="1E3A4642"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A607ED"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88AE08B"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1568889" w14:textId="12D51F5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05E60EB2"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83DE01F" w14:textId="06D58451"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Chemical</w:t>
            </w:r>
          </w:p>
          <w:p w14:paraId="65CE6C66" w14:textId="026CEFF3" w:rsidR="00712EB8" w:rsidRDefault="00712EB8" w:rsidP="00866C9D">
            <w:pPr>
              <w:jc w:val="center"/>
              <w:rPr>
                <w:rFonts w:ascii="Times New Roman" w:hAnsi="Times New Roman" w:cs="Times New Roman"/>
              </w:rPr>
            </w:pPr>
            <w:r>
              <w:rPr>
                <w:rFonts w:ascii="Times New Roman" w:hAnsi="Times New Roman" w:cs="Times New Roman"/>
              </w:rPr>
              <w:t>7 days</w:t>
            </w:r>
          </w:p>
          <w:p w14:paraId="3B216590"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1C3AF8D7" w14:textId="0B421D5B"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61BC637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FAFE2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730F699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1D6918B7" w14:textId="1B314C46"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tc>
        <w:tc>
          <w:tcPr>
            <w:tcW w:w="1276" w:type="dxa"/>
          </w:tcPr>
          <w:p w14:paraId="591EF456"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1543D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5BB8536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0.20</w:t>
            </w:r>
          </w:p>
          <w:p w14:paraId="63E5D854" w14:textId="45ABC4E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0.24</w:t>
            </w:r>
          </w:p>
        </w:tc>
        <w:tc>
          <w:tcPr>
            <w:tcW w:w="4851" w:type="dxa"/>
          </w:tcPr>
          <w:p w14:paraId="5DB520D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B9B62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78D5B5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3A90308" w14:textId="64F617C2"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bl>
    <w:p w14:paraId="5A2D8343" w14:textId="30BC1D03" w:rsidR="00EE00D8" w:rsidRPr="00317B85" w:rsidRDefault="00317B85" w:rsidP="00317B85">
      <w:pPr>
        <w:jc w:val="both"/>
        <w:rPr>
          <w:rFonts w:ascii="Arial" w:hAnsi="Arial" w:cs="Arial"/>
          <w:b/>
          <w:bCs/>
          <w:sz w:val="20"/>
          <w:szCs w:val="20"/>
        </w:rPr>
      </w:pPr>
      <w:r w:rsidRPr="00317B85">
        <w:rPr>
          <w:rFonts w:ascii="Arial" w:hAnsi="Arial" w:cs="Arial"/>
          <w:b/>
          <w:bCs/>
          <w:sz w:val="20"/>
          <w:szCs w:val="20"/>
        </w:rPr>
        <w:t>* significance at 1</w:t>
      </w:r>
      <w:r>
        <w:rPr>
          <w:rFonts w:ascii="Arial" w:hAnsi="Arial" w:cs="Arial"/>
          <w:b/>
          <w:bCs/>
          <w:sz w:val="20"/>
          <w:szCs w:val="20"/>
        </w:rPr>
        <w:t>%</w:t>
      </w:r>
      <w:r w:rsidRPr="00317B85">
        <w:rPr>
          <w:rFonts w:ascii="Arial" w:hAnsi="Arial" w:cs="Arial"/>
          <w:b/>
          <w:bCs/>
          <w:sz w:val="20"/>
          <w:szCs w:val="20"/>
        </w:rPr>
        <w:t xml:space="preserve"> and 5%</w:t>
      </w:r>
    </w:p>
    <w:p w14:paraId="06D9E6E7" w14:textId="64DBD53F"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5145DD8" w14:textId="4FC56182" w:rsidR="00283821" w:rsidRPr="00AE246F" w:rsidRDefault="00217AC9" w:rsidP="008F14A3">
      <w:pPr>
        <w:rPr>
          <w:rFonts w:ascii="Arial" w:hAnsi="Arial" w:cs="Arial"/>
          <w:b/>
          <w:bCs/>
        </w:rPr>
      </w:pPr>
      <w:r>
        <w:rPr>
          <w:rFonts w:ascii="Arial" w:hAnsi="Arial" w:cs="Arial"/>
          <w:b/>
          <w:bCs/>
        </w:rPr>
        <w:t>5</w:t>
      </w:r>
      <w:r w:rsidR="00AE246F">
        <w:rPr>
          <w:rFonts w:ascii="Arial" w:hAnsi="Arial" w:cs="Arial"/>
          <w:b/>
          <w:bCs/>
        </w:rPr>
        <w:t xml:space="preserve">.5 </w:t>
      </w:r>
      <w:r w:rsidR="00232D30" w:rsidRPr="00AE246F">
        <w:rPr>
          <w:rFonts w:ascii="Arial" w:hAnsi="Arial" w:cs="Arial"/>
          <w:b/>
          <w:bCs/>
        </w:rPr>
        <w:t>Variance test</w:t>
      </w:r>
      <w:r w:rsidR="00162770" w:rsidRPr="00AE246F">
        <w:rPr>
          <w:rFonts w:ascii="Arial" w:hAnsi="Arial" w:cs="Arial"/>
          <w:b/>
          <w:bCs/>
        </w:rPr>
        <w:t>:</w:t>
      </w:r>
    </w:p>
    <w:p w14:paraId="2B84D2C8" w14:textId="77777777" w:rsidR="00B01A95" w:rsidRDefault="00B01A95" w:rsidP="002D52EA">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0BAF43BF" w14:textId="5D8413D8" w:rsidR="002D52EA" w:rsidRPr="006034FA" w:rsidRDefault="002D52EA" w:rsidP="002D52EA">
      <w:pPr>
        <w:jc w:val="both"/>
        <w:rPr>
          <w:rFonts w:ascii="Arial" w:hAnsi="Arial" w:cs="Arial"/>
          <w:sz w:val="20"/>
          <w:szCs w:val="20"/>
        </w:rPr>
      </w:pPr>
      <w:r w:rsidRPr="006034FA">
        <w:rPr>
          <w:rFonts w:ascii="Arial" w:hAnsi="Arial" w:cs="Arial"/>
          <w:sz w:val="20"/>
          <w:szCs w:val="20"/>
        </w:rPr>
        <w:t xml:space="preserve">The implementation of </w:t>
      </w:r>
      <w:r w:rsidR="00F732A3">
        <w:rPr>
          <w:rFonts w:ascii="Arial" w:hAnsi="Arial" w:cs="Arial"/>
          <w:sz w:val="20"/>
          <w:szCs w:val="20"/>
        </w:rPr>
        <w:t>U.S.A</w:t>
      </w:r>
      <w:r w:rsidRPr="006034FA">
        <w:rPr>
          <w:rFonts w:ascii="Arial" w:hAnsi="Arial" w:cs="Arial"/>
          <w:sz w:val="20"/>
          <w:szCs w:val="20"/>
        </w:rPr>
        <w:t xml:space="preserve"> tariffs represents a notable external policy disruption and has triggered varied volatility reactions among different sectors of the Indian equity market. The analysis focusses on the market's adjustment dynamics by examining return volatility across 7-day, 15-day, and 30-day intervals </w:t>
      </w:r>
      <w:r w:rsidR="00BE4B90">
        <w:rPr>
          <w:rFonts w:ascii="Arial" w:hAnsi="Arial" w:cs="Arial"/>
          <w:sz w:val="20"/>
          <w:szCs w:val="20"/>
        </w:rPr>
        <w:t>pre</w:t>
      </w:r>
      <w:r w:rsidRPr="006034FA">
        <w:rPr>
          <w:rFonts w:ascii="Arial" w:hAnsi="Arial" w:cs="Arial"/>
          <w:sz w:val="20"/>
          <w:szCs w:val="20"/>
        </w:rPr>
        <w:t xml:space="preserve"> and </w:t>
      </w:r>
      <w:r w:rsidR="00BE4B90">
        <w:rPr>
          <w:rFonts w:ascii="Arial" w:hAnsi="Arial" w:cs="Arial"/>
          <w:sz w:val="20"/>
          <w:szCs w:val="20"/>
        </w:rPr>
        <w:t>post</w:t>
      </w:r>
      <w:r w:rsidRPr="006034FA">
        <w:rPr>
          <w:rFonts w:ascii="Arial" w:hAnsi="Arial" w:cs="Arial"/>
          <w:sz w:val="20"/>
          <w:szCs w:val="20"/>
        </w:rPr>
        <w:t xml:space="preserve"> the announcement. </w:t>
      </w:r>
      <w:r w:rsidR="00CC2B7C">
        <w:rPr>
          <w:rFonts w:ascii="Arial" w:hAnsi="Arial" w:cs="Arial"/>
          <w:sz w:val="20"/>
          <w:szCs w:val="20"/>
        </w:rPr>
        <w:t xml:space="preserve">In table </w:t>
      </w:r>
      <w:proofErr w:type="gramStart"/>
      <w:r w:rsidR="00CC2B7C">
        <w:rPr>
          <w:rFonts w:ascii="Arial" w:hAnsi="Arial" w:cs="Arial"/>
          <w:sz w:val="20"/>
          <w:szCs w:val="20"/>
        </w:rPr>
        <w:t>9,</w:t>
      </w:r>
      <w:r w:rsidRPr="006034FA">
        <w:rPr>
          <w:rFonts w:ascii="Arial" w:hAnsi="Arial" w:cs="Arial"/>
          <w:sz w:val="20"/>
          <w:szCs w:val="20"/>
        </w:rPr>
        <w:t>The</w:t>
      </w:r>
      <w:proofErr w:type="gramEnd"/>
      <w:r w:rsidRPr="006034FA">
        <w:rPr>
          <w:rFonts w:ascii="Arial" w:hAnsi="Arial" w:cs="Arial"/>
          <w:sz w:val="20"/>
          <w:szCs w:val="20"/>
        </w:rPr>
        <w:t xml:space="preserve"> overall market, represented by the Nifty 50 index, has demonstrated statistically significant rises in volatility across all time frames—suggesting increased systemic uncertainty. Nonetheless, the impacts across different sectors have exhibited significant variability. Sectors including Automobiles,</w:t>
      </w:r>
      <w:r w:rsidR="0026082A">
        <w:rPr>
          <w:rFonts w:ascii="Arial" w:hAnsi="Arial" w:cs="Arial"/>
          <w:sz w:val="20"/>
          <w:szCs w:val="20"/>
        </w:rPr>
        <w:t xml:space="preserve"> </w:t>
      </w:r>
      <w:r w:rsidR="00317B85">
        <w:rPr>
          <w:rFonts w:ascii="Arial" w:hAnsi="Arial" w:cs="Arial"/>
          <w:sz w:val="20"/>
          <w:szCs w:val="20"/>
        </w:rPr>
        <w:t>metal,</w:t>
      </w:r>
      <w:r w:rsidRPr="006034FA">
        <w:rPr>
          <w:rFonts w:ascii="Arial" w:hAnsi="Arial" w:cs="Arial"/>
          <w:sz w:val="20"/>
          <w:szCs w:val="20"/>
        </w:rPr>
        <w:t xml:space="preserve"> Pharmaceuticals, Healthcare, Chemicals, and Financial Services have shown both statistically significant and economically meaningful rises in post-event volatility, especially right after the announcement.</w:t>
      </w:r>
    </w:p>
    <w:p w14:paraId="5DC6B9BF" w14:textId="28E1407E" w:rsidR="002D52EA" w:rsidRPr="006034FA" w:rsidRDefault="002D52EA" w:rsidP="002D52EA">
      <w:pPr>
        <w:jc w:val="both"/>
        <w:rPr>
          <w:rFonts w:ascii="Arial" w:hAnsi="Arial" w:cs="Arial"/>
          <w:sz w:val="20"/>
          <w:szCs w:val="20"/>
        </w:rPr>
      </w:pPr>
      <w:r w:rsidRPr="006034FA">
        <w:rPr>
          <w:rFonts w:ascii="Arial" w:hAnsi="Arial" w:cs="Arial"/>
          <w:sz w:val="20"/>
          <w:szCs w:val="20"/>
        </w:rPr>
        <w:t>The Automobile sector, shows a significant increase in volatility from 1.06 to 2.60 (p = 0.01) over a period of 7 days and from 1.06 to 2.01 (p = 0.03) over 15 days; however, these effects appear to have diminished over the 30-day period, indicating a transient market overreaction. Comparable short-term yet temporary fluctuations have been noted in the Pharmaceutical</w:t>
      </w:r>
      <w:r w:rsidR="00BE4B90">
        <w:rPr>
          <w:rFonts w:ascii="Arial" w:hAnsi="Arial" w:cs="Arial"/>
          <w:sz w:val="20"/>
          <w:szCs w:val="20"/>
        </w:rPr>
        <w:t xml:space="preserve">, </w:t>
      </w:r>
      <w:r w:rsidRPr="006034FA">
        <w:rPr>
          <w:rFonts w:ascii="Arial" w:hAnsi="Arial" w:cs="Arial"/>
          <w:sz w:val="20"/>
          <w:szCs w:val="20"/>
        </w:rPr>
        <w:t xml:space="preserve">Healthcare </w:t>
      </w:r>
      <w:r w:rsidR="00BE4B90">
        <w:rPr>
          <w:rFonts w:ascii="Arial" w:hAnsi="Arial" w:cs="Arial"/>
          <w:sz w:val="20"/>
          <w:szCs w:val="20"/>
        </w:rPr>
        <w:t xml:space="preserve">and metal </w:t>
      </w:r>
      <w:r w:rsidRPr="006034FA">
        <w:rPr>
          <w:rFonts w:ascii="Arial" w:hAnsi="Arial" w:cs="Arial"/>
          <w:sz w:val="20"/>
          <w:szCs w:val="20"/>
        </w:rPr>
        <w:t>sectors. This behaviour is consistent with earlier findings indicating that markets often overreact to trade policy shocks initially, followed by a period of stabilisation as uncertainty diminishes and information is assimilated. The Chemical sector exhibits consistent increases in volatility over both short- and medium-term periods, indicating a deeper structural sensitivity to disruptions related to trade.</w:t>
      </w:r>
    </w:p>
    <w:p w14:paraId="6E4FEFCB" w14:textId="51B2DCC8" w:rsidR="002D52EA" w:rsidRPr="00AE246F" w:rsidRDefault="002D52EA" w:rsidP="00AE246F">
      <w:pPr>
        <w:jc w:val="both"/>
        <w:rPr>
          <w:rFonts w:ascii="Arial" w:hAnsi="Arial" w:cs="Arial"/>
          <w:sz w:val="20"/>
          <w:szCs w:val="20"/>
        </w:rPr>
      </w:pPr>
      <w:r w:rsidRPr="006034FA">
        <w:rPr>
          <w:rFonts w:ascii="Arial" w:hAnsi="Arial" w:cs="Arial"/>
          <w:sz w:val="20"/>
          <w:szCs w:val="20"/>
        </w:rPr>
        <w:t>The Financial Services sector has shown a delayed yet statistically significant response in volatility over the 30-day period, with the standard deviation increasing from 0.84 to 1.46 (p = 0.03).On the other hand, industries like FMCG,</w:t>
      </w:r>
      <w:r w:rsidR="007D04F0">
        <w:rPr>
          <w:rFonts w:ascii="Arial" w:hAnsi="Arial" w:cs="Arial"/>
          <w:sz w:val="20"/>
          <w:szCs w:val="20"/>
        </w:rPr>
        <w:t>IT,</w:t>
      </w:r>
      <w:r w:rsidRPr="006034FA">
        <w:rPr>
          <w:rFonts w:ascii="Arial" w:hAnsi="Arial" w:cs="Arial"/>
          <w:sz w:val="20"/>
          <w:szCs w:val="20"/>
        </w:rPr>
        <w:t xml:space="preserve"> Media, Oil &amp; Gas, and PSU Banks have demonstrated a lack of significant volatility changes across any timeframe, suggesting a degree of protection from the immediate impacts of tariff policies. The findings indicate that the impact of volatility resulting from the </w:t>
      </w:r>
      <w:r w:rsidR="00F732A3">
        <w:rPr>
          <w:rFonts w:ascii="Arial" w:hAnsi="Arial" w:cs="Arial"/>
          <w:sz w:val="20"/>
          <w:szCs w:val="20"/>
        </w:rPr>
        <w:t>U.S.A</w:t>
      </w:r>
      <w:r w:rsidRPr="006034FA">
        <w:rPr>
          <w:rFonts w:ascii="Arial" w:hAnsi="Arial" w:cs="Arial"/>
          <w:sz w:val="20"/>
          <w:szCs w:val="20"/>
        </w:rPr>
        <w:t xml:space="preserve"> tariff announcement varies by sector and is influenced by time, determined by the level of trade exposure and the speed at which market participants have assimilated policy uncertainty.</w:t>
      </w:r>
    </w:p>
    <w:p w14:paraId="2196FB01" w14:textId="77777777" w:rsidR="00B01A95" w:rsidRDefault="00B01A95" w:rsidP="00AE246F">
      <w:pPr>
        <w:jc w:val="center"/>
        <w:rPr>
          <w:rFonts w:ascii="Arial" w:hAnsi="Arial" w:cs="Arial"/>
          <w:b/>
          <w:bCs/>
          <w:sz w:val="20"/>
          <w:szCs w:val="20"/>
        </w:rPr>
        <w:sectPr w:rsidR="00B01A95" w:rsidSect="00620C7B">
          <w:type w:val="continuous"/>
          <w:pgSz w:w="11906" w:h="16838"/>
          <w:pgMar w:top="1440" w:right="1440" w:bottom="1440" w:left="1440" w:header="708" w:footer="708" w:gutter="0"/>
          <w:cols w:space="708"/>
          <w:docGrid w:linePitch="360"/>
        </w:sectPr>
      </w:pPr>
    </w:p>
    <w:p w14:paraId="7651CA76" w14:textId="77777777" w:rsidR="00B01A95" w:rsidRDefault="00B01A95" w:rsidP="00AE246F">
      <w:pPr>
        <w:jc w:val="center"/>
        <w:rPr>
          <w:rFonts w:ascii="Arial" w:hAnsi="Arial" w:cs="Arial"/>
          <w:b/>
          <w:bCs/>
          <w:sz w:val="20"/>
          <w:szCs w:val="20"/>
        </w:rPr>
      </w:pPr>
    </w:p>
    <w:p w14:paraId="57B5E259" w14:textId="3442C63C" w:rsidR="00712EB8" w:rsidRPr="00AE246F" w:rsidRDefault="00AE246F" w:rsidP="00AE246F">
      <w:pPr>
        <w:jc w:val="center"/>
        <w:rPr>
          <w:rFonts w:ascii="Arial" w:hAnsi="Arial" w:cs="Arial"/>
          <w:b/>
          <w:bCs/>
          <w:sz w:val="20"/>
          <w:szCs w:val="20"/>
        </w:rPr>
      </w:pPr>
      <w:r w:rsidRPr="00AE246F">
        <w:rPr>
          <w:rFonts w:ascii="Arial" w:hAnsi="Arial" w:cs="Arial"/>
          <w:b/>
          <w:bCs/>
          <w:sz w:val="20"/>
          <w:szCs w:val="20"/>
        </w:rPr>
        <w:t xml:space="preserve">Table </w:t>
      </w:r>
      <w:r w:rsidR="00CC2B7C">
        <w:rPr>
          <w:rFonts w:ascii="Arial" w:hAnsi="Arial" w:cs="Arial"/>
          <w:b/>
          <w:bCs/>
          <w:sz w:val="20"/>
          <w:szCs w:val="20"/>
        </w:rPr>
        <w:t>9</w:t>
      </w:r>
      <w:r w:rsidRPr="00AE246F">
        <w:rPr>
          <w:rFonts w:ascii="Arial" w:hAnsi="Arial" w:cs="Arial"/>
          <w:b/>
          <w:bCs/>
          <w:sz w:val="20"/>
          <w:szCs w:val="20"/>
        </w:rPr>
        <w:t>: Levene's Test and the Brown–Forsythe Variance Test</w:t>
      </w:r>
    </w:p>
    <w:tbl>
      <w:tblPr>
        <w:tblStyle w:val="PlainTable2"/>
        <w:tblW w:w="9586" w:type="dxa"/>
        <w:jc w:val="center"/>
        <w:tblLook w:val="04A0" w:firstRow="1" w:lastRow="0" w:firstColumn="1" w:lastColumn="0" w:noHBand="0" w:noVBand="1"/>
      </w:tblPr>
      <w:tblGrid>
        <w:gridCol w:w="1430"/>
        <w:gridCol w:w="960"/>
        <w:gridCol w:w="853"/>
        <w:gridCol w:w="873"/>
        <w:gridCol w:w="960"/>
        <w:gridCol w:w="846"/>
        <w:gridCol w:w="996"/>
        <w:gridCol w:w="960"/>
        <w:gridCol w:w="835"/>
        <w:gridCol w:w="873"/>
      </w:tblGrid>
      <w:tr w:rsidR="00994074" w14:paraId="602B8107" w14:textId="1A41A53B" w:rsidTr="00317B85">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3B885C17" w14:textId="436EEC14"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Sectors</w:t>
            </w:r>
          </w:p>
        </w:tc>
        <w:tc>
          <w:tcPr>
            <w:tcW w:w="1813" w:type="dxa"/>
            <w:gridSpan w:val="2"/>
          </w:tcPr>
          <w:p w14:paraId="67475EB9" w14:textId="79FD622C"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 xml:space="preserve">7 days </w:t>
            </w:r>
            <w:proofErr w:type="gramStart"/>
            <w:r w:rsidRPr="001B16B5">
              <w:rPr>
                <w:rFonts w:ascii="Times New Roman" w:hAnsi="Times New Roman" w:cs="Times New Roman"/>
                <w:sz w:val="24"/>
                <w:szCs w:val="24"/>
              </w:rPr>
              <w:t>S.D</w:t>
            </w:r>
            <w:proofErr w:type="gramEnd"/>
          </w:p>
        </w:tc>
        <w:tc>
          <w:tcPr>
            <w:tcW w:w="873" w:type="dxa"/>
            <w:vMerge w:val="restart"/>
          </w:tcPr>
          <w:p w14:paraId="748CF802" w14:textId="5D3D26B9" w:rsidR="00994074"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809DF8F" w14:textId="01C12214"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c>
          <w:tcPr>
            <w:tcW w:w="1806" w:type="dxa"/>
            <w:gridSpan w:val="2"/>
          </w:tcPr>
          <w:p w14:paraId="38694F19" w14:textId="1EB0B91D"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 xml:space="preserve">15 days </w:t>
            </w:r>
            <w:proofErr w:type="gramStart"/>
            <w:r w:rsidRPr="001B16B5">
              <w:rPr>
                <w:rFonts w:ascii="Times New Roman" w:hAnsi="Times New Roman" w:cs="Times New Roman"/>
                <w:sz w:val="24"/>
                <w:szCs w:val="24"/>
              </w:rPr>
              <w:t>S.</w:t>
            </w:r>
            <w:r w:rsidR="007D2143">
              <w:rPr>
                <w:rFonts w:ascii="Times New Roman" w:hAnsi="Times New Roman" w:cs="Times New Roman"/>
                <w:sz w:val="24"/>
                <w:szCs w:val="24"/>
              </w:rPr>
              <w:t>D</w:t>
            </w:r>
            <w:proofErr w:type="gramEnd"/>
          </w:p>
        </w:tc>
        <w:tc>
          <w:tcPr>
            <w:tcW w:w="996" w:type="dxa"/>
            <w:vMerge w:val="restart"/>
          </w:tcPr>
          <w:p w14:paraId="3771A433" w14:textId="77777777" w:rsidR="00066445" w:rsidRDefault="00066445"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B0C4122" w14:textId="0E0380D2"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c>
          <w:tcPr>
            <w:tcW w:w="1795" w:type="dxa"/>
            <w:gridSpan w:val="2"/>
          </w:tcPr>
          <w:p w14:paraId="3F667603" w14:textId="15D1FB53"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 xml:space="preserve">30 days </w:t>
            </w:r>
            <w:proofErr w:type="gramStart"/>
            <w:r w:rsidR="007D2143">
              <w:rPr>
                <w:rFonts w:ascii="Times New Roman" w:hAnsi="Times New Roman" w:cs="Times New Roman"/>
                <w:sz w:val="24"/>
                <w:szCs w:val="24"/>
              </w:rPr>
              <w:t>S.D</w:t>
            </w:r>
            <w:proofErr w:type="gramEnd"/>
          </w:p>
        </w:tc>
        <w:tc>
          <w:tcPr>
            <w:tcW w:w="873" w:type="dxa"/>
            <w:vMerge w:val="restart"/>
          </w:tcPr>
          <w:p w14:paraId="636C7B15" w14:textId="3F050140"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r>
      <w:tr w:rsidR="00A9717A" w14:paraId="3C44BDB2"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vMerge/>
          </w:tcPr>
          <w:p w14:paraId="6C7F7B71" w14:textId="77777777" w:rsidR="00A9717A" w:rsidRPr="001B16B5" w:rsidRDefault="00A9717A" w:rsidP="00994074">
            <w:pPr>
              <w:rPr>
                <w:rFonts w:ascii="Times New Roman" w:hAnsi="Times New Roman" w:cs="Times New Roman"/>
                <w:sz w:val="24"/>
                <w:szCs w:val="24"/>
              </w:rPr>
            </w:pPr>
          </w:p>
        </w:tc>
        <w:tc>
          <w:tcPr>
            <w:tcW w:w="1813" w:type="dxa"/>
            <w:gridSpan w:val="2"/>
          </w:tcPr>
          <w:p w14:paraId="75DBDD73" w14:textId="71D5BD41"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w:t>
            </w:r>
            <w:r w:rsidR="00A9717A">
              <w:rPr>
                <w:rFonts w:ascii="Times New Roman" w:hAnsi="Times New Roman" w:cs="Times New Roman"/>
                <w:sz w:val="24"/>
                <w:szCs w:val="24"/>
              </w:rPr>
              <w:t xml:space="preserve"> </w:t>
            </w:r>
            <w:r w:rsidR="005A26BB">
              <w:rPr>
                <w:rFonts w:ascii="Times New Roman" w:hAnsi="Times New Roman" w:cs="Times New Roman"/>
                <w:sz w:val="24"/>
                <w:szCs w:val="24"/>
              </w:rPr>
              <w:t xml:space="preserve"> </w:t>
            </w:r>
            <w:r w:rsidR="00A9717A">
              <w:rPr>
                <w:rFonts w:ascii="Times New Roman" w:hAnsi="Times New Roman" w:cs="Times New Roman"/>
                <w:sz w:val="24"/>
                <w:szCs w:val="24"/>
              </w:rPr>
              <w:t xml:space="preserve"> </w:t>
            </w:r>
            <w:r>
              <w:rPr>
                <w:rFonts w:ascii="Times New Roman" w:hAnsi="Times New Roman" w:cs="Times New Roman"/>
                <w:sz w:val="24"/>
                <w:szCs w:val="24"/>
              </w:rPr>
              <w:t xml:space="preserve">        Post</w:t>
            </w:r>
          </w:p>
        </w:tc>
        <w:tc>
          <w:tcPr>
            <w:tcW w:w="873" w:type="dxa"/>
            <w:vMerge/>
          </w:tcPr>
          <w:p w14:paraId="0ECB70C1"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06" w:type="dxa"/>
            <w:gridSpan w:val="2"/>
          </w:tcPr>
          <w:p w14:paraId="04D17658" w14:textId="01948B35"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           Post</w:t>
            </w:r>
          </w:p>
        </w:tc>
        <w:tc>
          <w:tcPr>
            <w:tcW w:w="996" w:type="dxa"/>
            <w:vMerge/>
          </w:tcPr>
          <w:p w14:paraId="72B5BFA5"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5" w:type="dxa"/>
            <w:gridSpan w:val="2"/>
          </w:tcPr>
          <w:p w14:paraId="4DCEAC28" w14:textId="1FB38970"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           Post</w:t>
            </w:r>
          </w:p>
        </w:tc>
        <w:tc>
          <w:tcPr>
            <w:tcW w:w="873" w:type="dxa"/>
            <w:vMerge/>
          </w:tcPr>
          <w:p w14:paraId="0CAF4DB5"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D2143" w14:paraId="727ABD76" w14:textId="77777777" w:rsidTr="00317B85">
        <w:trPr>
          <w:trHeight w:val="510"/>
          <w:jc w:val="center"/>
        </w:trPr>
        <w:tc>
          <w:tcPr>
            <w:cnfStyle w:val="001000000000" w:firstRow="0" w:lastRow="0" w:firstColumn="1" w:lastColumn="0" w:oddVBand="0" w:evenVBand="0" w:oddHBand="0" w:evenHBand="0" w:firstRowFirstColumn="0" w:firstRowLastColumn="0" w:lastRowFirstColumn="0" w:lastRowLastColumn="0"/>
            <w:tcW w:w="1430" w:type="dxa"/>
          </w:tcPr>
          <w:p w14:paraId="26EEE954" w14:textId="3F644DF7" w:rsidR="00994074" w:rsidRPr="001B16B5" w:rsidRDefault="00994074" w:rsidP="00994074">
            <w:pPr>
              <w:rPr>
                <w:rFonts w:ascii="Times New Roman" w:hAnsi="Times New Roman" w:cs="Times New Roman"/>
                <w:sz w:val="24"/>
                <w:szCs w:val="24"/>
              </w:rPr>
            </w:pPr>
            <w:r>
              <w:rPr>
                <w:rFonts w:ascii="Times New Roman" w:hAnsi="Times New Roman" w:cs="Times New Roman"/>
                <w:sz w:val="24"/>
                <w:szCs w:val="24"/>
              </w:rPr>
              <w:t>Nifty 50</w:t>
            </w:r>
          </w:p>
        </w:tc>
        <w:tc>
          <w:tcPr>
            <w:tcW w:w="960" w:type="dxa"/>
          </w:tcPr>
          <w:p w14:paraId="367A13B5" w14:textId="7E70339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w:t>
            </w:r>
          </w:p>
        </w:tc>
        <w:tc>
          <w:tcPr>
            <w:tcW w:w="853" w:type="dxa"/>
          </w:tcPr>
          <w:p w14:paraId="0452D894" w14:textId="42B5408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2.58</w:t>
            </w:r>
          </w:p>
        </w:tc>
        <w:tc>
          <w:tcPr>
            <w:tcW w:w="873" w:type="dxa"/>
          </w:tcPr>
          <w:p w14:paraId="794B66BA" w14:textId="541A06E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5D0011">
              <w:rPr>
                <w:rFonts w:ascii="Times New Roman" w:hAnsi="Times New Roman" w:cs="Times New Roman"/>
                <w:sz w:val="24"/>
                <w:szCs w:val="24"/>
              </w:rPr>
              <w:t>5</w:t>
            </w:r>
            <w:r>
              <w:rPr>
                <w:rFonts w:ascii="Times New Roman" w:hAnsi="Times New Roman" w:cs="Times New Roman"/>
                <w:sz w:val="24"/>
                <w:szCs w:val="24"/>
              </w:rPr>
              <w:t>*</w:t>
            </w:r>
          </w:p>
        </w:tc>
        <w:tc>
          <w:tcPr>
            <w:tcW w:w="960" w:type="dxa"/>
          </w:tcPr>
          <w:p w14:paraId="5CB0D9EA" w14:textId="10C01033"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w:t>
            </w:r>
          </w:p>
        </w:tc>
        <w:tc>
          <w:tcPr>
            <w:tcW w:w="846" w:type="dxa"/>
          </w:tcPr>
          <w:p w14:paraId="07A4D907" w14:textId="16DF383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w:t>
            </w:r>
          </w:p>
        </w:tc>
        <w:tc>
          <w:tcPr>
            <w:tcW w:w="996" w:type="dxa"/>
          </w:tcPr>
          <w:p w14:paraId="5A268E0D" w14:textId="72D5051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5D0011">
              <w:rPr>
                <w:rFonts w:ascii="Times New Roman" w:hAnsi="Times New Roman" w:cs="Times New Roman"/>
                <w:sz w:val="24"/>
                <w:szCs w:val="24"/>
              </w:rPr>
              <w:t>04</w:t>
            </w:r>
            <w:r>
              <w:rPr>
                <w:rFonts w:ascii="Times New Roman" w:hAnsi="Times New Roman" w:cs="Times New Roman"/>
                <w:sz w:val="24"/>
                <w:szCs w:val="24"/>
              </w:rPr>
              <w:t>*</w:t>
            </w:r>
          </w:p>
        </w:tc>
        <w:tc>
          <w:tcPr>
            <w:tcW w:w="960" w:type="dxa"/>
          </w:tcPr>
          <w:p w14:paraId="14245E85" w14:textId="2766098A"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p>
        </w:tc>
        <w:tc>
          <w:tcPr>
            <w:tcW w:w="835" w:type="dxa"/>
          </w:tcPr>
          <w:p w14:paraId="524AC6F8" w14:textId="4B74DFEE"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w:t>
            </w:r>
          </w:p>
        </w:tc>
        <w:tc>
          <w:tcPr>
            <w:tcW w:w="873" w:type="dxa"/>
          </w:tcPr>
          <w:p w14:paraId="19BFE9D8" w14:textId="7BA5BBB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5D0011">
              <w:rPr>
                <w:rFonts w:ascii="Times New Roman" w:hAnsi="Times New Roman" w:cs="Times New Roman"/>
                <w:sz w:val="24"/>
                <w:szCs w:val="24"/>
              </w:rPr>
              <w:t>3</w:t>
            </w:r>
            <w:r>
              <w:rPr>
                <w:rFonts w:ascii="Times New Roman" w:hAnsi="Times New Roman" w:cs="Times New Roman"/>
                <w:sz w:val="24"/>
                <w:szCs w:val="24"/>
              </w:rPr>
              <w:t>*</w:t>
            </w:r>
          </w:p>
        </w:tc>
      </w:tr>
      <w:tr w:rsidR="007D2143" w14:paraId="20BE61B6"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EC84968" w14:textId="7885C01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 xml:space="preserve">Automobile </w:t>
            </w:r>
          </w:p>
        </w:tc>
        <w:tc>
          <w:tcPr>
            <w:tcW w:w="960" w:type="dxa"/>
          </w:tcPr>
          <w:p w14:paraId="74B4E854" w14:textId="3A52F1AA"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1.06</w:t>
            </w:r>
          </w:p>
        </w:tc>
        <w:tc>
          <w:tcPr>
            <w:tcW w:w="853" w:type="dxa"/>
          </w:tcPr>
          <w:p w14:paraId="5B41DEA4" w14:textId="095025A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2.6</w:t>
            </w:r>
          </w:p>
        </w:tc>
        <w:tc>
          <w:tcPr>
            <w:tcW w:w="873" w:type="dxa"/>
          </w:tcPr>
          <w:p w14:paraId="09072ACC" w14:textId="530F32C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5D0011">
              <w:rPr>
                <w:rFonts w:ascii="Times New Roman" w:hAnsi="Times New Roman" w:cs="Times New Roman"/>
                <w:sz w:val="24"/>
                <w:szCs w:val="24"/>
              </w:rPr>
              <w:t>1</w:t>
            </w:r>
            <w:r>
              <w:rPr>
                <w:rFonts w:ascii="Times New Roman" w:hAnsi="Times New Roman" w:cs="Times New Roman"/>
                <w:sz w:val="24"/>
                <w:szCs w:val="24"/>
              </w:rPr>
              <w:t>*</w:t>
            </w:r>
          </w:p>
        </w:tc>
        <w:tc>
          <w:tcPr>
            <w:tcW w:w="960" w:type="dxa"/>
          </w:tcPr>
          <w:p w14:paraId="73019931" w14:textId="36F64C1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1.06</w:t>
            </w:r>
          </w:p>
        </w:tc>
        <w:tc>
          <w:tcPr>
            <w:tcW w:w="846" w:type="dxa"/>
          </w:tcPr>
          <w:p w14:paraId="1F5ED8C6" w14:textId="147B25A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2.01</w:t>
            </w:r>
          </w:p>
        </w:tc>
        <w:tc>
          <w:tcPr>
            <w:tcW w:w="996" w:type="dxa"/>
          </w:tcPr>
          <w:p w14:paraId="14AEF408" w14:textId="366F8FC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5D0011">
              <w:rPr>
                <w:rFonts w:ascii="Times New Roman" w:hAnsi="Times New Roman" w:cs="Times New Roman"/>
                <w:sz w:val="24"/>
                <w:szCs w:val="24"/>
              </w:rPr>
              <w:t>3</w:t>
            </w:r>
            <w:r>
              <w:rPr>
                <w:rFonts w:ascii="Times New Roman" w:hAnsi="Times New Roman" w:cs="Times New Roman"/>
                <w:sz w:val="24"/>
                <w:szCs w:val="24"/>
              </w:rPr>
              <w:t>*</w:t>
            </w:r>
          </w:p>
        </w:tc>
        <w:tc>
          <w:tcPr>
            <w:tcW w:w="960" w:type="dxa"/>
          </w:tcPr>
          <w:p w14:paraId="16D4910E" w14:textId="61A4B92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1.34</w:t>
            </w:r>
          </w:p>
        </w:tc>
        <w:tc>
          <w:tcPr>
            <w:tcW w:w="835" w:type="dxa"/>
          </w:tcPr>
          <w:p w14:paraId="73CD77C3" w14:textId="267495F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1.73</w:t>
            </w:r>
          </w:p>
        </w:tc>
        <w:tc>
          <w:tcPr>
            <w:tcW w:w="873" w:type="dxa"/>
          </w:tcPr>
          <w:p w14:paraId="2C785E17" w14:textId="5D345AA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5D0011">
              <w:rPr>
                <w:rFonts w:ascii="Times New Roman" w:hAnsi="Times New Roman" w:cs="Times New Roman"/>
                <w:sz w:val="24"/>
                <w:szCs w:val="24"/>
              </w:rPr>
              <w:t>18</w:t>
            </w:r>
          </w:p>
        </w:tc>
      </w:tr>
      <w:tr w:rsidR="007D2143" w14:paraId="5AA2BB94"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62C8520C" w14:textId="6623B60C"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Consumer Durable</w:t>
            </w:r>
          </w:p>
        </w:tc>
        <w:tc>
          <w:tcPr>
            <w:tcW w:w="960" w:type="dxa"/>
          </w:tcPr>
          <w:p w14:paraId="3A008B9F" w14:textId="5941F6C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1.74</w:t>
            </w:r>
          </w:p>
        </w:tc>
        <w:tc>
          <w:tcPr>
            <w:tcW w:w="853" w:type="dxa"/>
          </w:tcPr>
          <w:p w14:paraId="41F936DE" w14:textId="52A4DB6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w:t>
            </w:r>
          </w:p>
        </w:tc>
        <w:tc>
          <w:tcPr>
            <w:tcW w:w="873" w:type="dxa"/>
          </w:tcPr>
          <w:p w14:paraId="10BAAFE7" w14:textId="69C4B1F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0.12</w:t>
            </w:r>
          </w:p>
        </w:tc>
        <w:tc>
          <w:tcPr>
            <w:tcW w:w="960" w:type="dxa"/>
          </w:tcPr>
          <w:p w14:paraId="64FAEECF" w14:textId="193144D3"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1.35</w:t>
            </w:r>
          </w:p>
        </w:tc>
        <w:tc>
          <w:tcPr>
            <w:tcW w:w="846" w:type="dxa"/>
          </w:tcPr>
          <w:p w14:paraId="09A85664" w14:textId="489BC51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1.71</w:t>
            </w:r>
          </w:p>
        </w:tc>
        <w:tc>
          <w:tcPr>
            <w:tcW w:w="996" w:type="dxa"/>
          </w:tcPr>
          <w:p w14:paraId="1A06EFFB" w14:textId="19CBF51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0.19</w:t>
            </w:r>
          </w:p>
        </w:tc>
        <w:tc>
          <w:tcPr>
            <w:tcW w:w="960" w:type="dxa"/>
          </w:tcPr>
          <w:p w14:paraId="173125C3" w14:textId="7250337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1.24</w:t>
            </w:r>
          </w:p>
        </w:tc>
        <w:tc>
          <w:tcPr>
            <w:tcW w:w="835" w:type="dxa"/>
          </w:tcPr>
          <w:p w14:paraId="53825872" w14:textId="7B3FEEF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1.47</w:t>
            </w:r>
          </w:p>
        </w:tc>
        <w:tc>
          <w:tcPr>
            <w:tcW w:w="873" w:type="dxa"/>
          </w:tcPr>
          <w:p w14:paraId="4A87E681" w14:textId="384F4B2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0.18</w:t>
            </w:r>
          </w:p>
        </w:tc>
      </w:tr>
      <w:tr w:rsidR="007D2143" w14:paraId="688B96C1"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45A9DD5" w14:textId="0F064C0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Energy</w:t>
            </w:r>
          </w:p>
        </w:tc>
        <w:tc>
          <w:tcPr>
            <w:tcW w:w="960" w:type="dxa"/>
          </w:tcPr>
          <w:p w14:paraId="6365C766" w14:textId="57F650B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1.77</w:t>
            </w:r>
          </w:p>
        </w:tc>
        <w:tc>
          <w:tcPr>
            <w:tcW w:w="853" w:type="dxa"/>
          </w:tcPr>
          <w:p w14:paraId="529F77C9" w14:textId="1F82FD3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w:t>
            </w:r>
          </w:p>
        </w:tc>
        <w:tc>
          <w:tcPr>
            <w:tcW w:w="873" w:type="dxa"/>
          </w:tcPr>
          <w:p w14:paraId="4AC32ACB" w14:textId="15C296A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3E7CF2">
              <w:rPr>
                <w:rFonts w:ascii="Times New Roman" w:hAnsi="Times New Roman" w:cs="Times New Roman"/>
                <w:sz w:val="24"/>
                <w:szCs w:val="24"/>
              </w:rPr>
              <w:t>07</w:t>
            </w:r>
          </w:p>
        </w:tc>
        <w:tc>
          <w:tcPr>
            <w:tcW w:w="960" w:type="dxa"/>
          </w:tcPr>
          <w:p w14:paraId="3C4D803E" w14:textId="5983F07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1.11</w:t>
            </w:r>
          </w:p>
        </w:tc>
        <w:tc>
          <w:tcPr>
            <w:tcW w:w="846" w:type="dxa"/>
          </w:tcPr>
          <w:p w14:paraId="043DA3D8" w14:textId="258E6D0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1.94</w:t>
            </w:r>
          </w:p>
        </w:tc>
        <w:tc>
          <w:tcPr>
            <w:tcW w:w="996" w:type="dxa"/>
          </w:tcPr>
          <w:p w14:paraId="4BC3365D" w14:textId="09CC78F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3E7CF2">
              <w:rPr>
                <w:rFonts w:ascii="Times New Roman" w:hAnsi="Times New Roman" w:cs="Times New Roman"/>
                <w:sz w:val="24"/>
                <w:szCs w:val="24"/>
              </w:rPr>
              <w:t>8</w:t>
            </w:r>
          </w:p>
        </w:tc>
        <w:tc>
          <w:tcPr>
            <w:tcW w:w="960" w:type="dxa"/>
          </w:tcPr>
          <w:p w14:paraId="1B095DA9" w14:textId="54C3744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1.29</w:t>
            </w:r>
          </w:p>
        </w:tc>
        <w:tc>
          <w:tcPr>
            <w:tcW w:w="835" w:type="dxa"/>
          </w:tcPr>
          <w:p w14:paraId="515AE7FF" w14:textId="12220AF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1.71</w:t>
            </w:r>
          </w:p>
        </w:tc>
        <w:tc>
          <w:tcPr>
            <w:tcW w:w="873" w:type="dxa"/>
          </w:tcPr>
          <w:p w14:paraId="2783060B" w14:textId="150EC68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3E7CF2">
              <w:rPr>
                <w:rFonts w:ascii="Times New Roman" w:hAnsi="Times New Roman" w:cs="Times New Roman"/>
                <w:sz w:val="24"/>
                <w:szCs w:val="24"/>
              </w:rPr>
              <w:t>24</w:t>
            </w:r>
          </w:p>
        </w:tc>
      </w:tr>
      <w:tr w:rsidR="007D2143" w14:paraId="435A6B47"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26ED9F90" w14:textId="539D5E8A" w:rsidR="00994074" w:rsidRPr="001B16B5" w:rsidRDefault="000C0A21" w:rsidP="00994074">
            <w:pPr>
              <w:rPr>
                <w:rFonts w:ascii="Times New Roman" w:hAnsi="Times New Roman" w:cs="Times New Roman"/>
                <w:sz w:val="24"/>
                <w:szCs w:val="24"/>
              </w:rPr>
            </w:pPr>
            <w:r>
              <w:rPr>
                <w:rFonts w:ascii="Times New Roman" w:hAnsi="Times New Roman" w:cs="Times New Roman"/>
                <w:sz w:val="24"/>
                <w:szCs w:val="24"/>
              </w:rPr>
              <w:lastRenderedPageBreak/>
              <w:t>Financial Service</w:t>
            </w:r>
          </w:p>
        </w:tc>
        <w:tc>
          <w:tcPr>
            <w:tcW w:w="960" w:type="dxa"/>
          </w:tcPr>
          <w:p w14:paraId="050F295D" w14:textId="68EDF4DF"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w:t>
            </w:r>
          </w:p>
        </w:tc>
        <w:tc>
          <w:tcPr>
            <w:tcW w:w="853" w:type="dxa"/>
          </w:tcPr>
          <w:p w14:paraId="31B2844A" w14:textId="41AB8494"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2.10</w:t>
            </w:r>
          </w:p>
        </w:tc>
        <w:tc>
          <w:tcPr>
            <w:tcW w:w="873" w:type="dxa"/>
          </w:tcPr>
          <w:p w14:paraId="2889EADE" w14:textId="73551700"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B223DC">
              <w:rPr>
                <w:rFonts w:ascii="Times New Roman" w:hAnsi="Times New Roman" w:cs="Times New Roman"/>
                <w:sz w:val="24"/>
                <w:szCs w:val="24"/>
              </w:rPr>
              <w:t>37</w:t>
            </w:r>
          </w:p>
        </w:tc>
        <w:tc>
          <w:tcPr>
            <w:tcW w:w="960" w:type="dxa"/>
          </w:tcPr>
          <w:p w14:paraId="4E041446" w14:textId="00E9C37F"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tcW w:w="846" w:type="dxa"/>
          </w:tcPr>
          <w:p w14:paraId="0D8AA22A" w14:textId="7B4A8834"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p>
        </w:tc>
        <w:tc>
          <w:tcPr>
            <w:tcW w:w="996" w:type="dxa"/>
          </w:tcPr>
          <w:p w14:paraId="1A7BEBD8" w14:textId="1AC4ECE0"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B223DC">
              <w:rPr>
                <w:rFonts w:ascii="Times New Roman" w:hAnsi="Times New Roman" w:cs="Times New Roman"/>
                <w:sz w:val="24"/>
                <w:szCs w:val="24"/>
              </w:rPr>
              <w:t>14</w:t>
            </w:r>
          </w:p>
        </w:tc>
        <w:tc>
          <w:tcPr>
            <w:tcW w:w="960" w:type="dxa"/>
          </w:tcPr>
          <w:p w14:paraId="1F1374FE" w14:textId="285C6849"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c>
          <w:tcPr>
            <w:tcW w:w="835" w:type="dxa"/>
          </w:tcPr>
          <w:p w14:paraId="487BFE9A" w14:textId="08180937" w:rsidR="00994074" w:rsidRPr="001B16B5" w:rsidRDefault="00A9717A"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1.46</w:t>
            </w:r>
          </w:p>
        </w:tc>
        <w:tc>
          <w:tcPr>
            <w:tcW w:w="873" w:type="dxa"/>
          </w:tcPr>
          <w:p w14:paraId="57E33AFA" w14:textId="0C761980" w:rsidR="00994074" w:rsidRPr="001B16B5" w:rsidRDefault="00A9717A"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B223DC">
              <w:rPr>
                <w:rFonts w:ascii="Times New Roman" w:hAnsi="Times New Roman" w:cs="Times New Roman"/>
                <w:sz w:val="24"/>
                <w:szCs w:val="24"/>
              </w:rPr>
              <w:t>3*</w:t>
            </w:r>
          </w:p>
        </w:tc>
      </w:tr>
      <w:tr w:rsidR="007D2143" w14:paraId="25A632AE" w14:textId="77777777" w:rsidTr="00317B85">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430" w:type="dxa"/>
          </w:tcPr>
          <w:p w14:paraId="304D1B7B" w14:textId="61A96F60"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FMCG</w:t>
            </w:r>
          </w:p>
        </w:tc>
        <w:tc>
          <w:tcPr>
            <w:tcW w:w="960" w:type="dxa"/>
          </w:tcPr>
          <w:p w14:paraId="1923FC1A" w14:textId="4F37B13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0.55</w:t>
            </w:r>
          </w:p>
        </w:tc>
        <w:tc>
          <w:tcPr>
            <w:tcW w:w="853" w:type="dxa"/>
          </w:tcPr>
          <w:p w14:paraId="148B30B0" w14:textId="5806E29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1.07</w:t>
            </w:r>
          </w:p>
        </w:tc>
        <w:tc>
          <w:tcPr>
            <w:tcW w:w="873" w:type="dxa"/>
          </w:tcPr>
          <w:p w14:paraId="3AD78F1A" w14:textId="6049645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084822">
              <w:rPr>
                <w:rFonts w:ascii="Times New Roman" w:hAnsi="Times New Roman" w:cs="Times New Roman"/>
                <w:sz w:val="24"/>
                <w:szCs w:val="24"/>
              </w:rPr>
              <w:t>14</w:t>
            </w:r>
          </w:p>
        </w:tc>
        <w:tc>
          <w:tcPr>
            <w:tcW w:w="960" w:type="dxa"/>
          </w:tcPr>
          <w:p w14:paraId="7A99B700" w14:textId="7F23AA5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0.62</w:t>
            </w:r>
          </w:p>
        </w:tc>
        <w:tc>
          <w:tcPr>
            <w:tcW w:w="846" w:type="dxa"/>
          </w:tcPr>
          <w:p w14:paraId="760E840A" w14:textId="0AA13AE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1.02</w:t>
            </w:r>
          </w:p>
        </w:tc>
        <w:tc>
          <w:tcPr>
            <w:tcW w:w="996" w:type="dxa"/>
          </w:tcPr>
          <w:p w14:paraId="25EC7C61" w14:textId="17FCA54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084822">
              <w:rPr>
                <w:rFonts w:ascii="Times New Roman" w:hAnsi="Times New Roman" w:cs="Times New Roman"/>
                <w:sz w:val="24"/>
                <w:szCs w:val="24"/>
              </w:rPr>
              <w:t>10</w:t>
            </w:r>
          </w:p>
        </w:tc>
        <w:tc>
          <w:tcPr>
            <w:tcW w:w="960" w:type="dxa"/>
          </w:tcPr>
          <w:p w14:paraId="7C6C5BBE" w14:textId="058C7A7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0.80</w:t>
            </w:r>
          </w:p>
        </w:tc>
        <w:tc>
          <w:tcPr>
            <w:tcW w:w="835" w:type="dxa"/>
          </w:tcPr>
          <w:p w14:paraId="6408854D" w14:textId="6CADFE5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1.03</w:t>
            </w:r>
          </w:p>
        </w:tc>
        <w:tc>
          <w:tcPr>
            <w:tcW w:w="873" w:type="dxa"/>
          </w:tcPr>
          <w:p w14:paraId="35EECFC9" w14:textId="60FAA19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w:t>
            </w:r>
            <w:r w:rsidR="00084822">
              <w:rPr>
                <w:rFonts w:ascii="Times New Roman" w:hAnsi="Times New Roman" w:cs="Times New Roman"/>
                <w:sz w:val="24"/>
                <w:szCs w:val="24"/>
              </w:rPr>
              <w:t>2</w:t>
            </w:r>
          </w:p>
        </w:tc>
      </w:tr>
      <w:tr w:rsidR="007D2143" w14:paraId="78DB0564"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0CBD6606" w14:textId="6959A734"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Healthcare</w:t>
            </w:r>
          </w:p>
        </w:tc>
        <w:tc>
          <w:tcPr>
            <w:tcW w:w="960" w:type="dxa"/>
          </w:tcPr>
          <w:p w14:paraId="58FFA22F" w14:textId="05E3624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1.00</w:t>
            </w:r>
          </w:p>
        </w:tc>
        <w:tc>
          <w:tcPr>
            <w:tcW w:w="853" w:type="dxa"/>
          </w:tcPr>
          <w:p w14:paraId="61FDD324" w14:textId="75099AA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2.27</w:t>
            </w:r>
          </w:p>
        </w:tc>
        <w:tc>
          <w:tcPr>
            <w:tcW w:w="873" w:type="dxa"/>
          </w:tcPr>
          <w:p w14:paraId="619A05C3" w14:textId="0D87056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B94EB2">
              <w:rPr>
                <w:rFonts w:ascii="Times New Roman" w:hAnsi="Times New Roman" w:cs="Times New Roman"/>
                <w:sz w:val="24"/>
                <w:szCs w:val="24"/>
              </w:rPr>
              <w:t>0</w:t>
            </w:r>
            <w:r>
              <w:rPr>
                <w:rFonts w:ascii="Times New Roman" w:hAnsi="Times New Roman" w:cs="Times New Roman"/>
                <w:sz w:val="24"/>
                <w:szCs w:val="24"/>
              </w:rPr>
              <w:t>*</w:t>
            </w:r>
          </w:p>
        </w:tc>
        <w:tc>
          <w:tcPr>
            <w:tcW w:w="960" w:type="dxa"/>
          </w:tcPr>
          <w:p w14:paraId="6CDBE314" w14:textId="64EB718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1.04</w:t>
            </w:r>
          </w:p>
        </w:tc>
        <w:tc>
          <w:tcPr>
            <w:tcW w:w="846" w:type="dxa"/>
          </w:tcPr>
          <w:p w14:paraId="4AA35CEB" w14:textId="554302C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1.78</w:t>
            </w:r>
          </w:p>
        </w:tc>
        <w:tc>
          <w:tcPr>
            <w:tcW w:w="996" w:type="dxa"/>
          </w:tcPr>
          <w:p w14:paraId="78307783" w14:textId="1251DC2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21</w:t>
            </w:r>
          </w:p>
        </w:tc>
        <w:tc>
          <w:tcPr>
            <w:tcW w:w="960" w:type="dxa"/>
          </w:tcPr>
          <w:p w14:paraId="7665DC1D" w14:textId="4697E9C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1.14</w:t>
            </w:r>
          </w:p>
        </w:tc>
        <w:tc>
          <w:tcPr>
            <w:tcW w:w="835" w:type="dxa"/>
          </w:tcPr>
          <w:p w14:paraId="3CBA4ABB" w14:textId="5A95B0B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1.39</w:t>
            </w:r>
          </w:p>
        </w:tc>
        <w:tc>
          <w:tcPr>
            <w:tcW w:w="873" w:type="dxa"/>
          </w:tcPr>
          <w:p w14:paraId="51D1CE0F" w14:textId="2FF3DC9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26</w:t>
            </w:r>
          </w:p>
        </w:tc>
      </w:tr>
      <w:tr w:rsidR="007D2143" w14:paraId="47D7514F"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C931C36" w14:textId="36DCC43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IT</w:t>
            </w:r>
          </w:p>
        </w:tc>
        <w:tc>
          <w:tcPr>
            <w:tcW w:w="960" w:type="dxa"/>
          </w:tcPr>
          <w:p w14:paraId="72AE1357" w14:textId="698C24B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1.69</w:t>
            </w:r>
          </w:p>
        </w:tc>
        <w:tc>
          <w:tcPr>
            <w:tcW w:w="853" w:type="dxa"/>
          </w:tcPr>
          <w:p w14:paraId="1B28D4A3" w14:textId="089DDBA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2.75</w:t>
            </w:r>
          </w:p>
        </w:tc>
        <w:tc>
          <w:tcPr>
            <w:tcW w:w="873" w:type="dxa"/>
          </w:tcPr>
          <w:p w14:paraId="08723794" w14:textId="27906D0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45</w:t>
            </w:r>
          </w:p>
        </w:tc>
        <w:tc>
          <w:tcPr>
            <w:tcW w:w="960" w:type="dxa"/>
          </w:tcPr>
          <w:p w14:paraId="20CACB62" w14:textId="4AC0E63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1.35</w:t>
            </w:r>
          </w:p>
        </w:tc>
        <w:tc>
          <w:tcPr>
            <w:tcW w:w="846" w:type="dxa"/>
          </w:tcPr>
          <w:p w14:paraId="1EE9454C" w14:textId="0DEF55B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2.28</w:t>
            </w:r>
          </w:p>
        </w:tc>
        <w:tc>
          <w:tcPr>
            <w:tcW w:w="996" w:type="dxa"/>
          </w:tcPr>
          <w:p w14:paraId="76142E27" w14:textId="41FE4D7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17</w:t>
            </w:r>
          </w:p>
        </w:tc>
        <w:tc>
          <w:tcPr>
            <w:tcW w:w="960" w:type="dxa"/>
          </w:tcPr>
          <w:p w14:paraId="7F3B7B2F" w14:textId="273E61A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1.41</w:t>
            </w:r>
          </w:p>
        </w:tc>
        <w:tc>
          <w:tcPr>
            <w:tcW w:w="835" w:type="dxa"/>
          </w:tcPr>
          <w:p w14:paraId="27F1C55E" w14:textId="4E08AD3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2.13</w:t>
            </w:r>
          </w:p>
        </w:tc>
        <w:tc>
          <w:tcPr>
            <w:tcW w:w="873" w:type="dxa"/>
          </w:tcPr>
          <w:p w14:paraId="012D7467" w14:textId="7A70C74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26</w:t>
            </w:r>
          </w:p>
        </w:tc>
      </w:tr>
      <w:tr w:rsidR="007D2143" w14:paraId="2D112C67"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B51DD49" w14:textId="4AD8177E"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Media</w:t>
            </w:r>
          </w:p>
        </w:tc>
        <w:tc>
          <w:tcPr>
            <w:tcW w:w="960" w:type="dxa"/>
          </w:tcPr>
          <w:p w14:paraId="1EA31FF3" w14:textId="05E04BC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2.07</w:t>
            </w:r>
          </w:p>
        </w:tc>
        <w:tc>
          <w:tcPr>
            <w:tcW w:w="853" w:type="dxa"/>
          </w:tcPr>
          <w:p w14:paraId="730D6C5D" w14:textId="7CAF6FC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3.17</w:t>
            </w:r>
          </w:p>
        </w:tc>
        <w:tc>
          <w:tcPr>
            <w:tcW w:w="873" w:type="dxa"/>
          </w:tcPr>
          <w:p w14:paraId="650329BD" w14:textId="2080468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20</w:t>
            </w:r>
          </w:p>
        </w:tc>
        <w:tc>
          <w:tcPr>
            <w:tcW w:w="960" w:type="dxa"/>
          </w:tcPr>
          <w:p w14:paraId="45651E89" w14:textId="57A84B1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1.82</w:t>
            </w:r>
          </w:p>
        </w:tc>
        <w:tc>
          <w:tcPr>
            <w:tcW w:w="846" w:type="dxa"/>
          </w:tcPr>
          <w:p w14:paraId="535156AB" w14:textId="26CA076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2.34</w:t>
            </w:r>
          </w:p>
        </w:tc>
        <w:tc>
          <w:tcPr>
            <w:tcW w:w="996" w:type="dxa"/>
          </w:tcPr>
          <w:p w14:paraId="7276C359" w14:textId="028FD99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70</w:t>
            </w:r>
          </w:p>
        </w:tc>
        <w:tc>
          <w:tcPr>
            <w:tcW w:w="960" w:type="dxa"/>
          </w:tcPr>
          <w:p w14:paraId="51311661" w14:textId="30447AE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1.95</w:t>
            </w:r>
          </w:p>
        </w:tc>
        <w:tc>
          <w:tcPr>
            <w:tcW w:w="835" w:type="dxa"/>
          </w:tcPr>
          <w:p w14:paraId="63347A8D" w14:textId="285AFC5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1.90</w:t>
            </w:r>
          </w:p>
        </w:tc>
        <w:tc>
          <w:tcPr>
            <w:tcW w:w="873" w:type="dxa"/>
          </w:tcPr>
          <w:p w14:paraId="6F4E61F7" w14:textId="486A93C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47</w:t>
            </w:r>
          </w:p>
        </w:tc>
      </w:tr>
      <w:tr w:rsidR="007D2143" w14:paraId="65470E37"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66B0C3E6" w14:textId="3CB8B4FF"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Metal</w:t>
            </w:r>
          </w:p>
        </w:tc>
        <w:tc>
          <w:tcPr>
            <w:tcW w:w="960" w:type="dxa"/>
          </w:tcPr>
          <w:p w14:paraId="26584DA3" w14:textId="55F5FF9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1.40</w:t>
            </w:r>
          </w:p>
        </w:tc>
        <w:tc>
          <w:tcPr>
            <w:tcW w:w="853" w:type="dxa"/>
          </w:tcPr>
          <w:p w14:paraId="24A71C17" w14:textId="04528A6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4.83</w:t>
            </w:r>
          </w:p>
        </w:tc>
        <w:tc>
          <w:tcPr>
            <w:tcW w:w="873" w:type="dxa"/>
          </w:tcPr>
          <w:p w14:paraId="39ED68D6" w14:textId="16DA818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70A8A">
              <w:rPr>
                <w:rFonts w:ascii="Times New Roman" w:hAnsi="Times New Roman" w:cs="Times New Roman"/>
                <w:sz w:val="24"/>
                <w:szCs w:val="24"/>
              </w:rPr>
              <w:t>5*</w:t>
            </w:r>
          </w:p>
        </w:tc>
        <w:tc>
          <w:tcPr>
            <w:tcW w:w="960" w:type="dxa"/>
          </w:tcPr>
          <w:p w14:paraId="63DBA259" w14:textId="57F9173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1.02</w:t>
            </w:r>
          </w:p>
        </w:tc>
        <w:tc>
          <w:tcPr>
            <w:tcW w:w="846" w:type="dxa"/>
          </w:tcPr>
          <w:p w14:paraId="7BF00A8B" w14:textId="72806E5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3.06</w:t>
            </w:r>
          </w:p>
        </w:tc>
        <w:tc>
          <w:tcPr>
            <w:tcW w:w="996" w:type="dxa"/>
          </w:tcPr>
          <w:p w14:paraId="42D16B02" w14:textId="57A85E8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70A8A">
              <w:rPr>
                <w:rFonts w:ascii="Times New Roman" w:hAnsi="Times New Roman" w:cs="Times New Roman"/>
                <w:sz w:val="24"/>
                <w:szCs w:val="24"/>
              </w:rPr>
              <w:t>5*</w:t>
            </w:r>
          </w:p>
        </w:tc>
        <w:tc>
          <w:tcPr>
            <w:tcW w:w="960" w:type="dxa"/>
          </w:tcPr>
          <w:p w14:paraId="770316F2" w14:textId="15F5558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1.38</w:t>
            </w:r>
          </w:p>
        </w:tc>
        <w:tc>
          <w:tcPr>
            <w:tcW w:w="835" w:type="dxa"/>
          </w:tcPr>
          <w:p w14:paraId="4C943F58" w14:textId="0C78B39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2.53</w:t>
            </w:r>
          </w:p>
        </w:tc>
        <w:tc>
          <w:tcPr>
            <w:tcW w:w="873" w:type="dxa"/>
          </w:tcPr>
          <w:p w14:paraId="6E4EEF81" w14:textId="00AE471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12</w:t>
            </w:r>
          </w:p>
        </w:tc>
      </w:tr>
      <w:tr w:rsidR="007D2143" w14:paraId="617FC993"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7239E188" w14:textId="78A3B75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Oil &amp; Gas</w:t>
            </w:r>
          </w:p>
        </w:tc>
        <w:tc>
          <w:tcPr>
            <w:tcW w:w="960" w:type="dxa"/>
          </w:tcPr>
          <w:p w14:paraId="318E0D74" w14:textId="2D91D94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1.84</w:t>
            </w:r>
          </w:p>
        </w:tc>
        <w:tc>
          <w:tcPr>
            <w:tcW w:w="853" w:type="dxa"/>
          </w:tcPr>
          <w:p w14:paraId="31A6D61C" w14:textId="4731E2D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2.87</w:t>
            </w:r>
          </w:p>
        </w:tc>
        <w:tc>
          <w:tcPr>
            <w:tcW w:w="873" w:type="dxa"/>
          </w:tcPr>
          <w:p w14:paraId="6870C823" w14:textId="5B68C2AE"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EE7C16">
              <w:rPr>
                <w:rFonts w:ascii="Times New Roman" w:hAnsi="Times New Roman" w:cs="Times New Roman"/>
                <w:sz w:val="24"/>
                <w:szCs w:val="24"/>
              </w:rPr>
              <w:t>23</w:t>
            </w:r>
          </w:p>
        </w:tc>
        <w:tc>
          <w:tcPr>
            <w:tcW w:w="960" w:type="dxa"/>
          </w:tcPr>
          <w:p w14:paraId="49BAC9FF" w14:textId="3CF6D54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1.17</w:t>
            </w:r>
          </w:p>
        </w:tc>
        <w:tc>
          <w:tcPr>
            <w:tcW w:w="846" w:type="dxa"/>
          </w:tcPr>
          <w:p w14:paraId="1DE408F7" w14:textId="6ADC60E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1.96</w:t>
            </w:r>
          </w:p>
        </w:tc>
        <w:tc>
          <w:tcPr>
            <w:tcW w:w="996" w:type="dxa"/>
          </w:tcPr>
          <w:p w14:paraId="5038B097" w14:textId="07BF2DB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EE7C16">
              <w:rPr>
                <w:rFonts w:ascii="Times New Roman" w:hAnsi="Times New Roman" w:cs="Times New Roman"/>
                <w:sz w:val="24"/>
                <w:szCs w:val="24"/>
              </w:rPr>
              <w:t>9</w:t>
            </w:r>
          </w:p>
        </w:tc>
        <w:tc>
          <w:tcPr>
            <w:tcW w:w="960" w:type="dxa"/>
          </w:tcPr>
          <w:p w14:paraId="29DB67EC" w14:textId="0C2BEFA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1.27</w:t>
            </w:r>
          </w:p>
        </w:tc>
        <w:tc>
          <w:tcPr>
            <w:tcW w:w="835" w:type="dxa"/>
          </w:tcPr>
          <w:p w14:paraId="612EA51F" w14:textId="3BE7BB5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1.63</w:t>
            </w:r>
          </w:p>
        </w:tc>
        <w:tc>
          <w:tcPr>
            <w:tcW w:w="873" w:type="dxa"/>
          </w:tcPr>
          <w:p w14:paraId="55816EAD" w14:textId="4095CBD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EE7C16">
              <w:rPr>
                <w:rFonts w:ascii="Times New Roman" w:hAnsi="Times New Roman" w:cs="Times New Roman"/>
                <w:sz w:val="24"/>
                <w:szCs w:val="24"/>
              </w:rPr>
              <w:t>31</w:t>
            </w:r>
          </w:p>
        </w:tc>
      </w:tr>
      <w:tr w:rsidR="00B223DC" w14:paraId="00987986"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0C894AF3" w14:textId="7D4E14C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Pharma</w:t>
            </w:r>
          </w:p>
        </w:tc>
        <w:tc>
          <w:tcPr>
            <w:tcW w:w="960" w:type="dxa"/>
          </w:tcPr>
          <w:p w14:paraId="0A0D133D" w14:textId="2036B99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1.05</w:t>
            </w:r>
          </w:p>
        </w:tc>
        <w:tc>
          <w:tcPr>
            <w:tcW w:w="853" w:type="dxa"/>
          </w:tcPr>
          <w:p w14:paraId="32A7BF29" w14:textId="67E4DB5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2.80</w:t>
            </w:r>
          </w:p>
        </w:tc>
        <w:tc>
          <w:tcPr>
            <w:tcW w:w="873" w:type="dxa"/>
          </w:tcPr>
          <w:p w14:paraId="685D63FB" w14:textId="245ACB8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22F12">
              <w:rPr>
                <w:rFonts w:ascii="Times New Roman" w:hAnsi="Times New Roman" w:cs="Times New Roman"/>
                <w:sz w:val="24"/>
                <w:szCs w:val="24"/>
              </w:rPr>
              <w:t>1</w:t>
            </w:r>
            <w:r>
              <w:rPr>
                <w:rFonts w:ascii="Times New Roman" w:hAnsi="Times New Roman" w:cs="Times New Roman"/>
                <w:sz w:val="24"/>
                <w:szCs w:val="24"/>
              </w:rPr>
              <w:t>*</w:t>
            </w:r>
          </w:p>
        </w:tc>
        <w:tc>
          <w:tcPr>
            <w:tcW w:w="960" w:type="dxa"/>
          </w:tcPr>
          <w:p w14:paraId="61D17716" w14:textId="39F9C64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1.00</w:t>
            </w:r>
          </w:p>
        </w:tc>
        <w:tc>
          <w:tcPr>
            <w:tcW w:w="846" w:type="dxa"/>
          </w:tcPr>
          <w:p w14:paraId="3BD27E34" w14:textId="68360E3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2.08</w:t>
            </w:r>
          </w:p>
        </w:tc>
        <w:tc>
          <w:tcPr>
            <w:tcW w:w="996" w:type="dxa"/>
          </w:tcPr>
          <w:p w14:paraId="15406A5C" w14:textId="77B2483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0.01</w:t>
            </w:r>
            <w:r w:rsidR="00C22F12">
              <w:rPr>
                <w:rFonts w:ascii="Times New Roman" w:hAnsi="Times New Roman" w:cs="Times New Roman"/>
                <w:sz w:val="24"/>
                <w:szCs w:val="24"/>
              </w:rPr>
              <w:t>2</w:t>
            </w:r>
            <w:r>
              <w:rPr>
                <w:rFonts w:ascii="Times New Roman" w:hAnsi="Times New Roman" w:cs="Times New Roman"/>
                <w:sz w:val="24"/>
                <w:szCs w:val="24"/>
              </w:rPr>
              <w:t>*</w:t>
            </w:r>
          </w:p>
        </w:tc>
        <w:tc>
          <w:tcPr>
            <w:tcW w:w="960" w:type="dxa"/>
          </w:tcPr>
          <w:p w14:paraId="633CFA40" w14:textId="181132E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1.13</w:t>
            </w:r>
          </w:p>
        </w:tc>
        <w:tc>
          <w:tcPr>
            <w:tcW w:w="835" w:type="dxa"/>
          </w:tcPr>
          <w:p w14:paraId="3559573F" w14:textId="39F12728"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1.57</w:t>
            </w:r>
          </w:p>
        </w:tc>
        <w:tc>
          <w:tcPr>
            <w:tcW w:w="873" w:type="dxa"/>
          </w:tcPr>
          <w:p w14:paraId="3F74D83D" w14:textId="4B6AC71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C22F12">
              <w:rPr>
                <w:rFonts w:ascii="Times New Roman" w:hAnsi="Times New Roman" w:cs="Times New Roman"/>
                <w:sz w:val="24"/>
                <w:szCs w:val="24"/>
              </w:rPr>
              <w:t>10</w:t>
            </w:r>
          </w:p>
        </w:tc>
      </w:tr>
      <w:tr w:rsidR="00B223DC" w14:paraId="39D76781"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56903C8B" w14:textId="38C3096E"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Private Bank</w:t>
            </w:r>
          </w:p>
        </w:tc>
        <w:tc>
          <w:tcPr>
            <w:tcW w:w="960" w:type="dxa"/>
          </w:tcPr>
          <w:p w14:paraId="766F8738" w14:textId="3FE3AD1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1.41</w:t>
            </w:r>
          </w:p>
        </w:tc>
        <w:tc>
          <w:tcPr>
            <w:tcW w:w="853" w:type="dxa"/>
          </w:tcPr>
          <w:p w14:paraId="2FA370AC" w14:textId="6BD558D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2.63</w:t>
            </w:r>
          </w:p>
        </w:tc>
        <w:tc>
          <w:tcPr>
            <w:tcW w:w="873" w:type="dxa"/>
          </w:tcPr>
          <w:p w14:paraId="2C263DBE" w14:textId="505741F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20</w:t>
            </w:r>
          </w:p>
        </w:tc>
        <w:tc>
          <w:tcPr>
            <w:tcW w:w="960" w:type="dxa"/>
          </w:tcPr>
          <w:p w14:paraId="521B71E5" w14:textId="16A892E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1.08</w:t>
            </w:r>
          </w:p>
        </w:tc>
        <w:tc>
          <w:tcPr>
            <w:tcW w:w="846" w:type="dxa"/>
          </w:tcPr>
          <w:p w14:paraId="01ED5029" w14:textId="4DE456E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1.63</w:t>
            </w:r>
          </w:p>
        </w:tc>
        <w:tc>
          <w:tcPr>
            <w:tcW w:w="996" w:type="dxa"/>
          </w:tcPr>
          <w:p w14:paraId="0828F2F0" w14:textId="42FBCA5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15</w:t>
            </w:r>
          </w:p>
        </w:tc>
        <w:tc>
          <w:tcPr>
            <w:tcW w:w="960" w:type="dxa"/>
          </w:tcPr>
          <w:p w14:paraId="25FCA3F4" w14:textId="55852C9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0.86</w:t>
            </w:r>
          </w:p>
        </w:tc>
        <w:tc>
          <w:tcPr>
            <w:tcW w:w="835" w:type="dxa"/>
          </w:tcPr>
          <w:p w14:paraId="682A8C0A" w14:textId="6555B54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1.39</w:t>
            </w:r>
          </w:p>
        </w:tc>
        <w:tc>
          <w:tcPr>
            <w:tcW w:w="873" w:type="dxa"/>
          </w:tcPr>
          <w:p w14:paraId="434B465E" w14:textId="5BEDFB4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F6552E">
              <w:rPr>
                <w:rFonts w:ascii="Times New Roman" w:hAnsi="Times New Roman" w:cs="Times New Roman"/>
                <w:sz w:val="24"/>
                <w:szCs w:val="24"/>
              </w:rPr>
              <w:t>8</w:t>
            </w:r>
          </w:p>
        </w:tc>
      </w:tr>
      <w:tr w:rsidR="00B223DC" w14:paraId="03777FED"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BCEA35D" w14:textId="58186BA1"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PSU Bank</w:t>
            </w:r>
          </w:p>
        </w:tc>
        <w:tc>
          <w:tcPr>
            <w:tcW w:w="960" w:type="dxa"/>
          </w:tcPr>
          <w:p w14:paraId="015E020D" w14:textId="601C37F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1.89</w:t>
            </w:r>
          </w:p>
        </w:tc>
        <w:tc>
          <w:tcPr>
            <w:tcW w:w="853" w:type="dxa"/>
          </w:tcPr>
          <w:p w14:paraId="0E816958" w14:textId="19AC741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2.42</w:t>
            </w:r>
          </w:p>
        </w:tc>
        <w:tc>
          <w:tcPr>
            <w:tcW w:w="873" w:type="dxa"/>
          </w:tcPr>
          <w:p w14:paraId="15B3066D" w14:textId="714CBA4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12</w:t>
            </w:r>
          </w:p>
        </w:tc>
        <w:tc>
          <w:tcPr>
            <w:tcW w:w="960" w:type="dxa"/>
          </w:tcPr>
          <w:p w14:paraId="100A3E15" w14:textId="1750249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1.59</w:t>
            </w:r>
          </w:p>
        </w:tc>
        <w:tc>
          <w:tcPr>
            <w:tcW w:w="846" w:type="dxa"/>
          </w:tcPr>
          <w:p w14:paraId="73FC697B" w14:textId="2EC1344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2.05</w:t>
            </w:r>
          </w:p>
        </w:tc>
        <w:tc>
          <w:tcPr>
            <w:tcW w:w="996" w:type="dxa"/>
          </w:tcPr>
          <w:p w14:paraId="35677E92" w14:textId="6D5C170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w:t>
            </w:r>
            <w:r w:rsidR="00F6552E">
              <w:rPr>
                <w:rFonts w:ascii="Times New Roman" w:hAnsi="Times New Roman" w:cs="Times New Roman"/>
                <w:sz w:val="24"/>
                <w:szCs w:val="24"/>
              </w:rPr>
              <w:t>4</w:t>
            </w:r>
          </w:p>
        </w:tc>
        <w:tc>
          <w:tcPr>
            <w:tcW w:w="960" w:type="dxa"/>
          </w:tcPr>
          <w:p w14:paraId="5E6F720A" w14:textId="76C262B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1.56</w:t>
            </w:r>
          </w:p>
        </w:tc>
        <w:tc>
          <w:tcPr>
            <w:tcW w:w="835" w:type="dxa"/>
          </w:tcPr>
          <w:p w14:paraId="7476E304" w14:textId="55FB6CF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1.94</w:t>
            </w:r>
          </w:p>
        </w:tc>
        <w:tc>
          <w:tcPr>
            <w:tcW w:w="873" w:type="dxa"/>
          </w:tcPr>
          <w:p w14:paraId="0FEFF430" w14:textId="426B69E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35</w:t>
            </w:r>
          </w:p>
        </w:tc>
      </w:tr>
      <w:tr w:rsidR="00B223DC" w14:paraId="3A7DBC5F"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2DB2A7D5" w14:textId="4B26F8B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Realty</w:t>
            </w:r>
          </w:p>
        </w:tc>
        <w:tc>
          <w:tcPr>
            <w:tcW w:w="960" w:type="dxa"/>
          </w:tcPr>
          <w:p w14:paraId="39DD6F9F" w14:textId="5A97A477" w:rsidR="00994074" w:rsidRPr="001B16B5" w:rsidRDefault="00F2714F"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2.18</w:t>
            </w:r>
          </w:p>
        </w:tc>
        <w:tc>
          <w:tcPr>
            <w:tcW w:w="853" w:type="dxa"/>
          </w:tcPr>
          <w:p w14:paraId="7F0FE70C" w14:textId="64EF0AA3" w:rsidR="00994074" w:rsidRPr="001B16B5" w:rsidRDefault="00F2714F"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4.65</w:t>
            </w:r>
          </w:p>
        </w:tc>
        <w:tc>
          <w:tcPr>
            <w:tcW w:w="873" w:type="dxa"/>
          </w:tcPr>
          <w:p w14:paraId="201FB1B8" w14:textId="5633757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F2714F">
              <w:rPr>
                <w:rFonts w:ascii="Times New Roman" w:hAnsi="Times New Roman" w:cs="Times New Roman"/>
                <w:sz w:val="24"/>
                <w:szCs w:val="24"/>
              </w:rPr>
              <w:t>3</w:t>
            </w:r>
            <w:r>
              <w:rPr>
                <w:rFonts w:ascii="Times New Roman" w:hAnsi="Times New Roman" w:cs="Times New Roman"/>
                <w:sz w:val="24"/>
                <w:szCs w:val="24"/>
              </w:rPr>
              <w:t>*</w:t>
            </w:r>
          </w:p>
        </w:tc>
        <w:tc>
          <w:tcPr>
            <w:tcW w:w="960" w:type="dxa"/>
          </w:tcPr>
          <w:p w14:paraId="7AF1AB25" w14:textId="22ABDDB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2.12</w:t>
            </w:r>
          </w:p>
        </w:tc>
        <w:tc>
          <w:tcPr>
            <w:tcW w:w="846" w:type="dxa"/>
          </w:tcPr>
          <w:p w14:paraId="243F9956" w14:textId="326EE65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2.84</w:t>
            </w:r>
          </w:p>
        </w:tc>
        <w:tc>
          <w:tcPr>
            <w:tcW w:w="996" w:type="dxa"/>
          </w:tcPr>
          <w:p w14:paraId="36EA4B7D" w14:textId="55FCED8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2714F">
              <w:rPr>
                <w:rFonts w:ascii="Times New Roman" w:hAnsi="Times New Roman" w:cs="Times New Roman"/>
                <w:sz w:val="24"/>
                <w:szCs w:val="24"/>
              </w:rPr>
              <w:t>49</w:t>
            </w:r>
          </w:p>
        </w:tc>
        <w:tc>
          <w:tcPr>
            <w:tcW w:w="960" w:type="dxa"/>
          </w:tcPr>
          <w:p w14:paraId="555ECCAE" w14:textId="0CD2255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1.75</w:t>
            </w:r>
          </w:p>
        </w:tc>
        <w:tc>
          <w:tcPr>
            <w:tcW w:w="835" w:type="dxa"/>
          </w:tcPr>
          <w:p w14:paraId="30DF19FC" w14:textId="2DB8D8B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2.59</w:t>
            </w:r>
          </w:p>
        </w:tc>
        <w:tc>
          <w:tcPr>
            <w:tcW w:w="873" w:type="dxa"/>
          </w:tcPr>
          <w:p w14:paraId="79F4AC2A" w14:textId="4EE5AD3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11</w:t>
            </w:r>
          </w:p>
        </w:tc>
      </w:tr>
      <w:tr w:rsidR="00B223DC" w14:paraId="723B859B"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6033A9D" w14:textId="27440F55" w:rsidR="00994074" w:rsidRPr="005A26BB" w:rsidRDefault="005A26BB" w:rsidP="00994074">
            <w:pPr>
              <w:rPr>
                <w:rFonts w:ascii="Times New Roman" w:hAnsi="Times New Roman" w:cs="Times New Roman"/>
                <w:sz w:val="24"/>
                <w:szCs w:val="24"/>
              </w:rPr>
            </w:pPr>
            <w:r w:rsidRPr="005A26BB">
              <w:rPr>
                <w:rFonts w:ascii="Times New Roman" w:hAnsi="Times New Roman" w:cs="Times New Roman"/>
                <w:sz w:val="24"/>
                <w:szCs w:val="24"/>
              </w:rPr>
              <w:t xml:space="preserve">Bank </w:t>
            </w:r>
          </w:p>
        </w:tc>
        <w:tc>
          <w:tcPr>
            <w:tcW w:w="960" w:type="dxa"/>
          </w:tcPr>
          <w:p w14:paraId="34EC78CB" w14:textId="0A91C30B"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1.21</w:t>
            </w:r>
          </w:p>
        </w:tc>
        <w:tc>
          <w:tcPr>
            <w:tcW w:w="853" w:type="dxa"/>
          </w:tcPr>
          <w:p w14:paraId="6EE2E2D4" w14:textId="3AD676E3"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1.89</w:t>
            </w:r>
          </w:p>
        </w:tc>
        <w:tc>
          <w:tcPr>
            <w:tcW w:w="873" w:type="dxa"/>
          </w:tcPr>
          <w:p w14:paraId="1124CC1D" w14:textId="202A58ED"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41</w:t>
            </w:r>
          </w:p>
        </w:tc>
        <w:tc>
          <w:tcPr>
            <w:tcW w:w="960" w:type="dxa"/>
          </w:tcPr>
          <w:p w14:paraId="4BB739FE" w14:textId="644FA23E"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1.01</w:t>
            </w:r>
          </w:p>
        </w:tc>
        <w:tc>
          <w:tcPr>
            <w:tcW w:w="846" w:type="dxa"/>
          </w:tcPr>
          <w:p w14:paraId="4F38ADB9" w14:textId="69AF7E4F"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1.51</w:t>
            </w:r>
          </w:p>
        </w:tc>
        <w:tc>
          <w:tcPr>
            <w:tcW w:w="996" w:type="dxa"/>
          </w:tcPr>
          <w:p w14:paraId="4C6D73FD" w14:textId="308033B9"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17</w:t>
            </w:r>
          </w:p>
        </w:tc>
        <w:tc>
          <w:tcPr>
            <w:tcW w:w="960" w:type="dxa"/>
          </w:tcPr>
          <w:p w14:paraId="1E078C53" w14:textId="3FAD286D"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0.82</w:t>
            </w:r>
          </w:p>
        </w:tc>
        <w:tc>
          <w:tcPr>
            <w:tcW w:w="835" w:type="dxa"/>
          </w:tcPr>
          <w:p w14:paraId="229F16B5" w14:textId="4A867260"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1.35</w:t>
            </w:r>
          </w:p>
        </w:tc>
        <w:tc>
          <w:tcPr>
            <w:tcW w:w="873" w:type="dxa"/>
          </w:tcPr>
          <w:p w14:paraId="4C36ED54" w14:textId="06F281D5"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r w:rsidR="00F2714F">
              <w:rPr>
                <w:rFonts w:ascii="Times New Roman" w:hAnsi="Times New Roman" w:cs="Times New Roman"/>
                <w:sz w:val="28"/>
                <w:szCs w:val="28"/>
              </w:rPr>
              <w:t>3*</w:t>
            </w:r>
          </w:p>
        </w:tc>
      </w:tr>
      <w:tr w:rsidR="00B223DC" w14:paraId="7F7D0A49"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791BD08F" w14:textId="618DE30E" w:rsidR="00994074" w:rsidRPr="005A26BB" w:rsidRDefault="005A26BB" w:rsidP="00994074">
            <w:pPr>
              <w:rPr>
                <w:rFonts w:ascii="Times New Roman" w:hAnsi="Times New Roman" w:cs="Times New Roman"/>
                <w:sz w:val="24"/>
                <w:szCs w:val="24"/>
              </w:rPr>
            </w:pPr>
            <w:r w:rsidRPr="005A26BB">
              <w:rPr>
                <w:rFonts w:ascii="Times New Roman" w:hAnsi="Times New Roman" w:cs="Times New Roman"/>
                <w:sz w:val="24"/>
                <w:szCs w:val="24"/>
              </w:rPr>
              <w:t>Chemical</w:t>
            </w:r>
          </w:p>
        </w:tc>
        <w:tc>
          <w:tcPr>
            <w:tcW w:w="960" w:type="dxa"/>
          </w:tcPr>
          <w:p w14:paraId="3B1D04BF" w14:textId="6FCB6F9B"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1.01</w:t>
            </w:r>
          </w:p>
        </w:tc>
        <w:tc>
          <w:tcPr>
            <w:tcW w:w="853" w:type="dxa"/>
          </w:tcPr>
          <w:p w14:paraId="634BE488" w14:textId="4B1AE13A"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3.06</w:t>
            </w:r>
          </w:p>
        </w:tc>
        <w:tc>
          <w:tcPr>
            <w:tcW w:w="873" w:type="dxa"/>
          </w:tcPr>
          <w:p w14:paraId="718B2ABE" w14:textId="34597977"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0.02*</w:t>
            </w:r>
          </w:p>
        </w:tc>
        <w:tc>
          <w:tcPr>
            <w:tcW w:w="960" w:type="dxa"/>
          </w:tcPr>
          <w:p w14:paraId="02F3A61A" w14:textId="4D388F7E"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0.80</w:t>
            </w:r>
          </w:p>
        </w:tc>
        <w:tc>
          <w:tcPr>
            <w:tcW w:w="846" w:type="dxa"/>
          </w:tcPr>
          <w:p w14:paraId="5837D649" w14:textId="1DEAD8DA"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1.91</w:t>
            </w:r>
          </w:p>
        </w:tc>
        <w:tc>
          <w:tcPr>
            <w:tcW w:w="996" w:type="dxa"/>
          </w:tcPr>
          <w:p w14:paraId="71249A1E" w14:textId="0D888421"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r w:rsidR="00F2714F">
              <w:rPr>
                <w:rFonts w:ascii="Times New Roman" w:hAnsi="Times New Roman" w:cs="Times New Roman"/>
                <w:sz w:val="28"/>
                <w:szCs w:val="28"/>
              </w:rPr>
              <w:t>1</w:t>
            </w:r>
            <w:r>
              <w:rPr>
                <w:rFonts w:ascii="Times New Roman" w:hAnsi="Times New Roman" w:cs="Times New Roman"/>
                <w:sz w:val="28"/>
                <w:szCs w:val="28"/>
              </w:rPr>
              <w:t>*</w:t>
            </w:r>
          </w:p>
        </w:tc>
        <w:tc>
          <w:tcPr>
            <w:tcW w:w="960" w:type="dxa"/>
          </w:tcPr>
          <w:p w14:paraId="24395B73" w14:textId="6E9C25E5"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1.10</w:t>
            </w:r>
          </w:p>
        </w:tc>
        <w:tc>
          <w:tcPr>
            <w:tcW w:w="835" w:type="dxa"/>
          </w:tcPr>
          <w:p w14:paraId="477609A4" w14:textId="3736632C"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1.52</w:t>
            </w:r>
          </w:p>
        </w:tc>
        <w:tc>
          <w:tcPr>
            <w:tcW w:w="873" w:type="dxa"/>
          </w:tcPr>
          <w:p w14:paraId="165CC1A1" w14:textId="66232B18"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25</w:t>
            </w:r>
          </w:p>
        </w:tc>
      </w:tr>
    </w:tbl>
    <w:p w14:paraId="10D0ACA0" w14:textId="00708531" w:rsidR="00317B85" w:rsidRDefault="00317B85" w:rsidP="007B3115">
      <w:pPr>
        <w:jc w:val="both"/>
        <w:rPr>
          <w:rFonts w:ascii="Arial" w:hAnsi="Arial" w:cs="Arial"/>
          <w:b/>
          <w:bCs/>
          <w:sz w:val="20"/>
          <w:szCs w:val="20"/>
        </w:rPr>
      </w:pPr>
      <w:r>
        <w:rPr>
          <w:rFonts w:ascii="Arial" w:hAnsi="Arial" w:cs="Arial"/>
          <w:b/>
          <w:bCs/>
          <w:sz w:val="20"/>
          <w:szCs w:val="20"/>
        </w:rPr>
        <w:t>*</w:t>
      </w:r>
      <w:r w:rsidRPr="00317B85">
        <w:rPr>
          <w:rFonts w:ascii="Arial" w:hAnsi="Arial" w:cs="Arial"/>
          <w:b/>
          <w:bCs/>
          <w:sz w:val="20"/>
          <w:szCs w:val="20"/>
        </w:rPr>
        <w:t>significance at 1</w:t>
      </w:r>
      <w:r>
        <w:rPr>
          <w:rFonts w:ascii="Arial" w:hAnsi="Arial" w:cs="Arial"/>
          <w:b/>
          <w:bCs/>
          <w:sz w:val="20"/>
          <w:szCs w:val="20"/>
        </w:rPr>
        <w:t>%</w:t>
      </w:r>
      <w:r w:rsidRPr="00317B85">
        <w:rPr>
          <w:rFonts w:ascii="Arial" w:hAnsi="Arial" w:cs="Arial"/>
          <w:b/>
          <w:bCs/>
          <w:sz w:val="20"/>
          <w:szCs w:val="20"/>
        </w:rPr>
        <w:t xml:space="preserve"> and 5%</w:t>
      </w:r>
    </w:p>
    <w:p w14:paraId="5814B6AC" w14:textId="75BA8D6E" w:rsidR="000338EA" w:rsidRPr="00EE00D8" w:rsidRDefault="000338EA" w:rsidP="007B3115">
      <w:pPr>
        <w:jc w:val="both"/>
        <w:rPr>
          <w:rFonts w:ascii="Arial" w:hAnsi="Arial" w:cs="Arial"/>
          <w:b/>
          <w:bCs/>
          <w:sz w:val="20"/>
          <w:szCs w:val="20"/>
        </w:rPr>
      </w:pPr>
      <w:r w:rsidRPr="00EE00D8">
        <w:rPr>
          <w:rFonts w:ascii="Arial" w:hAnsi="Arial" w:cs="Arial"/>
          <w:b/>
          <w:bCs/>
          <w:sz w:val="20"/>
          <w:szCs w:val="20"/>
        </w:rPr>
        <w:t xml:space="preserve">Sources: </w:t>
      </w:r>
      <w:r w:rsidR="00EE00D8" w:rsidRPr="00EE00D8">
        <w:rPr>
          <w:rFonts w:ascii="Arial" w:hAnsi="Arial" w:cs="Arial"/>
          <w:b/>
          <w:bCs/>
          <w:sz w:val="20"/>
          <w:szCs w:val="20"/>
          <w:lang w:val="en-US"/>
        </w:rPr>
        <w:t xml:space="preserve">Calculated by author from secondary data </w:t>
      </w:r>
      <w:r w:rsidR="00EE00D8">
        <w:rPr>
          <w:rFonts w:ascii="Arial" w:hAnsi="Arial" w:cs="Arial"/>
          <w:b/>
          <w:bCs/>
          <w:sz w:val="20"/>
          <w:szCs w:val="20"/>
          <w:lang w:val="en-US"/>
        </w:rPr>
        <w:t>(</w:t>
      </w:r>
      <w:r w:rsidR="00EE00D8" w:rsidRPr="00EE00D8">
        <w:rPr>
          <w:rFonts w:ascii="Arial" w:hAnsi="Arial" w:cs="Arial"/>
          <w:b/>
          <w:bCs/>
          <w:sz w:val="20"/>
          <w:szCs w:val="20"/>
          <w:lang w:val="en-US"/>
        </w:rPr>
        <w:t>NSE</w:t>
      </w:r>
      <w:r w:rsidR="00EE00D8">
        <w:rPr>
          <w:rFonts w:ascii="Arial" w:hAnsi="Arial" w:cs="Arial"/>
          <w:b/>
          <w:bCs/>
          <w:sz w:val="20"/>
          <w:szCs w:val="20"/>
          <w:lang w:val="en-US"/>
        </w:rPr>
        <w:t>)</w:t>
      </w:r>
    </w:p>
    <w:p w14:paraId="4FE96CAA" w14:textId="77777777" w:rsidR="000C67B1" w:rsidRDefault="000C67B1" w:rsidP="007B3115">
      <w:pPr>
        <w:jc w:val="both"/>
        <w:rPr>
          <w:rFonts w:ascii="Arial" w:hAnsi="Arial" w:cs="Arial"/>
          <w:b/>
          <w:bCs/>
        </w:rPr>
        <w:sectPr w:rsidR="000C67B1" w:rsidSect="00620C7B">
          <w:type w:val="continuous"/>
          <w:pgSz w:w="11906" w:h="16838"/>
          <w:pgMar w:top="1440" w:right="1440" w:bottom="1440" w:left="1440" w:header="708" w:footer="708" w:gutter="0"/>
          <w:cols w:space="708"/>
          <w:docGrid w:linePitch="360"/>
        </w:sectPr>
      </w:pPr>
    </w:p>
    <w:p w14:paraId="24C8EFF7" w14:textId="7C0B0775" w:rsidR="000C67B1" w:rsidRDefault="00217AC9" w:rsidP="007B3115">
      <w:pPr>
        <w:jc w:val="both"/>
        <w:rPr>
          <w:rFonts w:ascii="Arial" w:hAnsi="Arial" w:cs="Arial"/>
          <w:b/>
          <w:bCs/>
        </w:rPr>
      </w:pPr>
      <w:r>
        <w:rPr>
          <w:rFonts w:ascii="Arial" w:hAnsi="Arial" w:cs="Arial"/>
          <w:b/>
          <w:bCs/>
        </w:rPr>
        <w:t>6</w:t>
      </w:r>
      <w:r w:rsidR="000C67B1">
        <w:rPr>
          <w:rFonts w:ascii="Arial" w:hAnsi="Arial" w:cs="Arial"/>
          <w:b/>
          <w:bCs/>
        </w:rPr>
        <w:t>. DISCUSSION</w:t>
      </w:r>
    </w:p>
    <w:p w14:paraId="70645A35" w14:textId="77777777" w:rsidR="00620C7B" w:rsidRDefault="00620C7B" w:rsidP="007051F8">
      <w:pPr>
        <w:jc w:val="both"/>
        <w:rPr>
          <w:rFonts w:ascii="Arial" w:hAnsi="Arial" w:cs="Arial"/>
          <w:sz w:val="20"/>
          <w:szCs w:val="20"/>
        </w:rPr>
        <w:sectPr w:rsidR="00620C7B" w:rsidSect="00620C7B">
          <w:type w:val="continuous"/>
          <w:pgSz w:w="11906" w:h="16838"/>
          <w:pgMar w:top="1440" w:right="1440" w:bottom="1440" w:left="1440" w:header="708" w:footer="708" w:gutter="0"/>
          <w:cols w:space="708"/>
          <w:docGrid w:linePitch="360"/>
        </w:sectPr>
      </w:pPr>
    </w:p>
    <w:p w14:paraId="6E7A94DA" w14:textId="46F39F13" w:rsidR="007051F8" w:rsidRDefault="007051F8" w:rsidP="007051F8">
      <w:pPr>
        <w:jc w:val="both"/>
        <w:rPr>
          <w:rFonts w:ascii="Arial" w:hAnsi="Arial" w:cs="Arial"/>
          <w:sz w:val="20"/>
          <w:szCs w:val="20"/>
        </w:rPr>
      </w:pPr>
      <w:r w:rsidRPr="007051F8">
        <w:rPr>
          <w:rFonts w:ascii="Arial" w:hAnsi="Arial" w:cs="Arial"/>
          <w:sz w:val="20"/>
          <w:szCs w:val="20"/>
        </w:rPr>
        <w:t>The resultant findings of this study indicate that Indian sectoral indices exhibit varied responses to U.S. tariff announcements, consistent with established financial theories and previous research evidence. Sectors such as IT, FMCG, and PSU Banks exhibited reduced volatility, reinforcing the Efficient Market Hypothesis (Fama, 1970) and the Overreaction Hypothesis (De Bondt &amp; Thaler, 1985), indicating that markets respond swiftly when fundamentals are robust. This is consistent with Verma (2015), who emphasised the robustness of India’s software export sector driven by consistent foreign demand.</w:t>
      </w:r>
    </w:p>
    <w:p w14:paraId="100AD9D8" w14:textId="77777777" w:rsidR="00217AC9" w:rsidRDefault="007051F8" w:rsidP="007051F8">
      <w:pPr>
        <w:jc w:val="both"/>
        <w:rPr>
          <w:rFonts w:ascii="Arial" w:hAnsi="Arial" w:cs="Arial"/>
          <w:sz w:val="20"/>
          <w:szCs w:val="20"/>
        </w:rPr>
      </w:pPr>
      <w:r w:rsidRPr="007051F8">
        <w:rPr>
          <w:rFonts w:ascii="Arial" w:hAnsi="Arial" w:cs="Arial"/>
          <w:sz w:val="20"/>
          <w:szCs w:val="20"/>
        </w:rPr>
        <w:t>Conversely, increased volatility in the sectors of Automobiles, Metals, and Pharmaceuticals corresponds with Policy Uncertainty Theory (Pastor &amp; Veronesi, 2012), since sectors with global exposure tend to respond more intensely to abrupt changes in trade policy. This pattern is corroborated by the findings of Boer et al. (2022) and Hoque et al. (2023), who identified analogous spillover effects in various other emerging economies. The significant market responses in the pharmaceutical and automotive sectors highlight the trade dependency observed by Zhang et al. (2023) and Verma et al. (2020).</w:t>
      </w:r>
    </w:p>
    <w:p w14:paraId="124DDCB6" w14:textId="596CEBAF" w:rsidR="007051F8" w:rsidRDefault="007051F8" w:rsidP="007051F8">
      <w:pPr>
        <w:jc w:val="both"/>
        <w:rPr>
          <w:rFonts w:ascii="Arial" w:hAnsi="Arial" w:cs="Arial"/>
          <w:sz w:val="20"/>
          <w:szCs w:val="20"/>
        </w:rPr>
      </w:pPr>
      <w:r w:rsidRPr="007051F8">
        <w:rPr>
          <w:rFonts w:ascii="Arial" w:hAnsi="Arial" w:cs="Arial"/>
          <w:sz w:val="20"/>
          <w:szCs w:val="20"/>
        </w:rPr>
        <w:t>Statistically significant volatility shifts in the brief period following the announcement also illustrate the principles of Uncertainty Shock Theory (Bloom, 2009), which accounts for the postponement of investments in response to external shocks. Comparable swift modifications were observed by Kanojia et al. (2024) in reaction to the UAE–India CEPA agreement. Verma (2010) highlighted that global downturns have a disproportionate impact on India’s trade-linked sectors.</w:t>
      </w:r>
    </w:p>
    <w:p w14:paraId="54E59D50" w14:textId="77777777" w:rsidR="00620C7B" w:rsidRDefault="00620C7B" w:rsidP="007051F8">
      <w:pPr>
        <w:jc w:val="both"/>
        <w:rPr>
          <w:rFonts w:ascii="Arial" w:hAnsi="Arial" w:cs="Arial"/>
          <w:b/>
          <w:bCs/>
        </w:rPr>
        <w:sectPr w:rsidR="00620C7B" w:rsidSect="00620C7B">
          <w:type w:val="continuous"/>
          <w:pgSz w:w="11906" w:h="16838"/>
          <w:pgMar w:top="1440" w:right="1440" w:bottom="1440" w:left="1440" w:header="708" w:footer="708" w:gutter="0"/>
          <w:cols w:space="708"/>
          <w:docGrid w:linePitch="360"/>
        </w:sectPr>
      </w:pPr>
    </w:p>
    <w:p w14:paraId="3A4C5C5F" w14:textId="77777777" w:rsidR="00217AC9" w:rsidRDefault="00217AC9" w:rsidP="007051F8">
      <w:pPr>
        <w:jc w:val="both"/>
        <w:rPr>
          <w:rFonts w:ascii="Arial" w:hAnsi="Arial" w:cs="Arial"/>
          <w:b/>
          <w:bCs/>
        </w:rPr>
      </w:pPr>
    </w:p>
    <w:p w14:paraId="64EA344D" w14:textId="429A7376" w:rsidR="007051F8" w:rsidRPr="00AE246F" w:rsidRDefault="00217AC9" w:rsidP="007051F8">
      <w:pPr>
        <w:jc w:val="both"/>
        <w:rPr>
          <w:rFonts w:ascii="Arial" w:hAnsi="Arial" w:cs="Arial"/>
          <w:b/>
          <w:bCs/>
        </w:rPr>
      </w:pPr>
      <w:r>
        <w:rPr>
          <w:rFonts w:ascii="Arial" w:hAnsi="Arial" w:cs="Arial"/>
          <w:b/>
          <w:bCs/>
        </w:rPr>
        <w:t>7</w:t>
      </w:r>
      <w:r w:rsidR="007051F8">
        <w:rPr>
          <w:rFonts w:ascii="Arial" w:hAnsi="Arial" w:cs="Arial"/>
          <w:b/>
          <w:bCs/>
        </w:rPr>
        <w:t xml:space="preserve">. </w:t>
      </w:r>
      <w:r w:rsidR="007051F8" w:rsidRPr="00AE246F">
        <w:rPr>
          <w:rFonts w:ascii="Arial" w:hAnsi="Arial" w:cs="Arial"/>
          <w:b/>
          <w:bCs/>
        </w:rPr>
        <w:t xml:space="preserve">CONCLUSION </w:t>
      </w:r>
    </w:p>
    <w:p w14:paraId="07D0DBDC" w14:textId="77777777" w:rsidR="00620C7B" w:rsidRDefault="00620C7B" w:rsidP="00100BC0">
      <w:pPr>
        <w:spacing w:line="276" w:lineRule="auto"/>
        <w:jc w:val="both"/>
        <w:rPr>
          <w:rFonts w:ascii="Arial" w:hAnsi="Arial" w:cs="Arial"/>
          <w:sz w:val="20"/>
          <w:szCs w:val="20"/>
        </w:rPr>
        <w:sectPr w:rsidR="00620C7B" w:rsidSect="00620C7B">
          <w:type w:val="continuous"/>
          <w:pgSz w:w="11906" w:h="16838"/>
          <w:pgMar w:top="1440" w:right="1440" w:bottom="1440" w:left="1440" w:header="708" w:footer="708" w:gutter="0"/>
          <w:cols w:space="708"/>
          <w:docGrid w:linePitch="360"/>
        </w:sectPr>
      </w:pPr>
    </w:p>
    <w:p w14:paraId="3C12D251" w14:textId="5B362343" w:rsidR="00100BC0" w:rsidRDefault="00100BC0" w:rsidP="00100BC0">
      <w:pPr>
        <w:spacing w:line="276" w:lineRule="auto"/>
        <w:jc w:val="both"/>
        <w:rPr>
          <w:rFonts w:ascii="Arial" w:hAnsi="Arial" w:cs="Arial"/>
          <w:sz w:val="20"/>
          <w:szCs w:val="20"/>
        </w:rPr>
      </w:pPr>
      <w:r w:rsidRPr="00100BC0">
        <w:rPr>
          <w:rFonts w:ascii="Arial" w:hAnsi="Arial" w:cs="Arial"/>
          <w:sz w:val="20"/>
          <w:szCs w:val="20"/>
        </w:rPr>
        <w:lastRenderedPageBreak/>
        <w:t>The study examines the immediate impacts of U.S. tariff declarations on the volatility of India's sectoral stock markets. The findings indicate that whereas overall market volatility increases immediately following such announcements, the effects vary by industry. Industries with global connections, such as Automobiles, Metals, and Pharmaceuticals, encounter more pronounced volatility, whilst sectors orientated towards domestic markets, like FMCG, IT, and PSU Banks, exhibit greater stability.</w:t>
      </w:r>
    </w:p>
    <w:p w14:paraId="632E540B" w14:textId="6EDE24C9" w:rsidR="00100BC0" w:rsidRDefault="00100BC0" w:rsidP="00100BC0">
      <w:pPr>
        <w:spacing w:line="276" w:lineRule="auto"/>
        <w:jc w:val="both"/>
        <w:rPr>
          <w:rFonts w:ascii="Arial" w:hAnsi="Arial" w:cs="Arial"/>
          <w:sz w:val="20"/>
          <w:szCs w:val="20"/>
        </w:rPr>
      </w:pPr>
      <w:r w:rsidRPr="00100BC0">
        <w:rPr>
          <w:rFonts w:ascii="Arial" w:hAnsi="Arial" w:cs="Arial"/>
          <w:sz w:val="20"/>
          <w:szCs w:val="20"/>
        </w:rPr>
        <w:t>These findings corroborate ideas about policy uncertainty and investor overreaction, highlighting the influence of both economic fundamentals and behavioural responses on market reactions. Volatility often diminishes within 30 days, indicating that markets stabilise as uncertainty dissipates.</w:t>
      </w:r>
    </w:p>
    <w:p w14:paraId="65A2D21C" w14:textId="775862F0" w:rsidR="00D12CA6" w:rsidRDefault="00100BC0" w:rsidP="00D12CA6">
      <w:pPr>
        <w:spacing w:line="276" w:lineRule="auto"/>
        <w:jc w:val="both"/>
        <w:rPr>
          <w:rFonts w:ascii="Arial" w:hAnsi="Arial" w:cs="Arial"/>
          <w:sz w:val="20"/>
          <w:szCs w:val="20"/>
        </w:rPr>
        <w:sectPr w:rsidR="00D12CA6" w:rsidSect="00620C7B">
          <w:type w:val="continuous"/>
          <w:pgSz w:w="11906" w:h="16838"/>
          <w:pgMar w:top="1440" w:right="1440" w:bottom="1440" w:left="1440" w:header="708" w:footer="708" w:gutter="0"/>
          <w:cols w:space="708"/>
          <w:docGrid w:linePitch="360"/>
        </w:sectPr>
      </w:pPr>
      <w:r w:rsidRPr="00100BC0">
        <w:rPr>
          <w:rFonts w:ascii="Arial" w:hAnsi="Arial" w:cs="Arial"/>
          <w:sz w:val="20"/>
          <w:szCs w:val="20"/>
        </w:rPr>
        <w:t>To mitigate external shocks, investors have to employ short-term techniques such as hedging, stop-loss orders, and temporarily restricting exposure to severely impacted industries. Policymakers might bolster market stability by refining monitoring instruments and contemplating temporary measures—such as sector-specific trade halts—during times of significant volatility. Enhancing export diversification and stimulating domestic demand in at-risk industries can mitigate long-term susceptibility to global policy change</w:t>
      </w:r>
      <w:r w:rsidR="00D12CA6">
        <w:rPr>
          <w:rFonts w:ascii="Arial" w:hAnsi="Arial" w:cs="Arial"/>
          <w:sz w:val="20"/>
          <w:szCs w:val="20"/>
        </w:rPr>
        <w:t>.</w:t>
      </w:r>
    </w:p>
    <w:p w14:paraId="3AD0F772" w14:textId="77777777" w:rsidR="00B01A95" w:rsidRDefault="00B01A95" w:rsidP="007717F7">
      <w:pPr>
        <w:jc w:val="both"/>
        <w:rPr>
          <w:rFonts w:ascii="Arial" w:hAnsi="Arial" w:cs="Arial"/>
          <w:sz w:val="20"/>
          <w:szCs w:val="20"/>
        </w:rPr>
        <w:sectPr w:rsidR="00B01A95" w:rsidSect="00620C7B">
          <w:type w:val="continuous"/>
          <w:pgSz w:w="11906" w:h="16838"/>
          <w:pgMar w:top="1440" w:right="1440" w:bottom="1440" w:left="1440" w:header="708" w:footer="708" w:gutter="0"/>
          <w:cols w:space="708"/>
          <w:docGrid w:linePitch="360"/>
        </w:sectPr>
      </w:pPr>
    </w:p>
    <w:p w14:paraId="475BBE3C" w14:textId="77777777" w:rsidR="00731F55" w:rsidRDefault="00731F55" w:rsidP="007B3115">
      <w:pPr>
        <w:jc w:val="both"/>
        <w:rPr>
          <w:rFonts w:ascii="Arial" w:hAnsi="Arial" w:cs="Arial"/>
          <w:b/>
          <w:bCs/>
        </w:rPr>
        <w:sectPr w:rsidR="00731F55" w:rsidSect="00620C7B">
          <w:type w:val="continuous"/>
          <w:pgSz w:w="11906" w:h="16838"/>
          <w:pgMar w:top="1440" w:right="1440" w:bottom="1440" w:left="1440" w:header="708" w:footer="708" w:gutter="0"/>
          <w:cols w:space="708"/>
          <w:docGrid w:linePitch="360"/>
        </w:sectPr>
      </w:pPr>
    </w:p>
    <w:p w14:paraId="6A5539D4" w14:textId="3378A7E6" w:rsidR="00D423BF" w:rsidRPr="00D423BF" w:rsidRDefault="00D423BF" w:rsidP="007B3115">
      <w:pPr>
        <w:jc w:val="both"/>
        <w:rPr>
          <w:rFonts w:ascii="Arial" w:hAnsi="Arial" w:cs="Arial"/>
          <w:b/>
          <w:bCs/>
        </w:rPr>
      </w:pPr>
      <w:proofErr w:type="gramStart"/>
      <w:r w:rsidRPr="00D423BF">
        <w:rPr>
          <w:rFonts w:ascii="Arial" w:hAnsi="Arial" w:cs="Arial"/>
          <w:b/>
          <w:bCs/>
        </w:rPr>
        <w:t>DISCLAIMER(</w:t>
      </w:r>
      <w:proofErr w:type="gramEnd"/>
      <w:r w:rsidRPr="00D423BF">
        <w:rPr>
          <w:rFonts w:ascii="Arial" w:hAnsi="Arial" w:cs="Arial"/>
          <w:b/>
          <w:bCs/>
        </w:rPr>
        <w:t>ARTIFICIAL INTELLIGENCE)</w:t>
      </w:r>
    </w:p>
    <w:p w14:paraId="09A62E7F" w14:textId="32354666" w:rsidR="00D423BF" w:rsidRDefault="00D423BF" w:rsidP="007B3115">
      <w:pPr>
        <w:jc w:val="both"/>
        <w:rPr>
          <w:rFonts w:ascii="Times New Roman" w:hAnsi="Times New Roman" w:cs="Times New Roman"/>
        </w:rPr>
      </w:pPr>
      <w:r w:rsidRPr="00D423BF">
        <w:rPr>
          <w:rFonts w:ascii="Times New Roman" w:hAnsi="Times New Roman" w:cs="Times New Roman"/>
        </w:rPr>
        <w:t>The author(s) hereby declare that NO generative AI technologies, such as Large Language Models (ChatGPT, COPILOT, etc.) and text-to-image generators, have been used during the writing or editing of this manuscript.</w:t>
      </w:r>
    </w:p>
    <w:p w14:paraId="53E3F459" w14:textId="77777777" w:rsidR="00D12CA6" w:rsidRDefault="00D12CA6" w:rsidP="007B3115">
      <w:pPr>
        <w:jc w:val="both"/>
        <w:rPr>
          <w:rFonts w:ascii="Times New Roman" w:hAnsi="Times New Roman" w:cs="Times New Roman"/>
        </w:rPr>
      </w:pPr>
    </w:p>
    <w:p w14:paraId="22FBAE6F" w14:textId="77777777" w:rsidR="00D12CA6" w:rsidRPr="008528FC" w:rsidRDefault="00D12CA6" w:rsidP="007B3115">
      <w:pPr>
        <w:jc w:val="both"/>
        <w:rPr>
          <w:rFonts w:ascii="Arial" w:hAnsi="Arial" w:cs="Arial"/>
          <w:b/>
          <w:bCs/>
          <w:sz w:val="20"/>
          <w:szCs w:val="20"/>
        </w:rPr>
      </w:pPr>
      <w:r w:rsidRPr="008528FC">
        <w:rPr>
          <w:rFonts w:ascii="Arial" w:hAnsi="Arial" w:cs="Arial"/>
          <w:b/>
          <w:bCs/>
          <w:sz w:val="20"/>
          <w:szCs w:val="20"/>
        </w:rPr>
        <w:t xml:space="preserve">CONSENT </w:t>
      </w:r>
    </w:p>
    <w:p w14:paraId="0F30E6FE" w14:textId="40298D41" w:rsidR="00D12CA6" w:rsidRPr="008528FC" w:rsidRDefault="00D12CA6" w:rsidP="007B3115">
      <w:pPr>
        <w:jc w:val="both"/>
        <w:rPr>
          <w:rFonts w:ascii="Arial" w:hAnsi="Arial" w:cs="Arial"/>
          <w:sz w:val="20"/>
          <w:szCs w:val="20"/>
        </w:rPr>
      </w:pPr>
      <w:proofErr w:type="gramStart"/>
      <w:r w:rsidRPr="008528FC">
        <w:rPr>
          <w:rFonts w:ascii="Arial" w:hAnsi="Arial" w:cs="Arial"/>
          <w:sz w:val="20"/>
          <w:szCs w:val="20"/>
        </w:rPr>
        <w:t>As  per</w:t>
      </w:r>
      <w:proofErr w:type="gramEnd"/>
      <w:r w:rsidRPr="008528FC">
        <w:rPr>
          <w:rFonts w:ascii="Arial" w:hAnsi="Arial" w:cs="Arial"/>
          <w:sz w:val="20"/>
          <w:szCs w:val="20"/>
        </w:rPr>
        <w:t xml:space="preserve">   international   standards   or   university </w:t>
      </w:r>
      <w:r w:rsidR="008528FC" w:rsidRPr="008528FC">
        <w:rPr>
          <w:rFonts w:ascii="Arial" w:hAnsi="Arial" w:cs="Arial"/>
          <w:sz w:val="20"/>
          <w:szCs w:val="20"/>
        </w:rPr>
        <w:t>standards, respondents’ written consent has</w:t>
      </w:r>
      <w:r w:rsidRPr="008528FC">
        <w:rPr>
          <w:rFonts w:ascii="Arial" w:hAnsi="Arial" w:cs="Arial"/>
          <w:sz w:val="20"/>
          <w:szCs w:val="20"/>
        </w:rPr>
        <w:t xml:space="preserve"> been collected and preserved by the author(s).</w:t>
      </w:r>
    </w:p>
    <w:p w14:paraId="4FD9FAE7" w14:textId="77777777" w:rsidR="00D12CA6" w:rsidRPr="008528FC" w:rsidRDefault="00D12CA6" w:rsidP="007B3115">
      <w:pPr>
        <w:jc w:val="both"/>
        <w:rPr>
          <w:rFonts w:ascii="Arial" w:hAnsi="Arial" w:cs="Arial"/>
          <w:b/>
          <w:bCs/>
          <w:sz w:val="20"/>
          <w:szCs w:val="20"/>
        </w:rPr>
      </w:pPr>
      <w:r w:rsidRPr="008528FC">
        <w:rPr>
          <w:rFonts w:ascii="Arial" w:hAnsi="Arial" w:cs="Arial"/>
          <w:b/>
          <w:bCs/>
          <w:sz w:val="20"/>
          <w:szCs w:val="20"/>
        </w:rPr>
        <w:t>COMPETING INTERESTS</w:t>
      </w:r>
    </w:p>
    <w:p w14:paraId="2EA6F6A3" w14:textId="45D48068" w:rsidR="00D12CA6" w:rsidRPr="008528FC" w:rsidRDefault="00D12CA6" w:rsidP="007B3115">
      <w:pPr>
        <w:jc w:val="both"/>
        <w:rPr>
          <w:rFonts w:ascii="Arial" w:hAnsi="Arial" w:cs="Arial"/>
          <w:sz w:val="20"/>
          <w:szCs w:val="20"/>
        </w:rPr>
      </w:pPr>
      <w:r w:rsidRPr="008528FC">
        <w:rPr>
          <w:rFonts w:ascii="Arial" w:hAnsi="Arial" w:cs="Arial"/>
          <w:sz w:val="20"/>
          <w:szCs w:val="20"/>
        </w:rPr>
        <w:t>Authors</w:t>
      </w:r>
      <w:r w:rsidR="008528FC">
        <w:rPr>
          <w:rFonts w:ascii="Arial" w:hAnsi="Arial" w:cs="Arial"/>
          <w:sz w:val="20"/>
          <w:szCs w:val="20"/>
        </w:rPr>
        <w:t xml:space="preserve"> </w:t>
      </w:r>
      <w:r w:rsidRPr="008528FC">
        <w:rPr>
          <w:rFonts w:ascii="Arial" w:hAnsi="Arial" w:cs="Arial"/>
          <w:sz w:val="20"/>
          <w:szCs w:val="20"/>
        </w:rPr>
        <w:t>have</w:t>
      </w:r>
      <w:r w:rsidR="008528FC">
        <w:rPr>
          <w:rFonts w:ascii="Arial" w:hAnsi="Arial" w:cs="Arial"/>
          <w:sz w:val="20"/>
          <w:szCs w:val="20"/>
        </w:rPr>
        <w:t xml:space="preserve"> </w:t>
      </w:r>
      <w:r w:rsidRPr="008528FC">
        <w:rPr>
          <w:rFonts w:ascii="Arial" w:hAnsi="Arial" w:cs="Arial"/>
          <w:sz w:val="20"/>
          <w:szCs w:val="20"/>
        </w:rPr>
        <w:t>declared</w:t>
      </w:r>
      <w:r w:rsidR="008528FC">
        <w:rPr>
          <w:rFonts w:ascii="Arial" w:hAnsi="Arial" w:cs="Arial"/>
          <w:sz w:val="20"/>
          <w:szCs w:val="20"/>
        </w:rPr>
        <w:t xml:space="preserve"> </w:t>
      </w:r>
      <w:r w:rsidRPr="008528FC">
        <w:rPr>
          <w:rFonts w:ascii="Arial" w:hAnsi="Arial" w:cs="Arial"/>
          <w:sz w:val="20"/>
          <w:szCs w:val="20"/>
        </w:rPr>
        <w:t>that</w:t>
      </w:r>
      <w:r w:rsidR="008528FC">
        <w:rPr>
          <w:rFonts w:ascii="Arial" w:hAnsi="Arial" w:cs="Arial"/>
          <w:sz w:val="20"/>
          <w:szCs w:val="20"/>
        </w:rPr>
        <w:t xml:space="preserve"> </w:t>
      </w:r>
      <w:r w:rsidRPr="008528FC">
        <w:rPr>
          <w:rFonts w:ascii="Arial" w:hAnsi="Arial" w:cs="Arial"/>
          <w:sz w:val="20"/>
          <w:szCs w:val="20"/>
        </w:rPr>
        <w:t>no</w:t>
      </w:r>
      <w:r w:rsidR="008528FC">
        <w:rPr>
          <w:rFonts w:ascii="Arial" w:hAnsi="Arial" w:cs="Arial"/>
          <w:sz w:val="20"/>
          <w:szCs w:val="20"/>
        </w:rPr>
        <w:t xml:space="preserve"> </w:t>
      </w:r>
      <w:r w:rsidRPr="008528FC">
        <w:rPr>
          <w:rFonts w:ascii="Arial" w:hAnsi="Arial" w:cs="Arial"/>
          <w:sz w:val="20"/>
          <w:szCs w:val="20"/>
        </w:rPr>
        <w:t>competing interests exist.</w:t>
      </w:r>
    </w:p>
    <w:p w14:paraId="26014CF6" w14:textId="77777777" w:rsidR="00D12CA6" w:rsidRDefault="00D12CA6" w:rsidP="007B3115">
      <w:pPr>
        <w:jc w:val="both"/>
        <w:rPr>
          <w:rFonts w:ascii="Times New Roman" w:hAnsi="Times New Roman" w:cs="Times New Roman"/>
        </w:rPr>
      </w:pPr>
    </w:p>
    <w:p w14:paraId="3F8589D1" w14:textId="77777777" w:rsidR="00DA7F1B" w:rsidRDefault="00DA7F1B" w:rsidP="007B3115">
      <w:pPr>
        <w:jc w:val="both"/>
        <w:rPr>
          <w:rFonts w:ascii="Times New Roman" w:hAnsi="Times New Roman" w:cs="Times New Roman"/>
        </w:rPr>
      </w:pPr>
    </w:p>
    <w:p w14:paraId="58456FAF" w14:textId="1AD55499" w:rsidR="000C67B1" w:rsidRPr="00100BC0" w:rsidRDefault="00100BC0" w:rsidP="008F14A3">
      <w:pPr>
        <w:rPr>
          <w:rFonts w:ascii="Arial" w:hAnsi="Arial" w:cs="Arial"/>
          <w:b/>
          <w:bCs/>
        </w:rPr>
      </w:pPr>
      <w:r w:rsidRPr="00100BC0">
        <w:rPr>
          <w:rFonts w:ascii="Arial" w:hAnsi="Arial" w:cs="Arial"/>
          <w:b/>
          <w:bCs/>
        </w:rPr>
        <w:t>REFERENCE</w:t>
      </w:r>
    </w:p>
    <w:p w14:paraId="1E8A92DC" w14:textId="77777777" w:rsidR="00100BC0" w:rsidRPr="00100BC0" w:rsidRDefault="00100BC0" w:rsidP="00100BC0">
      <w:pPr>
        <w:pStyle w:val="NormalWeb"/>
        <w:jc w:val="both"/>
        <w:rPr>
          <w:rFonts w:ascii="Arial" w:hAnsi="Arial" w:cs="Arial"/>
          <w:sz w:val="20"/>
          <w:szCs w:val="20"/>
        </w:rPr>
      </w:pPr>
      <w:r w:rsidRPr="00100BC0">
        <w:rPr>
          <w:rFonts w:ascii="Arial" w:hAnsi="Arial" w:cs="Arial"/>
          <w:sz w:val="20"/>
          <w:szCs w:val="20"/>
        </w:rPr>
        <w:t xml:space="preserve">Acharya, V. V., Engle, R. F., &amp; Richardson, M. P. (2017). Capital shortfall: A new approach to ranking and regulating systemic risks. </w:t>
      </w:r>
      <w:r w:rsidRPr="00100BC0">
        <w:rPr>
          <w:rFonts w:ascii="Arial" w:hAnsi="Arial" w:cs="Arial"/>
          <w:i/>
          <w:iCs/>
          <w:sz w:val="20"/>
          <w:szCs w:val="20"/>
        </w:rPr>
        <w:t>American Economic Review, 107</w:t>
      </w:r>
      <w:r w:rsidRPr="00100BC0">
        <w:rPr>
          <w:rFonts w:ascii="Arial" w:hAnsi="Arial" w:cs="Arial"/>
          <w:sz w:val="20"/>
          <w:szCs w:val="20"/>
        </w:rPr>
        <w:t>(2), 277–282. https://doi.org/10.1257/aer.p20171000</w:t>
      </w:r>
    </w:p>
    <w:p w14:paraId="4530CFEC" w14:textId="77777777" w:rsidR="00100BC0" w:rsidRPr="00FF5236" w:rsidRDefault="00100BC0" w:rsidP="00100BC0">
      <w:pPr>
        <w:jc w:val="both"/>
        <w:rPr>
          <w:rFonts w:ascii="Arial" w:hAnsi="Arial" w:cs="Arial"/>
          <w:sz w:val="20"/>
          <w:szCs w:val="20"/>
        </w:rPr>
      </w:pPr>
      <w:r w:rsidRPr="00FF5236">
        <w:rPr>
          <w:rFonts w:ascii="Arial" w:hAnsi="Arial" w:cs="Arial"/>
          <w:sz w:val="20"/>
          <w:szCs w:val="20"/>
        </w:rPr>
        <w:t xml:space="preserve">ACMA. (2024). </w:t>
      </w:r>
      <w:r w:rsidRPr="00FF5236">
        <w:rPr>
          <w:rFonts w:ascii="Arial" w:hAnsi="Arial" w:cs="Arial"/>
          <w:i/>
          <w:iCs/>
          <w:sz w:val="20"/>
          <w:szCs w:val="20"/>
        </w:rPr>
        <w:t>Performance Review of Indian Auto Component Industry 2023–24</w:t>
      </w:r>
      <w:r w:rsidRPr="00FF5236">
        <w:rPr>
          <w:rFonts w:ascii="Arial" w:hAnsi="Arial" w:cs="Arial"/>
          <w:sz w:val="20"/>
          <w:szCs w:val="20"/>
        </w:rPr>
        <w:t xml:space="preserve">. Automotive Component Manufacturers Association of India. </w:t>
      </w:r>
      <w:hyperlink r:id="rId17" w:tgtFrame="_new" w:history="1">
        <w:r w:rsidRPr="00FF5236">
          <w:rPr>
            <w:rStyle w:val="Hyperlink"/>
            <w:rFonts w:ascii="Arial" w:hAnsi="Arial" w:cs="Arial"/>
            <w:sz w:val="20"/>
            <w:szCs w:val="20"/>
          </w:rPr>
          <w:t>https://www.acma.in</w:t>
        </w:r>
      </w:hyperlink>
    </w:p>
    <w:p w14:paraId="7CA56DF1" w14:textId="77777777" w:rsidR="00100BC0" w:rsidRPr="00100BC0" w:rsidRDefault="00100BC0" w:rsidP="00100BC0">
      <w:pPr>
        <w:jc w:val="both"/>
        <w:rPr>
          <w:rFonts w:ascii="Arial" w:hAnsi="Arial" w:cs="Arial"/>
          <w:sz w:val="20"/>
          <w:szCs w:val="20"/>
        </w:rPr>
      </w:pPr>
      <w:r w:rsidRPr="00100BC0">
        <w:rPr>
          <w:rFonts w:ascii="Arial" w:hAnsi="Arial" w:cs="Arial"/>
          <w:sz w:val="20"/>
          <w:szCs w:val="20"/>
        </w:rPr>
        <w:t xml:space="preserve">Al-Fayoumi, N., </w:t>
      </w:r>
      <w:proofErr w:type="spellStart"/>
      <w:r w:rsidRPr="00100BC0">
        <w:rPr>
          <w:rFonts w:ascii="Arial" w:hAnsi="Arial" w:cs="Arial"/>
          <w:sz w:val="20"/>
          <w:szCs w:val="20"/>
        </w:rPr>
        <w:t>Alazemi</w:t>
      </w:r>
      <w:proofErr w:type="spellEnd"/>
      <w:r w:rsidRPr="00100BC0">
        <w:rPr>
          <w:rFonts w:ascii="Arial" w:hAnsi="Arial" w:cs="Arial"/>
          <w:sz w:val="20"/>
          <w:szCs w:val="20"/>
        </w:rPr>
        <w:t xml:space="preserve">, F., &amp; </w:t>
      </w:r>
      <w:proofErr w:type="spellStart"/>
      <w:r w:rsidRPr="00100BC0">
        <w:rPr>
          <w:rFonts w:ascii="Arial" w:hAnsi="Arial" w:cs="Arial"/>
          <w:sz w:val="20"/>
          <w:szCs w:val="20"/>
        </w:rPr>
        <w:t>Alqallaf</w:t>
      </w:r>
      <w:proofErr w:type="spellEnd"/>
      <w:r w:rsidRPr="00100BC0">
        <w:rPr>
          <w:rFonts w:ascii="Arial" w:hAnsi="Arial" w:cs="Arial"/>
          <w:sz w:val="20"/>
          <w:szCs w:val="20"/>
        </w:rPr>
        <w:t xml:space="preserve">, A. (2025). Geopolitical risk and the volatility of GCC stock markets around the war on the Gaza Strip. Research in International Business and Finance, 63, 101898. </w:t>
      </w:r>
      <w:hyperlink r:id="rId18" w:history="1">
        <w:r w:rsidRPr="00100BC0">
          <w:rPr>
            <w:rStyle w:val="Hyperlink"/>
            <w:rFonts w:ascii="Arial" w:hAnsi="Arial" w:cs="Arial"/>
            <w:sz w:val="20"/>
            <w:szCs w:val="20"/>
          </w:rPr>
          <w:t>https://doi.org/10.1016/j.ribaf.2022.101898</w:t>
        </w:r>
      </w:hyperlink>
    </w:p>
    <w:p w14:paraId="7177B540" w14:textId="77777777" w:rsidR="00100BC0" w:rsidRPr="00FF5236" w:rsidRDefault="00100BC0" w:rsidP="00100BC0">
      <w:pPr>
        <w:jc w:val="both"/>
        <w:rPr>
          <w:rFonts w:ascii="Arial" w:hAnsi="Arial" w:cs="Arial"/>
          <w:sz w:val="20"/>
          <w:szCs w:val="20"/>
        </w:rPr>
      </w:pPr>
      <w:r w:rsidRPr="00FF5236">
        <w:rPr>
          <w:rFonts w:ascii="Arial" w:hAnsi="Arial" w:cs="Arial"/>
          <w:sz w:val="20"/>
          <w:szCs w:val="20"/>
        </w:rPr>
        <w:t xml:space="preserve">Baker, S. R., Bloom, N., &amp; Davis, S. J. (2016). Measuring economic policy uncertainty. </w:t>
      </w:r>
      <w:r w:rsidRPr="00FF5236">
        <w:rPr>
          <w:rFonts w:ascii="Arial" w:hAnsi="Arial" w:cs="Arial"/>
          <w:i/>
          <w:iCs/>
          <w:sz w:val="20"/>
          <w:szCs w:val="20"/>
        </w:rPr>
        <w:t>The Quarterly Journal of Economics, 131</w:t>
      </w:r>
      <w:r w:rsidRPr="00FF5236">
        <w:rPr>
          <w:rFonts w:ascii="Arial" w:hAnsi="Arial" w:cs="Arial"/>
          <w:sz w:val="20"/>
          <w:szCs w:val="20"/>
        </w:rPr>
        <w:t xml:space="preserve">(4), 1593–1636. </w:t>
      </w:r>
      <w:hyperlink r:id="rId19" w:tgtFrame="_new" w:history="1">
        <w:r w:rsidRPr="00FF5236">
          <w:rPr>
            <w:rStyle w:val="Hyperlink"/>
            <w:rFonts w:ascii="Arial" w:hAnsi="Arial" w:cs="Arial"/>
            <w:sz w:val="20"/>
            <w:szCs w:val="20"/>
          </w:rPr>
          <w:t>https://doi.org/10.1093/qje/qjw024</w:t>
        </w:r>
      </w:hyperlink>
    </w:p>
    <w:p w14:paraId="18715E73" w14:textId="77777777" w:rsidR="00100BC0" w:rsidRPr="00100BC0" w:rsidRDefault="00100BC0" w:rsidP="00100BC0">
      <w:pPr>
        <w:jc w:val="both"/>
        <w:rPr>
          <w:rFonts w:ascii="Arial" w:hAnsi="Arial" w:cs="Arial"/>
          <w:sz w:val="20"/>
          <w:szCs w:val="20"/>
        </w:rPr>
      </w:pPr>
      <w:r w:rsidRPr="00100BC0">
        <w:rPr>
          <w:rFonts w:ascii="Arial" w:hAnsi="Arial" w:cs="Arial"/>
          <w:sz w:val="20"/>
          <w:szCs w:val="20"/>
        </w:rPr>
        <w:t xml:space="preserve">Bloom, N. (2009). The impact of uncertainty shocks. </w:t>
      </w:r>
      <w:proofErr w:type="spellStart"/>
      <w:r w:rsidRPr="00100BC0">
        <w:rPr>
          <w:rFonts w:ascii="Arial" w:hAnsi="Arial" w:cs="Arial"/>
          <w:sz w:val="20"/>
          <w:szCs w:val="20"/>
        </w:rPr>
        <w:t>Econometrica</w:t>
      </w:r>
      <w:proofErr w:type="spellEnd"/>
      <w:r w:rsidRPr="00100BC0">
        <w:rPr>
          <w:rFonts w:ascii="Arial" w:hAnsi="Arial" w:cs="Arial"/>
          <w:sz w:val="20"/>
          <w:szCs w:val="20"/>
        </w:rPr>
        <w:t>, 77(3), 623–685. https://doi.org/10.3982/ECTA6248</w:t>
      </w:r>
    </w:p>
    <w:p w14:paraId="5041218A" w14:textId="77777777" w:rsidR="00100BC0" w:rsidRPr="00100BC0" w:rsidRDefault="00100BC0" w:rsidP="00100BC0">
      <w:pPr>
        <w:jc w:val="both"/>
        <w:rPr>
          <w:rFonts w:ascii="Arial" w:hAnsi="Arial" w:cs="Arial"/>
          <w:sz w:val="20"/>
          <w:szCs w:val="20"/>
        </w:rPr>
      </w:pPr>
      <w:r w:rsidRPr="00100BC0">
        <w:rPr>
          <w:rFonts w:ascii="Arial" w:hAnsi="Arial" w:cs="Arial"/>
          <w:sz w:val="20"/>
          <w:szCs w:val="20"/>
        </w:rPr>
        <w:lastRenderedPageBreak/>
        <w:t xml:space="preserve">Boer, B., </w:t>
      </w:r>
      <w:proofErr w:type="spellStart"/>
      <w:r w:rsidRPr="00100BC0">
        <w:rPr>
          <w:rFonts w:ascii="Arial" w:hAnsi="Arial" w:cs="Arial"/>
          <w:sz w:val="20"/>
          <w:szCs w:val="20"/>
        </w:rPr>
        <w:t>Menkhoff</w:t>
      </w:r>
      <w:proofErr w:type="spellEnd"/>
      <w:r w:rsidRPr="00100BC0">
        <w:rPr>
          <w:rFonts w:ascii="Arial" w:hAnsi="Arial" w:cs="Arial"/>
          <w:sz w:val="20"/>
          <w:szCs w:val="20"/>
        </w:rPr>
        <w:t>, L., &amp; Rieth, M. (2022). The multifaceted impact of US trade policy on financial markets. Journal of Applied Econometrics, 37(2), 203–222. https://doi.org/10.1002/jae.2880</w:t>
      </w:r>
    </w:p>
    <w:p w14:paraId="6DB09B13" w14:textId="77777777" w:rsidR="00100BC0" w:rsidRPr="00FF5236" w:rsidRDefault="00100BC0" w:rsidP="00100BC0">
      <w:pPr>
        <w:jc w:val="both"/>
        <w:rPr>
          <w:rFonts w:ascii="Arial" w:hAnsi="Arial" w:cs="Arial"/>
          <w:sz w:val="20"/>
          <w:szCs w:val="20"/>
        </w:rPr>
      </w:pPr>
      <w:proofErr w:type="spellStart"/>
      <w:r w:rsidRPr="00FF5236">
        <w:rPr>
          <w:rFonts w:ascii="Arial" w:hAnsi="Arial" w:cs="Arial"/>
          <w:sz w:val="20"/>
          <w:szCs w:val="20"/>
        </w:rPr>
        <w:t>Chuliá</w:t>
      </w:r>
      <w:proofErr w:type="spellEnd"/>
      <w:r w:rsidRPr="00FF5236">
        <w:rPr>
          <w:rFonts w:ascii="Arial" w:hAnsi="Arial" w:cs="Arial"/>
          <w:sz w:val="20"/>
          <w:szCs w:val="20"/>
        </w:rPr>
        <w:t xml:space="preserve">, H., Gupta, R., Uribe, J. M., &amp; </w:t>
      </w:r>
      <w:proofErr w:type="spellStart"/>
      <w:r w:rsidRPr="00FF5236">
        <w:rPr>
          <w:rFonts w:ascii="Arial" w:hAnsi="Arial" w:cs="Arial"/>
          <w:sz w:val="20"/>
          <w:szCs w:val="20"/>
        </w:rPr>
        <w:t>Wohar</w:t>
      </w:r>
      <w:proofErr w:type="spellEnd"/>
      <w:r w:rsidRPr="00FF5236">
        <w:rPr>
          <w:rFonts w:ascii="Arial" w:hAnsi="Arial" w:cs="Arial"/>
          <w:sz w:val="20"/>
          <w:szCs w:val="20"/>
        </w:rPr>
        <w:t xml:space="preserve">, M. E. (2017). Impact of US uncertainties on emerging and mature markets: Evidence from a quantile-vector autoregressive approach. </w:t>
      </w:r>
      <w:r w:rsidRPr="00FF5236">
        <w:rPr>
          <w:rFonts w:ascii="Arial" w:hAnsi="Arial" w:cs="Arial"/>
          <w:i/>
          <w:iCs/>
          <w:sz w:val="20"/>
          <w:szCs w:val="20"/>
        </w:rPr>
        <w:t>Journal of International Financial Markets, Institutions and Money, 48</w:t>
      </w:r>
      <w:r w:rsidRPr="00FF5236">
        <w:rPr>
          <w:rFonts w:ascii="Arial" w:hAnsi="Arial" w:cs="Arial"/>
          <w:sz w:val="20"/>
          <w:szCs w:val="20"/>
        </w:rPr>
        <w:t xml:space="preserve">, 178–191. </w:t>
      </w:r>
      <w:hyperlink r:id="rId20" w:tgtFrame="_new" w:history="1">
        <w:r w:rsidRPr="00FF5236">
          <w:rPr>
            <w:rStyle w:val="Hyperlink"/>
            <w:rFonts w:ascii="Arial" w:hAnsi="Arial" w:cs="Arial"/>
            <w:sz w:val="20"/>
            <w:szCs w:val="20"/>
          </w:rPr>
          <w:t>https://doi.org/10.1016/j.intfin.2016.12.001</w:t>
        </w:r>
      </w:hyperlink>
    </w:p>
    <w:p w14:paraId="2B3A0FFB" w14:textId="1D23301F" w:rsidR="00100BC0" w:rsidRPr="00100BC0" w:rsidRDefault="00100BC0" w:rsidP="00100BC0">
      <w:pPr>
        <w:jc w:val="both"/>
        <w:rPr>
          <w:rFonts w:ascii="Arial" w:hAnsi="Arial" w:cs="Arial"/>
          <w:sz w:val="20"/>
          <w:szCs w:val="20"/>
        </w:rPr>
      </w:pPr>
      <w:r w:rsidRPr="00100BC0">
        <w:rPr>
          <w:rFonts w:ascii="Arial" w:hAnsi="Arial" w:cs="Arial"/>
          <w:sz w:val="20"/>
          <w:szCs w:val="20"/>
        </w:rPr>
        <w:t>De Bondt, W. F. M., &amp; Thaler, R. (1985). Does the stock market overreact? The Journal of Finance, 40(3), 793–805. https://doi.org/10.1111/j.1540-6261.1985.tb05004.</w:t>
      </w:r>
    </w:p>
    <w:p w14:paraId="6D83CF32" w14:textId="77777777" w:rsidR="00100BC0" w:rsidRPr="00FF5236" w:rsidRDefault="00100BC0" w:rsidP="00100BC0">
      <w:pPr>
        <w:jc w:val="both"/>
        <w:rPr>
          <w:rFonts w:ascii="Arial" w:hAnsi="Arial" w:cs="Arial"/>
          <w:sz w:val="20"/>
          <w:szCs w:val="20"/>
        </w:rPr>
      </w:pPr>
      <w:r w:rsidRPr="00FF5236">
        <w:rPr>
          <w:rFonts w:ascii="Arial" w:hAnsi="Arial" w:cs="Arial"/>
          <w:sz w:val="20"/>
          <w:szCs w:val="20"/>
        </w:rPr>
        <w:t xml:space="preserve">DPIIT. (2024). </w:t>
      </w:r>
      <w:r w:rsidRPr="00FF5236">
        <w:rPr>
          <w:rFonts w:ascii="Arial" w:hAnsi="Arial" w:cs="Arial"/>
          <w:i/>
          <w:iCs/>
          <w:sz w:val="20"/>
          <w:szCs w:val="20"/>
        </w:rPr>
        <w:t>FDI Statistics</w:t>
      </w:r>
      <w:r w:rsidRPr="00FF5236">
        <w:rPr>
          <w:rFonts w:ascii="Arial" w:hAnsi="Arial" w:cs="Arial"/>
          <w:sz w:val="20"/>
          <w:szCs w:val="20"/>
        </w:rPr>
        <w:t xml:space="preserve">. Department for Promotion of Industry and Internal Trade, Government of India. </w:t>
      </w:r>
      <w:hyperlink r:id="rId21" w:tgtFrame="_new" w:history="1">
        <w:r w:rsidRPr="00FF5236">
          <w:rPr>
            <w:rStyle w:val="Hyperlink"/>
            <w:rFonts w:ascii="Arial" w:hAnsi="Arial" w:cs="Arial"/>
            <w:sz w:val="20"/>
            <w:szCs w:val="20"/>
          </w:rPr>
          <w:t>https://dpiit.gov.in</w:t>
        </w:r>
      </w:hyperlink>
    </w:p>
    <w:p w14:paraId="74B0A826" w14:textId="77777777" w:rsidR="00100BC0" w:rsidRPr="00100BC0" w:rsidRDefault="00100BC0" w:rsidP="00100BC0">
      <w:pPr>
        <w:jc w:val="both"/>
        <w:rPr>
          <w:rFonts w:ascii="Arial" w:hAnsi="Arial" w:cs="Arial"/>
          <w:sz w:val="20"/>
          <w:szCs w:val="20"/>
        </w:rPr>
      </w:pPr>
      <w:r w:rsidRPr="00100BC0">
        <w:rPr>
          <w:rFonts w:ascii="Arial" w:hAnsi="Arial" w:cs="Arial"/>
          <w:sz w:val="20"/>
          <w:szCs w:val="20"/>
        </w:rPr>
        <w:t>Fama, E. F. (1970). Efficient capital markets: A review of theory and empirical work. The Journal of Finance, 25(2), 383–417. https://doi.org/10.2307/2325486</w:t>
      </w:r>
    </w:p>
    <w:p w14:paraId="382FA4BA" w14:textId="77777777" w:rsidR="00100BC0" w:rsidRPr="00FF5236" w:rsidRDefault="00100BC0" w:rsidP="00100BC0">
      <w:pPr>
        <w:jc w:val="both"/>
        <w:rPr>
          <w:rFonts w:ascii="Arial" w:hAnsi="Arial" w:cs="Arial"/>
          <w:sz w:val="20"/>
          <w:szCs w:val="20"/>
        </w:rPr>
      </w:pPr>
      <w:r w:rsidRPr="00FF5236">
        <w:rPr>
          <w:rFonts w:ascii="Arial" w:hAnsi="Arial" w:cs="Arial"/>
          <w:sz w:val="20"/>
          <w:szCs w:val="20"/>
        </w:rPr>
        <w:t xml:space="preserve">Ghosh, S., &amp; Saggar, M. (2018). Global risk aversion and Indian financial markets: A portfolio balance approach. </w:t>
      </w:r>
      <w:r w:rsidRPr="00FF5236">
        <w:rPr>
          <w:rFonts w:ascii="Arial" w:hAnsi="Arial" w:cs="Arial"/>
          <w:i/>
          <w:iCs/>
          <w:sz w:val="20"/>
          <w:szCs w:val="20"/>
        </w:rPr>
        <w:t>Economic and Political Weekly, 53</w:t>
      </w:r>
      <w:r w:rsidRPr="00FF5236">
        <w:rPr>
          <w:rFonts w:ascii="Arial" w:hAnsi="Arial" w:cs="Arial"/>
          <w:sz w:val="20"/>
          <w:szCs w:val="20"/>
        </w:rPr>
        <w:t>(45), 69–76.</w:t>
      </w:r>
    </w:p>
    <w:p w14:paraId="16CF5534" w14:textId="77777777" w:rsidR="00100BC0" w:rsidRPr="00100BC0" w:rsidRDefault="00100BC0" w:rsidP="00100BC0">
      <w:pPr>
        <w:jc w:val="both"/>
        <w:rPr>
          <w:rFonts w:ascii="Arial" w:hAnsi="Arial" w:cs="Arial"/>
          <w:sz w:val="20"/>
          <w:szCs w:val="20"/>
        </w:rPr>
      </w:pPr>
      <w:r w:rsidRPr="00100BC0">
        <w:rPr>
          <w:rFonts w:ascii="Arial" w:hAnsi="Arial" w:cs="Arial"/>
          <w:sz w:val="20"/>
          <w:szCs w:val="20"/>
        </w:rPr>
        <w:t xml:space="preserve">Gujarati, D. N., &amp; Porter, D. C. (2009). </w:t>
      </w:r>
      <w:r w:rsidRPr="00100BC0">
        <w:rPr>
          <w:rFonts w:ascii="Arial" w:hAnsi="Arial" w:cs="Arial"/>
          <w:i/>
          <w:iCs/>
          <w:sz w:val="20"/>
          <w:szCs w:val="20"/>
        </w:rPr>
        <w:t>Basic Econometrics</w:t>
      </w:r>
      <w:r w:rsidRPr="00100BC0">
        <w:rPr>
          <w:rFonts w:ascii="Arial" w:hAnsi="Arial" w:cs="Arial"/>
          <w:sz w:val="20"/>
          <w:szCs w:val="20"/>
        </w:rPr>
        <w:t xml:space="preserve"> (5th ed.). New York: McGraw-Hill Education.</w:t>
      </w:r>
    </w:p>
    <w:p w14:paraId="2B04795E" w14:textId="77777777" w:rsidR="00100BC0" w:rsidRPr="00100BC0" w:rsidRDefault="00100BC0" w:rsidP="00100BC0">
      <w:pPr>
        <w:jc w:val="both"/>
        <w:rPr>
          <w:rFonts w:ascii="Arial" w:hAnsi="Arial" w:cs="Arial"/>
          <w:sz w:val="20"/>
          <w:szCs w:val="20"/>
        </w:rPr>
      </w:pPr>
      <w:r w:rsidRPr="00100BC0">
        <w:rPr>
          <w:rFonts w:ascii="Arial" w:hAnsi="Arial" w:cs="Arial"/>
          <w:sz w:val="20"/>
          <w:szCs w:val="20"/>
        </w:rPr>
        <w:t>Hoque, A., Karim, A., &amp; Chowdhury, M. (2023). International trade policy uncertainty spillover on stock market: Evidence from fragile five economies. Pacific-Basin Finance Journal, 78, 101978. https://doi.org/10.1016/j.pacfin.2022.101978</w:t>
      </w:r>
    </w:p>
    <w:p w14:paraId="65B0DDF1" w14:textId="5ED0C5B0" w:rsidR="00100BC0" w:rsidRDefault="00100BC0" w:rsidP="00100BC0">
      <w:pPr>
        <w:jc w:val="both"/>
        <w:rPr>
          <w:rFonts w:ascii="Arial" w:hAnsi="Arial" w:cs="Arial"/>
          <w:sz w:val="20"/>
          <w:szCs w:val="20"/>
        </w:rPr>
      </w:pPr>
      <w:r w:rsidRPr="00FF5236">
        <w:rPr>
          <w:rFonts w:ascii="Arial" w:hAnsi="Arial" w:cs="Arial"/>
          <w:sz w:val="20"/>
          <w:szCs w:val="20"/>
        </w:rPr>
        <w:t xml:space="preserve">Huang, Y., Wang, L., &amp; Yao, T. (2020). Policy uncertainty and stock market volatility: Evidence from the U.S.–China trade war. </w:t>
      </w:r>
      <w:r w:rsidRPr="00FF5236">
        <w:rPr>
          <w:rFonts w:ascii="Arial" w:hAnsi="Arial" w:cs="Arial"/>
          <w:i/>
          <w:iCs/>
          <w:sz w:val="20"/>
          <w:szCs w:val="20"/>
        </w:rPr>
        <w:t>Pacific-Basin Finance Journal, 61</w:t>
      </w:r>
      <w:r w:rsidRPr="00FF5236">
        <w:rPr>
          <w:rFonts w:ascii="Arial" w:hAnsi="Arial" w:cs="Arial"/>
          <w:sz w:val="20"/>
          <w:szCs w:val="20"/>
        </w:rPr>
        <w:t xml:space="preserve">, 101326. </w:t>
      </w:r>
      <w:hyperlink r:id="rId22" w:history="1">
        <w:r w:rsidR="007324D7" w:rsidRPr="00F9416B">
          <w:rPr>
            <w:rStyle w:val="Hyperlink"/>
            <w:rFonts w:ascii="Arial" w:hAnsi="Arial" w:cs="Arial"/>
            <w:sz w:val="20"/>
            <w:szCs w:val="20"/>
          </w:rPr>
          <w:t>https://doi.org/10.1016/j.pacfin.2020.101326</w:t>
        </w:r>
      </w:hyperlink>
    </w:p>
    <w:p w14:paraId="5873FA19" w14:textId="594DEA52" w:rsidR="007324D7" w:rsidRPr="00FF5236" w:rsidRDefault="007324D7" w:rsidP="007324D7">
      <w:pPr>
        <w:jc w:val="both"/>
        <w:rPr>
          <w:rFonts w:ascii="Arial" w:hAnsi="Arial" w:cs="Arial"/>
          <w:sz w:val="20"/>
          <w:szCs w:val="20"/>
        </w:rPr>
      </w:pPr>
      <w:r w:rsidRPr="007324D7">
        <w:rPr>
          <w:rFonts w:ascii="Arial" w:hAnsi="Arial" w:cs="Arial"/>
          <w:sz w:val="20"/>
          <w:szCs w:val="20"/>
        </w:rPr>
        <w:t xml:space="preserve">Kalra, N., &amp; Gupta, G. (2023). Impact of economic policy uncertainty on the Indian stock </w:t>
      </w:r>
      <w:proofErr w:type="gramStart"/>
      <w:r w:rsidRPr="007324D7">
        <w:rPr>
          <w:rFonts w:ascii="Arial" w:hAnsi="Arial" w:cs="Arial"/>
          <w:sz w:val="20"/>
          <w:szCs w:val="20"/>
        </w:rPr>
        <w:t>market :</w:t>
      </w:r>
      <w:proofErr w:type="gramEnd"/>
      <w:r w:rsidRPr="007324D7">
        <w:rPr>
          <w:rFonts w:ascii="Arial" w:hAnsi="Arial" w:cs="Arial"/>
          <w:sz w:val="20"/>
          <w:szCs w:val="20"/>
        </w:rPr>
        <w:t xml:space="preserve"> An Empirical investigation. </w:t>
      </w:r>
      <w:r w:rsidRPr="007324D7">
        <w:rPr>
          <w:rFonts w:ascii="Arial" w:hAnsi="Arial" w:cs="Arial"/>
          <w:i/>
          <w:iCs/>
          <w:sz w:val="20"/>
          <w:szCs w:val="20"/>
        </w:rPr>
        <w:t>Indian Journal of Finance</w:t>
      </w:r>
      <w:r w:rsidRPr="007324D7">
        <w:rPr>
          <w:rFonts w:ascii="Arial" w:hAnsi="Arial" w:cs="Arial"/>
          <w:sz w:val="20"/>
          <w:szCs w:val="20"/>
        </w:rPr>
        <w:t>, </w:t>
      </w:r>
      <w:r w:rsidRPr="007324D7">
        <w:rPr>
          <w:rFonts w:ascii="Arial" w:hAnsi="Arial" w:cs="Arial"/>
          <w:i/>
          <w:iCs/>
          <w:sz w:val="20"/>
          <w:szCs w:val="20"/>
        </w:rPr>
        <w:t>17</w:t>
      </w:r>
      <w:r w:rsidRPr="007324D7">
        <w:rPr>
          <w:rFonts w:ascii="Arial" w:hAnsi="Arial" w:cs="Arial"/>
          <w:sz w:val="20"/>
          <w:szCs w:val="20"/>
        </w:rPr>
        <w:t>(3),</w:t>
      </w:r>
      <w:r>
        <w:rPr>
          <w:rFonts w:ascii="Arial" w:hAnsi="Arial" w:cs="Arial"/>
          <w:sz w:val="20"/>
          <w:szCs w:val="20"/>
        </w:rPr>
        <w:t xml:space="preserve"> </w:t>
      </w:r>
      <w:r w:rsidRPr="007324D7">
        <w:rPr>
          <w:rFonts w:ascii="Arial" w:hAnsi="Arial" w:cs="Arial"/>
          <w:sz w:val="20"/>
          <w:szCs w:val="20"/>
        </w:rPr>
        <w:t>50. https://doi.org/10.17010/ijf/2023/v17i3/172672</w:t>
      </w:r>
    </w:p>
    <w:p w14:paraId="4D3F5BBD" w14:textId="636B0FE2" w:rsidR="00100BC0" w:rsidRDefault="00100BC0" w:rsidP="00100BC0">
      <w:pPr>
        <w:jc w:val="both"/>
        <w:rPr>
          <w:rFonts w:ascii="Arial" w:hAnsi="Arial" w:cs="Arial"/>
          <w:sz w:val="20"/>
          <w:szCs w:val="20"/>
        </w:rPr>
      </w:pPr>
      <w:r w:rsidRPr="00100BC0">
        <w:rPr>
          <w:rFonts w:ascii="Arial" w:hAnsi="Arial" w:cs="Arial"/>
          <w:sz w:val="20"/>
          <w:szCs w:val="20"/>
        </w:rPr>
        <w:t xml:space="preserve"> Kanojia, A., Linda, N., &amp; Verma, N. M. (2024). The impact of the UAE–India CEPA deal on trade and investment flows: A comparative and econometric analysis. South Asian Economic Journal, 25(1), 1–20. </w:t>
      </w:r>
      <w:hyperlink r:id="rId23" w:history="1">
        <w:r w:rsidR="007324D7" w:rsidRPr="00F9416B">
          <w:rPr>
            <w:rStyle w:val="Hyperlink"/>
            <w:rFonts w:ascii="Arial" w:hAnsi="Arial" w:cs="Arial"/>
            <w:sz w:val="20"/>
            <w:szCs w:val="20"/>
          </w:rPr>
          <w:t>https://doi.org/10.1177/13915614241234567</w:t>
        </w:r>
      </w:hyperlink>
    </w:p>
    <w:p w14:paraId="2FD5DDFA" w14:textId="3176C77A" w:rsidR="007324D7" w:rsidRDefault="007324D7" w:rsidP="00100BC0">
      <w:pPr>
        <w:jc w:val="both"/>
        <w:rPr>
          <w:rFonts w:ascii="Arial" w:hAnsi="Arial" w:cs="Arial"/>
          <w:sz w:val="20"/>
          <w:szCs w:val="20"/>
        </w:rPr>
      </w:pPr>
      <w:r w:rsidRPr="007324D7">
        <w:rPr>
          <w:rFonts w:ascii="Arial" w:hAnsi="Arial" w:cs="Arial"/>
          <w:sz w:val="20"/>
          <w:szCs w:val="20"/>
        </w:rPr>
        <w:t xml:space="preserve">Li, R., Li, S., Yuan, D., &amp; Yu, K. (2020). Does economic policy uncertainty in the U.S. influence stock markets in China and India? Time-frequency evidence. Applied Economics, 52(39), 4300–4316. </w:t>
      </w:r>
      <w:hyperlink r:id="rId24" w:history="1">
        <w:r w:rsidRPr="00F9416B">
          <w:rPr>
            <w:rStyle w:val="Hyperlink"/>
            <w:rFonts w:ascii="Arial" w:hAnsi="Arial" w:cs="Arial"/>
            <w:sz w:val="20"/>
            <w:szCs w:val="20"/>
          </w:rPr>
          <w:t>https://doi.org/10.1080/00036846.2020.1734182</w:t>
        </w:r>
      </w:hyperlink>
    </w:p>
    <w:p w14:paraId="3EDEA6AB" w14:textId="34BE2232" w:rsidR="007324D7" w:rsidRDefault="007324D7" w:rsidP="00100BC0">
      <w:pPr>
        <w:jc w:val="both"/>
        <w:rPr>
          <w:rFonts w:ascii="Arial" w:hAnsi="Arial" w:cs="Arial"/>
          <w:sz w:val="20"/>
          <w:szCs w:val="20"/>
        </w:rPr>
      </w:pPr>
      <w:r w:rsidRPr="007324D7">
        <w:rPr>
          <w:rFonts w:ascii="Arial" w:hAnsi="Arial" w:cs="Arial"/>
          <w:sz w:val="20"/>
          <w:szCs w:val="20"/>
        </w:rPr>
        <w:t>Lamine, A., &amp; Zribi, S. (2024). Do geopolitical risks affect stock market returns and volatilities: an analysis based on the TVP-VAR model. </w:t>
      </w:r>
      <w:r w:rsidRPr="007324D7">
        <w:rPr>
          <w:rFonts w:ascii="Arial" w:hAnsi="Arial" w:cs="Arial"/>
          <w:i/>
          <w:iCs/>
          <w:sz w:val="20"/>
          <w:szCs w:val="20"/>
        </w:rPr>
        <w:t>European Journal of Government and Economics</w:t>
      </w:r>
      <w:r w:rsidRPr="007324D7">
        <w:rPr>
          <w:rFonts w:ascii="Arial" w:hAnsi="Arial" w:cs="Arial"/>
          <w:sz w:val="20"/>
          <w:szCs w:val="20"/>
        </w:rPr>
        <w:t>, </w:t>
      </w:r>
      <w:r w:rsidRPr="007324D7">
        <w:rPr>
          <w:rFonts w:ascii="Arial" w:hAnsi="Arial" w:cs="Arial"/>
          <w:i/>
          <w:iCs/>
          <w:sz w:val="20"/>
          <w:szCs w:val="20"/>
        </w:rPr>
        <w:t>13</w:t>
      </w:r>
      <w:r w:rsidRPr="007324D7">
        <w:rPr>
          <w:rFonts w:ascii="Arial" w:hAnsi="Arial" w:cs="Arial"/>
          <w:sz w:val="20"/>
          <w:szCs w:val="20"/>
        </w:rPr>
        <w:t>(2), 240–261. </w:t>
      </w:r>
      <w:hyperlink r:id="rId25" w:history="1">
        <w:r w:rsidRPr="00F9416B">
          <w:rPr>
            <w:rStyle w:val="Hyperlink"/>
            <w:rFonts w:ascii="Arial" w:hAnsi="Arial" w:cs="Arial"/>
            <w:sz w:val="20"/>
            <w:szCs w:val="20"/>
          </w:rPr>
          <w:t>https://doi.org/10.17979/ejge.2024.13.2.10168</w:t>
        </w:r>
      </w:hyperlink>
    </w:p>
    <w:p w14:paraId="12AF3ECD" w14:textId="77777777" w:rsidR="00100BC0" w:rsidRDefault="00100BC0" w:rsidP="00100BC0">
      <w:pPr>
        <w:jc w:val="both"/>
      </w:pPr>
      <w:r w:rsidRPr="00FF5236">
        <w:rPr>
          <w:rFonts w:ascii="Arial" w:hAnsi="Arial" w:cs="Arial"/>
          <w:sz w:val="20"/>
          <w:szCs w:val="20"/>
        </w:rPr>
        <w:t xml:space="preserve">Ministry of Commerce &amp; Industry. (2024). </w:t>
      </w:r>
      <w:r w:rsidRPr="00FF5236">
        <w:rPr>
          <w:rFonts w:ascii="Arial" w:hAnsi="Arial" w:cs="Arial"/>
          <w:i/>
          <w:iCs/>
          <w:sz w:val="20"/>
          <w:szCs w:val="20"/>
        </w:rPr>
        <w:t>Export-Import Data Bank</w:t>
      </w:r>
      <w:r w:rsidRPr="00FF5236">
        <w:rPr>
          <w:rFonts w:ascii="Arial" w:hAnsi="Arial" w:cs="Arial"/>
          <w:sz w:val="20"/>
          <w:szCs w:val="20"/>
        </w:rPr>
        <w:t xml:space="preserve">. Government of India. </w:t>
      </w:r>
      <w:hyperlink r:id="rId26" w:tgtFrame="_new" w:history="1">
        <w:r w:rsidRPr="00FF5236">
          <w:rPr>
            <w:rStyle w:val="Hyperlink"/>
            <w:rFonts w:ascii="Arial" w:hAnsi="Arial" w:cs="Arial"/>
            <w:sz w:val="20"/>
            <w:szCs w:val="20"/>
          </w:rPr>
          <w:t>https://commerce.gov.in</w:t>
        </w:r>
      </w:hyperlink>
    </w:p>
    <w:p w14:paraId="501D100A" w14:textId="5E380E48" w:rsidR="007324D7" w:rsidRPr="00FF5236" w:rsidRDefault="007324D7" w:rsidP="00100BC0">
      <w:pPr>
        <w:jc w:val="both"/>
        <w:rPr>
          <w:rFonts w:ascii="Arial" w:hAnsi="Arial" w:cs="Arial"/>
          <w:sz w:val="20"/>
          <w:szCs w:val="20"/>
        </w:rPr>
      </w:pPr>
      <w:r w:rsidRPr="007324D7">
        <w:rPr>
          <w:rFonts w:ascii="Arial" w:hAnsi="Arial" w:cs="Arial"/>
          <w:sz w:val="20"/>
          <w:szCs w:val="20"/>
        </w:rPr>
        <w:t>Nandy, S., &amp; Chattopadhyay, A. K. (2019). ‘Indian Stock Market Volatility’: A study of inter-linkages and spillover effects. </w:t>
      </w:r>
      <w:r w:rsidRPr="007324D7">
        <w:rPr>
          <w:rFonts w:ascii="Arial" w:hAnsi="Arial" w:cs="Arial"/>
          <w:i/>
          <w:iCs/>
          <w:sz w:val="20"/>
          <w:szCs w:val="20"/>
        </w:rPr>
        <w:t>Journal of Emerging Market Finance</w:t>
      </w:r>
      <w:r w:rsidRPr="007324D7">
        <w:rPr>
          <w:rFonts w:ascii="Arial" w:hAnsi="Arial" w:cs="Arial"/>
          <w:sz w:val="20"/>
          <w:szCs w:val="20"/>
        </w:rPr>
        <w:t>, </w:t>
      </w:r>
      <w:r w:rsidRPr="007324D7">
        <w:rPr>
          <w:rFonts w:ascii="Arial" w:hAnsi="Arial" w:cs="Arial"/>
          <w:i/>
          <w:iCs/>
          <w:sz w:val="20"/>
          <w:szCs w:val="20"/>
        </w:rPr>
        <w:t>18</w:t>
      </w:r>
      <w:r w:rsidRPr="007324D7">
        <w:rPr>
          <w:rFonts w:ascii="Arial" w:hAnsi="Arial" w:cs="Arial"/>
          <w:sz w:val="20"/>
          <w:szCs w:val="20"/>
        </w:rPr>
        <w:t>(2_suppl), S183–S212. https://doi.org/10.1177/0972652719846321</w:t>
      </w:r>
    </w:p>
    <w:p w14:paraId="6808E97B" w14:textId="77777777" w:rsidR="00100BC0" w:rsidRPr="00FF5236" w:rsidRDefault="00100BC0" w:rsidP="00100BC0">
      <w:pPr>
        <w:jc w:val="both"/>
        <w:rPr>
          <w:rFonts w:ascii="Arial" w:hAnsi="Arial" w:cs="Arial"/>
          <w:sz w:val="20"/>
          <w:szCs w:val="20"/>
        </w:rPr>
      </w:pPr>
      <w:r w:rsidRPr="00FF5236">
        <w:rPr>
          <w:rFonts w:ascii="Arial" w:hAnsi="Arial" w:cs="Arial"/>
          <w:sz w:val="20"/>
          <w:szCs w:val="20"/>
        </w:rPr>
        <w:t xml:space="preserve">Narayan, P. K., Phan, D. H. B., &amp; Sharma, S. S. (2021). Understanding the influence of geopolitical risks on financial market volatility. </w:t>
      </w:r>
      <w:r w:rsidRPr="00FF5236">
        <w:rPr>
          <w:rFonts w:ascii="Arial" w:hAnsi="Arial" w:cs="Arial"/>
          <w:i/>
          <w:iCs/>
          <w:sz w:val="20"/>
          <w:szCs w:val="20"/>
        </w:rPr>
        <w:t>Finance Research Letters, 42</w:t>
      </w:r>
      <w:r w:rsidRPr="00FF5236">
        <w:rPr>
          <w:rFonts w:ascii="Arial" w:hAnsi="Arial" w:cs="Arial"/>
          <w:sz w:val="20"/>
          <w:szCs w:val="20"/>
        </w:rPr>
        <w:t>, 101919. https://doi.org/10.1016/j.frl.2020.101919</w:t>
      </w:r>
    </w:p>
    <w:p w14:paraId="38F1F790" w14:textId="77777777" w:rsidR="00100BC0" w:rsidRPr="00FF5236" w:rsidRDefault="00100BC0" w:rsidP="00100BC0">
      <w:pPr>
        <w:jc w:val="both"/>
        <w:rPr>
          <w:rFonts w:ascii="Arial" w:hAnsi="Arial" w:cs="Arial"/>
          <w:sz w:val="20"/>
          <w:szCs w:val="20"/>
        </w:rPr>
      </w:pPr>
      <w:r w:rsidRPr="00FF5236">
        <w:rPr>
          <w:rFonts w:ascii="Arial" w:hAnsi="Arial" w:cs="Arial"/>
          <w:sz w:val="20"/>
          <w:szCs w:val="20"/>
        </w:rPr>
        <w:t xml:space="preserve">NASSCOM. (2024). </w:t>
      </w:r>
      <w:r w:rsidRPr="00FF5236">
        <w:rPr>
          <w:rFonts w:ascii="Arial" w:hAnsi="Arial" w:cs="Arial"/>
          <w:i/>
          <w:iCs/>
          <w:sz w:val="20"/>
          <w:szCs w:val="20"/>
        </w:rPr>
        <w:t>Strategic Review 2024: India’s Tech Sector</w:t>
      </w:r>
      <w:r w:rsidRPr="00FF5236">
        <w:rPr>
          <w:rFonts w:ascii="Arial" w:hAnsi="Arial" w:cs="Arial"/>
          <w:sz w:val="20"/>
          <w:szCs w:val="20"/>
        </w:rPr>
        <w:t xml:space="preserve">. National Association of Software and Service Companies. </w:t>
      </w:r>
      <w:hyperlink r:id="rId27" w:tgtFrame="_new" w:history="1">
        <w:r w:rsidRPr="00FF5236">
          <w:rPr>
            <w:rStyle w:val="Hyperlink"/>
            <w:rFonts w:ascii="Arial" w:hAnsi="Arial" w:cs="Arial"/>
            <w:sz w:val="20"/>
            <w:szCs w:val="20"/>
          </w:rPr>
          <w:t>https://nasscom.in</w:t>
        </w:r>
      </w:hyperlink>
    </w:p>
    <w:p w14:paraId="35B32E06" w14:textId="77777777" w:rsidR="00100BC0" w:rsidRPr="00100BC0" w:rsidRDefault="00100BC0" w:rsidP="00100BC0">
      <w:pPr>
        <w:jc w:val="both"/>
        <w:rPr>
          <w:rFonts w:ascii="Arial" w:hAnsi="Arial" w:cs="Arial"/>
          <w:sz w:val="20"/>
          <w:szCs w:val="20"/>
        </w:rPr>
      </w:pPr>
      <w:r w:rsidRPr="00100BC0">
        <w:rPr>
          <w:rFonts w:ascii="Arial" w:hAnsi="Arial" w:cs="Arial"/>
          <w:sz w:val="20"/>
          <w:szCs w:val="20"/>
        </w:rPr>
        <w:t>Pastor, L., &amp; Veronesi, P. (2012). Uncertainty about government policy and stock prices. The Journal of Finance, 67(4), 1219–1264. https://doi.org/10.1111/j.1540-6261.2012.01746.x</w:t>
      </w:r>
    </w:p>
    <w:p w14:paraId="35F9666F" w14:textId="77777777" w:rsidR="00100BC0" w:rsidRPr="00100BC0" w:rsidRDefault="00100BC0" w:rsidP="00100BC0">
      <w:pPr>
        <w:jc w:val="both"/>
        <w:rPr>
          <w:rFonts w:ascii="Arial" w:hAnsi="Arial" w:cs="Arial"/>
          <w:sz w:val="20"/>
          <w:szCs w:val="20"/>
        </w:rPr>
      </w:pPr>
      <w:proofErr w:type="spellStart"/>
      <w:r w:rsidRPr="00FF5236">
        <w:rPr>
          <w:rFonts w:ascii="Arial" w:hAnsi="Arial" w:cs="Arial"/>
          <w:sz w:val="20"/>
          <w:szCs w:val="20"/>
        </w:rPr>
        <w:lastRenderedPageBreak/>
        <w:t>Pharmexcil</w:t>
      </w:r>
      <w:proofErr w:type="spellEnd"/>
      <w:r w:rsidRPr="00FF5236">
        <w:rPr>
          <w:rFonts w:ascii="Arial" w:hAnsi="Arial" w:cs="Arial"/>
          <w:sz w:val="20"/>
          <w:szCs w:val="20"/>
        </w:rPr>
        <w:t xml:space="preserve">. (2024). </w:t>
      </w:r>
      <w:r w:rsidRPr="00FF5236">
        <w:rPr>
          <w:rFonts w:ascii="Arial" w:hAnsi="Arial" w:cs="Arial"/>
          <w:i/>
          <w:iCs/>
          <w:sz w:val="20"/>
          <w:szCs w:val="20"/>
        </w:rPr>
        <w:t>Annual Export Statistics Report</w:t>
      </w:r>
      <w:r w:rsidRPr="00FF5236">
        <w:rPr>
          <w:rFonts w:ascii="Arial" w:hAnsi="Arial" w:cs="Arial"/>
          <w:sz w:val="20"/>
          <w:szCs w:val="20"/>
        </w:rPr>
        <w:t xml:space="preserve">. Pharmaceuticals Export Promotion Council of India. </w:t>
      </w:r>
      <w:hyperlink r:id="rId28" w:tgtFrame="_new" w:history="1">
        <w:r w:rsidRPr="00FF5236">
          <w:rPr>
            <w:rStyle w:val="Hyperlink"/>
            <w:rFonts w:ascii="Arial" w:hAnsi="Arial" w:cs="Arial"/>
            <w:sz w:val="20"/>
            <w:szCs w:val="20"/>
          </w:rPr>
          <w:t>https://pharmexcil.com</w:t>
        </w:r>
      </w:hyperlink>
    </w:p>
    <w:p w14:paraId="647DAF2D" w14:textId="23EFF94F" w:rsidR="007324D7" w:rsidRDefault="00100BC0" w:rsidP="00100BC0">
      <w:pPr>
        <w:jc w:val="both"/>
      </w:pPr>
      <w:r w:rsidRPr="00100BC0">
        <w:rPr>
          <w:rFonts w:ascii="Arial" w:hAnsi="Arial" w:cs="Arial"/>
          <w:sz w:val="20"/>
          <w:szCs w:val="20"/>
        </w:rPr>
        <w:t xml:space="preserve">Reserve Bank of India. (2024). </w:t>
      </w:r>
      <w:r w:rsidRPr="00100BC0">
        <w:rPr>
          <w:rFonts w:ascii="Arial" w:hAnsi="Arial" w:cs="Arial"/>
          <w:i/>
          <w:iCs/>
          <w:sz w:val="20"/>
          <w:szCs w:val="20"/>
        </w:rPr>
        <w:t>Handbook of Statistics on Indian Economy 2023–24</w:t>
      </w:r>
      <w:r w:rsidRPr="00100BC0">
        <w:rPr>
          <w:rFonts w:ascii="Arial" w:hAnsi="Arial" w:cs="Arial"/>
          <w:sz w:val="20"/>
          <w:szCs w:val="20"/>
        </w:rPr>
        <w:t xml:space="preserve">. </w:t>
      </w:r>
      <w:hyperlink r:id="rId29" w:tgtFrame="_new" w:history="1">
        <w:r w:rsidRPr="00100BC0">
          <w:rPr>
            <w:rStyle w:val="Hyperlink"/>
            <w:rFonts w:ascii="Arial" w:hAnsi="Arial" w:cs="Arial"/>
            <w:sz w:val="20"/>
            <w:szCs w:val="20"/>
          </w:rPr>
          <w:t>https://rbi.org.in</w:t>
        </w:r>
      </w:hyperlink>
    </w:p>
    <w:p w14:paraId="0E104E46" w14:textId="7AE534C8" w:rsidR="005D0166" w:rsidRPr="005D0166" w:rsidRDefault="005D0166" w:rsidP="00100BC0">
      <w:pPr>
        <w:jc w:val="both"/>
        <w:rPr>
          <w:rFonts w:ascii="Arial" w:hAnsi="Arial" w:cs="Arial"/>
          <w:sz w:val="20"/>
          <w:szCs w:val="20"/>
        </w:rPr>
      </w:pPr>
      <w:r w:rsidRPr="005D0166">
        <w:rPr>
          <w:rFonts w:ascii="Arial" w:hAnsi="Arial" w:cs="Arial"/>
          <w:sz w:val="20"/>
          <w:szCs w:val="20"/>
        </w:rPr>
        <w:t>Rutkowska, A., &amp; Kliber, A. (2018). Can Google Trends affect sentiment of individual investors? The case of the United States. Mathematical Economics, (14 (21), 51-70.</w:t>
      </w:r>
    </w:p>
    <w:p w14:paraId="430C3840" w14:textId="2D989B49" w:rsidR="007324D7" w:rsidRDefault="007324D7" w:rsidP="00100BC0">
      <w:pPr>
        <w:jc w:val="both"/>
        <w:rPr>
          <w:rFonts w:ascii="Arial" w:hAnsi="Arial" w:cs="Arial"/>
          <w:sz w:val="20"/>
          <w:szCs w:val="20"/>
        </w:rPr>
      </w:pPr>
      <w:r w:rsidRPr="007324D7">
        <w:rPr>
          <w:rFonts w:ascii="Arial" w:hAnsi="Arial" w:cs="Arial"/>
          <w:sz w:val="20"/>
          <w:szCs w:val="20"/>
        </w:rPr>
        <w:t>Sakthivel, P., VeeraKumar, K., Raghuram, G., Govindarajan, K., &amp; Anand, V. V. (2014). Impact of Global Financial Crisis on Stock Market Volatility: Evidence from India. </w:t>
      </w:r>
      <w:r w:rsidRPr="007324D7">
        <w:rPr>
          <w:rFonts w:ascii="Arial" w:hAnsi="Arial" w:cs="Arial"/>
          <w:i/>
          <w:iCs/>
          <w:sz w:val="20"/>
          <w:szCs w:val="20"/>
        </w:rPr>
        <w:t>Asian Social Science</w:t>
      </w:r>
      <w:r w:rsidRPr="007324D7">
        <w:rPr>
          <w:rFonts w:ascii="Arial" w:hAnsi="Arial" w:cs="Arial"/>
          <w:sz w:val="20"/>
          <w:szCs w:val="20"/>
        </w:rPr>
        <w:t>, </w:t>
      </w:r>
      <w:r w:rsidRPr="007324D7">
        <w:rPr>
          <w:rFonts w:ascii="Arial" w:hAnsi="Arial" w:cs="Arial"/>
          <w:i/>
          <w:iCs/>
          <w:sz w:val="20"/>
          <w:szCs w:val="20"/>
        </w:rPr>
        <w:t>10</w:t>
      </w:r>
      <w:r w:rsidRPr="007324D7">
        <w:rPr>
          <w:rFonts w:ascii="Arial" w:hAnsi="Arial" w:cs="Arial"/>
          <w:sz w:val="20"/>
          <w:szCs w:val="20"/>
        </w:rPr>
        <w:t>(10). </w:t>
      </w:r>
      <w:hyperlink r:id="rId30" w:history="1">
        <w:r w:rsidR="005D0166" w:rsidRPr="00995E3A">
          <w:rPr>
            <w:rStyle w:val="Hyperlink"/>
            <w:rFonts w:ascii="Arial" w:hAnsi="Arial" w:cs="Arial"/>
            <w:sz w:val="20"/>
            <w:szCs w:val="20"/>
          </w:rPr>
          <w:t>https://doi.org/10.5539/ass.v10n10p86</w:t>
        </w:r>
      </w:hyperlink>
    </w:p>
    <w:p w14:paraId="5B1C0C2B" w14:textId="18FA484D" w:rsidR="005D0166" w:rsidRDefault="005D0166" w:rsidP="00100BC0">
      <w:pPr>
        <w:jc w:val="both"/>
        <w:rPr>
          <w:rFonts w:ascii="Arial" w:hAnsi="Arial" w:cs="Arial"/>
          <w:sz w:val="20"/>
          <w:szCs w:val="20"/>
        </w:rPr>
      </w:pPr>
      <w:r w:rsidRPr="005D0166">
        <w:rPr>
          <w:rFonts w:ascii="Arial" w:hAnsi="Arial" w:cs="Arial"/>
          <w:sz w:val="20"/>
          <w:szCs w:val="20"/>
        </w:rPr>
        <w:t>Swamy, V., &amp; Dharani, M. (2019). Investor attention using the Google search volume index–impact on stock returns. </w:t>
      </w:r>
      <w:r w:rsidRPr="005D0166">
        <w:rPr>
          <w:rFonts w:ascii="Arial" w:hAnsi="Arial" w:cs="Arial"/>
          <w:i/>
          <w:iCs/>
          <w:sz w:val="20"/>
          <w:szCs w:val="20"/>
        </w:rPr>
        <w:t xml:space="preserve">Review of </w:t>
      </w:r>
      <w:proofErr w:type="spellStart"/>
      <w:r w:rsidRPr="005D0166">
        <w:rPr>
          <w:rFonts w:ascii="Arial" w:hAnsi="Arial" w:cs="Arial"/>
          <w:i/>
          <w:iCs/>
          <w:sz w:val="20"/>
          <w:szCs w:val="20"/>
        </w:rPr>
        <w:t>Behavioral</w:t>
      </w:r>
      <w:proofErr w:type="spellEnd"/>
      <w:r w:rsidRPr="005D0166">
        <w:rPr>
          <w:rFonts w:ascii="Arial" w:hAnsi="Arial" w:cs="Arial"/>
          <w:i/>
          <w:iCs/>
          <w:sz w:val="20"/>
          <w:szCs w:val="20"/>
        </w:rPr>
        <w:t xml:space="preserve"> Finance</w:t>
      </w:r>
      <w:r w:rsidRPr="005D0166">
        <w:rPr>
          <w:rFonts w:ascii="Arial" w:hAnsi="Arial" w:cs="Arial"/>
          <w:sz w:val="20"/>
          <w:szCs w:val="20"/>
        </w:rPr>
        <w:t>, </w:t>
      </w:r>
      <w:r w:rsidRPr="005D0166">
        <w:rPr>
          <w:rFonts w:ascii="Arial" w:hAnsi="Arial" w:cs="Arial"/>
          <w:i/>
          <w:iCs/>
          <w:sz w:val="20"/>
          <w:szCs w:val="20"/>
        </w:rPr>
        <w:t>11</w:t>
      </w:r>
      <w:r w:rsidRPr="005D0166">
        <w:rPr>
          <w:rFonts w:ascii="Arial" w:hAnsi="Arial" w:cs="Arial"/>
          <w:sz w:val="20"/>
          <w:szCs w:val="20"/>
        </w:rPr>
        <w:t>(1), 56-70.</w:t>
      </w:r>
    </w:p>
    <w:p w14:paraId="389046B5" w14:textId="76C67999" w:rsidR="007324D7" w:rsidRDefault="007324D7" w:rsidP="00100BC0">
      <w:pPr>
        <w:jc w:val="both"/>
        <w:rPr>
          <w:rFonts w:ascii="Arial" w:hAnsi="Arial" w:cs="Arial"/>
          <w:sz w:val="20"/>
          <w:szCs w:val="20"/>
        </w:rPr>
      </w:pPr>
      <w:r w:rsidRPr="007324D7">
        <w:rPr>
          <w:rFonts w:ascii="Arial" w:hAnsi="Arial" w:cs="Arial"/>
          <w:sz w:val="20"/>
          <w:szCs w:val="20"/>
        </w:rPr>
        <w:t>Simran, N., &amp; Sharma, A. K. (2024). Economic policy uncertainty and Indian equity sectors: a quantile regression approach. Journal of Financial Economic Policy, 16(6), 856–873. https://doi.org/10.1108/jfep-12-2023-0362</w:t>
      </w:r>
    </w:p>
    <w:p w14:paraId="7B20EE7C" w14:textId="77777777" w:rsidR="007324D7" w:rsidRDefault="007324D7" w:rsidP="00100BC0">
      <w:pPr>
        <w:jc w:val="both"/>
        <w:rPr>
          <w:rFonts w:ascii="Arial" w:hAnsi="Arial" w:cs="Arial"/>
          <w:sz w:val="20"/>
          <w:szCs w:val="20"/>
        </w:rPr>
      </w:pPr>
      <w:r w:rsidRPr="007324D7">
        <w:rPr>
          <w:rFonts w:ascii="Arial" w:hAnsi="Arial" w:cs="Arial"/>
          <w:sz w:val="20"/>
          <w:szCs w:val="20"/>
        </w:rPr>
        <w:t>Sreenu, N., &amp; Pradhan, A. K. (2022). The effect of COVID-19 on Indian stock market volatility: can economic package control the uncertainty? Journal of Facilities Management, 21(5), 798–815. https://doi.org/10.1108/jfm-12-2021-0162</w:t>
      </w:r>
    </w:p>
    <w:p w14:paraId="3BDB8A63" w14:textId="1E68B0A5" w:rsidR="00AD00BE" w:rsidRPr="00100BC0" w:rsidRDefault="00AD00BE" w:rsidP="00100BC0">
      <w:pPr>
        <w:jc w:val="both"/>
        <w:rPr>
          <w:rFonts w:ascii="Arial" w:hAnsi="Arial" w:cs="Arial"/>
          <w:sz w:val="20"/>
          <w:szCs w:val="20"/>
        </w:rPr>
        <w:sectPr w:rsidR="00AD00BE" w:rsidRPr="00100BC0" w:rsidSect="00620C7B">
          <w:type w:val="continuous"/>
          <w:pgSz w:w="11906" w:h="16838"/>
          <w:pgMar w:top="1440" w:right="1440" w:bottom="1440" w:left="1440" w:header="708" w:footer="708" w:gutter="0"/>
          <w:cols w:space="708"/>
          <w:docGrid w:linePitch="360"/>
        </w:sectPr>
      </w:pPr>
      <w:r w:rsidRPr="00AD00BE">
        <w:rPr>
          <w:rFonts w:ascii="Arial" w:hAnsi="Arial" w:cs="Arial"/>
          <w:sz w:val="20"/>
          <w:szCs w:val="20"/>
        </w:rPr>
        <w:t xml:space="preserve">Tabash, M. I., Issa, S. S., Mansour, M., Saleh, M. W. A., </w:t>
      </w:r>
      <w:proofErr w:type="spellStart"/>
      <w:r w:rsidRPr="00AD00BE">
        <w:rPr>
          <w:rFonts w:ascii="Arial" w:hAnsi="Arial" w:cs="Arial"/>
          <w:sz w:val="20"/>
          <w:szCs w:val="20"/>
        </w:rPr>
        <w:t>Rahrouh</w:t>
      </w:r>
      <w:proofErr w:type="spellEnd"/>
      <w:r w:rsidRPr="00AD00BE">
        <w:rPr>
          <w:rFonts w:ascii="Arial" w:hAnsi="Arial" w:cs="Arial"/>
          <w:sz w:val="20"/>
          <w:szCs w:val="20"/>
        </w:rPr>
        <w:t xml:space="preserve">, M., </w:t>
      </w:r>
      <w:proofErr w:type="spellStart"/>
      <w:r w:rsidRPr="00AD00BE">
        <w:rPr>
          <w:rFonts w:ascii="Arial" w:hAnsi="Arial" w:cs="Arial"/>
          <w:sz w:val="20"/>
          <w:szCs w:val="20"/>
        </w:rPr>
        <w:t>AlQeisi</w:t>
      </w:r>
      <w:proofErr w:type="spellEnd"/>
      <w:r w:rsidRPr="00AD00BE">
        <w:rPr>
          <w:rFonts w:ascii="Arial" w:hAnsi="Arial" w:cs="Arial"/>
          <w:sz w:val="20"/>
          <w:szCs w:val="20"/>
        </w:rPr>
        <w:t>, K., &amp; Al-</w:t>
      </w:r>
      <w:proofErr w:type="spellStart"/>
      <w:r w:rsidRPr="00AD00BE">
        <w:rPr>
          <w:rFonts w:ascii="Arial" w:hAnsi="Arial" w:cs="Arial"/>
          <w:sz w:val="20"/>
          <w:szCs w:val="20"/>
        </w:rPr>
        <w:t>Absy</w:t>
      </w:r>
      <w:proofErr w:type="spellEnd"/>
      <w:r w:rsidRPr="00AD00BE">
        <w:rPr>
          <w:rFonts w:ascii="Arial" w:hAnsi="Arial" w:cs="Arial"/>
          <w:sz w:val="20"/>
          <w:szCs w:val="20"/>
        </w:rPr>
        <w:t>, M. S. M. (2025). Dynamic shock transmission mechanism between U.S. trade policy uncertainty and Sharia-Compliant stock market volatility of GCC economies. </w:t>
      </w:r>
      <w:r w:rsidRPr="00AD00BE">
        <w:rPr>
          <w:rFonts w:ascii="Arial" w:hAnsi="Arial" w:cs="Arial"/>
          <w:i/>
          <w:iCs/>
          <w:sz w:val="20"/>
          <w:szCs w:val="20"/>
        </w:rPr>
        <w:t>Risks</w:t>
      </w:r>
      <w:r w:rsidRPr="00AD00BE">
        <w:rPr>
          <w:rFonts w:ascii="Arial" w:hAnsi="Arial" w:cs="Arial"/>
          <w:sz w:val="20"/>
          <w:szCs w:val="20"/>
        </w:rPr>
        <w:t>, </w:t>
      </w:r>
      <w:r w:rsidRPr="00AD00BE">
        <w:rPr>
          <w:rFonts w:ascii="Arial" w:hAnsi="Arial" w:cs="Arial"/>
          <w:i/>
          <w:iCs/>
          <w:sz w:val="20"/>
          <w:szCs w:val="20"/>
        </w:rPr>
        <w:t>13</w:t>
      </w:r>
      <w:r w:rsidRPr="00AD00BE">
        <w:rPr>
          <w:rFonts w:ascii="Arial" w:hAnsi="Arial" w:cs="Arial"/>
          <w:sz w:val="20"/>
          <w:szCs w:val="20"/>
        </w:rPr>
        <w:t>(3), 56. https://doi.org/10.3390/risks13030056</w:t>
      </w:r>
    </w:p>
    <w:p w14:paraId="7058DE8A" w14:textId="7DC85DDA" w:rsidR="00100BC0" w:rsidRPr="00100BC0" w:rsidRDefault="00100BC0" w:rsidP="00100BC0">
      <w:pPr>
        <w:jc w:val="both"/>
        <w:rPr>
          <w:rFonts w:ascii="Arial" w:hAnsi="Arial" w:cs="Arial"/>
          <w:sz w:val="20"/>
          <w:szCs w:val="20"/>
        </w:rPr>
      </w:pPr>
      <w:r w:rsidRPr="00100BC0">
        <w:rPr>
          <w:rFonts w:ascii="Arial" w:hAnsi="Arial" w:cs="Arial"/>
          <w:sz w:val="20"/>
          <w:szCs w:val="20"/>
        </w:rPr>
        <w:t>Verma, N. M. (2010). Recession and its aftermath: Adjustments in the United States, Australia, and</w:t>
      </w:r>
      <w:r>
        <w:rPr>
          <w:rFonts w:ascii="Arial" w:hAnsi="Arial" w:cs="Arial"/>
          <w:sz w:val="20"/>
          <w:szCs w:val="20"/>
        </w:rPr>
        <w:t xml:space="preserve"> </w:t>
      </w:r>
      <w:r w:rsidRPr="00100BC0">
        <w:rPr>
          <w:rFonts w:ascii="Arial" w:hAnsi="Arial" w:cs="Arial"/>
          <w:sz w:val="20"/>
          <w:szCs w:val="20"/>
        </w:rPr>
        <w:t>the emerging Asia. Springer Science &amp; Business Media.</w:t>
      </w:r>
    </w:p>
    <w:p w14:paraId="1C5E4786" w14:textId="77777777" w:rsidR="00100BC0" w:rsidRPr="00100BC0" w:rsidRDefault="00100BC0" w:rsidP="00100BC0">
      <w:pPr>
        <w:jc w:val="both"/>
        <w:rPr>
          <w:rFonts w:ascii="Arial" w:hAnsi="Arial" w:cs="Arial"/>
          <w:sz w:val="20"/>
          <w:szCs w:val="20"/>
        </w:rPr>
      </w:pPr>
      <w:r w:rsidRPr="00100BC0">
        <w:rPr>
          <w:rFonts w:ascii="Arial" w:hAnsi="Arial" w:cs="Arial"/>
          <w:sz w:val="20"/>
          <w:szCs w:val="20"/>
        </w:rPr>
        <w:t>Verma, N. M. (2015). Employment, export and sustainability of Indian software industry. The Indian Journal of Labour Economics, 58(3), 393–410.</w:t>
      </w:r>
    </w:p>
    <w:p w14:paraId="67EAAF07" w14:textId="060EBDB9" w:rsidR="00100BC0" w:rsidRDefault="00100BC0" w:rsidP="00100BC0">
      <w:pPr>
        <w:jc w:val="both"/>
        <w:rPr>
          <w:rFonts w:ascii="Arial" w:hAnsi="Arial" w:cs="Arial"/>
          <w:sz w:val="20"/>
          <w:szCs w:val="20"/>
        </w:rPr>
      </w:pPr>
      <w:r w:rsidRPr="00100BC0">
        <w:rPr>
          <w:rFonts w:ascii="Arial" w:hAnsi="Arial" w:cs="Arial"/>
          <w:sz w:val="20"/>
          <w:szCs w:val="20"/>
        </w:rPr>
        <w:t xml:space="preserve">Verma, N. M., Gaur, M., &amp; Kant, R. (2020). Macro-economic determinants of high technology exports. European Journal of Business and Management Research, 5(5), 1–6. </w:t>
      </w:r>
      <w:hyperlink r:id="rId31" w:history="1">
        <w:r w:rsidR="00217AC9" w:rsidRPr="00D06F1C">
          <w:rPr>
            <w:rStyle w:val="Hyperlink"/>
            <w:rFonts w:ascii="Arial" w:hAnsi="Arial" w:cs="Arial"/>
            <w:sz w:val="20"/>
            <w:szCs w:val="20"/>
          </w:rPr>
          <w:t>https://doi.org/10.24018/ejbmr.2020.5.5.538</w:t>
        </w:r>
      </w:hyperlink>
    </w:p>
    <w:p w14:paraId="6440B3E2" w14:textId="58656C10" w:rsidR="00217AC9" w:rsidRPr="00100BC0" w:rsidRDefault="00217AC9" w:rsidP="00100BC0">
      <w:pPr>
        <w:jc w:val="both"/>
        <w:rPr>
          <w:rFonts w:ascii="Arial" w:hAnsi="Arial" w:cs="Arial"/>
          <w:sz w:val="20"/>
          <w:szCs w:val="20"/>
        </w:rPr>
      </w:pPr>
      <w:r w:rsidRPr="00217AC9">
        <w:rPr>
          <w:rFonts w:ascii="Arial" w:hAnsi="Arial" w:cs="Arial"/>
          <w:sz w:val="20"/>
          <w:szCs w:val="20"/>
        </w:rPr>
        <w:t xml:space="preserve">Verma, N. M. (2021). Macroeconomic instability in Indian economy: A contemporary short run analysis. </w:t>
      </w:r>
      <w:r w:rsidRPr="00217AC9">
        <w:rPr>
          <w:rFonts w:ascii="Arial" w:hAnsi="Arial" w:cs="Arial"/>
          <w:i/>
          <w:iCs/>
          <w:sz w:val="20"/>
          <w:szCs w:val="20"/>
        </w:rPr>
        <w:t>International Journal of Social Science and Development Policy, 3</w:t>
      </w:r>
      <w:r w:rsidRPr="00217AC9">
        <w:rPr>
          <w:rFonts w:ascii="Arial" w:hAnsi="Arial" w:cs="Arial"/>
          <w:sz w:val="20"/>
          <w:szCs w:val="20"/>
        </w:rPr>
        <w:t>(2), 154–165.</w:t>
      </w:r>
    </w:p>
    <w:p w14:paraId="31498718" w14:textId="77777777" w:rsidR="00100BC0" w:rsidRPr="00100BC0" w:rsidRDefault="00100BC0" w:rsidP="00217AC9">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100BC0">
        <w:rPr>
          <w:rFonts w:ascii="Arial" w:eastAsia="Times New Roman" w:hAnsi="Arial" w:cs="Arial"/>
          <w:kern w:val="0"/>
          <w:sz w:val="20"/>
          <w:szCs w:val="20"/>
          <w:lang w:eastAsia="en-IN"/>
          <w14:ligatures w14:val="none"/>
        </w:rPr>
        <w:t xml:space="preserve">Yadav, N., Singh, A. B., &amp; Tandon, P. (2023). Volatility Spillover Effects between Indian Stock Market and Global Stock Markets: A DCC-GARCH Model. </w:t>
      </w:r>
      <w:r w:rsidRPr="00100BC0">
        <w:rPr>
          <w:rFonts w:ascii="Arial" w:eastAsia="Times New Roman" w:hAnsi="Arial" w:cs="Arial"/>
          <w:i/>
          <w:iCs/>
          <w:kern w:val="0"/>
          <w:sz w:val="20"/>
          <w:szCs w:val="20"/>
          <w:lang w:eastAsia="en-IN"/>
          <w14:ligatures w14:val="none"/>
        </w:rPr>
        <w:t>FIIB Business Review</w:t>
      </w:r>
      <w:r w:rsidRPr="00100BC0">
        <w:rPr>
          <w:rFonts w:ascii="Arial" w:eastAsia="Times New Roman" w:hAnsi="Arial" w:cs="Arial"/>
          <w:kern w:val="0"/>
          <w:sz w:val="20"/>
          <w:szCs w:val="20"/>
          <w:lang w:eastAsia="en-IN"/>
          <w14:ligatures w14:val="none"/>
        </w:rPr>
        <w:t xml:space="preserve">, </w:t>
      </w:r>
      <w:r w:rsidRPr="00100BC0">
        <w:rPr>
          <w:rFonts w:ascii="Arial" w:eastAsia="Times New Roman" w:hAnsi="Arial" w:cs="Arial"/>
          <w:i/>
          <w:iCs/>
          <w:kern w:val="0"/>
          <w:sz w:val="20"/>
          <w:szCs w:val="20"/>
          <w:lang w:eastAsia="en-IN"/>
          <w14:ligatures w14:val="none"/>
        </w:rPr>
        <w:t>12</w:t>
      </w:r>
      <w:r w:rsidRPr="00100BC0">
        <w:rPr>
          <w:rFonts w:ascii="Arial" w:eastAsia="Times New Roman" w:hAnsi="Arial" w:cs="Arial"/>
          <w:kern w:val="0"/>
          <w:sz w:val="20"/>
          <w:szCs w:val="20"/>
          <w:lang w:eastAsia="en-IN"/>
          <w14:ligatures w14:val="none"/>
        </w:rPr>
        <w:t xml:space="preserve">(3), 1-13. </w:t>
      </w:r>
      <w:hyperlink r:id="rId32" w:tooltip="null" w:history="1">
        <w:r w:rsidRPr="00100BC0">
          <w:rPr>
            <w:rFonts w:ascii="Arial" w:eastAsia="Times New Roman" w:hAnsi="Arial" w:cs="Arial"/>
            <w:color w:val="0000FF"/>
            <w:kern w:val="0"/>
            <w:sz w:val="20"/>
            <w:szCs w:val="20"/>
            <w:u w:val="single"/>
            <w:lang w:eastAsia="en-IN"/>
            <w14:ligatures w14:val="none"/>
          </w:rPr>
          <w:t>https://doi.org/10.1177/23197145221141186</w:t>
        </w:r>
      </w:hyperlink>
    </w:p>
    <w:p w14:paraId="6CD07E9B" w14:textId="4489A079" w:rsidR="00100BC0" w:rsidRPr="00100BC0" w:rsidRDefault="00100BC0" w:rsidP="00217AC9">
      <w:pPr>
        <w:jc w:val="both"/>
        <w:rPr>
          <w:rFonts w:ascii="Arial" w:hAnsi="Arial" w:cs="Arial"/>
          <w:sz w:val="20"/>
          <w:szCs w:val="20"/>
        </w:rPr>
      </w:pPr>
      <w:r w:rsidRPr="00100BC0">
        <w:rPr>
          <w:rFonts w:ascii="Arial" w:hAnsi="Arial" w:cs="Arial"/>
          <w:sz w:val="20"/>
          <w:szCs w:val="20"/>
        </w:rPr>
        <w:t xml:space="preserve">Zhang, D., Huynh, T. L. D., &amp; Nasir, M. A. (2023). Do geopolitical risks affect stock market returns and volatility? A global perspective. Finance Research Letters, 50, 103245. </w:t>
      </w:r>
      <w:hyperlink r:id="rId33" w:history="1">
        <w:r w:rsidRPr="00100BC0">
          <w:rPr>
            <w:rStyle w:val="Hyperlink"/>
            <w:rFonts w:ascii="Arial" w:hAnsi="Arial" w:cs="Arial"/>
            <w:sz w:val="20"/>
            <w:szCs w:val="20"/>
          </w:rPr>
          <w:t>https://doi.org/10.1016/j.frl.2022.103245</w:t>
        </w:r>
      </w:hyperlink>
    </w:p>
    <w:p w14:paraId="23E42358" w14:textId="77777777" w:rsidR="00100BC0" w:rsidRPr="00FF5236" w:rsidRDefault="00100BC0" w:rsidP="00100BC0">
      <w:pPr>
        <w:ind w:left="360"/>
        <w:jc w:val="both"/>
        <w:rPr>
          <w:rFonts w:ascii="Arial" w:hAnsi="Arial" w:cs="Arial"/>
          <w:sz w:val="20"/>
          <w:szCs w:val="20"/>
        </w:rPr>
      </w:pPr>
    </w:p>
    <w:p w14:paraId="44049C11" w14:textId="77777777" w:rsidR="00B60B7E" w:rsidRDefault="00B60B7E" w:rsidP="008F14A3">
      <w:pPr>
        <w:rPr>
          <w:rFonts w:ascii="Times New Roman" w:hAnsi="Times New Roman" w:cs="Times New Roman"/>
          <w:sz w:val="28"/>
          <w:szCs w:val="28"/>
        </w:rPr>
      </w:pPr>
    </w:p>
    <w:p w14:paraId="1DCDF6F9" w14:textId="48598F2A" w:rsidR="00283821" w:rsidRPr="008F14A3" w:rsidRDefault="00283821" w:rsidP="008F14A3">
      <w:pPr>
        <w:rPr>
          <w:rFonts w:ascii="Times New Roman" w:hAnsi="Times New Roman" w:cs="Times New Roman"/>
          <w:sz w:val="28"/>
          <w:szCs w:val="28"/>
        </w:rPr>
      </w:pPr>
    </w:p>
    <w:sectPr w:rsidR="00283821" w:rsidRPr="008F14A3" w:rsidSect="00620C7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4B5E3" w14:textId="77777777" w:rsidR="009D1ABF" w:rsidRDefault="009D1ABF" w:rsidP="0024665C">
      <w:pPr>
        <w:spacing w:after="0" w:line="240" w:lineRule="auto"/>
      </w:pPr>
      <w:r>
        <w:separator/>
      </w:r>
    </w:p>
  </w:endnote>
  <w:endnote w:type="continuationSeparator" w:id="0">
    <w:p w14:paraId="2D7B56C9" w14:textId="77777777" w:rsidR="009D1ABF" w:rsidRDefault="009D1ABF" w:rsidP="0024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2EAC" w14:textId="77777777" w:rsidR="00960BEC" w:rsidRDefault="0096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3C67" w14:textId="77777777" w:rsidR="00960BEC" w:rsidRDefault="00960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1185" w14:textId="77777777" w:rsidR="00960BEC" w:rsidRDefault="0096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C7322" w14:textId="77777777" w:rsidR="009D1ABF" w:rsidRDefault="009D1ABF" w:rsidP="0024665C">
      <w:pPr>
        <w:spacing w:after="0" w:line="240" w:lineRule="auto"/>
      </w:pPr>
      <w:r>
        <w:separator/>
      </w:r>
    </w:p>
  </w:footnote>
  <w:footnote w:type="continuationSeparator" w:id="0">
    <w:p w14:paraId="110B12E5" w14:textId="77777777" w:rsidR="009D1ABF" w:rsidRDefault="009D1ABF" w:rsidP="00246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6BF4" w14:textId="4B318D00" w:rsidR="00960BEC" w:rsidRDefault="00000000">
    <w:pPr>
      <w:pStyle w:val="Header"/>
    </w:pPr>
    <w:r>
      <w:rPr>
        <w:noProof/>
      </w:rPr>
      <w:pict w14:anchorId="4F92B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10F1" w14:textId="7615E7C9" w:rsidR="00960BEC" w:rsidRDefault="00000000">
    <w:pPr>
      <w:pStyle w:val="Header"/>
    </w:pPr>
    <w:r>
      <w:rPr>
        <w:noProof/>
      </w:rPr>
      <w:pict w14:anchorId="487CC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8669" w14:textId="2518143B" w:rsidR="00960BEC" w:rsidRDefault="00000000">
    <w:pPr>
      <w:pStyle w:val="Header"/>
    </w:pPr>
    <w:r>
      <w:rPr>
        <w:noProof/>
      </w:rPr>
      <w:pict w14:anchorId="4FA91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C4CCD"/>
    <w:multiLevelType w:val="hybridMultilevel"/>
    <w:tmpl w:val="37147236"/>
    <w:lvl w:ilvl="0" w:tplc="F67478A0">
      <w:start w:val="9"/>
      <w:numFmt w:val="bullet"/>
      <w:lvlText w:val=""/>
      <w:lvlJc w:val="left"/>
      <w:pPr>
        <w:ind w:left="1080" w:hanging="360"/>
      </w:pPr>
      <w:rPr>
        <w:rFonts w:ascii="Symbol" w:eastAsiaTheme="minorHAnsi"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42F5672E"/>
    <w:multiLevelType w:val="multilevel"/>
    <w:tmpl w:val="271A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512F0"/>
    <w:multiLevelType w:val="hybridMultilevel"/>
    <w:tmpl w:val="F118E0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1230B6"/>
    <w:multiLevelType w:val="hybridMultilevel"/>
    <w:tmpl w:val="1D049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CC4FF0"/>
    <w:multiLevelType w:val="hybridMultilevel"/>
    <w:tmpl w:val="C698319A"/>
    <w:lvl w:ilvl="0" w:tplc="A47C9280">
      <w:start w:val="9"/>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FC107D9"/>
    <w:multiLevelType w:val="hybridMultilevel"/>
    <w:tmpl w:val="6FD25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9283411">
    <w:abstractNumId w:val="2"/>
  </w:num>
  <w:num w:numId="2" w16cid:durableId="333919207">
    <w:abstractNumId w:val="3"/>
  </w:num>
  <w:num w:numId="3" w16cid:durableId="1460996010">
    <w:abstractNumId w:val="5"/>
  </w:num>
  <w:num w:numId="4" w16cid:durableId="352999412">
    <w:abstractNumId w:val="4"/>
  </w:num>
  <w:num w:numId="5" w16cid:durableId="794059012">
    <w:abstractNumId w:val="0"/>
  </w:num>
  <w:num w:numId="6" w16cid:durableId="1621764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D5"/>
    <w:rsid w:val="00002D9D"/>
    <w:rsid w:val="000338EA"/>
    <w:rsid w:val="00054C5E"/>
    <w:rsid w:val="00055D3B"/>
    <w:rsid w:val="00066445"/>
    <w:rsid w:val="00077081"/>
    <w:rsid w:val="000846CD"/>
    <w:rsid w:val="00084822"/>
    <w:rsid w:val="00087945"/>
    <w:rsid w:val="000C0A21"/>
    <w:rsid w:val="000C5C8A"/>
    <w:rsid w:val="000C67B1"/>
    <w:rsid w:val="000D7AB4"/>
    <w:rsid w:val="000E16E6"/>
    <w:rsid w:val="00100BC0"/>
    <w:rsid w:val="00110517"/>
    <w:rsid w:val="00113D9E"/>
    <w:rsid w:val="00115ED4"/>
    <w:rsid w:val="001225CB"/>
    <w:rsid w:val="00136A01"/>
    <w:rsid w:val="00137D35"/>
    <w:rsid w:val="00140FE9"/>
    <w:rsid w:val="00161DEE"/>
    <w:rsid w:val="00162770"/>
    <w:rsid w:val="0018182E"/>
    <w:rsid w:val="0019602C"/>
    <w:rsid w:val="001B16B5"/>
    <w:rsid w:val="001C14C8"/>
    <w:rsid w:val="001D7954"/>
    <w:rsid w:val="00217AC9"/>
    <w:rsid w:val="00232D30"/>
    <w:rsid w:val="002379D4"/>
    <w:rsid w:val="002432A9"/>
    <w:rsid w:val="00245850"/>
    <w:rsid w:val="0024665C"/>
    <w:rsid w:val="0026082A"/>
    <w:rsid w:val="00283821"/>
    <w:rsid w:val="00292C9D"/>
    <w:rsid w:val="002A3D28"/>
    <w:rsid w:val="002B6532"/>
    <w:rsid w:val="002C49D4"/>
    <w:rsid w:val="002D17DD"/>
    <w:rsid w:val="002D52EA"/>
    <w:rsid w:val="00303D3D"/>
    <w:rsid w:val="003117B2"/>
    <w:rsid w:val="003154ED"/>
    <w:rsid w:val="00317B85"/>
    <w:rsid w:val="0033425B"/>
    <w:rsid w:val="003538EA"/>
    <w:rsid w:val="00355A71"/>
    <w:rsid w:val="00360D02"/>
    <w:rsid w:val="00390E70"/>
    <w:rsid w:val="003C13F8"/>
    <w:rsid w:val="003E7CF2"/>
    <w:rsid w:val="00430BF8"/>
    <w:rsid w:val="00443840"/>
    <w:rsid w:val="00461035"/>
    <w:rsid w:val="00472570"/>
    <w:rsid w:val="004813F2"/>
    <w:rsid w:val="004918C2"/>
    <w:rsid w:val="004C010D"/>
    <w:rsid w:val="004C3D92"/>
    <w:rsid w:val="004C54F1"/>
    <w:rsid w:val="004D09A5"/>
    <w:rsid w:val="00501944"/>
    <w:rsid w:val="00525A6E"/>
    <w:rsid w:val="00527465"/>
    <w:rsid w:val="00534800"/>
    <w:rsid w:val="00577BDE"/>
    <w:rsid w:val="005873A7"/>
    <w:rsid w:val="005A26BB"/>
    <w:rsid w:val="005D0011"/>
    <w:rsid w:val="005D0166"/>
    <w:rsid w:val="005D365D"/>
    <w:rsid w:val="00601764"/>
    <w:rsid w:val="0060239A"/>
    <w:rsid w:val="006034FA"/>
    <w:rsid w:val="006068E5"/>
    <w:rsid w:val="006159AB"/>
    <w:rsid w:val="00620C7B"/>
    <w:rsid w:val="006224DD"/>
    <w:rsid w:val="00624897"/>
    <w:rsid w:val="0062729F"/>
    <w:rsid w:val="006644D3"/>
    <w:rsid w:val="00665BC1"/>
    <w:rsid w:val="006804E3"/>
    <w:rsid w:val="006A453B"/>
    <w:rsid w:val="006A7AAB"/>
    <w:rsid w:val="006B55BF"/>
    <w:rsid w:val="006C05D8"/>
    <w:rsid w:val="006C67BA"/>
    <w:rsid w:val="006D7C56"/>
    <w:rsid w:val="006F18E6"/>
    <w:rsid w:val="006F7264"/>
    <w:rsid w:val="007051F8"/>
    <w:rsid w:val="00712EB8"/>
    <w:rsid w:val="007153E2"/>
    <w:rsid w:val="00716357"/>
    <w:rsid w:val="00725CD0"/>
    <w:rsid w:val="00731F55"/>
    <w:rsid w:val="007324D7"/>
    <w:rsid w:val="0076089F"/>
    <w:rsid w:val="007717F7"/>
    <w:rsid w:val="00780966"/>
    <w:rsid w:val="00797949"/>
    <w:rsid w:val="007B0972"/>
    <w:rsid w:val="007B3115"/>
    <w:rsid w:val="007C0533"/>
    <w:rsid w:val="007D04F0"/>
    <w:rsid w:val="007D2143"/>
    <w:rsid w:val="008004D0"/>
    <w:rsid w:val="0084284E"/>
    <w:rsid w:val="008528FC"/>
    <w:rsid w:val="00853C12"/>
    <w:rsid w:val="0085419C"/>
    <w:rsid w:val="00865956"/>
    <w:rsid w:val="0086673E"/>
    <w:rsid w:val="00866C9D"/>
    <w:rsid w:val="008773C3"/>
    <w:rsid w:val="008D7FD0"/>
    <w:rsid w:val="008E0E07"/>
    <w:rsid w:val="008E1817"/>
    <w:rsid w:val="008F14A3"/>
    <w:rsid w:val="008F57D5"/>
    <w:rsid w:val="0090229C"/>
    <w:rsid w:val="00906627"/>
    <w:rsid w:val="00917261"/>
    <w:rsid w:val="009305D2"/>
    <w:rsid w:val="009346CF"/>
    <w:rsid w:val="009352F5"/>
    <w:rsid w:val="00937615"/>
    <w:rsid w:val="0094054B"/>
    <w:rsid w:val="0094059A"/>
    <w:rsid w:val="00960BEC"/>
    <w:rsid w:val="00980975"/>
    <w:rsid w:val="00980D32"/>
    <w:rsid w:val="00984105"/>
    <w:rsid w:val="00994074"/>
    <w:rsid w:val="009B0505"/>
    <w:rsid w:val="009B6DDB"/>
    <w:rsid w:val="009C7510"/>
    <w:rsid w:val="009C75C9"/>
    <w:rsid w:val="009D1ABF"/>
    <w:rsid w:val="009D7649"/>
    <w:rsid w:val="00A2131B"/>
    <w:rsid w:val="00A32F40"/>
    <w:rsid w:val="00A43E00"/>
    <w:rsid w:val="00A53EE1"/>
    <w:rsid w:val="00A6136B"/>
    <w:rsid w:val="00A800CF"/>
    <w:rsid w:val="00A81278"/>
    <w:rsid w:val="00A83BE3"/>
    <w:rsid w:val="00A9717A"/>
    <w:rsid w:val="00AA3686"/>
    <w:rsid w:val="00AA3F72"/>
    <w:rsid w:val="00AB0648"/>
    <w:rsid w:val="00AB3003"/>
    <w:rsid w:val="00AC61F2"/>
    <w:rsid w:val="00AD00BE"/>
    <w:rsid w:val="00AD166A"/>
    <w:rsid w:val="00AD34DC"/>
    <w:rsid w:val="00AE0290"/>
    <w:rsid w:val="00AE246F"/>
    <w:rsid w:val="00AE6EB7"/>
    <w:rsid w:val="00AF40DB"/>
    <w:rsid w:val="00AF674E"/>
    <w:rsid w:val="00B01A95"/>
    <w:rsid w:val="00B06D4C"/>
    <w:rsid w:val="00B16012"/>
    <w:rsid w:val="00B223DC"/>
    <w:rsid w:val="00B263DA"/>
    <w:rsid w:val="00B516E7"/>
    <w:rsid w:val="00B548EB"/>
    <w:rsid w:val="00B60B7E"/>
    <w:rsid w:val="00B73A36"/>
    <w:rsid w:val="00B91C95"/>
    <w:rsid w:val="00B94EB2"/>
    <w:rsid w:val="00BA18C1"/>
    <w:rsid w:val="00BA5C1D"/>
    <w:rsid w:val="00BB7223"/>
    <w:rsid w:val="00BD36BB"/>
    <w:rsid w:val="00BD4B25"/>
    <w:rsid w:val="00BD6371"/>
    <w:rsid w:val="00BE4B90"/>
    <w:rsid w:val="00C0607D"/>
    <w:rsid w:val="00C179A9"/>
    <w:rsid w:val="00C22F12"/>
    <w:rsid w:val="00C2550C"/>
    <w:rsid w:val="00C5103E"/>
    <w:rsid w:val="00C53C57"/>
    <w:rsid w:val="00C63CCA"/>
    <w:rsid w:val="00C70A8A"/>
    <w:rsid w:val="00CA6018"/>
    <w:rsid w:val="00CC2B7C"/>
    <w:rsid w:val="00CD7AE4"/>
    <w:rsid w:val="00CF0B50"/>
    <w:rsid w:val="00CF6BC9"/>
    <w:rsid w:val="00D053E9"/>
    <w:rsid w:val="00D0545A"/>
    <w:rsid w:val="00D12CA6"/>
    <w:rsid w:val="00D169F4"/>
    <w:rsid w:val="00D376BC"/>
    <w:rsid w:val="00D423BF"/>
    <w:rsid w:val="00D557D6"/>
    <w:rsid w:val="00D83F49"/>
    <w:rsid w:val="00D87E4C"/>
    <w:rsid w:val="00DA7F1B"/>
    <w:rsid w:val="00DB4DE4"/>
    <w:rsid w:val="00DD5943"/>
    <w:rsid w:val="00DF2500"/>
    <w:rsid w:val="00E11EC9"/>
    <w:rsid w:val="00E45CE9"/>
    <w:rsid w:val="00E45EFC"/>
    <w:rsid w:val="00E471F7"/>
    <w:rsid w:val="00E60A73"/>
    <w:rsid w:val="00E636E9"/>
    <w:rsid w:val="00EB0438"/>
    <w:rsid w:val="00ED530C"/>
    <w:rsid w:val="00ED6FE3"/>
    <w:rsid w:val="00EE00D8"/>
    <w:rsid w:val="00EE7C16"/>
    <w:rsid w:val="00F110F2"/>
    <w:rsid w:val="00F2714F"/>
    <w:rsid w:val="00F514EC"/>
    <w:rsid w:val="00F54100"/>
    <w:rsid w:val="00F55B50"/>
    <w:rsid w:val="00F55DE6"/>
    <w:rsid w:val="00F5601D"/>
    <w:rsid w:val="00F6093B"/>
    <w:rsid w:val="00F6552E"/>
    <w:rsid w:val="00F732A3"/>
    <w:rsid w:val="00F953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2BEE"/>
  <w15:chartTrackingRefBased/>
  <w15:docId w15:val="{F4D23AB8-C139-4DFA-934D-30FB2BC8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7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57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57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57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57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5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7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57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57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57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57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5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7D5"/>
    <w:rPr>
      <w:rFonts w:eastAsiaTheme="majorEastAsia" w:cstheme="majorBidi"/>
      <w:color w:val="272727" w:themeColor="text1" w:themeTint="D8"/>
    </w:rPr>
  </w:style>
  <w:style w:type="paragraph" w:styleId="Title">
    <w:name w:val="Title"/>
    <w:basedOn w:val="Normal"/>
    <w:next w:val="Normal"/>
    <w:link w:val="TitleChar"/>
    <w:uiPriority w:val="10"/>
    <w:qFormat/>
    <w:rsid w:val="008F5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7D5"/>
    <w:pPr>
      <w:spacing w:before="160"/>
      <w:jc w:val="center"/>
    </w:pPr>
    <w:rPr>
      <w:i/>
      <w:iCs/>
      <w:color w:val="404040" w:themeColor="text1" w:themeTint="BF"/>
    </w:rPr>
  </w:style>
  <w:style w:type="character" w:customStyle="1" w:styleId="QuoteChar">
    <w:name w:val="Quote Char"/>
    <w:basedOn w:val="DefaultParagraphFont"/>
    <w:link w:val="Quote"/>
    <w:uiPriority w:val="29"/>
    <w:rsid w:val="008F57D5"/>
    <w:rPr>
      <w:i/>
      <w:iCs/>
      <w:color w:val="404040" w:themeColor="text1" w:themeTint="BF"/>
    </w:rPr>
  </w:style>
  <w:style w:type="paragraph" w:styleId="ListParagraph">
    <w:name w:val="List Paragraph"/>
    <w:basedOn w:val="Normal"/>
    <w:uiPriority w:val="34"/>
    <w:qFormat/>
    <w:rsid w:val="008F57D5"/>
    <w:pPr>
      <w:ind w:left="720"/>
      <w:contextualSpacing/>
    </w:pPr>
  </w:style>
  <w:style w:type="character" w:styleId="IntenseEmphasis">
    <w:name w:val="Intense Emphasis"/>
    <w:basedOn w:val="DefaultParagraphFont"/>
    <w:uiPriority w:val="21"/>
    <w:qFormat/>
    <w:rsid w:val="008F57D5"/>
    <w:rPr>
      <w:i/>
      <w:iCs/>
      <w:color w:val="2F5496" w:themeColor="accent1" w:themeShade="BF"/>
    </w:rPr>
  </w:style>
  <w:style w:type="paragraph" w:styleId="IntenseQuote">
    <w:name w:val="Intense Quote"/>
    <w:basedOn w:val="Normal"/>
    <w:next w:val="Normal"/>
    <w:link w:val="IntenseQuoteChar"/>
    <w:uiPriority w:val="30"/>
    <w:qFormat/>
    <w:rsid w:val="008F5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57D5"/>
    <w:rPr>
      <w:i/>
      <w:iCs/>
      <w:color w:val="2F5496" w:themeColor="accent1" w:themeShade="BF"/>
    </w:rPr>
  </w:style>
  <w:style w:type="character" w:styleId="IntenseReference">
    <w:name w:val="Intense Reference"/>
    <w:basedOn w:val="DefaultParagraphFont"/>
    <w:uiPriority w:val="32"/>
    <w:qFormat/>
    <w:rsid w:val="008F57D5"/>
    <w:rPr>
      <w:b/>
      <w:bCs/>
      <w:smallCaps/>
      <w:color w:val="2F5496" w:themeColor="accent1" w:themeShade="BF"/>
      <w:spacing w:val="5"/>
    </w:rPr>
  </w:style>
  <w:style w:type="character" w:styleId="PlaceholderText">
    <w:name w:val="Placeholder Text"/>
    <w:basedOn w:val="DefaultParagraphFont"/>
    <w:uiPriority w:val="99"/>
    <w:semiHidden/>
    <w:rsid w:val="00A32F40"/>
    <w:rPr>
      <w:color w:val="666666"/>
    </w:rPr>
  </w:style>
  <w:style w:type="paragraph" w:styleId="NormalWeb">
    <w:name w:val="Normal (Web)"/>
    <w:basedOn w:val="Normal"/>
    <w:uiPriority w:val="99"/>
    <w:semiHidden/>
    <w:unhideWhenUsed/>
    <w:rsid w:val="00A32F4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katex-mathml">
    <w:name w:val="katex-mathml"/>
    <w:basedOn w:val="DefaultParagraphFont"/>
    <w:rsid w:val="00A32F40"/>
  </w:style>
  <w:style w:type="character" w:customStyle="1" w:styleId="mord">
    <w:name w:val="mord"/>
    <w:basedOn w:val="DefaultParagraphFont"/>
    <w:rsid w:val="00A32F40"/>
  </w:style>
  <w:style w:type="character" w:customStyle="1" w:styleId="vlist-s">
    <w:name w:val="vlist-s"/>
    <w:basedOn w:val="DefaultParagraphFont"/>
    <w:rsid w:val="00A32F40"/>
  </w:style>
  <w:style w:type="table" w:styleId="PlainTable2">
    <w:name w:val="Plain Table 2"/>
    <w:basedOn w:val="TableNormal"/>
    <w:uiPriority w:val="42"/>
    <w:rsid w:val="00B60B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B60B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86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65C"/>
  </w:style>
  <w:style w:type="paragraph" w:styleId="Footer">
    <w:name w:val="footer"/>
    <w:basedOn w:val="Normal"/>
    <w:link w:val="FooterChar"/>
    <w:uiPriority w:val="99"/>
    <w:unhideWhenUsed/>
    <w:rsid w:val="00246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65C"/>
  </w:style>
  <w:style w:type="paragraph" w:styleId="FootnoteText">
    <w:name w:val="footnote text"/>
    <w:basedOn w:val="Normal"/>
    <w:link w:val="FootnoteTextChar"/>
    <w:uiPriority w:val="99"/>
    <w:semiHidden/>
    <w:unhideWhenUsed/>
    <w:rsid w:val="007C0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533"/>
    <w:rPr>
      <w:sz w:val="20"/>
      <w:szCs w:val="20"/>
    </w:rPr>
  </w:style>
  <w:style w:type="character" w:styleId="FootnoteReference">
    <w:name w:val="footnote reference"/>
    <w:basedOn w:val="DefaultParagraphFont"/>
    <w:uiPriority w:val="99"/>
    <w:unhideWhenUsed/>
    <w:rsid w:val="007C0533"/>
    <w:rPr>
      <w:vertAlign w:val="superscript"/>
    </w:rPr>
  </w:style>
  <w:style w:type="paragraph" w:styleId="EndnoteText">
    <w:name w:val="endnote text"/>
    <w:basedOn w:val="Normal"/>
    <w:link w:val="EndnoteTextChar"/>
    <w:uiPriority w:val="99"/>
    <w:semiHidden/>
    <w:unhideWhenUsed/>
    <w:rsid w:val="007C05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533"/>
    <w:rPr>
      <w:sz w:val="20"/>
      <w:szCs w:val="20"/>
    </w:rPr>
  </w:style>
  <w:style w:type="character" w:styleId="EndnoteReference">
    <w:name w:val="endnote reference"/>
    <w:basedOn w:val="DefaultParagraphFont"/>
    <w:uiPriority w:val="99"/>
    <w:semiHidden/>
    <w:unhideWhenUsed/>
    <w:rsid w:val="007C0533"/>
    <w:rPr>
      <w:vertAlign w:val="superscript"/>
    </w:rPr>
  </w:style>
  <w:style w:type="character" w:styleId="Emphasis">
    <w:name w:val="Emphasis"/>
    <w:basedOn w:val="DefaultParagraphFont"/>
    <w:uiPriority w:val="20"/>
    <w:qFormat/>
    <w:rsid w:val="0062729F"/>
    <w:rPr>
      <w:i/>
      <w:iCs/>
    </w:rPr>
  </w:style>
  <w:style w:type="character" w:styleId="Hyperlink">
    <w:name w:val="Hyperlink"/>
    <w:basedOn w:val="DefaultParagraphFont"/>
    <w:uiPriority w:val="99"/>
    <w:unhideWhenUsed/>
    <w:rsid w:val="001C14C8"/>
    <w:rPr>
      <w:color w:val="0563C1" w:themeColor="hyperlink"/>
      <w:u w:val="single"/>
    </w:rPr>
  </w:style>
  <w:style w:type="character" w:styleId="UnresolvedMention">
    <w:name w:val="Unresolved Mention"/>
    <w:basedOn w:val="DefaultParagraphFont"/>
    <w:uiPriority w:val="99"/>
    <w:semiHidden/>
    <w:unhideWhenUsed/>
    <w:rsid w:val="001C1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3784">
      <w:bodyDiv w:val="1"/>
      <w:marLeft w:val="0"/>
      <w:marRight w:val="0"/>
      <w:marTop w:val="0"/>
      <w:marBottom w:val="0"/>
      <w:divBdr>
        <w:top w:val="none" w:sz="0" w:space="0" w:color="auto"/>
        <w:left w:val="none" w:sz="0" w:space="0" w:color="auto"/>
        <w:bottom w:val="none" w:sz="0" w:space="0" w:color="auto"/>
        <w:right w:val="none" w:sz="0" w:space="0" w:color="auto"/>
      </w:divBdr>
      <w:divsChild>
        <w:div w:id="855464129">
          <w:marLeft w:val="0"/>
          <w:marRight w:val="0"/>
          <w:marTop w:val="0"/>
          <w:marBottom w:val="0"/>
          <w:divBdr>
            <w:top w:val="none" w:sz="0" w:space="0" w:color="auto"/>
            <w:left w:val="none" w:sz="0" w:space="0" w:color="auto"/>
            <w:bottom w:val="none" w:sz="0" w:space="0" w:color="auto"/>
            <w:right w:val="none" w:sz="0" w:space="0" w:color="auto"/>
          </w:divBdr>
          <w:divsChild>
            <w:div w:id="858275185">
              <w:marLeft w:val="0"/>
              <w:marRight w:val="0"/>
              <w:marTop w:val="0"/>
              <w:marBottom w:val="0"/>
              <w:divBdr>
                <w:top w:val="none" w:sz="0" w:space="0" w:color="auto"/>
                <w:left w:val="none" w:sz="0" w:space="0" w:color="auto"/>
                <w:bottom w:val="none" w:sz="0" w:space="0" w:color="auto"/>
                <w:right w:val="none" w:sz="0" w:space="0" w:color="auto"/>
              </w:divBdr>
              <w:divsChild>
                <w:div w:id="1978876824">
                  <w:marLeft w:val="0"/>
                  <w:marRight w:val="0"/>
                  <w:marTop w:val="0"/>
                  <w:marBottom w:val="0"/>
                  <w:divBdr>
                    <w:top w:val="none" w:sz="0" w:space="0" w:color="auto"/>
                    <w:left w:val="none" w:sz="0" w:space="0" w:color="auto"/>
                    <w:bottom w:val="none" w:sz="0" w:space="0" w:color="auto"/>
                    <w:right w:val="none" w:sz="0" w:space="0" w:color="auto"/>
                  </w:divBdr>
                  <w:divsChild>
                    <w:div w:id="1423917357">
                      <w:marLeft w:val="0"/>
                      <w:marRight w:val="0"/>
                      <w:marTop w:val="0"/>
                      <w:marBottom w:val="0"/>
                      <w:divBdr>
                        <w:top w:val="none" w:sz="0" w:space="0" w:color="auto"/>
                        <w:left w:val="none" w:sz="0" w:space="0" w:color="auto"/>
                        <w:bottom w:val="none" w:sz="0" w:space="0" w:color="auto"/>
                        <w:right w:val="none" w:sz="0" w:space="0" w:color="auto"/>
                      </w:divBdr>
                      <w:divsChild>
                        <w:div w:id="935207490">
                          <w:marLeft w:val="0"/>
                          <w:marRight w:val="0"/>
                          <w:marTop w:val="0"/>
                          <w:marBottom w:val="0"/>
                          <w:divBdr>
                            <w:top w:val="none" w:sz="0" w:space="0" w:color="auto"/>
                            <w:left w:val="none" w:sz="0" w:space="0" w:color="auto"/>
                            <w:bottom w:val="none" w:sz="0" w:space="0" w:color="auto"/>
                            <w:right w:val="none" w:sz="0" w:space="0" w:color="auto"/>
                          </w:divBdr>
                          <w:divsChild>
                            <w:div w:id="1474328349">
                              <w:marLeft w:val="0"/>
                              <w:marRight w:val="0"/>
                              <w:marTop w:val="0"/>
                              <w:marBottom w:val="0"/>
                              <w:divBdr>
                                <w:top w:val="none" w:sz="0" w:space="0" w:color="auto"/>
                                <w:left w:val="none" w:sz="0" w:space="0" w:color="auto"/>
                                <w:bottom w:val="none" w:sz="0" w:space="0" w:color="auto"/>
                                <w:right w:val="none" w:sz="0" w:space="0" w:color="auto"/>
                              </w:divBdr>
                              <w:divsChild>
                                <w:div w:id="509176181">
                                  <w:marLeft w:val="0"/>
                                  <w:marRight w:val="0"/>
                                  <w:marTop w:val="0"/>
                                  <w:marBottom w:val="0"/>
                                  <w:divBdr>
                                    <w:top w:val="none" w:sz="0" w:space="0" w:color="auto"/>
                                    <w:left w:val="none" w:sz="0" w:space="0" w:color="auto"/>
                                    <w:bottom w:val="none" w:sz="0" w:space="0" w:color="auto"/>
                                    <w:right w:val="none" w:sz="0" w:space="0" w:color="auto"/>
                                  </w:divBdr>
                                  <w:divsChild>
                                    <w:div w:id="1405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6261">
                      <w:marLeft w:val="0"/>
                      <w:marRight w:val="0"/>
                      <w:marTop w:val="0"/>
                      <w:marBottom w:val="0"/>
                      <w:divBdr>
                        <w:top w:val="none" w:sz="0" w:space="0" w:color="auto"/>
                        <w:left w:val="none" w:sz="0" w:space="0" w:color="auto"/>
                        <w:bottom w:val="none" w:sz="0" w:space="0" w:color="auto"/>
                        <w:right w:val="none" w:sz="0" w:space="0" w:color="auto"/>
                      </w:divBdr>
                      <w:divsChild>
                        <w:div w:id="21261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1015">
      <w:bodyDiv w:val="1"/>
      <w:marLeft w:val="0"/>
      <w:marRight w:val="0"/>
      <w:marTop w:val="0"/>
      <w:marBottom w:val="0"/>
      <w:divBdr>
        <w:top w:val="none" w:sz="0" w:space="0" w:color="auto"/>
        <w:left w:val="none" w:sz="0" w:space="0" w:color="auto"/>
        <w:bottom w:val="none" w:sz="0" w:space="0" w:color="auto"/>
        <w:right w:val="none" w:sz="0" w:space="0" w:color="auto"/>
      </w:divBdr>
    </w:div>
    <w:div w:id="35736583">
      <w:bodyDiv w:val="1"/>
      <w:marLeft w:val="0"/>
      <w:marRight w:val="0"/>
      <w:marTop w:val="0"/>
      <w:marBottom w:val="0"/>
      <w:divBdr>
        <w:top w:val="none" w:sz="0" w:space="0" w:color="auto"/>
        <w:left w:val="none" w:sz="0" w:space="0" w:color="auto"/>
        <w:bottom w:val="none" w:sz="0" w:space="0" w:color="auto"/>
        <w:right w:val="none" w:sz="0" w:space="0" w:color="auto"/>
      </w:divBdr>
    </w:div>
    <w:div w:id="71204328">
      <w:bodyDiv w:val="1"/>
      <w:marLeft w:val="0"/>
      <w:marRight w:val="0"/>
      <w:marTop w:val="0"/>
      <w:marBottom w:val="0"/>
      <w:divBdr>
        <w:top w:val="none" w:sz="0" w:space="0" w:color="auto"/>
        <w:left w:val="none" w:sz="0" w:space="0" w:color="auto"/>
        <w:bottom w:val="none" w:sz="0" w:space="0" w:color="auto"/>
        <w:right w:val="none" w:sz="0" w:space="0" w:color="auto"/>
      </w:divBdr>
    </w:div>
    <w:div w:id="81535597">
      <w:bodyDiv w:val="1"/>
      <w:marLeft w:val="0"/>
      <w:marRight w:val="0"/>
      <w:marTop w:val="0"/>
      <w:marBottom w:val="0"/>
      <w:divBdr>
        <w:top w:val="none" w:sz="0" w:space="0" w:color="auto"/>
        <w:left w:val="none" w:sz="0" w:space="0" w:color="auto"/>
        <w:bottom w:val="none" w:sz="0" w:space="0" w:color="auto"/>
        <w:right w:val="none" w:sz="0" w:space="0" w:color="auto"/>
      </w:divBdr>
    </w:div>
    <w:div w:id="82652938">
      <w:bodyDiv w:val="1"/>
      <w:marLeft w:val="0"/>
      <w:marRight w:val="0"/>
      <w:marTop w:val="0"/>
      <w:marBottom w:val="0"/>
      <w:divBdr>
        <w:top w:val="none" w:sz="0" w:space="0" w:color="auto"/>
        <w:left w:val="none" w:sz="0" w:space="0" w:color="auto"/>
        <w:bottom w:val="none" w:sz="0" w:space="0" w:color="auto"/>
        <w:right w:val="none" w:sz="0" w:space="0" w:color="auto"/>
      </w:divBdr>
    </w:div>
    <w:div w:id="87580007">
      <w:bodyDiv w:val="1"/>
      <w:marLeft w:val="0"/>
      <w:marRight w:val="0"/>
      <w:marTop w:val="0"/>
      <w:marBottom w:val="0"/>
      <w:divBdr>
        <w:top w:val="none" w:sz="0" w:space="0" w:color="auto"/>
        <w:left w:val="none" w:sz="0" w:space="0" w:color="auto"/>
        <w:bottom w:val="none" w:sz="0" w:space="0" w:color="auto"/>
        <w:right w:val="none" w:sz="0" w:space="0" w:color="auto"/>
      </w:divBdr>
    </w:div>
    <w:div w:id="90317381">
      <w:bodyDiv w:val="1"/>
      <w:marLeft w:val="0"/>
      <w:marRight w:val="0"/>
      <w:marTop w:val="0"/>
      <w:marBottom w:val="0"/>
      <w:divBdr>
        <w:top w:val="none" w:sz="0" w:space="0" w:color="auto"/>
        <w:left w:val="none" w:sz="0" w:space="0" w:color="auto"/>
        <w:bottom w:val="none" w:sz="0" w:space="0" w:color="auto"/>
        <w:right w:val="none" w:sz="0" w:space="0" w:color="auto"/>
      </w:divBdr>
    </w:div>
    <w:div w:id="97138840">
      <w:bodyDiv w:val="1"/>
      <w:marLeft w:val="0"/>
      <w:marRight w:val="0"/>
      <w:marTop w:val="0"/>
      <w:marBottom w:val="0"/>
      <w:divBdr>
        <w:top w:val="none" w:sz="0" w:space="0" w:color="auto"/>
        <w:left w:val="none" w:sz="0" w:space="0" w:color="auto"/>
        <w:bottom w:val="none" w:sz="0" w:space="0" w:color="auto"/>
        <w:right w:val="none" w:sz="0" w:space="0" w:color="auto"/>
      </w:divBdr>
    </w:div>
    <w:div w:id="105932036">
      <w:bodyDiv w:val="1"/>
      <w:marLeft w:val="0"/>
      <w:marRight w:val="0"/>
      <w:marTop w:val="0"/>
      <w:marBottom w:val="0"/>
      <w:divBdr>
        <w:top w:val="none" w:sz="0" w:space="0" w:color="auto"/>
        <w:left w:val="none" w:sz="0" w:space="0" w:color="auto"/>
        <w:bottom w:val="none" w:sz="0" w:space="0" w:color="auto"/>
        <w:right w:val="none" w:sz="0" w:space="0" w:color="auto"/>
      </w:divBdr>
    </w:div>
    <w:div w:id="123816935">
      <w:bodyDiv w:val="1"/>
      <w:marLeft w:val="0"/>
      <w:marRight w:val="0"/>
      <w:marTop w:val="0"/>
      <w:marBottom w:val="0"/>
      <w:divBdr>
        <w:top w:val="none" w:sz="0" w:space="0" w:color="auto"/>
        <w:left w:val="none" w:sz="0" w:space="0" w:color="auto"/>
        <w:bottom w:val="none" w:sz="0" w:space="0" w:color="auto"/>
        <w:right w:val="none" w:sz="0" w:space="0" w:color="auto"/>
      </w:divBdr>
    </w:div>
    <w:div w:id="159350560">
      <w:bodyDiv w:val="1"/>
      <w:marLeft w:val="0"/>
      <w:marRight w:val="0"/>
      <w:marTop w:val="0"/>
      <w:marBottom w:val="0"/>
      <w:divBdr>
        <w:top w:val="none" w:sz="0" w:space="0" w:color="auto"/>
        <w:left w:val="none" w:sz="0" w:space="0" w:color="auto"/>
        <w:bottom w:val="none" w:sz="0" w:space="0" w:color="auto"/>
        <w:right w:val="none" w:sz="0" w:space="0" w:color="auto"/>
      </w:divBdr>
    </w:div>
    <w:div w:id="171453719">
      <w:bodyDiv w:val="1"/>
      <w:marLeft w:val="0"/>
      <w:marRight w:val="0"/>
      <w:marTop w:val="0"/>
      <w:marBottom w:val="0"/>
      <w:divBdr>
        <w:top w:val="none" w:sz="0" w:space="0" w:color="auto"/>
        <w:left w:val="none" w:sz="0" w:space="0" w:color="auto"/>
        <w:bottom w:val="none" w:sz="0" w:space="0" w:color="auto"/>
        <w:right w:val="none" w:sz="0" w:space="0" w:color="auto"/>
      </w:divBdr>
    </w:div>
    <w:div w:id="175847502">
      <w:bodyDiv w:val="1"/>
      <w:marLeft w:val="0"/>
      <w:marRight w:val="0"/>
      <w:marTop w:val="0"/>
      <w:marBottom w:val="0"/>
      <w:divBdr>
        <w:top w:val="none" w:sz="0" w:space="0" w:color="auto"/>
        <w:left w:val="none" w:sz="0" w:space="0" w:color="auto"/>
        <w:bottom w:val="none" w:sz="0" w:space="0" w:color="auto"/>
        <w:right w:val="none" w:sz="0" w:space="0" w:color="auto"/>
      </w:divBdr>
      <w:divsChild>
        <w:div w:id="962464280">
          <w:marLeft w:val="0"/>
          <w:marRight w:val="0"/>
          <w:marTop w:val="15"/>
          <w:marBottom w:val="0"/>
          <w:divBdr>
            <w:top w:val="single" w:sz="48" w:space="0" w:color="auto"/>
            <w:left w:val="single" w:sz="48" w:space="0" w:color="auto"/>
            <w:bottom w:val="single" w:sz="48" w:space="0" w:color="auto"/>
            <w:right w:val="single" w:sz="48" w:space="0" w:color="auto"/>
          </w:divBdr>
          <w:divsChild>
            <w:div w:id="16141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487">
      <w:bodyDiv w:val="1"/>
      <w:marLeft w:val="0"/>
      <w:marRight w:val="0"/>
      <w:marTop w:val="0"/>
      <w:marBottom w:val="0"/>
      <w:divBdr>
        <w:top w:val="none" w:sz="0" w:space="0" w:color="auto"/>
        <w:left w:val="none" w:sz="0" w:space="0" w:color="auto"/>
        <w:bottom w:val="none" w:sz="0" w:space="0" w:color="auto"/>
        <w:right w:val="none" w:sz="0" w:space="0" w:color="auto"/>
      </w:divBdr>
    </w:div>
    <w:div w:id="181164674">
      <w:bodyDiv w:val="1"/>
      <w:marLeft w:val="0"/>
      <w:marRight w:val="0"/>
      <w:marTop w:val="0"/>
      <w:marBottom w:val="0"/>
      <w:divBdr>
        <w:top w:val="none" w:sz="0" w:space="0" w:color="auto"/>
        <w:left w:val="none" w:sz="0" w:space="0" w:color="auto"/>
        <w:bottom w:val="none" w:sz="0" w:space="0" w:color="auto"/>
        <w:right w:val="none" w:sz="0" w:space="0" w:color="auto"/>
      </w:divBdr>
    </w:div>
    <w:div w:id="186529337">
      <w:bodyDiv w:val="1"/>
      <w:marLeft w:val="0"/>
      <w:marRight w:val="0"/>
      <w:marTop w:val="0"/>
      <w:marBottom w:val="0"/>
      <w:divBdr>
        <w:top w:val="none" w:sz="0" w:space="0" w:color="auto"/>
        <w:left w:val="none" w:sz="0" w:space="0" w:color="auto"/>
        <w:bottom w:val="none" w:sz="0" w:space="0" w:color="auto"/>
        <w:right w:val="none" w:sz="0" w:space="0" w:color="auto"/>
      </w:divBdr>
    </w:div>
    <w:div w:id="187106846">
      <w:bodyDiv w:val="1"/>
      <w:marLeft w:val="0"/>
      <w:marRight w:val="0"/>
      <w:marTop w:val="0"/>
      <w:marBottom w:val="0"/>
      <w:divBdr>
        <w:top w:val="none" w:sz="0" w:space="0" w:color="auto"/>
        <w:left w:val="none" w:sz="0" w:space="0" w:color="auto"/>
        <w:bottom w:val="none" w:sz="0" w:space="0" w:color="auto"/>
        <w:right w:val="none" w:sz="0" w:space="0" w:color="auto"/>
      </w:divBdr>
    </w:div>
    <w:div w:id="191767873">
      <w:bodyDiv w:val="1"/>
      <w:marLeft w:val="0"/>
      <w:marRight w:val="0"/>
      <w:marTop w:val="0"/>
      <w:marBottom w:val="0"/>
      <w:divBdr>
        <w:top w:val="none" w:sz="0" w:space="0" w:color="auto"/>
        <w:left w:val="none" w:sz="0" w:space="0" w:color="auto"/>
        <w:bottom w:val="none" w:sz="0" w:space="0" w:color="auto"/>
        <w:right w:val="none" w:sz="0" w:space="0" w:color="auto"/>
      </w:divBdr>
    </w:div>
    <w:div w:id="192310716">
      <w:bodyDiv w:val="1"/>
      <w:marLeft w:val="0"/>
      <w:marRight w:val="0"/>
      <w:marTop w:val="0"/>
      <w:marBottom w:val="0"/>
      <w:divBdr>
        <w:top w:val="none" w:sz="0" w:space="0" w:color="auto"/>
        <w:left w:val="none" w:sz="0" w:space="0" w:color="auto"/>
        <w:bottom w:val="none" w:sz="0" w:space="0" w:color="auto"/>
        <w:right w:val="none" w:sz="0" w:space="0" w:color="auto"/>
      </w:divBdr>
    </w:div>
    <w:div w:id="230048379">
      <w:bodyDiv w:val="1"/>
      <w:marLeft w:val="0"/>
      <w:marRight w:val="0"/>
      <w:marTop w:val="0"/>
      <w:marBottom w:val="0"/>
      <w:divBdr>
        <w:top w:val="none" w:sz="0" w:space="0" w:color="auto"/>
        <w:left w:val="none" w:sz="0" w:space="0" w:color="auto"/>
        <w:bottom w:val="none" w:sz="0" w:space="0" w:color="auto"/>
        <w:right w:val="none" w:sz="0" w:space="0" w:color="auto"/>
      </w:divBdr>
    </w:div>
    <w:div w:id="243027905">
      <w:bodyDiv w:val="1"/>
      <w:marLeft w:val="0"/>
      <w:marRight w:val="0"/>
      <w:marTop w:val="0"/>
      <w:marBottom w:val="0"/>
      <w:divBdr>
        <w:top w:val="none" w:sz="0" w:space="0" w:color="auto"/>
        <w:left w:val="none" w:sz="0" w:space="0" w:color="auto"/>
        <w:bottom w:val="none" w:sz="0" w:space="0" w:color="auto"/>
        <w:right w:val="none" w:sz="0" w:space="0" w:color="auto"/>
      </w:divBdr>
    </w:div>
    <w:div w:id="247471033">
      <w:bodyDiv w:val="1"/>
      <w:marLeft w:val="0"/>
      <w:marRight w:val="0"/>
      <w:marTop w:val="0"/>
      <w:marBottom w:val="0"/>
      <w:divBdr>
        <w:top w:val="none" w:sz="0" w:space="0" w:color="auto"/>
        <w:left w:val="none" w:sz="0" w:space="0" w:color="auto"/>
        <w:bottom w:val="none" w:sz="0" w:space="0" w:color="auto"/>
        <w:right w:val="none" w:sz="0" w:space="0" w:color="auto"/>
      </w:divBdr>
    </w:div>
    <w:div w:id="249852733">
      <w:bodyDiv w:val="1"/>
      <w:marLeft w:val="0"/>
      <w:marRight w:val="0"/>
      <w:marTop w:val="0"/>
      <w:marBottom w:val="0"/>
      <w:divBdr>
        <w:top w:val="none" w:sz="0" w:space="0" w:color="auto"/>
        <w:left w:val="none" w:sz="0" w:space="0" w:color="auto"/>
        <w:bottom w:val="none" w:sz="0" w:space="0" w:color="auto"/>
        <w:right w:val="none" w:sz="0" w:space="0" w:color="auto"/>
      </w:divBdr>
    </w:div>
    <w:div w:id="271667536">
      <w:bodyDiv w:val="1"/>
      <w:marLeft w:val="0"/>
      <w:marRight w:val="0"/>
      <w:marTop w:val="0"/>
      <w:marBottom w:val="0"/>
      <w:divBdr>
        <w:top w:val="none" w:sz="0" w:space="0" w:color="auto"/>
        <w:left w:val="none" w:sz="0" w:space="0" w:color="auto"/>
        <w:bottom w:val="none" w:sz="0" w:space="0" w:color="auto"/>
        <w:right w:val="none" w:sz="0" w:space="0" w:color="auto"/>
      </w:divBdr>
    </w:div>
    <w:div w:id="274869499">
      <w:bodyDiv w:val="1"/>
      <w:marLeft w:val="0"/>
      <w:marRight w:val="0"/>
      <w:marTop w:val="0"/>
      <w:marBottom w:val="0"/>
      <w:divBdr>
        <w:top w:val="none" w:sz="0" w:space="0" w:color="auto"/>
        <w:left w:val="none" w:sz="0" w:space="0" w:color="auto"/>
        <w:bottom w:val="none" w:sz="0" w:space="0" w:color="auto"/>
        <w:right w:val="none" w:sz="0" w:space="0" w:color="auto"/>
      </w:divBdr>
    </w:div>
    <w:div w:id="283342338">
      <w:bodyDiv w:val="1"/>
      <w:marLeft w:val="0"/>
      <w:marRight w:val="0"/>
      <w:marTop w:val="0"/>
      <w:marBottom w:val="0"/>
      <w:divBdr>
        <w:top w:val="none" w:sz="0" w:space="0" w:color="auto"/>
        <w:left w:val="none" w:sz="0" w:space="0" w:color="auto"/>
        <w:bottom w:val="none" w:sz="0" w:space="0" w:color="auto"/>
        <w:right w:val="none" w:sz="0" w:space="0" w:color="auto"/>
      </w:divBdr>
    </w:div>
    <w:div w:id="283732645">
      <w:bodyDiv w:val="1"/>
      <w:marLeft w:val="0"/>
      <w:marRight w:val="0"/>
      <w:marTop w:val="0"/>
      <w:marBottom w:val="0"/>
      <w:divBdr>
        <w:top w:val="none" w:sz="0" w:space="0" w:color="auto"/>
        <w:left w:val="none" w:sz="0" w:space="0" w:color="auto"/>
        <w:bottom w:val="none" w:sz="0" w:space="0" w:color="auto"/>
        <w:right w:val="none" w:sz="0" w:space="0" w:color="auto"/>
      </w:divBdr>
    </w:div>
    <w:div w:id="284577232">
      <w:bodyDiv w:val="1"/>
      <w:marLeft w:val="0"/>
      <w:marRight w:val="0"/>
      <w:marTop w:val="0"/>
      <w:marBottom w:val="0"/>
      <w:divBdr>
        <w:top w:val="none" w:sz="0" w:space="0" w:color="auto"/>
        <w:left w:val="none" w:sz="0" w:space="0" w:color="auto"/>
        <w:bottom w:val="none" w:sz="0" w:space="0" w:color="auto"/>
        <w:right w:val="none" w:sz="0" w:space="0" w:color="auto"/>
      </w:divBdr>
    </w:div>
    <w:div w:id="305088596">
      <w:bodyDiv w:val="1"/>
      <w:marLeft w:val="0"/>
      <w:marRight w:val="0"/>
      <w:marTop w:val="0"/>
      <w:marBottom w:val="0"/>
      <w:divBdr>
        <w:top w:val="none" w:sz="0" w:space="0" w:color="auto"/>
        <w:left w:val="none" w:sz="0" w:space="0" w:color="auto"/>
        <w:bottom w:val="none" w:sz="0" w:space="0" w:color="auto"/>
        <w:right w:val="none" w:sz="0" w:space="0" w:color="auto"/>
      </w:divBdr>
    </w:div>
    <w:div w:id="314604100">
      <w:bodyDiv w:val="1"/>
      <w:marLeft w:val="0"/>
      <w:marRight w:val="0"/>
      <w:marTop w:val="0"/>
      <w:marBottom w:val="0"/>
      <w:divBdr>
        <w:top w:val="none" w:sz="0" w:space="0" w:color="auto"/>
        <w:left w:val="none" w:sz="0" w:space="0" w:color="auto"/>
        <w:bottom w:val="none" w:sz="0" w:space="0" w:color="auto"/>
        <w:right w:val="none" w:sz="0" w:space="0" w:color="auto"/>
      </w:divBdr>
    </w:div>
    <w:div w:id="323627676">
      <w:bodyDiv w:val="1"/>
      <w:marLeft w:val="0"/>
      <w:marRight w:val="0"/>
      <w:marTop w:val="0"/>
      <w:marBottom w:val="0"/>
      <w:divBdr>
        <w:top w:val="none" w:sz="0" w:space="0" w:color="auto"/>
        <w:left w:val="none" w:sz="0" w:space="0" w:color="auto"/>
        <w:bottom w:val="none" w:sz="0" w:space="0" w:color="auto"/>
        <w:right w:val="none" w:sz="0" w:space="0" w:color="auto"/>
      </w:divBdr>
    </w:div>
    <w:div w:id="323705514">
      <w:bodyDiv w:val="1"/>
      <w:marLeft w:val="0"/>
      <w:marRight w:val="0"/>
      <w:marTop w:val="0"/>
      <w:marBottom w:val="0"/>
      <w:divBdr>
        <w:top w:val="none" w:sz="0" w:space="0" w:color="auto"/>
        <w:left w:val="none" w:sz="0" w:space="0" w:color="auto"/>
        <w:bottom w:val="none" w:sz="0" w:space="0" w:color="auto"/>
        <w:right w:val="none" w:sz="0" w:space="0" w:color="auto"/>
      </w:divBdr>
    </w:div>
    <w:div w:id="357783404">
      <w:bodyDiv w:val="1"/>
      <w:marLeft w:val="0"/>
      <w:marRight w:val="0"/>
      <w:marTop w:val="0"/>
      <w:marBottom w:val="0"/>
      <w:divBdr>
        <w:top w:val="none" w:sz="0" w:space="0" w:color="auto"/>
        <w:left w:val="none" w:sz="0" w:space="0" w:color="auto"/>
        <w:bottom w:val="none" w:sz="0" w:space="0" w:color="auto"/>
        <w:right w:val="none" w:sz="0" w:space="0" w:color="auto"/>
      </w:divBdr>
    </w:div>
    <w:div w:id="358354439">
      <w:bodyDiv w:val="1"/>
      <w:marLeft w:val="0"/>
      <w:marRight w:val="0"/>
      <w:marTop w:val="0"/>
      <w:marBottom w:val="0"/>
      <w:divBdr>
        <w:top w:val="none" w:sz="0" w:space="0" w:color="auto"/>
        <w:left w:val="none" w:sz="0" w:space="0" w:color="auto"/>
        <w:bottom w:val="none" w:sz="0" w:space="0" w:color="auto"/>
        <w:right w:val="none" w:sz="0" w:space="0" w:color="auto"/>
      </w:divBdr>
    </w:div>
    <w:div w:id="366175652">
      <w:bodyDiv w:val="1"/>
      <w:marLeft w:val="0"/>
      <w:marRight w:val="0"/>
      <w:marTop w:val="0"/>
      <w:marBottom w:val="0"/>
      <w:divBdr>
        <w:top w:val="none" w:sz="0" w:space="0" w:color="auto"/>
        <w:left w:val="none" w:sz="0" w:space="0" w:color="auto"/>
        <w:bottom w:val="none" w:sz="0" w:space="0" w:color="auto"/>
        <w:right w:val="none" w:sz="0" w:space="0" w:color="auto"/>
      </w:divBdr>
    </w:div>
    <w:div w:id="372072394">
      <w:bodyDiv w:val="1"/>
      <w:marLeft w:val="0"/>
      <w:marRight w:val="0"/>
      <w:marTop w:val="0"/>
      <w:marBottom w:val="0"/>
      <w:divBdr>
        <w:top w:val="none" w:sz="0" w:space="0" w:color="auto"/>
        <w:left w:val="none" w:sz="0" w:space="0" w:color="auto"/>
        <w:bottom w:val="none" w:sz="0" w:space="0" w:color="auto"/>
        <w:right w:val="none" w:sz="0" w:space="0" w:color="auto"/>
      </w:divBdr>
    </w:div>
    <w:div w:id="373162359">
      <w:bodyDiv w:val="1"/>
      <w:marLeft w:val="0"/>
      <w:marRight w:val="0"/>
      <w:marTop w:val="0"/>
      <w:marBottom w:val="0"/>
      <w:divBdr>
        <w:top w:val="none" w:sz="0" w:space="0" w:color="auto"/>
        <w:left w:val="none" w:sz="0" w:space="0" w:color="auto"/>
        <w:bottom w:val="none" w:sz="0" w:space="0" w:color="auto"/>
        <w:right w:val="none" w:sz="0" w:space="0" w:color="auto"/>
      </w:divBdr>
    </w:div>
    <w:div w:id="386224447">
      <w:bodyDiv w:val="1"/>
      <w:marLeft w:val="0"/>
      <w:marRight w:val="0"/>
      <w:marTop w:val="0"/>
      <w:marBottom w:val="0"/>
      <w:divBdr>
        <w:top w:val="none" w:sz="0" w:space="0" w:color="auto"/>
        <w:left w:val="none" w:sz="0" w:space="0" w:color="auto"/>
        <w:bottom w:val="none" w:sz="0" w:space="0" w:color="auto"/>
        <w:right w:val="none" w:sz="0" w:space="0" w:color="auto"/>
      </w:divBdr>
    </w:div>
    <w:div w:id="389041294">
      <w:bodyDiv w:val="1"/>
      <w:marLeft w:val="0"/>
      <w:marRight w:val="0"/>
      <w:marTop w:val="0"/>
      <w:marBottom w:val="0"/>
      <w:divBdr>
        <w:top w:val="none" w:sz="0" w:space="0" w:color="auto"/>
        <w:left w:val="none" w:sz="0" w:space="0" w:color="auto"/>
        <w:bottom w:val="none" w:sz="0" w:space="0" w:color="auto"/>
        <w:right w:val="none" w:sz="0" w:space="0" w:color="auto"/>
      </w:divBdr>
    </w:div>
    <w:div w:id="390814202">
      <w:bodyDiv w:val="1"/>
      <w:marLeft w:val="0"/>
      <w:marRight w:val="0"/>
      <w:marTop w:val="0"/>
      <w:marBottom w:val="0"/>
      <w:divBdr>
        <w:top w:val="none" w:sz="0" w:space="0" w:color="auto"/>
        <w:left w:val="none" w:sz="0" w:space="0" w:color="auto"/>
        <w:bottom w:val="none" w:sz="0" w:space="0" w:color="auto"/>
        <w:right w:val="none" w:sz="0" w:space="0" w:color="auto"/>
      </w:divBdr>
    </w:div>
    <w:div w:id="394209543">
      <w:bodyDiv w:val="1"/>
      <w:marLeft w:val="0"/>
      <w:marRight w:val="0"/>
      <w:marTop w:val="0"/>
      <w:marBottom w:val="0"/>
      <w:divBdr>
        <w:top w:val="none" w:sz="0" w:space="0" w:color="auto"/>
        <w:left w:val="none" w:sz="0" w:space="0" w:color="auto"/>
        <w:bottom w:val="none" w:sz="0" w:space="0" w:color="auto"/>
        <w:right w:val="none" w:sz="0" w:space="0" w:color="auto"/>
      </w:divBdr>
      <w:divsChild>
        <w:div w:id="288587258">
          <w:marLeft w:val="0"/>
          <w:marRight w:val="0"/>
          <w:marTop w:val="0"/>
          <w:marBottom w:val="0"/>
          <w:divBdr>
            <w:top w:val="none" w:sz="0" w:space="0" w:color="auto"/>
            <w:left w:val="none" w:sz="0" w:space="0" w:color="auto"/>
            <w:bottom w:val="none" w:sz="0" w:space="0" w:color="auto"/>
            <w:right w:val="none" w:sz="0" w:space="0" w:color="auto"/>
          </w:divBdr>
          <w:divsChild>
            <w:div w:id="1338117218">
              <w:marLeft w:val="0"/>
              <w:marRight w:val="0"/>
              <w:marTop w:val="0"/>
              <w:marBottom w:val="0"/>
              <w:divBdr>
                <w:top w:val="none" w:sz="0" w:space="0" w:color="auto"/>
                <w:left w:val="none" w:sz="0" w:space="0" w:color="auto"/>
                <w:bottom w:val="none" w:sz="0" w:space="0" w:color="auto"/>
                <w:right w:val="none" w:sz="0" w:space="0" w:color="auto"/>
              </w:divBdr>
              <w:divsChild>
                <w:div w:id="1858151388">
                  <w:marLeft w:val="0"/>
                  <w:marRight w:val="0"/>
                  <w:marTop w:val="0"/>
                  <w:marBottom w:val="0"/>
                  <w:divBdr>
                    <w:top w:val="none" w:sz="0" w:space="0" w:color="auto"/>
                    <w:left w:val="none" w:sz="0" w:space="0" w:color="auto"/>
                    <w:bottom w:val="none" w:sz="0" w:space="0" w:color="auto"/>
                    <w:right w:val="none" w:sz="0" w:space="0" w:color="auto"/>
                  </w:divBdr>
                  <w:divsChild>
                    <w:div w:id="473446885">
                      <w:marLeft w:val="0"/>
                      <w:marRight w:val="0"/>
                      <w:marTop w:val="0"/>
                      <w:marBottom w:val="0"/>
                      <w:divBdr>
                        <w:top w:val="none" w:sz="0" w:space="0" w:color="auto"/>
                        <w:left w:val="none" w:sz="0" w:space="0" w:color="auto"/>
                        <w:bottom w:val="none" w:sz="0" w:space="0" w:color="auto"/>
                        <w:right w:val="none" w:sz="0" w:space="0" w:color="auto"/>
                      </w:divBdr>
                      <w:divsChild>
                        <w:div w:id="805507507">
                          <w:marLeft w:val="0"/>
                          <w:marRight w:val="0"/>
                          <w:marTop w:val="0"/>
                          <w:marBottom w:val="0"/>
                          <w:divBdr>
                            <w:top w:val="none" w:sz="0" w:space="0" w:color="auto"/>
                            <w:left w:val="none" w:sz="0" w:space="0" w:color="auto"/>
                            <w:bottom w:val="none" w:sz="0" w:space="0" w:color="auto"/>
                            <w:right w:val="none" w:sz="0" w:space="0" w:color="auto"/>
                          </w:divBdr>
                          <w:divsChild>
                            <w:div w:id="1494297197">
                              <w:marLeft w:val="0"/>
                              <w:marRight w:val="0"/>
                              <w:marTop w:val="0"/>
                              <w:marBottom w:val="0"/>
                              <w:divBdr>
                                <w:top w:val="none" w:sz="0" w:space="0" w:color="auto"/>
                                <w:left w:val="none" w:sz="0" w:space="0" w:color="auto"/>
                                <w:bottom w:val="none" w:sz="0" w:space="0" w:color="auto"/>
                                <w:right w:val="none" w:sz="0" w:space="0" w:color="auto"/>
                              </w:divBdr>
                              <w:divsChild>
                                <w:div w:id="1888639061">
                                  <w:marLeft w:val="0"/>
                                  <w:marRight w:val="0"/>
                                  <w:marTop w:val="0"/>
                                  <w:marBottom w:val="0"/>
                                  <w:divBdr>
                                    <w:top w:val="none" w:sz="0" w:space="0" w:color="auto"/>
                                    <w:left w:val="none" w:sz="0" w:space="0" w:color="auto"/>
                                    <w:bottom w:val="none" w:sz="0" w:space="0" w:color="auto"/>
                                    <w:right w:val="none" w:sz="0" w:space="0" w:color="auto"/>
                                  </w:divBdr>
                                  <w:divsChild>
                                    <w:div w:id="1164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80033">
                      <w:marLeft w:val="0"/>
                      <w:marRight w:val="0"/>
                      <w:marTop w:val="0"/>
                      <w:marBottom w:val="0"/>
                      <w:divBdr>
                        <w:top w:val="none" w:sz="0" w:space="0" w:color="auto"/>
                        <w:left w:val="none" w:sz="0" w:space="0" w:color="auto"/>
                        <w:bottom w:val="none" w:sz="0" w:space="0" w:color="auto"/>
                        <w:right w:val="none" w:sz="0" w:space="0" w:color="auto"/>
                      </w:divBdr>
                      <w:divsChild>
                        <w:div w:id="5383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12442">
      <w:bodyDiv w:val="1"/>
      <w:marLeft w:val="0"/>
      <w:marRight w:val="0"/>
      <w:marTop w:val="0"/>
      <w:marBottom w:val="0"/>
      <w:divBdr>
        <w:top w:val="none" w:sz="0" w:space="0" w:color="auto"/>
        <w:left w:val="none" w:sz="0" w:space="0" w:color="auto"/>
        <w:bottom w:val="none" w:sz="0" w:space="0" w:color="auto"/>
        <w:right w:val="none" w:sz="0" w:space="0" w:color="auto"/>
      </w:divBdr>
    </w:div>
    <w:div w:id="397704940">
      <w:bodyDiv w:val="1"/>
      <w:marLeft w:val="0"/>
      <w:marRight w:val="0"/>
      <w:marTop w:val="0"/>
      <w:marBottom w:val="0"/>
      <w:divBdr>
        <w:top w:val="none" w:sz="0" w:space="0" w:color="auto"/>
        <w:left w:val="none" w:sz="0" w:space="0" w:color="auto"/>
        <w:bottom w:val="none" w:sz="0" w:space="0" w:color="auto"/>
        <w:right w:val="none" w:sz="0" w:space="0" w:color="auto"/>
      </w:divBdr>
    </w:div>
    <w:div w:id="398215733">
      <w:bodyDiv w:val="1"/>
      <w:marLeft w:val="0"/>
      <w:marRight w:val="0"/>
      <w:marTop w:val="0"/>
      <w:marBottom w:val="0"/>
      <w:divBdr>
        <w:top w:val="none" w:sz="0" w:space="0" w:color="auto"/>
        <w:left w:val="none" w:sz="0" w:space="0" w:color="auto"/>
        <w:bottom w:val="none" w:sz="0" w:space="0" w:color="auto"/>
        <w:right w:val="none" w:sz="0" w:space="0" w:color="auto"/>
      </w:divBdr>
    </w:div>
    <w:div w:id="425660270">
      <w:bodyDiv w:val="1"/>
      <w:marLeft w:val="0"/>
      <w:marRight w:val="0"/>
      <w:marTop w:val="0"/>
      <w:marBottom w:val="0"/>
      <w:divBdr>
        <w:top w:val="none" w:sz="0" w:space="0" w:color="auto"/>
        <w:left w:val="none" w:sz="0" w:space="0" w:color="auto"/>
        <w:bottom w:val="none" w:sz="0" w:space="0" w:color="auto"/>
        <w:right w:val="none" w:sz="0" w:space="0" w:color="auto"/>
      </w:divBdr>
    </w:div>
    <w:div w:id="446505492">
      <w:bodyDiv w:val="1"/>
      <w:marLeft w:val="0"/>
      <w:marRight w:val="0"/>
      <w:marTop w:val="0"/>
      <w:marBottom w:val="0"/>
      <w:divBdr>
        <w:top w:val="none" w:sz="0" w:space="0" w:color="auto"/>
        <w:left w:val="none" w:sz="0" w:space="0" w:color="auto"/>
        <w:bottom w:val="none" w:sz="0" w:space="0" w:color="auto"/>
        <w:right w:val="none" w:sz="0" w:space="0" w:color="auto"/>
      </w:divBdr>
    </w:div>
    <w:div w:id="454829915">
      <w:bodyDiv w:val="1"/>
      <w:marLeft w:val="0"/>
      <w:marRight w:val="0"/>
      <w:marTop w:val="0"/>
      <w:marBottom w:val="0"/>
      <w:divBdr>
        <w:top w:val="none" w:sz="0" w:space="0" w:color="auto"/>
        <w:left w:val="none" w:sz="0" w:space="0" w:color="auto"/>
        <w:bottom w:val="none" w:sz="0" w:space="0" w:color="auto"/>
        <w:right w:val="none" w:sz="0" w:space="0" w:color="auto"/>
      </w:divBdr>
    </w:div>
    <w:div w:id="462426763">
      <w:bodyDiv w:val="1"/>
      <w:marLeft w:val="0"/>
      <w:marRight w:val="0"/>
      <w:marTop w:val="0"/>
      <w:marBottom w:val="0"/>
      <w:divBdr>
        <w:top w:val="none" w:sz="0" w:space="0" w:color="auto"/>
        <w:left w:val="none" w:sz="0" w:space="0" w:color="auto"/>
        <w:bottom w:val="none" w:sz="0" w:space="0" w:color="auto"/>
        <w:right w:val="none" w:sz="0" w:space="0" w:color="auto"/>
      </w:divBdr>
    </w:div>
    <w:div w:id="464005072">
      <w:bodyDiv w:val="1"/>
      <w:marLeft w:val="0"/>
      <w:marRight w:val="0"/>
      <w:marTop w:val="0"/>
      <w:marBottom w:val="0"/>
      <w:divBdr>
        <w:top w:val="none" w:sz="0" w:space="0" w:color="auto"/>
        <w:left w:val="none" w:sz="0" w:space="0" w:color="auto"/>
        <w:bottom w:val="none" w:sz="0" w:space="0" w:color="auto"/>
        <w:right w:val="none" w:sz="0" w:space="0" w:color="auto"/>
      </w:divBdr>
    </w:div>
    <w:div w:id="469328437">
      <w:bodyDiv w:val="1"/>
      <w:marLeft w:val="0"/>
      <w:marRight w:val="0"/>
      <w:marTop w:val="0"/>
      <w:marBottom w:val="0"/>
      <w:divBdr>
        <w:top w:val="none" w:sz="0" w:space="0" w:color="auto"/>
        <w:left w:val="none" w:sz="0" w:space="0" w:color="auto"/>
        <w:bottom w:val="none" w:sz="0" w:space="0" w:color="auto"/>
        <w:right w:val="none" w:sz="0" w:space="0" w:color="auto"/>
      </w:divBdr>
    </w:div>
    <w:div w:id="511574291">
      <w:bodyDiv w:val="1"/>
      <w:marLeft w:val="0"/>
      <w:marRight w:val="0"/>
      <w:marTop w:val="0"/>
      <w:marBottom w:val="0"/>
      <w:divBdr>
        <w:top w:val="none" w:sz="0" w:space="0" w:color="auto"/>
        <w:left w:val="none" w:sz="0" w:space="0" w:color="auto"/>
        <w:bottom w:val="none" w:sz="0" w:space="0" w:color="auto"/>
        <w:right w:val="none" w:sz="0" w:space="0" w:color="auto"/>
      </w:divBdr>
    </w:div>
    <w:div w:id="518005638">
      <w:bodyDiv w:val="1"/>
      <w:marLeft w:val="0"/>
      <w:marRight w:val="0"/>
      <w:marTop w:val="0"/>
      <w:marBottom w:val="0"/>
      <w:divBdr>
        <w:top w:val="none" w:sz="0" w:space="0" w:color="auto"/>
        <w:left w:val="none" w:sz="0" w:space="0" w:color="auto"/>
        <w:bottom w:val="none" w:sz="0" w:space="0" w:color="auto"/>
        <w:right w:val="none" w:sz="0" w:space="0" w:color="auto"/>
      </w:divBdr>
    </w:div>
    <w:div w:id="519395631">
      <w:bodyDiv w:val="1"/>
      <w:marLeft w:val="0"/>
      <w:marRight w:val="0"/>
      <w:marTop w:val="0"/>
      <w:marBottom w:val="0"/>
      <w:divBdr>
        <w:top w:val="none" w:sz="0" w:space="0" w:color="auto"/>
        <w:left w:val="none" w:sz="0" w:space="0" w:color="auto"/>
        <w:bottom w:val="none" w:sz="0" w:space="0" w:color="auto"/>
        <w:right w:val="none" w:sz="0" w:space="0" w:color="auto"/>
      </w:divBdr>
    </w:div>
    <w:div w:id="525869151">
      <w:bodyDiv w:val="1"/>
      <w:marLeft w:val="0"/>
      <w:marRight w:val="0"/>
      <w:marTop w:val="0"/>
      <w:marBottom w:val="0"/>
      <w:divBdr>
        <w:top w:val="none" w:sz="0" w:space="0" w:color="auto"/>
        <w:left w:val="none" w:sz="0" w:space="0" w:color="auto"/>
        <w:bottom w:val="none" w:sz="0" w:space="0" w:color="auto"/>
        <w:right w:val="none" w:sz="0" w:space="0" w:color="auto"/>
      </w:divBdr>
    </w:div>
    <w:div w:id="529103237">
      <w:bodyDiv w:val="1"/>
      <w:marLeft w:val="0"/>
      <w:marRight w:val="0"/>
      <w:marTop w:val="0"/>
      <w:marBottom w:val="0"/>
      <w:divBdr>
        <w:top w:val="none" w:sz="0" w:space="0" w:color="auto"/>
        <w:left w:val="none" w:sz="0" w:space="0" w:color="auto"/>
        <w:bottom w:val="none" w:sz="0" w:space="0" w:color="auto"/>
        <w:right w:val="none" w:sz="0" w:space="0" w:color="auto"/>
      </w:divBdr>
    </w:div>
    <w:div w:id="540941417">
      <w:bodyDiv w:val="1"/>
      <w:marLeft w:val="0"/>
      <w:marRight w:val="0"/>
      <w:marTop w:val="0"/>
      <w:marBottom w:val="0"/>
      <w:divBdr>
        <w:top w:val="none" w:sz="0" w:space="0" w:color="auto"/>
        <w:left w:val="none" w:sz="0" w:space="0" w:color="auto"/>
        <w:bottom w:val="none" w:sz="0" w:space="0" w:color="auto"/>
        <w:right w:val="none" w:sz="0" w:space="0" w:color="auto"/>
      </w:divBdr>
    </w:div>
    <w:div w:id="543177167">
      <w:bodyDiv w:val="1"/>
      <w:marLeft w:val="0"/>
      <w:marRight w:val="0"/>
      <w:marTop w:val="0"/>
      <w:marBottom w:val="0"/>
      <w:divBdr>
        <w:top w:val="none" w:sz="0" w:space="0" w:color="auto"/>
        <w:left w:val="none" w:sz="0" w:space="0" w:color="auto"/>
        <w:bottom w:val="none" w:sz="0" w:space="0" w:color="auto"/>
        <w:right w:val="none" w:sz="0" w:space="0" w:color="auto"/>
      </w:divBdr>
    </w:div>
    <w:div w:id="548612851">
      <w:bodyDiv w:val="1"/>
      <w:marLeft w:val="0"/>
      <w:marRight w:val="0"/>
      <w:marTop w:val="0"/>
      <w:marBottom w:val="0"/>
      <w:divBdr>
        <w:top w:val="none" w:sz="0" w:space="0" w:color="auto"/>
        <w:left w:val="none" w:sz="0" w:space="0" w:color="auto"/>
        <w:bottom w:val="none" w:sz="0" w:space="0" w:color="auto"/>
        <w:right w:val="none" w:sz="0" w:space="0" w:color="auto"/>
      </w:divBdr>
    </w:div>
    <w:div w:id="557863105">
      <w:bodyDiv w:val="1"/>
      <w:marLeft w:val="0"/>
      <w:marRight w:val="0"/>
      <w:marTop w:val="0"/>
      <w:marBottom w:val="0"/>
      <w:divBdr>
        <w:top w:val="none" w:sz="0" w:space="0" w:color="auto"/>
        <w:left w:val="none" w:sz="0" w:space="0" w:color="auto"/>
        <w:bottom w:val="none" w:sz="0" w:space="0" w:color="auto"/>
        <w:right w:val="none" w:sz="0" w:space="0" w:color="auto"/>
      </w:divBdr>
    </w:div>
    <w:div w:id="576786418">
      <w:bodyDiv w:val="1"/>
      <w:marLeft w:val="0"/>
      <w:marRight w:val="0"/>
      <w:marTop w:val="0"/>
      <w:marBottom w:val="0"/>
      <w:divBdr>
        <w:top w:val="none" w:sz="0" w:space="0" w:color="auto"/>
        <w:left w:val="none" w:sz="0" w:space="0" w:color="auto"/>
        <w:bottom w:val="none" w:sz="0" w:space="0" w:color="auto"/>
        <w:right w:val="none" w:sz="0" w:space="0" w:color="auto"/>
      </w:divBdr>
    </w:div>
    <w:div w:id="581912691">
      <w:bodyDiv w:val="1"/>
      <w:marLeft w:val="0"/>
      <w:marRight w:val="0"/>
      <w:marTop w:val="0"/>
      <w:marBottom w:val="0"/>
      <w:divBdr>
        <w:top w:val="none" w:sz="0" w:space="0" w:color="auto"/>
        <w:left w:val="none" w:sz="0" w:space="0" w:color="auto"/>
        <w:bottom w:val="none" w:sz="0" w:space="0" w:color="auto"/>
        <w:right w:val="none" w:sz="0" w:space="0" w:color="auto"/>
      </w:divBdr>
    </w:div>
    <w:div w:id="604195337">
      <w:bodyDiv w:val="1"/>
      <w:marLeft w:val="0"/>
      <w:marRight w:val="0"/>
      <w:marTop w:val="0"/>
      <w:marBottom w:val="0"/>
      <w:divBdr>
        <w:top w:val="none" w:sz="0" w:space="0" w:color="auto"/>
        <w:left w:val="none" w:sz="0" w:space="0" w:color="auto"/>
        <w:bottom w:val="none" w:sz="0" w:space="0" w:color="auto"/>
        <w:right w:val="none" w:sz="0" w:space="0" w:color="auto"/>
      </w:divBdr>
      <w:divsChild>
        <w:div w:id="1056512483">
          <w:marLeft w:val="0"/>
          <w:marRight w:val="0"/>
          <w:marTop w:val="0"/>
          <w:marBottom w:val="0"/>
          <w:divBdr>
            <w:top w:val="none" w:sz="0" w:space="0" w:color="auto"/>
            <w:left w:val="none" w:sz="0" w:space="0" w:color="auto"/>
            <w:bottom w:val="single" w:sz="6" w:space="0" w:color="DCDFE4"/>
            <w:right w:val="none" w:sz="0" w:space="0" w:color="auto"/>
          </w:divBdr>
          <w:divsChild>
            <w:div w:id="1473671000">
              <w:marLeft w:val="0"/>
              <w:marRight w:val="0"/>
              <w:marTop w:val="0"/>
              <w:marBottom w:val="0"/>
              <w:divBdr>
                <w:top w:val="none" w:sz="0" w:space="0" w:color="auto"/>
                <w:left w:val="none" w:sz="0" w:space="0" w:color="auto"/>
                <w:bottom w:val="none" w:sz="0" w:space="0" w:color="auto"/>
                <w:right w:val="none" w:sz="0" w:space="0" w:color="auto"/>
              </w:divBdr>
            </w:div>
          </w:divsChild>
        </w:div>
        <w:div w:id="831259355">
          <w:marLeft w:val="0"/>
          <w:marRight w:val="0"/>
          <w:marTop w:val="0"/>
          <w:marBottom w:val="0"/>
          <w:divBdr>
            <w:top w:val="none" w:sz="0" w:space="0" w:color="auto"/>
            <w:left w:val="none" w:sz="0" w:space="0" w:color="auto"/>
            <w:bottom w:val="none" w:sz="0" w:space="0" w:color="auto"/>
            <w:right w:val="none" w:sz="0" w:space="0" w:color="auto"/>
          </w:divBdr>
          <w:divsChild>
            <w:div w:id="1567034103">
              <w:marLeft w:val="0"/>
              <w:marRight w:val="0"/>
              <w:marTop w:val="0"/>
              <w:marBottom w:val="0"/>
              <w:divBdr>
                <w:top w:val="none" w:sz="0" w:space="0" w:color="auto"/>
                <w:left w:val="none" w:sz="0" w:space="0" w:color="auto"/>
                <w:bottom w:val="none" w:sz="0" w:space="0" w:color="auto"/>
                <w:right w:val="none" w:sz="0" w:space="0" w:color="auto"/>
              </w:divBdr>
              <w:divsChild>
                <w:div w:id="1856730074">
                  <w:marLeft w:val="0"/>
                  <w:marRight w:val="0"/>
                  <w:marTop w:val="0"/>
                  <w:marBottom w:val="0"/>
                  <w:divBdr>
                    <w:top w:val="none" w:sz="0" w:space="0" w:color="auto"/>
                    <w:left w:val="none" w:sz="0" w:space="0" w:color="auto"/>
                    <w:bottom w:val="none" w:sz="0" w:space="0" w:color="auto"/>
                    <w:right w:val="none" w:sz="0" w:space="0" w:color="auto"/>
                  </w:divBdr>
                  <w:divsChild>
                    <w:div w:id="913203616">
                      <w:marLeft w:val="0"/>
                      <w:marRight w:val="0"/>
                      <w:marTop w:val="0"/>
                      <w:marBottom w:val="0"/>
                      <w:divBdr>
                        <w:top w:val="none" w:sz="0" w:space="0" w:color="auto"/>
                        <w:left w:val="none" w:sz="0" w:space="0" w:color="auto"/>
                        <w:bottom w:val="none" w:sz="0" w:space="0" w:color="auto"/>
                        <w:right w:val="none" w:sz="0" w:space="0" w:color="auto"/>
                      </w:divBdr>
                    </w:div>
                  </w:divsChild>
                </w:div>
                <w:div w:id="1315064860">
                  <w:marLeft w:val="0"/>
                  <w:marRight w:val="0"/>
                  <w:marTop w:val="0"/>
                  <w:marBottom w:val="0"/>
                  <w:divBdr>
                    <w:top w:val="none" w:sz="0" w:space="0" w:color="auto"/>
                    <w:left w:val="none" w:sz="0" w:space="0" w:color="auto"/>
                    <w:bottom w:val="none" w:sz="0" w:space="0" w:color="auto"/>
                    <w:right w:val="none" w:sz="0" w:space="0" w:color="auto"/>
                  </w:divBdr>
                  <w:divsChild>
                    <w:div w:id="1600747957">
                      <w:marLeft w:val="0"/>
                      <w:marRight w:val="0"/>
                      <w:marTop w:val="0"/>
                      <w:marBottom w:val="0"/>
                      <w:divBdr>
                        <w:top w:val="none" w:sz="0" w:space="0" w:color="auto"/>
                        <w:left w:val="none" w:sz="0" w:space="0" w:color="auto"/>
                        <w:bottom w:val="none" w:sz="0" w:space="0" w:color="auto"/>
                        <w:right w:val="none" w:sz="0" w:space="0" w:color="auto"/>
                      </w:divBdr>
                      <w:divsChild>
                        <w:div w:id="755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91695">
      <w:bodyDiv w:val="1"/>
      <w:marLeft w:val="0"/>
      <w:marRight w:val="0"/>
      <w:marTop w:val="0"/>
      <w:marBottom w:val="0"/>
      <w:divBdr>
        <w:top w:val="none" w:sz="0" w:space="0" w:color="auto"/>
        <w:left w:val="none" w:sz="0" w:space="0" w:color="auto"/>
        <w:bottom w:val="none" w:sz="0" w:space="0" w:color="auto"/>
        <w:right w:val="none" w:sz="0" w:space="0" w:color="auto"/>
      </w:divBdr>
    </w:div>
    <w:div w:id="621427801">
      <w:bodyDiv w:val="1"/>
      <w:marLeft w:val="0"/>
      <w:marRight w:val="0"/>
      <w:marTop w:val="0"/>
      <w:marBottom w:val="0"/>
      <w:divBdr>
        <w:top w:val="none" w:sz="0" w:space="0" w:color="auto"/>
        <w:left w:val="none" w:sz="0" w:space="0" w:color="auto"/>
        <w:bottom w:val="none" w:sz="0" w:space="0" w:color="auto"/>
        <w:right w:val="none" w:sz="0" w:space="0" w:color="auto"/>
      </w:divBdr>
    </w:div>
    <w:div w:id="621769434">
      <w:bodyDiv w:val="1"/>
      <w:marLeft w:val="0"/>
      <w:marRight w:val="0"/>
      <w:marTop w:val="0"/>
      <w:marBottom w:val="0"/>
      <w:divBdr>
        <w:top w:val="none" w:sz="0" w:space="0" w:color="auto"/>
        <w:left w:val="none" w:sz="0" w:space="0" w:color="auto"/>
        <w:bottom w:val="none" w:sz="0" w:space="0" w:color="auto"/>
        <w:right w:val="none" w:sz="0" w:space="0" w:color="auto"/>
      </w:divBdr>
    </w:div>
    <w:div w:id="629629203">
      <w:bodyDiv w:val="1"/>
      <w:marLeft w:val="0"/>
      <w:marRight w:val="0"/>
      <w:marTop w:val="0"/>
      <w:marBottom w:val="0"/>
      <w:divBdr>
        <w:top w:val="none" w:sz="0" w:space="0" w:color="auto"/>
        <w:left w:val="none" w:sz="0" w:space="0" w:color="auto"/>
        <w:bottom w:val="none" w:sz="0" w:space="0" w:color="auto"/>
        <w:right w:val="none" w:sz="0" w:space="0" w:color="auto"/>
      </w:divBdr>
    </w:div>
    <w:div w:id="662667068">
      <w:bodyDiv w:val="1"/>
      <w:marLeft w:val="0"/>
      <w:marRight w:val="0"/>
      <w:marTop w:val="0"/>
      <w:marBottom w:val="0"/>
      <w:divBdr>
        <w:top w:val="none" w:sz="0" w:space="0" w:color="auto"/>
        <w:left w:val="none" w:sz="0" w:space="0" w:color="auto"/>
        <w:bottom w:val="none" w:sz="0" w:space="0" w:color="auto"/>
        <w:right w:val="none" w:sz="0" w:space="0" w:color="auto"/>
      </w:divBdr>
    </w:div>
    <w:div w:id="666901948">
      <w:bodyDiv w:val="1"/>
      <w:marLeft w:val="0"/>
      <w:marRight w:val="0"/>
      <w:marTop w:val="0"/>
      <w:marBottom w:val="0"/>
      <w:divBdr>
        <w:top w:val="none" w:sz="0" w:space="0" w:color="auto"/>
        <w:left w:val="none" w:sz="0" w:space="0" w:color="auto"/>
        <w:bottom w:val="none" w:sz="0" w:space="0" w:color="auto"/>
        <w:right w:val="none" w:sz="0" w:space="0" w:color="auto"/>
      </w:divBdr>
    </w:div>
    <w:div w:id="687950249">
      <w:bodyDiv w:val="1"/>
      <w:marLeft w:val="0"/>
      <w:marRight w:val="0"/>
      <w:marTop w:val="0"/>
      <w:marBottom w:val="0"/>
      <w:divBdr>
        <w:top w:val="none" w:sz="0" w:space="0" w:color="auto"/>
        <w:left w:val="none" w:sz="0" w:space="0" w:color="auto"/>
        <w:bottom w:val="none" w:sz="0" w:space="0" w:color="auto"/>
        <w:right w:val="none" w:sz="0" w:space="0" w:color="auto"/>
      </w:divBdr>
    </w:div>
    <w:div w:id="688218514">
      <w:bodyDiv w:val="1"/>
      <w:marLeft w:val="0"/>
      <w:marRight w:val="0"/>
      <w:marTop w:val="0"/>
      <w:marBottom w:val="0"/>
      <w:divBdr>
        <w:top w:val="none" w:sz="0" w:space="0" w:color="auto"/>
        <w:left w:val="none" w:sz="0" w:space="0" w:color="auto"/>
        <w:bottom w:val="none" w:sz="0" w:space="0" w:color="auto"/>
        <w:right w:val="none" w:sz="0" w:space="0" w:color="auto"/>
      </w:divBdr>
    </w:div>
    <w:div w:id="689915994">
      <w:bodyDiv w:val="1"/>
      <w:marLeft w:val="0"/>
      <w:marRight w:val="0"/>
      <w:marTop w:val="0"/>
      <w:marBottom w:val="0"/>
      <w:divBdr>
        <w:top w:val="none" w:sz="0" w:space="0" w:color="auto"/>
        <w:left w:val="none" w:sz="0" w:space="0" w:color="auto"/>
        <w:bottom w:val="none" w:sz="0" w:space="0" w:color="auto"/>
        <w:right w:val="none" w:sz="0" w:space="0" w:color="auto"/>
      </w:divBdr>
    </w:div>
    <w:div w:id="692875872">
      <w:bodyDiv w:val="1"/>
      <w:marLeft w:val="0"/>
      <w:marRight w:val="0"/>
      <w:marTop w:val="0"/>
      <w:marBottom w:val="0"/>
      <w:divBdr>
        <w:top w:val="none" w:sz="0" w:space="0" w:color="auto"/>
        <w:left w:val="none" w:sz="0" w:space="0" w:color="auto"/>
        <w:bottom w:val="none" w:sz="0" w:space="0" w:color="auto"/>
        <w:right w:val="none" w:sz="0" w:space="0" w:color="auto"/>
      </w:divBdr>
    </w:div>
    <w:div w:id="716855008">
      <w:bodyDiv w:val="1"/>
      <w:marLeft w:val="0"/>
      <w:marRight w:val="0"/>
      <w:marTop w:val="0"/>
      <w:marBottom w:val="0"/>
      <w:divBdr>
        <w:top w:val="none" w:sz="0" w:space="0" w:color="auto"/>
        <w:left w:val="none" w:sz="0" w:space="0" w:color="auto"/>
        <w:bottom w:val="none" w:sz="0" w:space="0" w:color="auto"/>
        <w:right w:val="none" w:sz="0" w:space="0" w:color="auto"/>
      </w:divBdr>
    </w:div>
    <w:div w:id="775059805">
      <w:bodyDiv w:val="1"/>
      <w:marLeft w:val="0"/>
      <w:marRight w:val="0"/>
      <w:marTop w:val="0"/>
      <w:marBottom w:val="0"/>
      <w:divBdr>
        <w:top w:val="none" w:sz="0" w:space="0" w:color="auto"/>
        <w:left w:val="none" w:sz="0" w:space="0" w:color="auto"/>
        <w:bottom w:val="none" w:sz="0" w:space="0" w:color="auto"/>
        <w:right w:val="none" w:sz="0" w:space="0" w:color="auto"/>
      </w:divBdr>
    </w:div>
    <w:div w:id="785584989">
      <w:bodyDiv w:val="1"/>
      <w:marLeft w:val="0"/>
      <w:marRight w:val="0"/>
      <w:marTop w:val="0"/>
      <w:marBottom w:val="0"/>
      <w:divBdr>
        <w:top w:val="none" w:sz="0" w:space="0" w:color="auto"/>
        <w:left w:val="none" w:sz="0" w:space="0" w:color="auto"/>
        <w:bottom w:val="none" w:sz="0" w:space="0" w:color="auto"/>
        <w:right w:val="none" w:sz="0" w:space="0" w:color="auto"/>
      </w:divBdr>
    </w:div>
    <w:div w:id="788469849">
      <w:bodyDiv w:val="1"/>
      <w:marLeft w:val="0"/>
      <w:marRight w:val="0"/>
      <w:marTop w:val="0"/>
      <w:marBottom w:val="0"/>
      <w:divBdr>
        <w:top w:val="none" w:sz="0" w:space="0" w:color="auto"/>
        <w:left w:val="none" w:sz="0" w:space="0" w:color="auto"/>
        <w:bottom w:val="none" w:sz="0" w:space="0" w:color="auto"/>
        <w:right w:val="none" w:sz="0" w:space="0" w:color="auto"/>
      </w:divBdr>
    </w:div>
    <w:div w:id="805243470">
      <w:bodyDiv w:val="1"/>
      <w:marLeft w:val="0"/>
      <w:marRight w:val="0"/>
      <w:marTop w:val="0"/>
      <w:marBottom w:val="0"/>
      <w:divBdr>
        <w:top w:val="none" w:sz="0" w:space="0" w:color="auto"/>
        <w:left w:val="none" w:sz="0" w:space="0" w:color="auto"/>
        <w:bottom w:val="none" w:sz="0" w:space="0" w:color="auto"/>
        <w:right w:val="none" w:sz="0" w:space="0" w:color="auto"/>
      </w:divBdr>
    </w:div>
    <w:div w:id="812214717">
      <w:bodyDiv w:val="1"/>
      <w:marLeft w:val="0"/>
      <w:marRight w:val="0"/>
      <w:marTop w:val="0"/>
      <w:marBottom w:val="0"/>
      <w:divBdr>
        <w:top w:val="none" w:sz="0" w:space="0" w:color="auto"/>
        <w:left w:val="none" w:sz="0" w:space="0" w:color="auto"/>
        <w:bottom w:val="none" w:sz="0" w:space="0" w:color="auto"/>
        <w:right w:val="none" w:sz="0" w:space="0" w:color="auto"/>
      </w:divBdr>
    </w:div>
    <w:div w:id="813563983">
      <w:bodyDiv w:val="1"/>
      <w:marLeft w:val="0"/>
      <w:marRight w:val="0"/>
      <w:marTop w:val="0"/>
      <w:marBottom w:val="0"/>
      <w:divBdr>
        <w:top w:val="none" w:sz="0" w:space="0" w:color="auto"/>
        <w:left w:val="none" w:sz="0" w:space="0" w:color="auto"/>
        <w:bottom w:val="none" w:sz="0" w:space="0" w:color="auto"/>
        <w:right w:val="none" w:sz="0" w:space="0" w:color="auto"/>
      </w:divBdr>
    </w:div>
    <w:div w:id="823860064">
      <w:bodyDiv w:val="1"/>
      <w:marLeft w:val="0"/>
      <w:marRight w:val="0"/>
      <w:marTop w:val="0"/>
      <w:marBottom w:val="0"/>
      <w:divBdr>
        <w:top w:val="none" w:sz="0" w:space="0" w:color="auto"/>
        <w:left w:val="none" w:sz="0" w:space="0" w:color="auto"/>
        <w:bottom w:val="none" w:sz="0" w:space="0" w:color="auto"/>
        <w:right w:val="none" w:sz="0" w:space="0" w:color="auto"/>
      </w:divBdr>
    </w:div>
    <w:div w:id="826551074">
      <w:bodyDiv w:val="1"/>
      <w:marLeft w:val="0"/>
      <w:marRight w:val="0"/>
      <w:marTop w:val="0"/>
      <w:marBottom w:val="0"/>
      <w:divBdr>
        <w:top w:val="none" w:sz="0" w:space="0" w:color="auto"/>
        <w:left w:val="none" w:sz="0" w:space="0" w:color="auto"/>
        <w:bottom w:val="none" w:sz="0" w:space="0" w:color="auto"/>
        <w:right w:val="none" w:sz="0" w:space="0" w:color="auto"/>
      </w:divBdr>
    </w:div>
    <w:div w:id="826897146">
      <w:bodyDiv w:val="1"/>
      <w:marLeft w:val="0"/>
      <w:marRight w:val="0"/>
      <w:marTop w:val="0"/>
      <w:marBottom w:val="0"/>
      <w:divBdr>
        <w:top w:val="none" w:sz="0" w:space="0" w:color="auto"/>
        <w:left w:val="none" w:sz="0" w:space="0" w:color="auto"/>
        <w:bottom w:val="none" w:sz="0" w:space="0" w:color="auto"/>
        <w:right w:val="none" w:sz="0" w:space="0" w:color="auto"/>
      </w:divBdr>
    </w:div>
    <w:div w:id="832916475">
      <w:bodyDiv w:val="1"/>
      <w:marLeft w:val="0"/>
      <w:marRight w:val="0"/>
      <w:marTop w:val="0"/>
      <w:marBottom w:val="0"/>
      <w:divBdr>
        <w:top w:val="none" w:sz="0" w:space="0" w:color="auto"/>
        <w:left w:val="none" w:sz="0" w:space="0" w:color="auto"/>
        <w:bottom w:val="none" w:sz="0" w:space="0" w:color="auto"/>
        <w:right w:val="none" w:sz="0" w:space="0" w:color="auto"/>
      </w:divBdr>
    </w:div>
    <w:div w:id="833767537">
      <w:bodyDiv w:val="1"/>
      <w:marLeft w:val="0"/>
      <w:marRight w:val="0"/>
      <w:marTop w:val="0"/>
      <w:marBottom w:val="0"/>
      <w:divBdr>
        <w:top w:val="none" w:sz="0" w:space="0" w:color="auto"/>
        <w:left w:val="none" w:sz="0" w:space="0" w:color="auto"/>
        <w:bottom w:val="none" w:sz="0" w:space="0" w:color="auto"/>
        <w:right w:val="none" w:sz="0" w:space="0" w:color="auto"/>
      </w:divBdr>
    </w:div>
    <w:div w:id="861473269">
      <w:bodyDiv w:val="1"/>
      <w:marLeft w:val="0"/>
      <w:marRight w:val="0"/>
      <w:marTop w:val="0"/>
      <w:marBottom w:val="0"/>
      <w:divBdr>
        <w:top w:val="none" w:sz="0" w:space="0" w:color="auto"/>
        <w:left w:val="none" w:sz="0" w:space="0" w:color="auto"/>
        <w:bottom w:val="none" w:sz="0" w:space="0" w:color="auto"/>
        <w:right w:val="none" w:sz="0" w:space="0" w:color="auto"/>
      </w:divBdr>
    </w:div>
    <w:div w:id="872576892">
      <w:bodyDiv w:val="1"/>
      <w:marLeft w:val="0"/>
      <w:marRight w:val="0"/>
      <w:marTop w:val="0"/>
      <w:marBottom w:val="0"/>
      <w:divBdr>
        <w:top w:val="none" w:sz="0" w:space="0" w:color="auto"/>
        <w:left w:val="none" w:sz="0" w:space="0" w:color="auto"/>
        <w:bottom w:val="none" w:sz="0" w:space="0" w:color="auto"/>
        <w:right w:val="none" w:sz="0" w:space="0" w:color="auto"/>
      </w:divBdr>
    </w:div>
    <w:div w:id="889345961">
      <w:bodyDiv w:val="1"/>
      <w:marLeft w:val="0"/>
      <w:marRight w:val="0"/>
      <w:marTop w:val="0"/>
      <w:marBottom w:val="0"/>
      <w:divBdr>
        <w:top w:val="none" w:sz="0" w:space="0" w:color="auto"/>
        <w:left w:val="none" w:sz="0" w:space="0" w:color="auto"/>
        <w:bottom w:val="none" w:sz="0" w:space="0" w:color="auto"/>
        <w:right w:val="none" w:sz="0" w:space="0" w:color="auto"/>
      </w:divBdr>
    </w:div>
    <w:div w:id="899368643">
      <w:bodyDiv w:val="1"/>
      <w:marLeft w:val="0"/>
      <w:marRight w:val="0"/>
      <w:marTop w:val="0"/>
      <w:marBottom w:val="0"/>
      <w:divBdr>
        <w:top w:val="none" w:sz="0" w:space="0" w:color="auto"/>
        <w:left w:val="none" w:sz="0" w:space="0" w:color="auto"/>
        <w:bottom w:val="none" w:sz="0" w:space="0" w:color="auto"/>
        <w:right w:val="none" w:sz="0" w:space="0" w:color="auto"/>
      </w:divBdr>
    </w:div>
    <w:div w:id="907038603">
      <w:bodyDiv w:val="1"/>
      <w:marLeft w:val="0"/>
      <w:marRight w:val="0"/>
      <w:marTop w:val="0"/>
      <w:marBottom w:val="0"/>
      <w:divBdr>
        <w:top w:val="none" w:sz="0" w:space="0" w:color="auto"/>
        <w:left w:val="none" w:sz="0" w:space="0" w:color="auto"/>
        <w:bottom w:val="none" w:sz="0" w:space="0" w:color="auto"/>
        <w:right w:val="none" w:sz="0" w:space="0" w:color="auto"/>
      </w:divBdr>
    </w:div>
    <w:div w:id="950162024">
      <w:bodyDiv w:val="1"/>
      <w:marLeft w:val="0"/>
      <w:marRight w:val="0"/>
      <w:marTop w:val="0"/>
      <w:marBottom w:val="0"/>
      <w:divBdr>
        <w:top w:val="none" w:sz="0" w:space="0" w:color="auto"/>
        <w:left w:val="none" w:sz="0" w:space="0" w:color="auto"/>
        <w:bottom w:val="none" w:sz="0" w:space="0" w:color="auto"/>
        <w:right w:val="none" w:sz="0" w:space="0" w:color="auto"/>
      </w:divBdr>
    </w:div>
    <w:div w:id="950816761">
      <w:bodyDiv w:val="1"/>
      <w:marLeft w:val="0"/>
      <w:marRight w:val="0"/>
      <w:marTop w:val="0"/>
      <w:marBottom w:val="0"/>
      <w:divBdr>
        <w:top w:val="none" w:sz="0" w:space="0" w:color="auto"/>
        <w:left w:val="none" w:sz="0" w:space="0" w:color="auto"/>
        <w:bottom w:val="none" w:sz="0" w:space="0" w:color="auto"/>
        <w:right w:val="none" w:sz="0" w:space="0" w:color="auto"/>
      </w:divBdr>
    </w:div>
    <w:div w:id="952059248">
      <w:bodyDiv w:val="1"/>
      <w:marLeft w:val="0"/>
      <w:marRight w:val="0"/>
      <w:marTop w:val="0"/>
      <w:marBottom w:val="0"/>
      <w:divBdr>
        <w:top w:val="none" w:sz="0" w:space="0" w:color="auto"/>
        <w:left w:val="none" w:sz="0" w:space="0" w:color="auto"/>
        <w:bottom w:val="none" w:sz="0" w:space="0" w:color="auto"/>
        <w:right w:val="none" w:sz="0" w:space="0" w:color="auto"/>
      </w:divBdr>
    </w:div>
    <w:div w:id="967927988">
      <w:bodyDiv w:val="1"/>
      <w:marLeft w:val="0"/>
      <w:marRight w:val="0"/>
      <w:marTop w:val="0"/>
      <w:marBottom w:val="0"/>
      <w:divBdr>
        <w:top w:val="none" w:sz="0" w:space="0" w:color="auto"/>
        <w:left w:val="none" w:sz="0" w:space="0" w:color="auto"/>
        <w:bottom w:val="none" w:sz="0" w:space="0" w:color="auto"/>
        <w:right w:val="none" w:sz="0" w:space="0" w:color="auto"/>
      </w:divBdr>
    </w:div>
    <w:div w:id="977032016">
      <w:bodyDiv w:val="1"/>
      <w:marLeft w:val="0"/>
      <w:marRight w:val="0"/>
      <w:marTop w:val="0"/>
      <w:marBottom w:val="0"/>
      <w:divBdr>
        <w:top w:val="none" w:sz="0" w:space="0" w:color="auto"/>
        <w:left w:val="none" w:sz="0" w:space="0" w:color="auto"/>
        <w:bottom w:val="none" w:sz="0" w:space="0" w:color="auto"/>
        <w:right w:val="none" w:sz="0" w:space="0" w:color="auto"/>
      </w:divBdr>
    </w:div>
    <w:div w:id="982320225">
      <w:bodyDiv w:val="1"/>
      <w:marLeft w:val="0"/>
      <w:marRight w:val="0"/>
      <w:marTop w:val="0"/>
      <w:marBottom w:val="0"/>
      <w:divBdr>
        <w:top w:val="none" w:sz="0" w:space="0" w:color="auto"/>
        <w:left w:val="none" w:sz="0" w:space="0" w:color="auto"/>
        <w:bottom w:val="none" w:sz="0" w:space="0" w:color="auto"/>
        <w:right w:val="none" w:sz="0" w:space="0" w:color="auto"/>
      </w:divBdr>
    </w:div>
    <w:div w:id="986864325">
      <w:bodyDiv w:val="1"/>
      <w:marLeft w:val="0"/>
      <w:marRight w:val="0"/>
      <w:marTop w:val="0"/>
      <w:marBottom w:val="0"/>
      <w:divBdr>
        <w:top w:val="none" w:sz="0" w:space="0" w:color="auto"/>
        <w:left w:val="none" w:sz="0" w:space="0" w:color="auto"/>
        <w:bottom w:val="none" w:sz="0" w:space="0" w:color="auto"/>
        <w:right w:val="none" w:sz="0" w:space="0" w:color="auto"/>
      </w:divBdr>
    </w:div>
    <w:div w:id="999432891">
      <w:bodyDiv w:val="1"/>
      <w:marLeft w:val="0"/>
      <w:marRight w:val="0"/>
      <w:marTop w:val="0"/>
      <w:marBottom w:val="0"/>
      <w:divBdr>
        <w:top w:val="none" w:sz="0" w:space="0" w:color="auto"/>
        <w:left w:val="none" w:sz="0" w:space="0" w:color="auto"/>
        <w:bottom w:val="none" w:sz="0" w:space="0" w:color="auto"/>
        <w:right w:val="none" w:sz="0" w:space="0" w:color="auto"/>
      </w:divBdr>
    </w:div>
    <w:div w:id="1002321073">
      <w:bodyDiv w:val="1"/>
      <w:marLeft w:val="0"/>
      <w:marRight w:val="0"/>
      <w:marTop w:val="0"/>
      <w:marBottom w:val="0"/>
      <w:divBdr>
        <w:top w:val="none" w:sz="0" w:space="0" w:color="auto"/>
        <w:left w:val="none" w:sz="0" w:space="0" w:color="auto"/>
        <w:bottom w:val="none" w:sz="0" w:space="0" w:color="auto"/>
        <w:right w:val="none" w:sz="0" w:space="0" w:color="auto"/>
      </w:divBdr>
    </w:div>
    <w:div w:id="1011176444">
      <w:bodyDiv w:val="1"/>
      <w:marLeft w:val="0"/>
      <w:marRight w:val="0"/>
      <w:marTop w:val="0"/>
      <w:marBottom w:val="0"/>
      <w:divBdr>
        <w:top w:val="none" w:sz="0" w:space="0" w:color="auto"/>
        <w:left w:val="none" w:sz="0" w:space="0" w:color="auto"/>
        <w:bottom w:val="none" w:sz="0" w:space="0" w:color="auto"/>
        <w:right w:val="none" w:sz="0" w:space="0" w:color="auto"/>
      </w:divBdr>
    </w:div>
    <w:div w:id="1018854167">
      <w:bodyDiv w:val="1"/>
      <w:marLeft w:val="0"/>
      <w:marRight w:val="0"/>
      <w:marTop w:val="0"/>
      <w:marBottom w:val="0"/>
      <w:divBdr>
        <w:top w:val="none" w:sz="0" w:space="0" w:color="auto"/>
        <w:left w:val="none" w:sz="0" w:space="0" w:color="auto"/>
        <w:bottom w:val="none" w:sz="0" w:space="0" w:color="auto"/>
        <w:right w:val="none" w:sz="0" w:space="0" w:color="auto"/>
      </w:divBdr>
    </w:div>
    <w:div w:id="1027952418">
      <w:bodyDiv w:val="1"/>
      <w:marLeft w:val="0"/>
      <w:marRight w:val="0"/>
      <w:marTop w:val="0"/>
      <w:marBottom w:val="0"/>
      <w:divBdr>
        <w:top w:val="none" w:sz="0" w:space="0" w:color="auto"/>
        <w:left w:val="none" w:sz="0" w:space="0" w:color="auto"/>
        <w:bottom w:val="none" w:sz="0" w:space="0" w:color="auto"/>
        <w:right w:val="none" w:sz="0" w:space="0" w:color="auto"/>
      </w:divBdr>
      <w:divsChild>
        <w:div w:id="536087897">
          <w:marLeft w:val="0"/>
          <w:marRight w:val="0"/>
          <w:marTop w:val="15"/>
          <w:marBottom w:val="0"/>
          <w:divBdr>
            <w:top w:val="single" w:sz="48" w:space="0" w:color="auto"/>
            <w:left w:val="single" w:sz="48" w:space="0" w:color="auto"/>
            <w:bottom w:val="single" w:sz="48" w:space="0" w:color="auto"/>
            <w:right w:val="single" w:sz="48" w:space="0" w:color="auto"/>
          </w:divBdr>
          <w:divsChild>
            <w:div w:id="16464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285">
      <w:bodyDiv w:val="1"/>
      <w:marLeft w:val="0"/>
      <w:marRight w:val="0"/>
      <w:marTop w:val="0"/>
      <w:marBottom w:val="0"/>
      <w:divBdr>
        <w:top w:val="none" w:sz="0" w:space="0" w:color="auto"/>
        <w:left w:val="none" w:sz="0" w:space="0" w:color="auto"/>
        <w:bottom w:val="none" w:sz="0" w:space="0" w:color="auto"/>
        <w:right w:val="none" w:sz="0" w:space="0" w:color="auto"/>
      </w:divBdr>
    </w:div>
    <w:div w:id="1053237449">
      <w:bodyDiv w:val="1"/>
      <w:marLeft w:val="0"/>
      <w:marRight w:val="0"/>
      <w:marTop w:val="0"/>
      <w:marBottom w:val="0"/>
      <w:divBdr>
        <w:top w:val="none" w:sz="0" w:space="0" w:color="auto"/>
        <w:left w:val="none" w:sz="0" w:space="0" w:color="auto"/>
        <w:bottom w:val="none" w:sz="0" w:space="0" w:color="auto"/>
        <w:right w:val="none" w:sz="0" w:space="0" w:color="auto"/>
      </w:divBdr>
    </w:div>
    <w:div w:id="1061633721">
      <w:bodyDiv w:val="1"/>
      <w:marLeft w:val="0"/>
      <w:marRight w:val="0"/>
      <w:marTop w:val="0"/>
      <w:marBottom w:val="0"/>
      <w:divBdr>
        <w:top w:val="none" w:sz="0" w:space="0" w:color="auto"/>
        <w:left w:val="none" w:sz="0" w:space="0" w:color="auto"/>
        <w:bottom w:val="none" w:sz="0" w:space="0" w:color="auto"/>
        <w:right w:val="none" w:sz="0" w:space="0" w:color="auto"/>
      </w:divBdr>
    </w:div>
    <w:div w:id="1079713415">
      <w:bodyDiv w:val="1"/>
      <w:marLeft w:val="0"/>
      <w:marRight w:val="0"/>
      <w:marTop w:val="0"/>
      <w:marBottom w:val="0"/>
      <w:divBdr>
        <w:top w:val="none" w:sz="0" w:space="0" w:color="auto"/>
        <w:left w:val="none" w:sz="0" w:space="0" w:color="auto"/>
        <w:bottom w:val="none" w:sz="0" w:space="0" w:color="auto"/>
        <w:right w:val="none" w:sz="0" w:space="0" w:color="auto"/>
      </w:divBdr>
    </w:div>
    <w:div w:id="1102065735">
      <w:bodyDiv w:val="1"/>
      <w:marLeft w:val="0"/>
      <w:marRight w:val="0"/>
      <w:marTop w:val="0"/>
      <w:marBottom w:val="0"/>
      <w:divBdr>
        <w:top w:val="none" w:sz="0" w:space="0" w:color="auto"/>
        <w:left w:val="none" w:sz="0" w:space="0" w:color="auto"/>
        <w:bottom w:val="none" w:sz="0" w:space="0" w:color="auto"/>
        <w:right w:val="none" w:sz="0" w:space="0" w:color="auto"/>
      </w:divBdr>
    </w:div>
    <w:div w:id="1115563881">
      <w:bodyDiv w:val="1"/>
      <w:marLeft w:val="0"/>
      <w:marRight w:val="0"/>
      <w:marTop w:val="0"/>
      <w:marBottom w:val="0"/>
      <w:divBdr>
        <w:top w:val="none" w:sz="0" w:space="0" w:color="auto"/>
        <w:left w:val="none" w:sz="0" w:space="0" w:color="auto"/>
        <w:bottom w:val="none" w:sz="0" w:space="0" w:color="auto"/>
        <w:right w:val="none" w:sz="0" w:space="0" w:color="auto"/>
      </w:divBdr>
    </w:div>
    <w:div w:id="1135681505">
      <w:bodyDiv w:val="1"/>
      <w:marLeft w:val="0"/>
      <w:marRight w:val="0"/>
      <w:marTop w:val="0"/>
      <w:marBottom w:val="0"/>
      <w:divBdr>
        <w:top w:val="none" w:sz="0" w:space="0" w:color="auto"/>
        <w:left w:val="none" w:sz="0" w:space="0" w:color="auto"/>
        <w:bottom w:val="none" w:sz="0" w:space="0" w:color="auto"/>
        <w:right w:val="none" w:sz="0" w:space="0" w:color="auto"/>
      </w:divBdr>
    </w:div>
    <w:div w:id="1140465286">
      <w:bodyDiv w:val="1"/>
      <w:marLeft w:val="0"/>
      <w:marRight w:val="0"/>
      <w:marTop w:val="0"/>
      <w:marBottom w:val="0"/>
      <w:divBdr>
        <w:top w:val="none" w:sz="0" w:space="0" w:color="auto"/>
        <w:left w:val="none" w:sz="0" w:space="0" w:color="auto"/>
        <w:bottom w:val="none" w:sz="0" w:space="0" w:color="auto"/>
        <w:right w:val="none" w:sz="0" w:space="0" w:color="auto"/>
      </w:divBdr>
    </w:div>
    <w:div w:id="1140613784">
      <w:bodyDiv w:val="1"/>
      <w:marLeft w:val="0"/>
      <w:marRight w:val="0"/>
      <w:marTop w:val="0"/>
      <w:marBottom w:val="0"/>
      <w:divBdr>
        <w:top w:val="none" w:sz="0" w:space="0" w:color="auto"/>
        <w:left w:val="none" w:sz="0" w:space="0" w:color="auto"/>
        <w:bottom w:val="none" w:sz="0" w:space="0" w:color="auto"/>
        <w:right w:val="none" w:sz="0" w:space="0" w:color="auto"/>
      </w:divBdr>
    </w:div>
    <w:div w:id="1145858484">
      <w:bodyDiv w:val="1"/>
      <w:marLeft w:val="0"/>
      <w:marRight w:val="0"/>
      <w:marTop w:val="0"/>
      <w:marBottom w:val="0"/>
      <w:divBdr>
        <w:top w:val="none" w:sz="0" w:space="0" w:color="auto"/>
        <w:left w:val="none" w:sz="0" w:space="0" w:color="auto"/>
        <w:bottom w:val="none" w:sz="0" w:space="0" w:color="auto"/>
        <w:right w:val="none" w:sz="0" w:space="0" w:color="auto"/>
      </w:divBdr>
    </w:div>
    <w:div w:id="1162426241">
      <w:bodyDiv w:val="1"/>
      <w:marLeft w:val="0"/>
      <w:marRight w:val="0"/>
      <w:marTop w:val="0"/>
      <w:marBottom w:val="0"/>
      <w:divBdr>
        <w:top w:val="none" w:sz="0" w:space="0" w:color="auto"/>
        <w:left w:val="none" w:sz="0" w:space="0" w:color="auto"/>
        <w:bottom w:val="none" w:sz="0" w:space="0" w:color="auto"/>
        <w:right w:val="none" w:sz="0" w:space="0" w:color="auto"/>
      </w:divBdr>
    </w:div>
    <w:div w:id="1162551838">
      <w:bodyDiv w:val="1"/>
      <w:marLeft w:val="0"/>
      <w:marRight w:val="0"/>
      <w:marTop w:val="0"/>
      <w:marBottom w:val="0"/>
      <w:divBdr>
        <w:top w:val="none" w:sz="0" w:space="0" w:color="auto"/>
        <w:left w:val="none" w:sz="0" w:space="0" w:color="auto"/>
        <w:bottom w:val="none" w:sz="0" w:space="0" w:color="auto"/>
        <w:right w:val="none" w:sz="0" w:space="0" w:color="auto"/>
      </w:divBdr>
    </w:div>
    <w:div w:id="1166287855">
      <w:bodyDiv w:val="1"/>
      <w:marLeft w:val="0"/>
      <w:marRight w:val="0"/>
      <w:marTop w:val="0"/>
      <w:marBottom w:val="0"/>
      <w:divBdr>
        <w:top w:val="none" w:sz="0" w:space="0" w:color="auto"/>
        <w:left w:val="none" w:sz="0" w:space="0" w:color="auto"/>
        <w:bottom w:val="none" w:sz="0" w:space="0" w:color="auto"/>
        <w:right w:val="none" w:sz="0" w:space="0" w:color="auto"/>
      </w:divBdr>
    </w:div>
    <w:div w:id="1175998377">
      <w:bodyDiv w:val="1"/>
      <w:marLeft w:val="0"/>
      <w:marRight w:val="0"/>
      <w:marTop w:val="0"/>
      <w:marBottom w:val="0"/>
      <w:divBdr>
        <w:top w:val="none" w:sz="0" w:space="0" w:color="auto"/>
        <w:left w:val="none" w:sz="0" w:space="0" w:color="auto"/>
        <w:bottom w:val="none" w:sz="0" w:space="0" w:color="auto"/>
        <w:right w:val="none" w:sz="0" w:space="0" w:color="auto"/>
      </w:divBdr>
    </w:div>
    <w:div w:id="1192185884">
      <w:bodyDiv w:val="1"/>
      <w:marLeft w:val="0"/>
      <w:marRight w:val="0"/>
      <w:marTop w:val="0"/>
      <w:marBottom w:val="0"/>
      <w:divBdr>
        <w:top w:val="none" w:sz="0" w:space="0" w:color="auto"/>
        <w:left w:val="none" w:sz="0" w:space="0" w:color="auto"/>
        <w:bottom w:val="none" w:sz="0" w:space="0" w:color="auto"/>
        <w:right w:val="none" w:sz="0" w:space="0" w:color="auto"/>
      </w:divBdr>
    </w:div>
    <w:div w:id="1197429911">
      <w:bodyDiv w:val="1"/>
      <w:marLeft w:val="0"/>
      <w:marRight w:val="0"/>
      <w:marTop w:val="0"/>
      <w:marBottom w:val="0"/>
      <w:divBdr>
        <w:top w:val="none" w:sz="0" w:space="0" w:color="auto"/>
        <w:left w:val="none" w:sz="0" w:space="0" w:color="auto"/>
        <w:bottom w:val="none" w:sz="0" w:space="0" w:color="auto"/>
        <w:right w:val="none" w:sz="0" w:space="0" w:color="auto"/>
      </w:divBdr>
    </w:div>
    <w:div w:id="1205362819">
      <w:bodyDiv w:val="1"/>
      <w:marLeft w:val="0"/>
      <w:marRight w:val="0"/>
      <w:marTop w:val="0"/>
      <w:marBottom w:val="0"/>
      <w:divBdr>
        <w:top w:val="none" w:sz="0" w:space="0" w:color="auto"/>
        <w:left w:val="none" w:sz="0" w:space="0" w:color="auto"/>
        <w:bottom w:val="none" w:sz="0" w:space="0" w:color="auto"/>
        <w:right w:val="none" w:sz="0" w:space="0" w:color="auto"/>
      </w:divBdr>
    </w:div>
    <w:div w:id="1209147043">
      <w:bodyDiv w:val="1"/>
      <w:marLeft w:val="0"/>
      <w:marRight w:val="0"/>
      <w:marTop w:val="0"/>
      <w:marBottom w:val="0"/>
      <w:divBdr>
        <w:top w:val="none" w:sz="0" w:space="0" w:color="auto"/>
        <w:left w:val="none" w:sz="0" w:space="0" w:color="auto"/>
        <w:bottom w:val="none" w:sz="0" w:space="0" w:color="auto"/>
        <w:right w:val="none" w:sz="0" w:space="0" w:color="auto"/>
      </w:divBdr>
    </w:div>
    <w:div w:id="1245412978">
      <w:bodyDiv w:val="1"/>
      <w:marLeft w:val="0"/>
      <w:marRight w:val="0"/>
      <w:marTop w:val="0"/>
      <w:marBottom w:val="0"/>
      <w:divBdr>
        <w:top w:val="none" w:sz="0" w:space="0" w:color="auto"/>
        <w:left w:val="none" w:sz="0" w:space="0" w:color="auto"/>
        <w:bottom w:val="none" w:sz="0" w:space="0" w:color="auto"/>
        <w:right w:val="none" w:sz="0" w:space="0" w:color="auto"/>
      </w:divBdr>
    </w:div>
    <w:div w:id="1247616409">
      <w:bodyDiv w:val="1"/>
      <w:marLeft w:val="0"/>
      <w:marRight w:val="0"/>
      <w:marTop w:val="0"/>
      <w:marBottom w:val="0"/>
      <w:divBdr>
        <w:top w:val="none" w:sz="0" w:space="0" w:color="auto"/>
        <w:left w:val="none" w:sz="0" w:space="0" w:color="auto"/>
        <w:bottom w:val="none" w:sz="0" w:space="0" w:color="auto"/>
        <w:right w:val="none" w:sz="0" w:space="0" w:color="auto"/>
      </w:divBdr>
    </w:div>
    <w:div w:id="1249844129">
      <w:bodyDiv w:val="1"/>
      <w:marLeft w:val="0"/>
      <w:marRight w:val="0"/>
      <w:marTop w:val="0"/>
      <w:marBottom w:val="0"/>
      <w:divBdr>
        <w:top w:val="none" w:sz="0" w:space="0" w:color="auto"/>
        <w:left w:val="none" w:sz="0" w:space="0" w:color="auto"/>
        <w:bottom w:val="none" w:sz="0" w:space="0" w:color="auto"/>
        <w:right w:val="none" w:sz="0" w:space="0" w:color="auto"/>
      </w:divBdr>
    </w:div>
    <w:div w:id="1256937817">
      <w:bodyDiv w:val="1"/>
      <w:marLeft w:val="0"/>
      <w:marRight w:val="0"/>
      <w:marTop w:val="0"/>
      <w:marBottom w:val="0"/>
      <w:divBdr>
        <w:top w:val="none" w:sz="0" w:space="0" w:color="auto"/>
        <w:left w:val="none" w:sz="0" w:space="0" w:color="auto"/>
        <w:bottom w:val="none" w:sz="0" w:space="0" w:color="auto"/>
        <w:right w:val="none" w:sz="0" w:space="0" w:color="auto"/>
      </w:divBdr>
    </w:div>
    <w:div w:id="1264724494">
      <w:bodyDiv w:val="1"/>
      <w:marLeft w:val="0"/>
      <w:marRight w:val="0"/>
      <w:marTop w:val="0"/>
      <w:marBottom w:val="0"/>
      <w:divBdr>
        <w:top w:val="none" w:sz="0" w:space="0" w:color="auto"/>
        <w:left w:val="none" w:sz="0" w:space="0" w:color="auto"/>
        <w:bottom w:val="none" w:sz="0" w:space="0" w:color="auto"/>
        <w:right w:val="none" w:sz="0" w:space="0" w:color="auto"/>
      </w:divBdr>
    </w:div>
    <w:div w:id="1270969638">
      <w:bodyDiv w:val="1"/>
      <w:marLeft w:val="0"/>
      <w:marRight w:val="0"/>
      <w:marTop w:val="0"/>
      <w:marBottom w:val="0"/>
      <w:divBdr>
        <w:top w:val="none" w:sz="0" w:space="0" w:color="auto"/>
        <w:left w:val="none" w:sz="0" w:space="0" w:color="auto"/>
        <w:bottom w:val="none" w:sz="0" w:space="0" w:color="auto"/>
        <w:right w:val="none" w:sz="0" w:space="0" w:color="auto"/>
      </w:divBdr>
    </w:div>
    <w:div w:id="1279988371">
      <w:bodyDiv w:val="1"/>
      <w:marLeft w:val="0"/>
      <w:marRight w:val="0"/>
      <w:marTop w:val="0"/>
      <w:marBottom w:val="0"/>
      <w:divBdr>
        <w:top w:val="none" w:sz="0" w:space="0" w:color="auto"/>
        <w:left w:val="none" w:sz="0" w:space="0" w:color="auto"/>
        <w:bottom w:val="none" w:sz="0" w:space="0" w:color="auto"/>
        <w:right w:val="none" w:sz="0" w:space="0" w:color="auto"/>
      </w:divBdr>
    </w:div>
    <w:div w:id="1280918720">
      <w:bodyDiv w:val="1"/>
      <w:marLeft w:val="0"/>
      <w:marRight w:val="0"/>
      <w:marTop w:val="0"/>
      <w:marBottom w:val="0"/>
      <w:divBdr>
        <w:top w:val="none" w:sz="0" w:space="0" w:color="auto"/>
        <w:left w:val="none" w:sz="0" w:space="0" w:color="auto"/>
        <w:bottom w:val="none" w:sz="0" w:space="0" w:color="auto"/>
        <w:right w:val="none" w:sz="0" w:space="0" w:color="auto"/>
      </w:divBdr>
    </w:div>
    <w:div w:id="1322660829">
      <w:bodyDiv w:val="1"/>
      <w:marLeft w:val="0"/>
      <w:marRight w:val="0"/>
      <w:marTop w:val="0"/>
      <w:marBottom w:val="0"/>
      <w:divBdr>
        <w:top w:val="none" w:sz="0" w:space="0" w:color="auto"/>
        <w:left w:val="none" w:sz="0" w:space="0" w:color="auto"/>
        <w:bottom w:val="none" w:sz="0" w:space="0" w:color="auto"/>
        <w:right w:val="none" w:sz="0" w:space="0" w:color="auto"/>
      </w:divBdr>
    </w:div>
    <w:div w:id="1330405127">
      <w:bodyDiv w:val="1"/>
      <w:marLeft w:val="0"/>
      <w:marRight w:val="0"/>
      <w:marTop w:val="0"/>
      <w:marBottom w:val="0"/>
      <w:divBdr>
        <w:top w:val="none" w:sz="0" w:space="0" w:color="auto"/>
        <w:left w:val="none" w:sz="0" w:space="0" w:color="auto"/>
        <w:bottom w:val="none" w:sz="0" w:space="0" w:color="auto"/>
        <w:right w:val="none" w:sz="0" w:space="0" w:color="auto"/>
      </w:divBdr>
    </w:div>
    <w:div w:id="1349287720">
      <w:bodyDiv w:val="1"/>
      <w:marLeft w:val="0"/>
      <w:marRight w:val="0"/>
      <w:marTop w:val="0"/>
      <w:marBottom w:val="0"/>
      <w:divBdr>
        <w:top w:val="none" w:sz="0" w:space="0" w:color="auto"/>
        <w:left w:val="none" w:sz="0" w:space="0" w:color="auto"/>
        <w:bottom w:val="none" w:sz="0" w:space="0" w:color="auto"/>
        <w:right w:val="none" w:sz="0" w:space="0" w:color="auto"/>
      </w:divBdr>
    </w:div>
    <w:div w:id="1377508401">
      <w:bodyDiv w:val="1"/>
      <w:marLeft w:val="0"/>
      <w:marRight w:val="0"/>
      <w:marTop w:val="0"/>
      <w:marBottom w:val="0"/>
      <w:divBdr>
        <w:top w:val="none" w:sz="0" w:space="0" w:color="auto"/>
        <w:left w:val="none" w:sz="0" w:space="0" w:color="auto"/>
        <w:bottom w:val="none" w:sz="0" w:space="0" w:color="auto"/>
        <w:right w:val="none" w:sz="0" w:space="0" w:color="auto"/>
      </w:divBdr>
    </w:div>
    <w:div w:id="1397051962">
      <w:bodyDiv w:val="1"/>
      <w:marLeft w:val="0"/>
      <w:marRight w:val="0"/>
      <w:marTop w:val="0"/>
      <w:marBottom w:val="0"/>
      <w:divBdr>
        <w:top w:val="none" w:sz="0" w:space="0" w:color="auto"/>
        <w:left w:val="none" w:sz="0" w:space="0" w:color="auto"/>
        <w:bottom w:val="none" w:sz="0" w:space="0" w:color="auto"/>
        <w:right w:val="none" w:sz="0" w:space="0" w:color="auto"/>
      </w:divBdr>
    </w:div>
    <w:div w:id="1407413531">
      <w:bodyDiv w:val="1"/>
      <w:marLeft w:val="0"/>
      <w:marRight w:val="0"/>
      <w:marTop w:val="0"/>
      <w:marBottom w:val="0"/>
      <w:divBdr>
        <w:top w:val="none" w:sz="0" w:space="0" w:color="auto"/>
        <w:left w:val="none" w:sz="0" w:space="0" w:color="auto"/>
        <w:bottom w:val="none" w:sz="0" w:space="0" w:color="auto"/>
        <w:right w:val="none" w:sz="0" w:space="0" w:color="auto"/>
      </w:divBdr>
    </w:div>
    <w:div w:id="1413161196">
      <w:bodyDiv w:val="1"/>
      <w:marLeft w:val="0"/>
      <w:marRight w:val="0"/>
      <w:marTop w:val="0"/>
      <w:marBottom w:val="0"/>
      <w:divBdr>
        <w:top w:val="none" w:sz="0" w:space="0" w:color="auto"/>
        <w:left w:val="none" w:sz="0" w:space="0" w:color="auto"/>
        <w:bottom w:val="none" w:sz="0" w:space="0" w:color="auto"/>
        <w:right w:val="none" w:sz="0" w:space="0" w:color="auto"/>
      </w:divBdr>
    </w:div>
    <w:div w:id="1437093499">
      <w:bodyDiv w:val="1"/>
      <w:marLeft w:val="0"/>
      <w:marRight w:val="0"/>
      <w:marTop w:val="0"/>
      <w:marBottom w:val="0"/>
      <w:divBdr>
        <w:top w:val="none" w:sz="0" w:space="0" w:color="auto"/>
        <w:left w:val="none" w:sz="0" w:space="0" w:color="auto"/>
        <w:bottom w:val="none" w:sz="0" w:space="0" w:color="auto"/>
        <w:right w:val="none" w:sz="0" w:space="0" w:color="auto"/>
      </w:divBdr>
    </w:div>
    <w:div w:id="1437865691">
      <w:bodyDiv w:val="1"/>
      <w:marLeft w:val="0"/>
      <w:marRight w:val="0"/>
      <w:marTop w:val="0"/>
      <w:marBottom w:val="0"/>
      <w:divBdr>
        <w:top w:val="none" w:sz="0" w:space="0" w:color="auto"/>
        <w:left w:val="none" w:sz="0" w:space="0" w:color="auto"/>
        <w:bottom w:val="none" w:sz="0" w:space="0" w:color="auto"/>
        <w:right w:val="none" w:sz="0" w:space="0" w:color="auto"/>
      </w:divBdr>
    </w:div>
    <w:div w:id="1445226188">
      <w:bodyDiv w:val="1"/>
      <w:marLeft w:val="0"/>
      <w:marRight w:val="0"/>
      <w:marTop w:val="0"/>
      <w:marBottom w:val="0"/>
      <w:divBdr>
        <w:top w:val="none" w:sz="0" w:space="0" w:color="auto"/>
        <w:left w:val="none" w:sz="0" w:space="0" w:color="auto"/>
        <w:bottom w:val="none" w:sz="0" w:space="0" w:color="auto"/>
        <w:right w:val="none" w:sz="0" w:space="0" w:color="auto"/>
      </w:divBdr>
    </w:div>
    <w:div w:id="1452165443">
      <w:bodyDiv w:val="1"/>
      <w:marLeft w:val="0"/>
      <w:marRight w:val="0"/>
      <w:marTop w:val="0"/>
      <w:marBottom w:val="0"/>
      <w:divBdr>
        <w:top w:val="none" w:sz="0" w:space="0" w:color="auto"/>
        <w:left w:val="none" w:sz="0" w:space="0" w:color="auto"/>
        <w:bottom w:val="none" w:sz="0" w:space="0" w:color="auto"/>
        <w:right w:val="none" w:sz="0" w:space="0" w:color="auto"/>
      </w:divBdr>
    </w:div>
    <w:div w:id="1454982231">
      <w:bodyDiv w:val="1"/>
      <w:marLeft w:val="0"/>
      <w:marRight w:val="0"/>
      <w:marTop w:val="0"/>
      <w:marBottom w:val="0"/>
      <w:divBdr>
        <w:top w:val="none" w:sz="0" w:space="0" w:color="auto"/>
        <w:left w:val="none" w:sz="0" w:space="0" w:color="auto"/>
        <w:bottom w:val="none" w:sz="0" w:space="0" w:color="auto"/>
        <w:right w:val="none" w:sz="0" w:space="0" w:color="auto"/>
      </w:divBdr>
    </w:div>
    <w:div w:id="1458181554">
      <w:bodyDiv w:val="1"/>
      <w:marLeft w:val="0"/>
      <w:marRight w:val="0"/>
      <w:marTop w:val="0"/>
      <w:marBottom w:val="0"/>
      <w:divBdr>
        <w:top w:val="none" w:sz="0" w:space="0" w:color="auto"/>
        <w:left w:val="none" w:sz="0" w:space="0" w:color="auto"/>
        <w:bottom w:val="none" w:sz="0" w:space="0" w:color="auto"/>
        <w:right w:val="none" w:sz="0" w:space="0" w:color="auto"/>
      </w:divBdr>
      <w:divsChild>
        <w:div w:id="1310790029">
          <w:marLeft w:val="0"/>
          <w:marRight w:val="0"/>
          <w:marTop w:val="0"/>
          <w:marBottom w:val="0"/>
          <w:divBdr>
            <w:top w:val="none" w:sz="0" w:space="0" w:color="auto"/>
            <w:left w:val="none" w:sz="0" w:space="0" w:color="auto"/>
            <w:bottom w:val="none" w:sz="0" w:space="0" w:color="auto"/>
            <w:right w:val="none" w:sz="0" w:space="0" w:color="auto"/>
          </w:divBdr>
          <w:divsChild>
            <w:div w:id="2062245713">
              <w:marLeft w:val="0"/>
              <w:marRight w:val="0"/>
              <w:marTop w:val="0"/>
              <w:marBottom w:val="0"/>
              <w:divBdr>
                <w:top w:val="none" w:sz="0" w:space="0" w:color="auto"/>
                <w:left w:val="none" w:sz="0" w:space="0" w:color="auto"/>
                <w:bottom w:val="none" w:sz="0" w:space="0" w:color="auto"/>
                <w:right w:val="none" w:sz="0" w:space="0" w:color="auto"/>
              </w:divBdr>
              <w:divsChild>
                <w:div w:id="1391265615">
                  <w:marLeft w:val="0"/>
                  <w:marRight w:val="0"/>
                  <w:marTop w:val="0"/>
                  <w:marBottom w:val="0"/>
                  <w:divBdr>
                    <w:top w:val="none" w:sz="0" w:space="0" w:color="auto"/>
                    <w:left w:val="none" w:sz="0" w:space="0" w:color="auto"/>
                    <w:bottom w:val="none" w:sz="0" w:space="0" w:color="auto"/>
                    <w:right w:val="none" w:sz="0" w:space="0" w:color="auto"/>
                  </w:divBdr>
                  <w:divsChild>
                    <w:div w:id="2109427387">
                      <w:marLeft w:val="0"/>
                      <w:marRight w:val="0"/>
                      <w:marTop w:val="0"/>
                      <w:marBottom w:val="0"/>
                      <w:divBdr>
                        <w:top w:val="none" w:sz="0" w:space="0" w:color="auto"/>
                        <w:left w:val="none" w:sz="0" w:space="0" w:color="auto"/>
                        <w:bottom w:val="none" w:sz="0" w:space="0" w:color="auto"/>
                        <w:right w:val="none" w:sz="0" w:space="0" w:color="auto"/>
                      </w:divBdr>
                      <w:divsChild>
                        <w:div w:id="433672758">
                          <w:marLeft w:val="0"/>
                          <w:marRight w:val="0"/>
                          <w:marTop w:val="0"/>
                          <w:marBottom w:val="0"/>
                          <w:divBdr>
                            <w:top w:val="none" w:sz="0" w:space="0" w:color="auto"/>
                            <w:left w:val="none" w:sz="0" w:space="0" w:color="auto"/>
                            <w:bottom w:val="none" w:sz="0" w:space="0" w:color="auto"/>
                            <w:right w:val="none" w:sz="0" w:space="0" w:color="auto"/>
                          </w:divBdr>
                          <w:divsChild>
                            <w:div w:id="956644927">
                              <w:marLeft w:val="0"/>
                              <w:marRight w:val="0"/>
                              <w:marTop w:val="0"/>
                              <w:marBottom w:val="0"/>
                              <w:divBdr>
                                <w:top w:val="none" w:sz="0" w:space="0" w:color="auto"/>
                                <w:left w:val="none" w:sz="0" w:space="0" w:color="auto"/>
                                <w:bottom w:val="none" w:sz="0" w:space="0" w:color="auto"/>
                                <w:right w:val="none" w:sz="0" w:space="0" w:color="auto"/>
                              </w:divBdr>
                              <w:divsChild>
                                <w:div w:id="1407460423">
                                  <w:marLeft w:val="0"/>
                                  <w:marRight w:val="0"/>
                                  <w:marTop w:val="0"/>
                                  <w:marBottom w:val="0"/>
                                  <w:divBdr>
                                    <w:top w:val="none" w:sz="0" w:space="0" w:color="auto"/>
                                    <w:left w:val="none" w:sz="0" w:space="0" w:color="auto"/>
                                    <w:bottom w:val="none" w:sz="0" w:space="0" w:color="auto"/>
                                    <w:right w:val="none" w:sz="0" w:space="0" w:color="auto"/>
                                  </w:divBdr>
                                  <w:divsChild>
                                    <w:div w:id="12885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95062">
                      <w:marLeft w:val="0"/>
                      <w:marRight w:val="0"/>
                      <w:marTop w:val="0"/>
                      <w:marBottom w:val="0"/>
                      <w:divBdr>
                        <w:top w:val="none" w:sz="0" w:space="0" w:color="auto"/>
                        <w:left w:val="none" w:sz="0" w:space="0" w:color="auto"/>
                        <w:bottom w:val="none" w:sz="0" w:space="0" w:color="auto"/>
                        <w:right w:val="none" w:sz="0" w:space="0" w:color="auto"/>
                      </w:divBdr>
                      <w:divsChild>
                        <w:div w:id="17865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95089">
      <w:bodyDiv w:val="1"/>
      <w:marLeft w:val="0"/>
      <w:marRight w:val="0"/>
      <w:marTop w:val="0"/>
      <w:marBottom w:val="0"/>
      <w:divBdr>
        <w:top w:val="none" w:sz="0" w:space="0" w:color="auto"/>
        <w:left w:val="none" w:sz="0" w:space="0" w:color="auto"/>
        <w:bottom w:val="none" w:sz="0" w:space="0" w:color="auto"/>
        <w:right w:val="none" w:sz="0" w:space="0" w:color="auto"/>
      </w:divBdr>
    </w:div>
    <w:div w:id="1472016895">
      <w:bodyDiv w:val="1"/>
      <w:marLeft w:val="0"/>
      <w:marRight w:val="0"/>
      <w:marTop w:val="0"/>
      <w:marBottom w:val="0"/>
      <w:divBdr>
        <w:top w:val="none" w:sz="0" w:space="0" w:color="auto"/>
        <w:left w:val="none" w:sz="0" w:space="0" w:color="auto"/>
        <w:bottom w:val="none" w:sz="0" w:space="0" w:color="auto"/>
        <w:right w:val="none" w:sz="0" w:space="0" w:color="auto"/>
      </w:divBdr>
    </w:div>
    <w:div w:id="1475297439">
      <w:bodyDiv w:val="1"/>
      <w:marLeft w:val="0"/>
      <w:marRight w:val="0"/>
      <w:marTop w:val="0"/>
      <w:marBottom w:val="0"/>
      <w:divBdr>
        <w:top w:val="none" w:sz="0" w:space="0" w:color="auto"/>
        <w:left w:val="none" w:sz="0" w:space="0" w:color="auto"/>
        <w:bottom w:val="none" w:sz="0" w:space="0" w:color="auto"/>
        <w:right w:val="none" w:sz="0" w:space="0" w:color="auto"/>
      </w:divBdr>
    </w:div>
    <w:div w:id="1483933193">
      <w:bodyDiv w:val="1"/>
      <w:marLeft w:val="0"/>
      <w:marRight w:val="0"/>
      <w:marTop w:val="0"/>
      <w:marBottom w:val="0"/>
      <w:divBdr>
        <w:top w:val="none" w:sz="0" w:space="0" w:color="auto"/>
        <w:left w:val="none" w:sz="0" w:space="0" w:color="auto"/>
        <w:bottom w:val="none" w:sz="0" w:space="0" w:color="auto"/>
        <w:right w:val="none" w:sz="0" w:space="0" w:color="auto"/>
      </w:divBdr>
    </w:div>
    <w:div w:id="1522234321">
      <w:bodyDiv w:val="1"/>
      <w:marLeft w:val="0"/>
      <w:marRight w:val="0"/>
      <w:marTop w:val="0"/>
      <w:marBottom w:val="0"/>
      <w:divBdr>
        <w:top w:val="none" w:sz="0" w:space="0" w:color="auto"/>
        <w:left w:val="none" w:sz="0" w:space="0" w:color="auto"/>
        <w:bottom w:val="none" w:sz="0" w:space="0" w:color="auto"/>
        <w:right w:val="none" w:sz="0" w:space="0" w:color="auto"/>
      </w:divBdr>
      <w:divsChild>
        <w:div w:id="1050542703">
          <w:marLeft w:val="0"/>
          <w:marRight w:val="0"/>
          <w:marTop w:val="0"/>
          <w:marBottom w:val="0"/>
          <w:divBdr>
            <w:top w:val="none" w:sz="0" w:space="0" w:color="auto"/>
            <w:left w:val="none" w:sz="0" w:space="0" w:color="auto"/>
            <w:bottom w:val="none" w:sz="0" w:space="0" w:color="auto"/>
            <w:right w:val="none" w:sz="0" w:space="0" w:color="auto"/>
          </w:divBdr>
          <w:divsChild>
            <w:div w:id="119812955">
              <w:marLeft w:val="0"/>
              <w:marRight w:val="0"/>
              <w:marTop w:val="0"/>
              <w:marBottom w:val="0"/>
              <w:divBdr>
                <w:top w:val="none" w:sz="0" w:space="0" w:color="auto"/>
                <w:left w:val="none" w:sz="0" w:space="0" w:color="auto"/>
                <w:bottom w:val="none" w:sz="0" w:space="0" w:color="auto"/>
                <w:right w:val="none" w:sz="0" w:space="0" w:color="auto"/>
              </w:divBdr>
              <w:divsChild>
                <w:div w:id="76365248">
                  <w:marLeft w:val="0"/>
                  <w:marRight w:val="0"/>
                  <w:marTop w:val="0"/>
                  <w:marBottom w:val="0"/>
                  <w:divBdr>
                    <w:top w:val="none" w:sz="0" w:space="0" w:color="auto"/>
                    <w:left w:val="none" w:sz="0" w:space="0" w:color="auto"/>
                    <w:bottom w:val="none" w:sz="0" w:space="0" w:color="auto"/>
                    <w:right w:val="none" w:sz="0" w:space="0" w:color="auto"/>
                  </w:divBdr>
                  <w:divsChild>
                    <w:div w:id="193227331">
                      <w:marLeft w:val="0"/>
                      <w:marRight w:val="0"/>
                      <w:marTop w:val="0"/>
                      <w:marBottom w:val="0"/>
                      <w:divBdr>
                        <w:top w:val="none" w:sz="0" w:space="0" w:color="auto"/>
                        <w:left w:val="none" w:sz="0" w:space="0" w:color="auto"/>
                        <w:bottom w:val="none" w:sz="0" w:space="0" w:color="auto"/>
                        <w:right w:val="none" w:sz="0" w:space="0" w:color="auto"/>
                      </w:divBdr>
                      <w:divsChild>
                        <w:div w:id="628123722">
                          <w:marLeft w:val="0"/>
                          <w:marRight w:val="0"/>
                          <w:marTop w:val="0"/>
                          <w:marBottom w:val="0"/>
                          <w:divBdr>
                            <w:top w:val="none" w:sz="0" w:space="0" w:color="auto"/>
                            <w:left w:val="none" w:sz="0" w:space="0" w:color="auto"/>
                            <w:bottom w:val="none" w:sz="0" w:space="0" w:color="auto"/>
                            <w:right w:val="none" w:sz="0" w:space="0" w:color="auto"/>
                          </w:divBdr>
                          <w:divsChild>
                            <w:div w:id="1437870624">
                              <w:marLeft w:val="0"/>
                              <w:marRight w:val="0"/>
                              <w:marTop w:val="0"/>
                              <w:marBottom w:val="0"/>
                              <w:divBdr>
                                <w:top w:val="none" w:sz="0" w:space="0" w:color="auto"/>
                                <w:left w:val="none" w:sz="0" w:space="0" w:color="auto"/>
                                <w:bottom w:val="none" w:sz="0" w:space="0" w:color="auto"/>
                                <w:right w:val="none" w:sz="0" w:space="0" w:color="auto"/>
                              </w:divBdr>
                              <w:divsChild>
                                <w:div w:id="446971247">
                                  <w:marLeft w:val="0"/>
                                  <w:marRight w:val="0"/>
                                  <w:marTop w:val="0"/>
                                  <w:marBottom w:val="0"/>
                                  <w:divBdr>
                                    <w:top w:val="none" w:sz="0" w:space="0" w:color="auto"/>
                                    <w:left w:val="none" w:sz="0" w:space="0" w:color="auto"/>
                                    <w:bottom w:val="none" w:sz="0" w:space="0" w:color="auto"/>
                                    <w:right w:val="none" w:sz="0" w:space="0" w:color="auto"/>
                                  </w:divBdr>
                                  <w:divsChild>
                                    <w:div w:id="10936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64768">
                      <w:marLeft w:val="0"/>
                      <w:marRight w:val="0"/>
                      <w:marTop w:val="0"/>
                      <w:marBottom w:val="0"/>
                      <w:divBdr>
                        <w:top w:val="none" w:sz="0" w:space="0" w:color="auto"/>
                        <w:left w:val="none" w:sz="0" w:space="0" w:color="auto"/>
                        <w:bottom w:val="none" w:sz="0" w:space="0" w:color="auto"/>
                        <w:right w:val="none" w:sz="0" w:space="0" w:color="auto"/>
                      </w:divBdr>
                      <w:divsChild>
                        <w:div w:id="7646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0751">
      <w:bodyDiv w:val="1"/>
      <w:marLeft w:val="0"/>
      <w:marRight w:val="0"/>
      <w:marTop w:val="0"/>
      <w:marBottom w:val="0"/>
      <w:divBdr>
        <w:top w:val="none" w:sz="0" w:space="0" w:color="auto"/>
        <w:left w:val="none" w:sz="0" w:space="0" w:color="auto"/>
        <w:bottom w:val="none" w:sz="0" w:space="0" w:color="auto"/>
        <w:right w:val="none" w:sz="0" w:space="0" w:color="auto"/>
      </w:divBdr>
    </w:div>
    <w:div w:id="1589581979">
      <w:bodyDiv w:val="1"/>
      <w:marLeft w:val="0"/>
      <w:marRight w:val="0"/>
      <w:marTop w:val="0"/>
      <w:marBottom w:val="0"/>
      <w:divBdr>
        <w:top w:val="none" w:sz="0" w:space="0" w:color="auto"/>
        <w:left w:val="none" w:sz="0" w:space="0" w:color="auto"/>
        <w:bottom w:val="none" w:sz="0" w:space="0" w:color="auto"/>
        <w:right w:val="none" w:sz="0" w:space="0" w:color="auto"/>
      </w:divBdr>
    </w:div>
    <w:div w:id="1599631605">
      <w:bodyDiv w:val="1"/>
      <w:marLeft w:val="0"/>
      <w:marRight w:val="0"/>
      <w:marTop w:val="0"/>
      <w:marBottom w:val="0"/>
      <w:divBdr>
        <w:top w:val="none" w:sz="0" w:space="0" w:color="auto"/>
        <w:left w:val="none" w:sz="0" w:space="0" w:color="auto"/>
        <w:bottom w:val="none" w:sz="0" w:space="0" w:color="auto"/>
        <w:right w:val="none" w:sz="0" w:space="0" w:color="auto"/>
      </w:divBdr>
    </w:div>
    <w:div w:id="1608002311">
      <w:bodyDiv w:val="1"/>
      <w:marLeft w:val="0"/>
      <w:marRight w:val="0"/>
      <w:marTop w:val="0"/>
      <w:marBottom w:val="0"/>
      <w:divBdr>
        <w:top w:val="none" w:sz="0" w:space="0" w:color="auto"/>
        <w:left w:val="none" w:sz="0" w:space="0" w:color="auto"/>
        <w:bottom w:val="none" w:sz="0" w:space="0" w:color="auto"/>
        <w:right w:val="none" w:sz="0" w:space="0" w:color="auto"/>
      </w:divBdr>
    </w:div>
    <w:div w:id="1610774270">
      <w:bodyDiv w:val="1"/>
      <w:marLeft w:val="0"/>
      <w:marRight w:val="0"/>
      <w:marTop w:val="0"/>
      <w:marBottom w:val="0"/>
      <w:divBdr>
        <w:top w:val="none" w:sz="0" w:space="0" w:color="auto"/>
        <w:left w:val="none" w:sz="0" w:space="0" w:color="auto"/>
        <w:bottom w:val="none" w:sz="0" w:space="0" w:color="auto"/>
        <w:right w:val="none" w:sz="0" w:space="0" w:color="auto"/>
      </w:divBdr>
    </w:div>
    <w:div w:id="1649287043">
      <w:bodyDiv w:val="1"/>
      <w:marLeft w:val="0"/>
      <w:marRight w:val="0"/>
      <w:marTop w:val="0"/>
      <w:marBottom w:val="0"/>
      <w:divBdr>
        <w:top w:val="none" w:sz="0" w:space="0" w:color="auto"/>
        <w:left w:val="none" w:sz="0" w:space="0" w:color="auto"/>
        <w:bottom w:val="none" w:sz="0" w:space="0" w:color="auto"/>
        <w:right w:val="none" w:sz="0" w:space="0" w:color="auto"/>
      </w:divBdr>
    </w:div>
    <w:div w:id="1660841021">
      <w:bodyDiv w:val="1"/>
      <w:marLeft w:val="0"/>
      <w:marRight w:val="0"/>
      <w:marTop w:val="0"/>
      <w:marBottom w:val="0"/>
      <w:divBdr>
        <w:top w:val="none" w:sz="0" w:space="0" w:color="auto"/>
        <w:left w:val="none" w:sz="0" w:space="0" w:color="auto"/>
        <w:bottom w:val="none" w:sz="0" w:space="0" w:color="auto"/>
        <w:right w:val="none" w:sz="0" w:space="0" w:color="auto"/>
      </w:divBdr>
    </w:div>
    <w:div w:id="1683312098">
      <w:bodyDiv w:val="1"/>
      <w:marLeft w:val="0"/>
      <w:marRight w:val="0"/>
      <w:marTop w:val="0"/>
      <w:marBottom w:val="0"/>
      <w:divBdr>
        <w:top w:val="none" w:sz="0" w:space="0" w:color="auto"/>
        <w:left w:val="none" w:sz="0" w:space="0" w:color="auto"/>
        <w:bottom w:val="none" w:sz="0" w:space="0" w:color="auto"/>
        <w:right w:val="none" w:sz="0" w:space="0" w:color="auto"/>
      </w:divBdr>
    </w:div>
    <w:div w:id="1700350311">
      <w:bodyDiv w:val="1"/>
      <w:marLeft w:val="0"/>
      <w:marRight w:val="0"/>
      <w:marTop w:val="0"/>
      <w:marBottom w:val="0"/>
      <w:divBdr>
        <w:top w:val="none" w:sz="0" w:space="0" w:color="auto"/>
        <w:left w:val="none" w:sz="0" w:space="0" w:color="auto"/>
        <w:bottom w:val="none" w:sz="0" w:space="0" w:color="auto"/>
        <w:right w:val="none" w:sz="0" w:space="0" w:color="auto"/>
      </w:divBdr>
    </w:div>
    <w:div w:id="1700931976">
      <w:bodyDiv w:val="1"/>
      <w:marLeft w:val="0"/>
      <w:marRight w:val="0"/>
      <w:marTop w:val="0"/>
      <w:marBottom w:val="0"/>
      <w:divBdr>
        <w:top w:val="none" w:sz="0" w:space="0" w:color="auto"/>
        <w:left w:val="none" w:sz="0" w:space="0" w:color="auto"/>
        <w:bottom w:val="none" w:sz="0" w:space="0" w:color="auto"/>
        <w:right w:val="none" w:sz="0" w:space="0" w:color="auto"/>
      </w:divBdr>
    </w:div>
    <w:div w:id="1703162512">
      <w:bodyDiv w:val="1"/>
      <w:marLeft w:val="0"/>
      <w:marRight w:val="0"/>
      <w:marTop w:val="0"/>
      <w:marBottom w:val="0"/>
      <w:divBdr>
        <w:top w:val="none" w:sz="0" w:space="0" w:color="auto"/>
        <w:left w:val="none" w:sz="0" w:space="0" w:color="auto"/>
        <w:bottom w:val="none" w:sz="0" w:space="0" w:color="auto"/>
        <w:right w:val="none" w:sz="0" w:space="0" w:color="auto"/>
      </w:divBdr>
    </w:div>
    <w:div w:id="1706977824">
      <w:bodyDiv w:val="1"/>
      <w:marLeft w:val="0"/>
      <w:marRight w:val="0"/>
      <w:marTop w:val="0"/>
      <w:marBottom w:val="0"/>
      <w:divBdr>
        <w:top w:val="none" w:sz="0" w:space="0" w:color="auto"/>
        <w:left w:val="none" w:sz="0" w:space="0" w:color="auto"/>
        <w:bottom w:val="none" w:sz="0" w:space="0" w:color="auto"/>
        <w:right w:val="none" w:sz="0" w:space="0" w:color="auto"/>
      </w:divBdr>
    </w:div>
    <w:div w:id="1718700390">
      <w:bodyDiv w:val="1"/>
      <w:marLeft w:val="0"/>
      <w:marRight w:val="0"/>
      <w:marTop w:val="0"/>
      <w:marBottom w:val="0"/>
      <w:divBdr>
        <w:top w:val="none" w:sz="0" w:space="0" w:color="auto"/>
        <w:left w:val="none" w:sz="0" w:space="0" w:color="auto"/>
        <w:bottom w:val="none" w:sz="0" w:space="0" w:color="auto"/>
        <w:right w:val="none" w:sz="0" w:space="0" w:color="auto"/>
      </w:divBdr>
    </w:div>
    <w:div w:id="1728793564">
      <w:bodyDiv w:val="1"/>
      <w:marLeft w:val="0"/>
      <w:marRight w:val="0"/>
      <w:marTop w:val="0"/>
      <w:marBottom w:val="0"/>
      <w:divBdr>
        <w:top w:val="none" w:sz="0" w:space="0" w:color="auto"/>
        <w:left w:val="none" w:sz="0" w:space="0" w:color="auto"/>
        <w:bottom w:val="none" w:sz="0" w:space="0" w:color="auto"/>
        <w:right w:val="none" w:sz="0" w:space="0" w:color="auto"/>
      </w:divBdr>
    </w:div>
    <w:div w:id="1749037317">
      <w:bodyDiv w:val="1"/>
      <w:marLeft w:val="0"/>
      <w:marRight w:val="0"/>
      <w:marTop w:val="0"/>
      <w:marBottom w:val="0"/>
      <w:divBdr>
        <w:top w:val="none" w:sz="0" w:space="0" w:color="auto"/>
        <w:left w:val="none" w:sz="0" w:space="0" w:color="auto"/>
        <w:bottom w:val="none" w:sz="0" w:space="0" w:color="auto"/>
        <w:right w:val="none" w:sz="0" w:space="0" w:color="auto"/>
      </w:divBdr>
    </w:div>
    <w:div w:id="1766606420">
      <w:bodyDiv w:val="1"/>
      <w:marLeft w:val="0"/>
      <w:marRight w:val="0"/>
      <w:marTop w:val="0"/>
      <w:marBottom w:val="0"/>
      <w:divBdr>
        <w:top w:val="none" w:sz="0" w:space="0" w:color="auto"/>
        <w:left w:val="none" w:sz="0" w:space="0" w:color="auto"/>
        <w:bottom w:val="none" w:sz="0" w:space="0" w:color="auto"/>
        <w:right w:val="none" w:sz="0" w:space="0" w:color="auto"/>
      </w:divBdr>
    </w:div>
    <w:div w:id="1795709528">
      <w:bodyDiv w:val="1"/>
      <w:marLeft w:val="0"/>
      <w:marRight w:val="0"/>
      <w:marTop w:val="0"/>
      <w:marBottom w:val="0"/>
      <w:divBdr>
        <w:top w:val="none" w:sz="0" w:space="0" w:color="auto"/>
        <w:left w:val="none" w:sz="0" w:space="0" w:color="auto"/>
        <w:bottom w:val="none" w:sz="0" w:space="0" w:color="auto"/>
        <w:right w:val="none" w:sz="0" w:space="0" w:color="auto"/>
      </w:divBdr>
    </w:div>
    <w:div w:id="1808548666">
      <w:bodyDiv w:val="1"/>
      <w:marLeft w:val="0"/>
      <w:marRight w:val="0"/>
      <w:marTop w:val="0"/>
      <w:marBottom w:val="0"/>
      <w:divBdr>
        <w:top w:val="none" w:sz="0" w:space="0" w:color="auto"/>
        <w:left w:val="none" w:sz="0" w:space="0" w:color="auto"/>
        <w:bottom w:val="none" w:sz="0" w:space="0" w:color="auto"/>
        <w:right w:val="none" w:sz="0" w:space="0" w:color="auto"/>
      </w:divBdr>
    </w:div>
    <w:div w:id="1812558565">
      <w:bodyDiv w:val="1"/>
      <w:marLeft w:val="0"/>
      <w:marRight w:val="0"/>
      <w:marTop w:val="0"/>
      <w:marBottom w:val="0"/>
      <w:divBdr>
        <w:top w:val="none" w:sz="0" w:space="0" w:color="auto"/>
        <w:left w:val="none" w:sz="0" w:space="0" w:color="auto"/>
        <w:bottom w:val="none" w:sz="0" w:space="0" w:color="auto"/>
        <w:right w:val="none" w:sz="0" w:space="0" w:color="auto"/>
      </w:divBdr>
    </w:div>
    <w:div w:id="1827478563">
      <w:bodyDiv w:val="1"/>
      <w:marLeft w:val="0"/>
      <w:marRight w:val="0"/>
      <w:marTop w:val="0"/>
      <w:marBottom w:val="0"/>
      <w:divBdr>
        <w:top w:val="none" w:sz="0" w:space="0" w:color="auto"/>
        <w:left w:val="none" w:sz="0" w:space="0" w:color="auto"/>
        <w:bottom w:val="none" w:sz="0" w:space="0" w:color="auto"/>
        <w:right w:val="none" w:sz="0" w:space="0" w:color="auto"/>
      </w:divBdr>
    </w:div>
    <w:div w:id="1827550447">
      <w:bodyDiv w:val="1"/>
      <w:marLeft w:val="0"/>
      <w:marRight w:val="0"/>
      <w:marTop w:val="0"/>
      <w:marBottom w:val="0"/>
      <w:divBdr>
        <w:top w:val="none" w:sz="0" w:space="0" w:color="auto"/>
        <w:left w:val="none" w:sz="0" w:space="0" w:color="auto"/>
        <w:bottom w:val="none" w:sz="0" w:space="0" w:color="auto"/>
        <w:right w:val="none" w:sz="0" w:space="0" w:color="auto"/>
      </w:divBdr>
    </w:div>
    <w:div w:id="1834830873">
      <w:bodyDiv w:val="1"/>
      <w:marLeft w:val="0"/>
      <w:marRight w:val="0"/>
      <w:marTop w:val="0"/>
      <w:marBottom w:val="0"/>
      <w:divBdr>
        <w:top w:val="none" w:sz="0" w:space="0" w:color="auto"/>
        <w:left w:val="none" w:sz="0" w:space="0" w:color="auto"/>
        <w:bottom w:val="none" w:sz="0" w:space="0" w:color="auto"/>
        <w:right w:val="none" w:sz="0" w:space="0" w:color="auto"/>
      </w:divBdr>
    </w:div>
    <w:div w:id="1835947681">
      <w:bodyDiv w:val="1"/>
      <w:marLeft w:val="0"/>
      <w:marRight w:val="0"/>
      <w:marTop w:val="0"/>
      <w:marBottom w:val="0"/>
      <w:divBdr>
        <w:top w:val="none" w:sz="0" w:space="0" w:color="auto"/>
        <w:left w:val="none" w:sz="0" w:space="0" w:color="auto"/>
        <w:bottom w:val="none" w:sz="0" w:space="0" w:color="auto"/>
        <w:right w:val="none" w:sz="0" w:space="0" w:color="auto"/>
      </w:divBdr>
    </w:div>
    <w:div w:id="1842159476">
      <w:bodyDiv w:val="1"/>
      <w:marLeft w:val="0"/>
      <w:marRight w:val="0"/>
      <w:marTop w:val="0"/>
      <w:marBottom w:val="0"/>
      <w:divBdr>
        <w:top w:val="none" w:sz="0" w:space="0" w:color="auto"/>
        <w:left w:val="none" w:sz="0" w:space="0" w:color="auto"/>
        <w:bottom w:val="none" w:sz="0" w:space="0" w:color="auto"/>
        <w:right w:val="none" w:sz="0" w:space="0" w:color="auto"/>
      </w:divBdr>
    </w:div>
    <w:div w:id="1843546428">
      <w:bodyDiv w:val="1"/>
      <w:marLeft w:val="0"/>
      <w:marRight w:val="0"/>
      <w:marTop w:val="0"/>
      <w:marBottom w:val="0"/>
      <w:divBdr>
        <w:top w:val="none" w:sz="0" w:space="0" w:color="auto"/>
        <w:left w:val="none" w:sz="0" w:space="0" w:color="auto"/>
        <w:bottom w:val="none" w:sz="0" w:space="0" w:color="auto"/>
        <w:right w:val="none" w:sz="0" w:space="0" w:color="auto"/>
      </w:divBdr>
    </w:div>
    <w:div w:id="1844974250">
      <w:bodyDiv w:val="1"/>
      <w:marLeft w:val="0"/>
      <w:marRight w:val="0"/>
      <w:marTop w:val="0"/>
      <w:marBottom w:val="0"/>
      <w:divBdr>
        <w:top w:val="none" w:sz="0" w:space="0" w:color="auto"/>
        <w:left w:val="none" w:sz="0" w:space="0" w:color="auto"/>
        <w:bottom w:val="none" w:sz="0" w:space="0" w:color="auto"/>
        <w:right w:val="none" w:sz="0" w:space="0" w:color="auto"/>
      </w:divBdr>
    </w:div>
    <w:div w:id="1867254870">
      <w:bodyDiv w:val="1"/>
      <w:marLeft w:val="0"/>
      <w:marRight w:val="0"/>
      <w:marTop w:val="0"/>
      <w:marBottom w:val="0"/>
      <w:divBdr>
        <w:top w:val="none" w:sz="0" w:space="0" w:color="auto"/>
        <w:left w:val="none" w:sz="0" w:space="0" w:color="auto"/>
        <w:bottom w:val="none" w:sz="0" w:space="0" w:color="auto"/>
        <w:right w:val="none" w:sz="0" w:space="0" w:color="auto"/>
      </w:divBdr>
    </w:div>
    <w:div w:id="1885289945">
      <w:bodyDiv w:val="1"/>
      <w:marLeft w:val="0"/>
      <w:marRight w:val="0"/>
      <w:marTop w:val="0"/>
      <w:marBottom w:val="0"/>
      <w:divBdr>
        <w:top w:val="none" w:sz="0" w:space="0" w:color="auto"/>
        <w:left w:val="none" w:sz="0" w:space="0" w:color="auto"/>
        <w:bottom w:val="none" w:sz="0" w:space="0" w:color="auto"/>
        <w:right w:val="none" w:sz="0" w:space="0" w:color="auto"/>
      </w:divBdr>
    </w:div>
    <w:div w:id="1902399004">
      <w:bodyDiv w:val="1"/>
      <w:marLeft w:val="0"/>
      <w:marRight w:val="0"/>
      <w:marTop w:val="0"/>
      <w:marBottom w:val="0"/>
      <w:divBdr>
        <w:top w:val="none" w:sz="0" w:space="0" w:color="auto"/>
        <w:left w:val="none" w:sz="0" w:space="0" w:color="auto"/>
        <w:bottom w:val="none" w:sz="0" w:space="0" w:color="auto"/>
        <w:right w:val="none" w:sz="0" w:space="0" w:color="auto"/>
      </w:divBdr>
      <w:divsChild>
        <w:div w:id="114376904">
          <w:marLeft w:val="0"/>
          <w:marRight w:val="0"/>
          <w:marTop w:val="0"/>
          <w:marBottom w:val="0"/>
          <w:divBdr>
            <w:top w:val="none" w:sz="0" w:space="0" w:color="auto"/>
            <w:left w:val="none" w:sz="0" w:space="0" w:color="auto"/>
            <w:bottom w:val="single" w:sz="6" w:space="0" w:color="DCDFE4"/>
            <w:right w:val="none" w:sz="0" w:space="0" w:color="auto"/>
          </w:divBdr>
          <w:divsChild>
            <w:div w:id="2095008043">
              <w:marLeft w:val="0"/>
              <w:marRight w:val="0"/>
              <w:marTop w:val="0"/>
              <w:marBottom w:val="0"/>
              <w:divBdr>
                <w:top w:val="none" w:sz="0" w:space="0" w:color="auto"/>
                <w:left w:val="none" w:sz="0" w:space="0" w:color="auto"/>
                <w:bottom w:val="none" w:sz="0" w:space="0" w:color="auto"/>
                <w:right w:val="none" w:sz="0" w:space="0" w:color="auto"/>
              </w:divBdr>
            </w:div>
          </w:divsChild>
        </w:div>
        <w:div w:id="603732255">
          <w:marLeft w:val="0"/>
          <w:marRight w:val="0"/>
          <w:marTop w:val="0"/>
          <w:marBottom w:val="0"/>
          <w:divBdr>
            <w:top w:val="none" w:sz="0" w:space="0" w:color="auto"/>
            <w:left w:val="none" w:sz="0" w:space="0" w:color="auto"/>
            <w:bottom w:val="none" w:sz="0" w:space="0" w:color="auto"/>
            <w:right w:val="none" w:sz="0" w:space="0" w:color="auto"/>
          </w:divBdr>
          <w:divsChild>
            <w:div w:id="254097489">
              <w:marLeft w:val="0"/>
              <w:marRight w:val="0"/>
              <w:marTop w:val="0"/>
              <w:marBottom w:val="0"/>
              <w:divBdr>
                <w:top w:val="none" w:sz="0" w:space="0" w:color="auto"/>
                <w:left w:val="none" w:sz="0" w:space="0" w:color="auto"/>
                <w:bottom w:val="none" w:sz="0" w:space="0" w:color="auto"/>
                <w:right w:val="none" w:sz="0" w:space="0" w:color="auto"/>
              </w:divBdr>
              <w:divsChild>
                <w:div w:id="841118286">
                  <w:marLeft w:val="0"/>
                  <w:marRight w:val="0"/>
                  <w:marTop w:val="0"/>
                  <w:marBottom w:val="0"/>
                  <w:divBdr>
                    <w:top w:val="none" w:sz="0" w:space="0" w:color="auto"/>
                    <w:left w:val="none" w:sz="0" w:space="0" w:color="auto"/>
                    <w:bottom w:val="none" w:sz="0" w:space="0" w:color="auto"/>
                    <w:right w:val="none" w:sz="0" w:space="0" w:color="auto"/>
                  </w:divBdr>
                  <w:divsChild>
                    <w:div w:id="1695841323">
                      <w:marLeft w:val="0"/>
                      <w:marRight w:val="0"/>
                      <w:marTop w:val="0"/>
                      <w:marBottom w:val="0"/>
                      <w:divBdr>
                        <w:top w:val="none" w:sz="0" w:space="0" w:color="auto"/>
                        <w:left w:val="none" w:sz="0" w:space="0" w:color="auto"/>
                        <w:bottom w:val="none" w:sz="0" w:space="0" w:color="auto"/>
                        <w:right w:val="none" w:sz="0" w:space="0" w:color="auto"/>
                      </w:divBdr>
                    </w:div>
                  </w:divsChild>
                </w:div>
                <w:div w:id="1565337593">
                  <w:marLeft w:val="0"/>
                  <w:marRight w:val="0"/>
                  <w:marTop w:val="0"/>
                  <w:marBottom w:val="0"/>
                  <w:divBdr>
                    <w:top w:val="none" w:sz="0" w:space="0" w:color="auto"/>
                    <w:left w:val="none" w:sz="0" w:space="0" w:color="auto"/>
                    <w:bottom w:val="none" w:sz="0" w:space="0" w:color="auto"/>
                    <w:right w:val="none" w:sz="0" w:space="0" w:color="auto"/>
                  </w:divBdr>
                  <w:divsChild>
                    <w:div w:id="998725991">
                      <w:marLeft w:val="0"/>
                      <w:marRight w:val="0"/>
                      <w:marTop w:val="0"/>
                      <w:marBottom w:val="0"/>
                      <w:divBdr>
                        <w:top w:val="none" w:sz="0" w:space="0" w:color="auto"/>
                        <w:left w:val="none" w:sz="0" w:space="0" w:color="auto"/>
                        <w:bottom w:val="none" w:sz="0" w:space="0" w:color="auto"/>
                        <w:right w:val="none" w:sz="0" w:space="0" w:color="auto"/>
                      </w:divBdr>
                      <w:divsChild>
                        <w:div w:id="9827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20075">
      <w:bodyDiv w:val="1"/>
      <w:marLeft w:val="0"/>
      <w:marRight w:val="0"/>
      <w:marTop w:val="0"/>
      <w:marBottom w:val="0"/>
      <w:divBdr>
        <w:top w:val="none" w:sz="0" w:space="0" w:color="auto"/>
        <w:left w:val="none" w:sz="0" w:space="0" w:color="auto"/>
        <w:bottom w:val="none" w:sz="0" w:space="0" w:color="auto"/>
        <w:right w:val="none" w:sz="0" w:space="0" w:color="auto"/>
      </w:divBdr>
    </w:div>
    <w:div w:id="1930851494">
      <w:bodyDiv w:val="1"/>
      <w:marLeft w:val="0"/>
      <w:marRight w:val="0"/>
      <w:marTop w:val="0"/>
      <w:marBottom w:val="0"/>
      <w:divBdr>
        <w:top w:val="none" w:sz="0" w:space="0" w:color="auto"/>
        <w:left w:val="none" w:sz="0" w:space="0" w:color="auto"/>
        <w:bottom w:val="none" w:sz="0" w:space="0" w:color="auto"/>
        <w:right w:val="none" w:sz="0" w:space="0" w:color="auto"/>
      </w:divBdr>
    </w:div>
    <w:div w:id="1940946807">
      <w:bodyDiv w:val="1"/>
      <w:marLeft w:val="0"/>
      <w:marRight w:val="0"/>
      <w:marTop w:val="0"/>
      <w:marBottom w:val="0"/>
      <w:divBdr>
        <w:top w:val="none" w:sz="0" w:space="0" w:color="auto"/>
        <w:left w:val="none" w:sz="0" w:space="0" w:color="auto"/>
        <w:bottom w:val="none" w:sz="0" w:space="0" w:color="auto"/>
        <w:right w:val="none" w:sz="0" w:space="0" w:color="auto"/>
      </w:divBdr>
    </w:div>
    <w:div w:id="1949460461">
      <w:bodyDiv w:val="1"/>
      <w:marLeft w:val="0"/>
      <w:marRight w:val="0"/>
      <w:marTop w:val="0"/>
      <w:marBottom w:val="0"/>
      <w:divBdr>
        <w:top w:val="none" w:sz="0" w:space="0" w:color="auto"/>
        <w:left w:val="none" w:sz="0" w:space="0" w:color="auto"/>
        <w:bottom w:val="none" w:sz="0" w:space="0" w:color="auto"/>
        <w:right w:val="none" w:sz="0" w:space="0" w:color="auto"/>
      </w:divBdr>
    </w:div>
    <w:div w:id="1953515069">
      <w:bodyDiv w:val="1"/>
      <w:marLeft w:val="0"/>
      <w:marRight w:val="0"/>
      <w:marTop w:val="0"/>
      <w:marBottom w:val="0"/>
      <w:divBdr>
        <w:top w:val="none" w:sz="0" w:space="0" w:color="auto"/>
        <w:left w:val="none" w:sz="0" w:space="0" w:color="auto"/>
        <w:bottom w:val="none" w:sz="0" w:space="0" w:color="auto"/>
        <w:right w:val="none" w:sz="0" w:space="0" w:color="auto"/>
      </w:divBdr>
    </w:div>
    <w:div w:id="1960795949">
      <w:bodyDiv w:val="1"/>
      <w:marLeft w:val="0"/>
      <w:marRight w:val="0"/>
      <w:marTop w:val="0"/>
      <w:marBottom w:val="0"/>
      <w:divBdr>
        <w:top w:val="none" w:sz="0" w:space="0" w:color="auto"/>
        <w:left w:val="none" w:sz="0" w:space="0" w:color="auto"/>
        <w:bottom w:val="none" w:sz="0" w:space="0" w:color="auto"/>
        <w:right w:val="none" w:sz="0" w:space="0" w:color="auto"/>
      </w:divBdr>
    </w:div>
    <w:div w:id="1976711313">
      <w:bodyDiv w:val="1"/>
      <w:marLeft w:val="0"/>
      <w:marRight w:val="0"/>
      <w:marTop w:val="0"/>
      <w:marBottom w:val="0"/>
      <w:divBdr>
        <w:top w:val="none" w:sz="0" w:space="0" w:color="auto"/>
        <w:left w:val="none" w:sz="0" w:space="0" w:color="auto"/>
        <w:bottom w:val="none" w:sz="0" w:space="0" w:color="auto"/>
        <w:right w:val="none" w:sz="0" w:space="0" w:color="auto"/>
      </w:divBdr>
    </w:div>
    <w:div w:id="1983848939">
      <w:bodyDiv w:val="1"/>
      <w:marLeft w:val="0"/>
      <w:marRight w:val="0"/>
      <w:marTop w:val="0"/>
      <w:marBottom w:val="0"/>
      <w:divBdr>
        <w:top w:val="none" w:sz="0" w:space="0" w:color="auto"/>
        <w:left w:val="none" w:sz="0" w:space="0" w:color="auto"/>
        <w:bottom w:val="none" w:sz="0" w:space="0" w:color="auto"/>
        <w:right w:val="none" w:sz="0" w:space="0" w:color="auto"/>
      </w:divBdr>
    </w:div>
    <w:div w:id="1987975486">
      <w:bodyDiv w:val="1"/>
      <w:marLeft w:val="0"/>
      <w:marRight w:val="0"/>
      <w:marTop w:val="0"/>
      <w:marBottom w:val="0"/>
      <w:divBdr>
        <w:top w:val="none" w:sz="0" w:space="0" w:color="auto"/>
        <w:left w:val="none" w:sz="0" w:space="0" w:color="auto"/>
        <w:bottom w:val="none" w:sz="0" w:space="0" w:color="auto"/>
        <w:right w:val="none" w:sz="0" w:space="0" w:color="auto"/>
      </w:divBdr>
    </w:div>
    <w:div w:id="2007973620">
      <w:bodyDiv w:val="1"/>
      <w:marLeft w:val="0"/>
      <w:marRight w:val="0"/>
      <w:marTop w:val="0"/>
      <w:marBottom w:val="0"/>
      <w:divBdr>
        <w:top w:val="none" w:sz="0" w:space="0" w:color="auto"/>
        <w:left w:val="none" w:sz="0" w:space="0" w:color="auto"/>
        <w:bottom w:val="none" w:sz="0" w:space="0" w:color="auto"/>
        <w:right w:val="none" w:sz="0" w:space="0" w:color="auto"/>
      </w:divBdr>
    </w:div>
    <w:div w:id="2010601540">
      <w:bodyDiv w:val="1"/>
      <w:marLeft w:val="0"/>
      <w:marRight w:val="0"/>
      <w:marTop w:val="0"/>
      <w:marBottom w:val="0"/>
      <w:divBdr>
        <w:top w:val="none" w:sz="0" w:space="0" w:color="auto"/>
        <w:left w:val="none" w:sz="0" w:space="0" w:color="auto"/>
        <w:bottom w:val="none" w:sz="0" w:space="0" w:color="auto"/>
        <w:right w:val="none" w:sz="0" w:space="0" w:color="auto"/>
      </w:divBdr>
    </w:div>
    <w:div w:id="2010939047">
      <w:bodyDiv w:val="1"/>
      <w:marLeft w:val="0"/>
      <w:marRight w:val="0"/>
      <w:marTop w:val="0"/>
      <w:marBottom w:val="0"/>
      <w:divBdr>
        <w:top w:val="none" w:sz="0" w:space="0" w:color="auto"/>
        <w:left w:val="none" w:sz="0" w:space="0" w:color="auto"/>
        <w:bottom w:val="none" w:sz="0" w:space="0" w:color="auto"/>
        <w:right w:val="none" w:sz="0" w:space="0" w:color="auto"/>
      </w:divBdr>
    </w:div>
    <w:div w:id="2015692867">
      <w:bodyDiv w:val="1"/>
      <w:marLeft w:val="0"/>
      <w:marRight w:val="0"/>
      <w:marTop w:val="0"/>
      <w:marBottom w:val="0"/>
      <w:divBdr>
        <w:top w:val="none" w:sz="0" w:space="0" w:color="auto"/>
        <w:left w:val="none" w:sz="0" w:space="0" w:color="auto"/>
        <w:bottom w:val="none" w:sz="0" w:space="0" w:color="auto"/>
        <w:right w:val="none" w:sz="0" w:space="0" w:color="auto"/>
      </w:divBdr>
    </w:div>
    <w:div w:id="2019231509">
      <w:bodyDiv w:val="1"/>
      <w:marLeft w:val="0"/>
      <w:marRight w:val="0"/>
      <w:marTop w:val="0"/>
      <w:marBottom w:val="0"/>
      <w:divBdr>
        <w:top w:val="none" w:sz="0" w:space="0" w:color="auto"/>
        <w:left w:val="none" w:sz="0" w:space="0" w:color="auto"/>
        <w:bottom w:val="none" w:sz="0" w:space="0" w:color="auto"/>
        <w:right w:val="none" w:sz="0" w:space="0" w:color="auto"/>
      </w:divBdr>
    </w:div>
    <w:div w:id="2044557509">
      <w:bodyDiv w:val="1"/>
      <w:marLeft w:val="0"/>
      <w:marRight w:val="0"/>
      <w:marTop w:val="0"/>
      <w:marBottom w:val="0"/>
      <w:divBdr>
        <w:top w:val="none" w:sz="0" w:space="0" w:color="auto"/>
        <w:left w:val="none" w:sz="0" w:space="0" w:color="auto"/>
        <w:bottom w:val="none" w:sz="0" w:space="0" w:color="auto"/>
        <w:right w:val="none" w:sz="0" w:space="0" w:color="auto"/>
      </w:divBdr>
    </w:div>
    <w:div w:id="2049378456">
      <w:bodyDiv w:val="1"/>
      <w:marLeft w:val="0"/>
      <w:marRight w:val="0"/>
      <w:marTop w:val="0"/>
      <w:marBottom w:val="0"/>
      <w:divBdr>
        <w:top w:val="none" w:sz="0" w:space="0" w:color="auto"/>
        <w:left w:val="none" w:sz="0" w:space="0" w:color="auto"/>
        <w:bottom w:val="none" w:sz="0" w:space="0" w:color="auto"/>
        <w:right w:val="none" w:sz="0" w:space="0" w:color="auto"/>
      </w:divBdr>
    </w:div>
    <w:div w:id="2054769170">
      <w:bodyDiv w:val="1"/>
      <w:marLeft w:val="0"/>
      <w:marRight w:val="0"/>
      <w:marTop w:val="0"/>
      <w:marBottom w:val="0"/>
      <w:divBdr>
        <w:top w:val="none" w:sz="0" w:space="0" w:color="auto"/>
        <w:left w:val="none" w:sz="0" w:space="0" w:color="auto"/>
        <w:bottom w:val="none" w:sz="0" w:space="0" w:color="auto"/>
        <w:right w:val="none" w:sz="0" w:space="0" w:color="auto"/>
      </w:divBdr>
    </w:div>
    <w:div w:id="2055421050">
      <w:bodyDiv w:val="1"/>
      <w:marLeft w:val="0"/>
      <w:marRight w:val="0"/>
      <w:marTop w:val="0"/>
      <w:marBottom w:val="0"/>
      <w:divBdr>
        <w:top w:val="none" w:sz="0" w:space="0" w:color="auto"/>
        <w:left w:val="none" w:sz="0" w:space="0" w:color="auto"/>
        <w:bottom w:val="none" w:sz="0" w:space="0" w:color="auto"/>
        <w:right w:val="none" w:sz="0" w:space="0" w:color="auto"/>
      </w:divBdr>
    </w:div>
    <w:div w:id="2059283131">
      <w:bodyDiv w:val="1"/>
      <w:marLeft w:val="0"/>
      <w:marRight w:val="0"/>
      <w:marTop w:val="0"/>
      <w:marBottom w:val="0"/>
      <w:divBdr>
        <w:top w:val="none" w:sz="0" w:space="0" w:color="auto"/>
        <w:left w:val="none" w:sz="0" w:space="0" w:color="auto"/>
        <w:bottom w:val="none" w:sz="0" w:space="0" w:color="auto"/>
        <w:right w:val="none" w:sz="0" w:space="0" w:color="auto"/>
      </w:divBdr>
    </w:div>
    <w:div w:id="2073581420">
      <w:bodyDiv w:val="1"/>
      <w:marLeft w:val="0"/>
      <w:marRight w:val="0"/>
      <w:marTop w:val="0"/>
      <w:marBottom w:val="0"/>
      <w:divBdr>
        <w:top w:val="none" w:sz="0" w:space="0" w:color="auto"/>
        <w:left w:val="none" w:sz="0" w:space="0" w:color="auto"/>
        <w:bottom w:val="none" w:sz="0" w:space="0" w:color="auto"/>
        <w:right w:val="none" w:sz="0" w:space="0" w:color="auto"/>
      </w:divBdr>
    </w:div>
    <w:div w:id="2084256479">
      <w:bodyDiv w:val="1"/>
      <w:marLeft w:val="0"/>
      <w:marRight w:val="0"/>
      <w:marTop w:val="0"/>
      <w:marBottom w:val="0"/>
      <w:divBdr>
        <w:top w:val="none" w:sz="0" w:space="0" w:color="auto"/>
        <w:left w:val="none" w:sz="0" w:space="0" w:color="auto"/>
        <w:bottom w:val="none" w:sz="0" w:space="0" w:color="auto"/>
        <w:right w:val="none" w:sz="0" w:space="0" w:color="auto"/>
      </w:divBdr>
    </w:div>
    <w:div w:id="2086027380">
      <w:bodyDiv w:val="1"/>
      <w:marLeft w:val="0"/>
      <w:marRight w:val="0"/>
      <w:marTop w:val="0"/>
      <w:marBottom w:val="0"/>
      <w:divBdr>
        <w:top w:val="none" w:sz="0" w:space="0" w:color="auto"/>
        <w:left w:val="none" w:sz="0" w:space="0" w:color="auto"/>
        <w:bottom w:val="none" w:sz="0" w:space="0" w:color="auto"/>
        <w:right w:val="none" w:sz="0" w:space="0" w:color="auto"/>
      </w:divBdr>
    </w:div>
    <w:div w:id="2100250297">
      <w:bodyDiv w:val="1"/>
      <w:marLeft w:val="0"/>
      <w:marRight w:val="0"/>
      <w:marTop w:val="0"/>
      <w:marBottom w:val="0"/>
      <w:divBdr>
        <w:top w:val="none" w:sz="0" w:space="0" w:color="auto"/>
        <w:left w:val="none" w:sz="0" w:space="0" w:color="auto"/>
        <w:bottom w:val="none" w:sz="0" w:space="0" w:color="auto"/>
        <w:right w:val="none" w:sz="0" w:space="0" w:color="auto"/>
      </w:divBdr>
    </w:div>
    <w:div w:id="2106607614">
      <w:bodyDiv w:val="1"/>
      <w:marLeft w:val="0"/>
      <w:marRight w:val="0"/>
      <w:marTop w:val="0"/>
      <w:marBottom w:val="0"/>
      <w:divBdr>
        <w:top w:val="none" w:sz="0" w:space="0" w:color="auto"/>
        <w:left w:val="none" w:sz="0" w:space="0" w:color="auto"/>
        <w:bottom w:val="none" w:sz="0" w:space="0" w:color="auto"/>
        <w:right w:val="none" w:sz="0" w:space="0" w:color="auto"/>
      </w:divBdr>
    </w:div>
    <w:div w:id="21191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ribaf.2022.101898" TargetMode="External"/><Relationship Id="rId26" Type="http://schemas.openxmlformats.org/officeDocument/2006/relationships/hyperlink" Target="https://commerce.gov.in" TargetMode="External"/><Relationship Id="rId3" Type="http://schemas.openxmlformats.org/officeDocument/2006/relationships/styles" Target="styles.xml"/><Relationship Id="rId21" Type="http://schemas.openxmlformats.org/officeDocument/2006/relationships/hyperlink" Target="https://dpiit.gov.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cma.in" TargetMode="External"/><Relationship Id="rId25" Type="http://schemas.openxmlformats.org/officeDocument/2006/relationships/hyperlink" Target="https://doi.org/10.17979/ejge.2024.13.2.10168" TargetMode="External"/><Relationship Id="rId33" Type="http://schemas.openxmlformats.org/officeDocument/2006/relationships/hyperlink" Target="https://doi.org/10.1016/j.frl.2022.10324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16/j.intfin.2016.12.001" TargetMode="External"/><Relationship Id="rId29" Type="http://schemas.openxmlformats.org/officeDocument/2006/relationships/hyperlink" Target="https://rb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00036846.2020.1734182" TargetMode="External"/><Relationship Id="rId32" Type="http://schemas.openxmlformats.org/officeDocument/2006/relationships/hyperlink" Target="https://www.google.com/search?q=https://doi.org/10.1177/23197145221141186"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77/13915614241234567" TargetMode="External"/><Relationship Id="rId28" Type="http://schemas.openxmlformats.org/officeDocument/2006/relationships/hyperlink" Target="https://pharmexcil.com" TargetMode="External"/><Relationship Id="rId10" Type="http://schemas.openxmlformats.org/officeDocument/2006/relationships/footer" Target="footer1.xml"/><Relationship Id="rId19" Type="http://schemas.openxmlformats.org/officeDocument/2006/relationships/hyperlink" Target="https://doi.org/10.1093/qje/qjw024" TargetMode="External"/><Relationship Id="rId31" Type="http://schemas.openxmlformats.org/officeDocument/2006/relationships/hyperlink" Target="https://doi.org/10.24018/ejbmr.2020.5.5.5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pacfin.2020.101326" TargetMode="External"/><Relationship Id="rId27" Type="http://schemas.openxmlformats.org/officeDocument/2006/relationships/hyperlink" Target="https://nasscom.in" TargetMode="External"/><Relationship Id="rId30" Type="http://schemas.openxmlformats.org/officeDocument/2006/relationships/hyperlink" Target="https://doi.org/10.5539/ass.v10n10p86"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2E9FAF-B18E-4B33-B007-5758C1026027}">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640A-596D-4916-ACB6-DE7C5F00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7725</Words>
  <Characters>44038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linda</dc:creator>
  <cp:keywords/>
  <dc:description/>
  <cp:lastModifiedBy>naveen linda</cp:lastModifiedBy>
  <cp:revision>17</cp:revision>
  <dcterms:created xsi:type="dcterms:W3CDTF">2025-07-12T21:19:00Z</dcterms:created>
  <dcterms:modified xsi:type="dcterms:W3CDTF">2025-07-15T06:26:00Z</dcterms:modified>
</cp:coreProperties>
</file>