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BB50" w14:textId="1D11C8D6" w:rsidR="00A16157" w:rsidRPr="00A16157" w:rsidRDefault="00A16157" w:rsidP="00C059E3">
      <w:pPr>
        <w:pStyle w:val="Heading1"/>
        <w:jc w:val="center"/>
        <w:rPr>
          <w:rFonts w:ascii="Times New Roman" w:eastAsia="Microsoft YaHei" w:hAnsi="SimHei" w:cs="SimHei"/>
          <w:sz w:val="24"/>
          <w:szCs w:val="32"/>
        </w:rPr>
      </w:pPr>
      <w:r w:rsidRPr="00C059E3">
        <w:rPr>
          <w:rFonts w:ascii="Times New Roman" w:eastAsia="Microsoft YaHei" w:hAnsi="SimHei" w:cs="SimHei"/>
          <w:sz w:val="24"/>
          <w:szCs w:val="32"/>
          <w:highlight w:val="yellow"/>
        </w:rPr>
        <w:t>Evaluating the Impact of China</w:t>
      </w:r>
      <w:r w:rsidRPr="00C059E3">
        <w:rPr>
          <w:rFonts w:ascii="Times New Roman" w:eastAsia="Microsoft YaHei" w:hAnsi="SimHei" w:cs="SimHei"/>
          <w:sz w:val="24"/>
          <w:szCs w:val="32"/>
          <w:highlight w:val="yellow"/>
        </w:rPr>
        <w:t>’</w:t>
      </w:r>
      <w:r w:rsidRPr="00C059E3">
        <w:rPr>
          <w:rFonts w:ascii="Times New Roman" w:eastAsia="Microsoft YaHei" w:hAnsi="SimHei" w:cs="SimHei"/>
          <w:sz w:val="24"/>
          <w:szCs w:val="32"/>
          <w:highlight w:val="yellow"/>
        </w:rPr>
        <w:t>s Environmental Protection Tax Law on Corporate Environmental Performance: Mechanisms and Micro</w:t>
      </w:r>
      <w:r w:rsidR="004B1537">
        <w:rPr>
          <w:rFonts w:ascii="Times New Roman" w:eastAsia="Microsoft YaHei" w:hAnsi="SimHei" w:cs="SimHei"/>
          <w:sz w:val="24"/>
          <w:szCs w:val="32"/>
          <w:highlight w:val="yellow"/>
        </w:rPr>
        <w:t xml:space="preserve"> </w:t>
      </w:r>
      <w:r w:rsidRPr="00C059E3">
        <w:rPr>
          <w:rFonts w:ascii="Times New Roman" w:eastAsia="Microsoft YaHei" w:hAnsi="SimHei" w:cs="SimHei"/>
          <w:sz w:val="24"/>
          <w:szCs w:val="32"/>
          <w:highlight w:val="yellow"/>
        </w:rPr>
        <w:t>Level Evidence</w:t>
      </w:r>
    </w:p>
    <w:p w14:paraId="030417F2" w14:textId="77777777" w:rsidR="001B13B8" w:rsidRDefault="001B13B8" w:rsidP="00EA15FD">
      <w:pPr>
        <w:widowControl/>
        <w:rPr>
          <w:rFonts w:ascii="Times New Roman" w:eastAsia="SimSun" w:hAnsi="Times New Roman" w:cs="Times New Roman"/>
          <w:sz w:val="28"/>
          <w:szCs w:val="36"/>
        </w:rPr>
      </w:pPr>
    </w:p>
    <w:p w14:paraId="3DD6DCAB" w14:textId="27313B1A" w:rsidR="009C3784" w:rsidRDefault="00D95DA7" w:rsidP="00B44A73">
      <w:pPr>
        <w:widowControl/>
        <w:rPr>
          <w:rFonts w:ascii="SimSun" w:eastAsia="SimSun" w:hAnsi="SimSun"/>
        </w:rPr>
      </w:pPr>
      <w:r w:rsidRPr="00E86B17">
        <w:rPr>
          <w:rFonts w:ascii="Times New Roman" w:eastAsia="Microsoft YaHei" w:hAnsi="SimSun" w:hint="eastAsia"/>
          <w:b/>
        </w:rPr>
        <w:t>Abstract</w:t>
      </w:r>
      <w:r>
        <w:rPr>
          <w:rFonts w:ascii="Times New Roman" w:eastAsia="Microsoft YaHei" w:hAnsi="SimSun" w:hint="eastAsia"/>
        </w:rPr>
        <w:t xml:space="preserve">: The implementation of the </w:t>
      </w:r>
      <w:r w:rsidR="00BD6C8D" w:rsidRPr="00BD6C8D">
        <w:rPr>
          <w:rFonts w:ascii="Times New Roman" w:eastAsia="Microsoft YaHei" w:hAnsi="SimSun"/>
        </w:rPr>
        <w:t>environmental protection tax law</w:t>
      </w:r>
      <w:r w:rsidR="00CE1A0D">
        <w:rPr>
          <w:rFonts w:ascii="Times New Roman" w:eastAsia="Microsoft YaHei" w:hAnsi="SimSun" w:hint="eastAsia"/>
        </w:rPr>
        <w:t xml:space="preserve"> </w:t>
      </w:r>
      <w:r>
        <w:rPr>
          <w:rFonts w:ascii="Times New Roman" w:eastAsia="Microsoft YaHei" w:hAnsi="SimSun" w:hint="eastAsia"/>
        </w:rPr>
        <w:t xml:space="preserve">(EPTL) is a comprehensive reflection of China's efforts to green its tax system. </w:t>
      </w:r>
      <w:r w:rsidR="005B64CD" w:rsidRPr="00C059E3">
        <w:rPr>
          <w:rFonts w:ascii="Times New Roman" w:eastAsia="Microsoft YaHei" w:hAnsi="SimSun"/>
          <w:highlight w:val="yellow"/>
        </w:rPr>
        <w:t>Using panel data of A-share listed firms in heavy-polluting industries (2016</w:t>
      </w:r>
      <w:r w:rsidR="005B64CD" w:rsidRPr="00C059E3">
        <w:rPr>
          <w:rFonts w:ascii="Times New Roman" w:eastAsia="Microsoft YaHei" w:hAnsi="SimSun"/>
          <w:highlight w:val="yellow"/>
        </w:rPr>
        <w:t>–</w:t>
      </w:r>
      <w:r w:rsidR="005B64CD" w:rsidRPr="00C059E3">
        <w:rPr>
          <w:rFonts w:ascii="Times New Roman" w:eastAsia="Microsoft YaHei" w:hAnsi="SimSun"/>
          <w:highlight w:val="yellow"/>
        </w:rPr>
        <w:t>2019) and a multi-period difference-in-differences (DID) design,</w:t>
      </w:r>
      <w:r w:rsidR="005B64CD">
        <w:rPr>
          <w:rFonts w:ascii="Times New Roman" w:eastAsia="Microsoft YaHei" w:hAnsi="SimSun" w:hint="eastAsia"/>
        </w:rPr>
        <w:t xml:space="preserve"> t</w:t>
      </w:r>
      <w:r>
        <w:rPr>
          <w:rFonts w:ascii="Times New Roman" w:eastAsia="Microsoft YaHei" w:hAnsi="SimSun" w:hint="eastAsia"/>
        </w:rPr>
        <w:t>his r</w:t>
      </w:r>
      <w:r w:rsidR="00660CD5">
        <w:rPr>
          <w:rFonts w:ascii="Times New Roman" w:eastAsia="Microsoft YaHei" w:hAnsi="SimSun"/>
        </w:rPr>
        <w:t>esearch</w:t>
      </w:r>
      <w:r>
        <w:rPr>
          <w:rFonts w:ascii="Times New Roman" w:eastAsia="Microsoft YaHei" w:hAnsi="SimSun" w:hint="eastAsia"/>
        </w:rPr>
        <w:t xml:space="preserve"> systematically explores the impact and internal mechanisms of the green tax law reform on corporate environmental performance. The findings indicate that the EPTL significantly and robustly enhances corporate environmental performance, a conclusion that remains valid after a series of robustness tests. Heterogeneity analysis reveals that the EPTL promotes corporate environmental performance in companies with stronger financing constraints; the effect is more pronounced in companies with higher internal transparency; state-owned enterprises (SOEs) show a stronger improvement in environmental performance, indicating that SOEs can set an example; the background of senior executives is a significant factor influencing the improvement of environmental performance. Mechanism analysis shows that the EPTL primarily enhances corporate environmental performance by strengthening local government enforcement, increasing local government attention to environmental issues, promoting corporate green innovation, and resolving collusion between government and enterprises. Extended analysis indicates that the EPTL does not significantly trigger negative pollution transfer across regions but instead drives corporate green transformation. The research conclusions offer important insights for improving corporate green governance and promoting high-quality national economic development.</w:t>
      </w:r>
      <w:r w:rsidR="004B7CB4" w:rsidRPr="004B7CB4">
        <w:rPr>
          <w:rFonts w:ascii="Times New Roman" w:hAnsi="Times New Roman" w:cs="Helvetica"/>
          <w:lang w:val="en-GB" w:eastAsia="en-US"/>
        </w:rPr>
        <w:t xml:space="preserve"> </w:t>
      </w:r>
      <w:r w:rsidR="004B7CB4" w:rsidRPr="00C059E3">
        <w:rPr>
          <w:rFonts w:ascii="Times New Roman" w:hAnsi="Times New Roman" w:cs="Helvetica"/>
          <w:highlight w:val="yellow"/>
          <w:lang w:val="en-GB" w:eastAsia="en-US"/>
        </w:rPr>
        <w:t>This demonstrates market-based instruments’ efficacy in reconciling economic-environmental tradeoffs for emerging economies.</w:t>
      </w:r>
    </w:p>
    <w:p w14:paraId="76DC61FC" w14:textId="77777777" w:rsidR="009C3784" w:rsidRDefault="00D95DA7">
      <w:pPr>
        <w:rPr>
          <w:rFonts w:ascii="SimSun" w:eastAsia="SimSun" w:hAnsi="SimSun"/>
        </w:rPr>
      </w:pPr>
      <w:r w:rsidRPr="00E86B17">
        <w:rPr>
          <w:rFonts w:ascii="Times New Roman" w:eastAsia="Microsoft YaHei" w:hAnsi="SimSun" w:hint="eastAsia"/>
          <w:b/>
        </w:rPr>
        <w:t>Keywords</w:t>
      </w:r>
      <w:r>
        <w:rPr>
          <w:rFonts w:ascii="Times New Roman" w:eastAsia="Microsoft YaHei" w:hAnsi="SimSun" w:hint="eastAsia"/>
        </w:rPr>
        <w:t xml:space="preserve">: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rotection </w:t>
      </w:r>
      <w:r w:rsidR="00911E24">
        <w:rPr>
          <w:rFonts w:ascii="Times New Roman" w:eastAsia="Microsoft YaHei" w:hAnsi="SimSun"/>
        </w:rPr>
        <w:t>T</w:t>
      </w:r>
      <w:r>
        <w:rPr>
          <w:rFonts w:ascii="Times New Roman" w:eastAsia="Microsoft YaHei" w:hAnsi="SimSun" w:hint="eastAsia"/>
        </w:rPr>
        <w:t xml:space="preserve">ax </w:t>
      </w:r>
      <w:r w:rsidR="00911E24">
        <w:rPr>
          <w:rFonts w:ascii="Times New Roman" w:eastAsia="Microsoft YaHei" w:hAnsi="SimSun"/>
        </w:rPr>
        <w:t>L</w:t>
      </w:r>
      <w:r>
        <w:rPr>
          <w:rFonts w:ascii="Times New Roman" w:eastAsia="Microsoft YaHei" w:hAnsi="SimSun" w:hint="eastAsia"/>
        </w:rPr>
        <w:t xml:space="preserve">aw; </w:t>
      </w:r>
      <w:r w:rsidR="00911E24">
        <w:rPr>
          <w:rFonts w:ascii="Times New Roman" w:eastAsia="Microsoft YaHei" w:hAnsi="SimSun"/>
        </w:rPr>
        <w:t>E</w:t>
      </w:r>
      <w:r>
        <w:rPr>
          <w:rFonts w:ascii="Times New Roman" w:eastAsia="Microsoft YaHei" w:hAnsi="SimSun" w:hint="eastAsia"/>
        </w:rPr>
        <w:t xml:space="preserve">nvironmental </w:t>
      </w:r>
      <w:r w:rsidR="00911E24">
        <w:rPr>
          <w:rFonts w:ascii="Times New Roman" w:eastAsia="Microsoft YaHei" w:hAnsi="SimSun"/>
        </w:rPr>
        <w:t>P</w:t>
      </w:r>
      <w:r>
        <w:rPr>
          <w:rFonts w:ascii="Times New Roman" w:eastAsia="Microsoft YaHei" w:hAnsi="SimSun" w:hint="eastAsia"/>
        </w:rPr>
        <w:t xml:space="preserve">erformance; </w:t>
      </w:r>
      <w:r w:rsidR="00911E24">
        <w:rPr>
          <w:rFonts w:ascii="Times New Roman" w:eastAsia="Microsoft YaHei" w:hAnsi="SimSun"/>
        </w:rPr>
        <w:t>P</w:t>
      </w:r>
      <w:r>
        <w:rPr>
          <w:rFonts w:ascii="Times New Roman" w:eastAsia="Microsoft YaHei" w:hAnsi="SimSun" w:hint="eastAsia"/>
        </w:rPr>
        <w:t xml:space="preserve">ollution </w:t>
      </w:r>
      <w:r w:rsidR="00911E24">
        <w:rPr>
          <w:rFonts w:ascii="Times New Roman" w:eastAsia="Microsoft YaHei" w:hAnsi="SimSun"/>
        </w:rPr>
        <w:t>R</w:t>
      </w:r>
      <w:r>
        <w:rPr>
          <w:rFonts w:ascii="Times New Roman" w:eastAsia="Microsoft YaHei" w:hAnsi="SimSun" w:hint="eastAsia"/>
        </w:rPr>
        <w:t xml:space="preserve">efuge </w:t>
      </w:r>
      <w:r w:rsidR="00911E24">
        <w:rPr>
          <w:rFonts w:ascii="Times New Roman" w:eastAsia="Microsoft YaHei" w:hAnsi="SimSun"/>
        </w:rPr>
        <w:t>H</w:t>
      </w:r>
      <w:r>
        <w:rPr>
          <w:rFonts w:ascii="Times New Roman" w:eastAsia="Microsoft YaHei" w:hAnsi="SimSun" w:hint="eastAsia"/>
        </w:rPr>
        <w:t xml:space="preserve">ypothesis; Porter </w:t>
      </w:r>
      <w:r w:rsidR="00911E24">
        <w:rPr>
          <w:rFonts w:ascii="Times New Roman" w:eastAsia="Microsoft YaHei" w:hAnsi="SimSun"/>
        </w:rPr>
        <w:t>H</w:t>
      </w:r>
      <w:r>
        <w:rPr>
          <w:rFonts w:ascii="Times New Roman" w:eastAsia="Microsoft YaHei" w:hAnsi="SimSun" w:hint="eastAsia"/>
        </w:rPr>
        <w:t>ypothesis</w:t>
      </w:r>
    </w:p>
    <w:p w14:paraId="7FA806E4" w14:textId="77777777" w:rsidR="009C3784" w:rsidRDefault="00D95DA7">
      <w:pPr>
        <w:pStyle w:val="Heading1"/>
        <w:spacing w:line="300" w:lineRule="auto"/>
        <w:rPr>
          <w:rFonts w:ascii="Times New Roman" w:eastAsia="SimSun" w:hAnsi="Times New Roman" w:cs="Times New Roman"/>
          <w:sz w:val="24"/>
          <w:szCs w:val="24"/>
        </w:rPr>
      </w:pPr>
      <w:r w:rsidRPr="00C059E3">
        <w:rPr>
          <w:rFonts w:ascii="Times New Roman" w:eastAsia="Microsoft YaHei" w:hAnsi="Times New Roman" w:cs="Times New Roman" w:hint="eastAsia"/>
          <w:sz w:val="24"/>
          <w:szCs w:val="24"/>
          <w:highlight w:val="yellow"/>
        </w:rPr>
        <w:t xml:space="preserve">1. </w:t>
      </w:r>
      <w:r w:rsidR="00660CD5" w:rsidRPr="00C059E3">
        <w:rPr>
          <w:rFonts w:ascii="Times New Roman" w:eastAsia="Microsoft YaHei" w:hAnsi="Times New Roman" w:cs="Times New Roman"/>
          <w:sz w:val="24"/>
          <w:szCs w:val="24"/>
          <w:highlight w:val="yellow"/>
        </w:rPr>
        <w:t>Introduction</w:t>
      </w:r>
    </w:p>
    <w:p w14:paraId="67A677C9" w14:textId="77777777" w:rsidR="005B64CD" w:rsidRPr="005B64CD" w:rsidRDefault="005B64CD" w:rsidP="005B64CD">
      <w:pPr>
        <w:ind w:firstLineChars="200" w:firstLine="440"/>
        <w:rPr>
          <w:rFonts w:ascii="Times New Roman" w:eastAsia="SimSun" w:hAnsi="Times New Roman" w:cs="Times New Roman"/>
          <w:sz w:val="22"/>
          <w:szCs w:val="24"/>
          <w:highlight w:val="yellow"/>
        </w:rPr>
      </w:pPr>
      <w:r w:rsidRPr="005B64CD">
        <w:rPr>
          <w:rFonts w:ascii="Times New Roman" w:eastAsia="SimSun" w:hAnsi="Times New Roman" w:cs="Times New Roman"/>
          <w:sz w:val="22"/>
          <w:szCs w:val="24"/>
          <w:highlight w:val="yellow"/>
        </w:rPr>
        <w:t>China's remarkable economic growth has been significantly driven by an extensive development model characterized by high energy consumption and pollution. While this model created an economic "growth miracle," it simultaneously imposed immense pressure on the ecological environment.</w:t>
      </w:r>
    </w:p>
    <w:p w14:paraId="704CD55C" w14:textId="77777777" w:rsidR="005B64CD" w:rsidRPr="005B64CD" w:rsidRDefault="005B64CD" w:rsidP="005B64CD">
      <w:pPr>
        <w:ind w:firstLineChars="200" w:firstLine="440"/>
        <w:rPr>
          <w:rFonts w:ascii="Times New Roman" w:eastAsia="SimSun" w:hAnsi="Times New Roman" w:cs="Times New Roman"/>
          <w:sz w:val="22"/>
          <w:szCs w:val="24"/>
          <w:highlight w:val="yellow"/>
        </w:rPr>
      </w:pPr>
      <w:r w:rsidRPr="005B64CD">
        <w:rPr>
          <w:rFonts w:ascii="Times New Roman" w:eastAsia="SimSun" w:hAnsi="Times New Roman" w:cs="Times New Roman"/>
          <w:sz w:val="22"/>
          <w:szCs w:val="24"/>
          <w:highlight w:val="yellow"/>
        </w:rPr>
        <w:t>Despite progress, the fundamental challenges of ecological protection and pollution control remain unresolved, posing major obstacles to building a "Beautiful China." Given the current state of pollution, adopting efficient and appropriate environmental regulatory measures is paramount for advancing ecological civilization. Although command-and-control (CAC) policies have achieved notable environmental improvements, they face practical limitations, including high enforcement costs and inflexible "one-size-fits-all" approaches. This underscores the urgent need for market-based environmental policies to play a more substantial role.</w:t>
      </w:r>
    </w:p>
    <w:p w14:paraId="415D93C9" w14:textId="7D3EBBA9" w:rsidR="005B64CD" w:rsidRPr="005B64CD" w:rsidRDefault="005B64CD" w:rsidP="005B64CD">
      <w:pPr>
        <w:ind w:firstLineChars="200" w:firstLine="440"/>
        <w:rPr>
          <w:rFonts w:ascii="Times New Roman" w:eastAsia="SimSun" w:hAnsi="Times New Roman" w:cs="Times New Roman"/>
          <w:sz w:val="22"/>
          <w:szCs w:val="24"/>
        </w:rPr>
      </w:pPr>
      <w:r w:rsidRPr="005B64CD">
        <w:rPr>
          <w:rFonts w:ascii="Times New Roman" w:eastAsia="SimSun" w:hAnsi="Times New Roman" w:cs="Times New Roman"/>
          <w:sz w:val="22"/>
          <w:szCs w:val="24"/>
          <w:highlight w:val="yellow"/>
        </w:rPr>
        <w:t>Despite a relatively late start, market-based environmental regulatory instruments are gaining increasing recognition in China as crucial tools for pollution control. Among these, the Environmental Protection Tax Law (EPTL) stands as a pivotal market-incentive policy.However, a critical gap exists: the environmental governance effects and underlying mechanisms of the EPTL require much deeper exploration and empirical validation (Liu et al., 2022; Li and Hua, 2024). </w:t>
      </w:r>
      <w:r w:rsidRPr="005B64CD">
        <w:rPr>
          <w:rFonts w:ascii="Times New Roman" w:eastAsia="SimSun" w:hAnsi="Times New Roman" w:cs="Times New Roman"/>
          <w:b/>
          <w:bCs/>
          <w:sz w:val="22"/>
          <w:szCs w:val="24"/>
          <w:highlight w:val="yellow"/>
        </w:rPr>
        <w:t>Addressing this gap is essential for understanding and optimizing this key policy instrument.</w:t>
      </w:r>
    </w:p>
    <w:p w14:paraId="3B1BAE9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Tracing the implementation of the </w:t>
      </w:r>
      <w:r w:rsidR="00CF17D2" w:rsidRPr="00CF17D2">
        <w:rPr>
          <w:rFonts w:ascii="Times New Roman" w:eastAsia="Microsoft YaHei" w:hAnsi="Times New Roman" w:cs="Times New Roman"/>
          <w:sz w:val="22"/>
          <w:szCs w:val="24"/>
        </w:rPr>
        <w:t>EPTL</w:t>
      </w:r>
      <w:r>
        <w:rPr>
          <w:rFonts w:ascii="Times New Roman" w:eastAsia="Microsoft YaHei" w:hAnsi="Times New Roman" w:cs="Times New Roman" w:hint="eastAsia"/>
          <w:sz w:val="22"/>
          <w:szCs w:val="24"/>
        </w:rPr>
        <w:t>, before its enforcement, the Chinese g</w:t>
      </w:r>
      <w:bookmarkStart w:id="0" w:name="_Hlk115030616"/>
      <w:r>
        <w:rPr>
          <w:rFonts w:ascii="Times New Roman" w:eastAsia="Microsoft YaHei" w:hAnsi="Times New Roman" w:cs="Times New Roman" w:hint="eastAsia"/>
          <w:sz w:val="22"/>
          <w:szCs w:val="24"/>
        </w:rPr>
        <w:t xml:space="preserve">overnment </w:t>
      </w:r>
      <w:bookmarkEnd w:id="0"/>
      <w:r>
        <w:rPr>
          <w:rFonts w:ascii="Times New Roman" w:eastAsia="Microsoft YaHei" w:hAnsi="Times New Roman" w:cs="Times New Roman" w:hint="eastAsia"/>
          <w:sz w:val="22"/>
          <w:szCs w:val="24"/>
        </w:rPr>
        <w:t xml:space="preserve">led and continuously evolved a system of pollution discharge fees. This </w:t>
      </w:r>
      <w:r w:rsidR="00911E24">
        <w:rPr>
          <w:rFonts w:ascii="Times New Roman" w:eastAsia="Microsoft YaHei" w:hAnsi="Times New Roman" w:cs="Times New Roman"/>
          <w:sz w:val="22"/>
          <w:szCs w:val="24"/>
        </w:rPr>
        <w:t>system-imposed</w:t>
      </w:r>
      <w:r>
        <w:rPr>
          <w:rFonts w:ascii="Times New Roman" w:eastAsia="Microsoft YaHei" w:hAnsi="Times New Roman" w:cs="Times New Roman" w:hint="eastAsia"/>
          <w:sz w:val="22"/>
          <w:szCs w:val="24"/>
        </w:rPr>
        <w:t xml:space="preserve"> charges on industrial enterprises for discharging wastewater, exhaust gas, and waste residue that exceeded environmental standards, which helped to slow down environmental degradation. However, two significant issues emerged as the </w:t>
      </w:r>
      <w:r>
        <w:rPr>
          <w:rFonts w:ascii="Times New Roman" w:eastAsia="Microsoft YaHei" w:hAnsi="Times New Roman" w:cs="Times New Roman" w:hint="eastAsia"/>
          <w:sz w:val="22"/>
          <w:szCs w:val="24"/>
        </w:rPr>
        <w:lastRenderedPageBreak/>
        <w:t>pollution discharge fee system progressed</w:t>
      </w:r>
      <w:r w:rsidR="00CF17D2">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 xml:space="preserve">First, the low threshold for pollution discharge fees had a severe adverse effect on market participants, as companies lacked the incentive to convert pollution control costs into their production expenses. Despite the State Council and other ministries issuing a series of management regulations aimed at reversing the passive payment for pollution discharge phenomenon, empirical evidence has not effectively demonstrated the environmental governance outcomes (Chen et al., 2014). Second, the scope of pollution discharge fee collection was relatively narrow, and the rigidity of local collection was generally insufficient, leading to the collection targets being concentrated in the production sector, mostly in large and medium-sized cities, while many small and medium-sized enterprises were scattered in a </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disorderly and polluting</w:t>
      </w:r>
      <w:r w:rsidR="00CF17D2">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pattern. From the perspective of enterprises themselves, pollution control, being a non-economic project with obvious externalities, makes it difficult for companies to have the motivation to actively manage pollution. From the perspective of local alienation behavior, there is a deep contradiction between the rules of pollution discharge fee collection and rapid economic growth. Due to the contradictions between environmental law enforcement and local protectionism, the pollution discharge fee system primarily targets large enterprises, severely neglecting small and medium-sized enterprises, ultimately leading to a 'dilemma' between environmental pollution and the rapid development of enterprises.</w:t>
      </w:r>
    </w:p>
    <w:p w14:paraId="60930200" w14:textId="56825D42" w:rsidR="005134AE" w:rsidRPr="005134AE" w:rsidRDefault="005134AE">
      <w:pPr>
        <w:ind w:firstLineChars="200" w:firstLine="440"/>
        <w:rPr>
          <w:rFonts w:ascii="Times New Roman" w:eastAsia="SimSun" w:hAnsi="Times New Roman" w:cs="Times New Roman"/>
          <w:sz w:val="22"/>
          <w:szCs w:val="24"/>
        </w:rPr>
      </w:pPr>
      <w:r w:rsidRPr="005134AE">
        <w:rPr>
          <w:rFonts w:ascii="Times New Roman" w:eastAsia="SimSun" w:hAnsi="Times New Roman" w:cs="Times New Roman"/>
          <w:sz w:val="22"/>
          <w:szCs w:val="24"/>
        </w:rPr>
        <w:t>While existing literature has established the positive impact of the Environmental Protection Tax Law (EPTL) on corporate emission reduction and green innovation, three significant research gaps remain: (1) Reliance on single-emission metrics to measure environmental performance, neglecting its multidimensional nature; (2) Limited empirical analysis on firms' strategic location adjustments (e.g., pollution haven effects) in response to the EPTL; and (3) Insufficient attention to industry heterogeneity and the underlying government-enterprise interaction mechanisms. This study aims to address these gaps by systematically examining the causal impact of the EPTL on a comprehensively measured corporate environmental performance. Furthermore, it investigates the mechanisms through which the EPTL operates (e.g., strengthening local enforcement, increasing government environmental focus, spurring green innovation, and mitigating government-enterprise collusion) and explores heterogeneous effects across firms with different characteristics (e.g., financing constraints, ownership, transparency, and executive backgrounds). Clarifying these aspects is crucial for theory as it deepens our understanding of how market-based environmental regulations like the EPTL function in emerging economies with strong government influence. For practice, the findings provide concrete evidence to refine the EPTL's design (e.g., differentiated tax rates, enforcement coordination) and inform policies promoting corporate green transformation and sustainable development in China.</w:t>
      </w:r>
    </w:p>
    <w:p w14:paraId="79E4C1AB" w14:textId="77777777" w:rsidR="009C3784" w:rsidRDefault="00D95DA7">
      <w:pPr>
        <w:pStyle w:val="Heading1"/>
        <w:spacing w:line="300" w:lineRule="auto"/>
        <w:rPr>
          <w:rFonts w:ascii="Times New Roman" w:eastAsia="SimSun" w:hAnsi="Times New Roman" w:cs="Times New Roman"/>
          <w:sz w:val="24"/>
          <w:szCs w:val="24"/>
        </w:rPr>
      </w:pPr>
      <w:r w:rsidRPr="00C059E3">
        <w:rPr>
          <w:rFonts w:ascii="Times New Roman" w:eastAsia="Microsoft YaHei" w:hAnsi="Times New Roman" w:cs="Times New Roman" w:hint="eastAsia"/>
          <w:sz w:val="24"/>
          <w:szCs w:val="24"/>
          <w:highlight w:val="yellow"/>
        </w:rPr>
        <w:t>2. Literature review</w:t>
      </w:r>
    </w:p>
    <w:p w14:paraId="583E4452" w14:textId="5202CACE" w:rsidR="003D3D30" w:rsidRPr="003D3D30" w:rsidRDefault="003D3D30" w:rsidP="003D3D30">
      <w:pPr>
        <w:ind w:firstLineChars="200" w:firstLine="440"/>
        <w:rPr>
          <w:rFonts w:ascii="Times New Roman" w:eastAsia="Microsoft YaHei" w:hAnsi="Times New Roman" w:cs="Times New Roman"/>
          <w:sz w:val="22"/>
          <w:szCs w:val="24"/>
          <w:highlight w:val="yellow"/>
        </w:rPr>
      </w:pPr>
      <w:r w:rsidRPr="003D3D30">
        <w:rPr>
          <w:rFonts w:ascii="Times New Roman" w:eastAsia="Microsoft YaHei" w:hAnsi="Times New Roman" w:cs="Times New Roman"/>
          <w:sz w:val="22"/>
          <w:szCs w:val="24"/>
          <w:highlight w:val="yellow"/>
        </w:rPr>
        <w:t>The concept of green taxation originates from Pigou's Welfare Economics, which discusses the dual benefits of environmental and economic effects (Bovenberg et al., 1997). Foreign scholars generally agree that green taxation can achieve environmental benefits, but there is ongoing debate about whether it can also achieve economic benefits (Bonnet et al., 2018). The 'Porter Hypothesis' suggests that green taxation can drive corporate innovation, thereby achieving both environmental and economic benefits. However, some argue that if green innovation is beneficial to companies, why do they not act on their own initiative? Instead, innovation is often driven by external incentives and penalties. China transitioned from a pollution discharge fee system to implementing the Environmental Protection Tax Law (EPTL) in 2018.</w:t>
      </w:r>
      <w:r w:rsidR="001C5872" w:rsidRPr="00C059E3">
        <w:rPr>
          <w:rFonts w:ascii="Segoe UI" w:hAnsi="Segoe UI" w:cs="Segoe UI"/>
          <w:b/>
          <w:bCs/>
          <w:color w:val="404040"/>
          <w:highlight w:val="yellow"/>
          <w:shd w:val="clear" w:color="auto" w:fill="FFFFFF"/>
        </w:rPr>
        <w:t xml:space="preserve"> </w:t>
      </w:r>
      <w:r w:rsidR="001C5872" w:rsidRPr="00C059E3">
        <w:rPr>
          <w:rFonts w:ascii="Times New Roman" w:eastAsia="Microsoft YaHei" w:hAnsi="Times New Roman" w:cs="Times New Roman"/>
          <w:sz w:val="22"/>
          <w:szCs w:val="24"/>
          <w:highlight w:val="yellow"/>
        </w:rPr>
        <w:t>Darnall et al. (2020) further demonstrate that firm size significantly mediates strategic responses to environmental regulation, revealing critical size-based heterogeneity in developing economies</w:t>
      </w:r>
      <w:r w:rsidR="001C5872" w:rsidRPr="00C059E3">
        <w:rPr>
          <w:rFonts w:ascii="Times New Roman" w:eastAsia="Microsoft YaHei" w:hAnsi="Times New Roman" w:cs="Times New Roman"/>
          <w:b/>
          <w:bCs/>
          <w:sz w:val="22"/>
          <w:szCs w:val="24"/>
          <w:highlight w:val="yellow"/>
        </w:rPr>
        <w:t>.</w:t>
      </w:r>
      <w:r w:rsidRPr="003D3D30">
        <w:rPr>
          <w:rFonts w:ascii="Times New Roman" w:eastAsia="Microsoft YaHei" w:hAnsi="Times New Roman" w:cs="Times New Roman"/>
          <w:sz w:val="22"/>
          <w:szCs w:val="24"/>
          <w:highlight w:val="yellow"/>
        </w:rPr>
        <w:t xml:space="preserve"> Research on the fee system focused on its environmental impact, economic impact, and comprehensive impact (Gunningham, 2009). It is therefore essential to verify whether the dual benefits effect proposed by theory has been realized in China under the </w:t>
      </w:r>
      <w:r w:rsidRPr="003D3D30">
        <w:rPr>
          <w:rFonts w:ascii="Times New Roman" w:eastAsia="Microsoft YaHei" w:hAnsi="Times New Roman" w:cs="Times New Roman"/>
          <w:sz w:val="22"/>
          <w:szCs w:val="24"/>
          <w:highlight w:val="yellow"/>
        </w:rPr>
        <w:lastRenderedPageBreak/>
        <w:t>EPTL.</w:t>
      </w:r>
    </w:p>
    <w:p w14:paraId="2F084533" w14:textId="77777777" w:rsidR="003D3D30" w:rsidRPr="003D3D30" w:rsidRDefault="003D3D30" w:rsidP="003D3D30">
      <w:pPr>
        <w:ind w:firstLineChars="200" w:firstLine="440"/>
        <w:rPr>
          <w:rFonts w:ascii="Times New Roman" w:eastAsia="Microsoft YaHei" w:hAnsi="Times New Roman" w:cs="Times New Roman"/>
          <w:sz w:val="22"/>
          <w:szCs w:val="24"/>
          <w:highlight w:val="yellow"/>
        </w:rPr>
      </w:pPr>
      <w:r w:rsidRPr="003D3D30">
        <w:rPr>
          <w:rFonts w:ascii="Times New Roman" w:eastAsia="Microsoft YaHei" w:hAnsi="Times New Roman" w:cs="Times New Roman"/>
          <w:sz w:val="22"/>
          <w:szCs w:val="24"/>
          <w:highlight w:val="yellow"/>
        </w:rPr>
        <w:t>Scholars have empirically found that the implementation of the EPTL has positive economic outcomes for enterprises, including reducing emissions (Farooq et al., 2023), green transformation (Boubaker et al., 2024), innovation (Sahoo et al., 2023; Ameer and Khan, 2023), total factor productivity (Hanif et al., 2023), and environmental investment (Awawdeh et al., 2021). Omran (2021) found that the implementation of the EPTL helps improve the ESG performance of heavily polluting enterprises, thereby enhancing their sustainable development capabilities (though the coarse nine-level ESG standard makes it difficult to reveal significant differences in environmental performance among enterprises at the same level or provide direct evidence of environmental performance improvements).</w:t>
      </w:r>
    </w:p>
    <w:p w14:paraId="7E820865" w14:textId="5C84427A" w:rsidR="003D3D30" w:rsidRPr="003D3D30" w:rsidRDefault="003D3D30" w:rsidP="003D3D30">
      <w:pPr>
        <w:ind w:firstLineChars="200" w:firstLine="440"/>
        <w:rPr>
          <w:rFonts w:ascii="Times New Roman" w:eastAsia="Microsoft YaHei" w:hAnsi="Times New Roman" w:cs="Times New Roman"/>
          <w:sz w:val="22"/>
          <w:szCs w:val="24"/>
          <w:highlight w:val="yellow"/>
        </w:rPr>
      </w:pPr>
      <w:r w:rsidRPr="003D3D30">
        <w:rPr>
          <w:rFonts w:ascii="Times New Roman" w:eastAsia="Microsoft YaHei" w:hAnsi="Times New Roman" w:cs="Times New Roman"/>
          <w:sz w:val="22"/>
          <w:szCs w:val="24"/>
          <w:highlight w:val="yellow"/>
        </w:rPr>
        <w:t>The EPTL influences enterprise behavior primarily through a shift from passive to active governance due to the strong environmental legitimacy pressure it exerts, compelling enterprises to take proactive measures against pollution (Boubaker et al., 2024). This pressure encourages enterprises to improve product structures through technological innovation, making them ‘cleaner’ and reducing the proportion of polluting products, thus addressing pollution at its source. Under this exogenous regulatory impact, enterprise behavior undergoes significant changes.</w:t>
      </w:r>
      <w:r w:rsidR="001C5872" w:rsidRPr="00C059E3">
        <w:rPr>
          <w:rFonts w:ascii="Segoe UI" w:hAnsi="Segoe UI" w:cs="Segoe UI"/>
          <w:b/>
          <w:bCs/>
          <w:color w:val="404040"/>
          <w:highlight w:val="yellow"/>
          <w:shd w:val="clear" w:color="auto" w:fill="FFFFFF"/>
        </w:rPr>
        <w:t xml:space="preserve"> </w:t>
      </w:r>
      <w:r w:rsidR="001C5872" w:rsidRPr="00C059E3">
        <w:rPr>
          <w:rFonts w:ascii="Times New Roman" w:eastAsia="Microsoft YaHei" w:hAnsi="Times New Roman" w:cs="Times New Roman"/>
          <w:sz w:val="22"/>
          <w:szCs w:val="24"/>
          <w:highlight w:val="yellow"/>
        </w:rPr>
        <w:t>Testa et al. (2021) identify a pervasive 'governance gap' in environmental compliance, where institutional voids in emerging economies amplify policy enforcement disparities—a key factor explaining regional heterogeneity in EPTL outcomes</w:t>
      </w:r>
      <w:r w:rsidR="001C5872" w:rsidRPr="00C059E3">
        <w:rPr>
          <w:rFonts w:ascii="Times New Roman" w:eastAsia="Microsoft YaHei" w:hAnsi="Times New Roman" w:cs="Times New Roman"/>
          <w:b/>
          <w:bCs/>
          <w:sz w:val="22"/>
          <w:szCs w:val="24"/>
          <w:highlight w:val="yellow"/>
        </w:rPr>
        <w:t>.</w:t>
      </w:r>
      <w:r w:rsidRPr="003D3D30">
        <w:rPr>
          <w:rFonts w:ascii="Times New Roman" w:eastAsia="Microsoft YaHei" w:hAnsi="Times New Roman" w:cs="Times New Roman"/>
          <w:sz w:val="22"/>
          <w:szCs w:val="24"/>
          <w:highlight w:val="yellow"/>
        </w:rPr>
        <w:t xml:space="preserve"> According to the 'pollution haven' hypothesis, the high costs of environmental regulation can force polluting enterprises to relocate to regions with less stringent regulations (Hanif et al., 2023). However, few studies have provided empirical evidence based specifically on the EPTL regarding this relocation behavior.</w:t>
      </w:r>
    </w:p>
    <w:p w14:paraId="03436CC2" w14:textId="38702B2F" w:rsidR="003D3D30" w:rsidRPr="003D3D30" w:rsidRDefault="003D3D30" w:rsidP="00F834A2">
      <w:pPr>
        <w:ind w:firstLineChars="200" w:firstLine="440"/>
        <w:rPr>
          <w:rFonts w:ascii="Times New Roman" w:eastAsia="Microsoft YaHei" w:hAnsi="Times New Roman" w:cs="Times New Roman"/>
          <w:sz w:val="22"/>
          <w:szCs w:val="24"/>
        </w:rPr>
      </w:pPr>
      <w:r w:rsidRPr="003D3D30">
        <w:rPr>
          <w:rFonts w:ascii="Times New Roman" w:eastAsia="Microsoft YaHei" w:hAnsi="Times New Roman" w:cs="Times New Roman"/>
          <w:sz w:val="22"/>
          <w:szCs w:val="24"/>
          <w:highlight w:val="yellow"/>
        </w:rPr>
        <w:t>The incentives for companies to enhance their environmental performance under regulations like the EPTL can be categorized. The first type stems from the desire to reduce compliance costs and alleviate environmental cost pressures. As regulations become increasingly stringent, companies ignoring pollution control face severe penalties, contradicting profit maximization goals. The second type comes from fulfilling environmental social responsibilities to build intangible assets and enhance reputation value. This involves establishing a responsible image to attract investor attention, ease financing constraints, and promote social value (Nyilasy et al., 2014). More empirical evidence currently supports the first type of compliance cost-driven incentive. Sahoo (2023) found environmental inspections significantly improved environmental performance in inspected regions. Gunningham (2009) verified that environmental laws (like the EPTL's precursor) improve corporate environmental performance through legal mechanisms of punishment and incentives.</w:t>
      </w:r>
    </w:p>
    <w:p w14:paraId="7F9D92A7" w14:textId="6BC86E7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specific environmental decisions made by microeconomic actors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and the discussion on the motives for companies to improve their environmental performance within other economic effects are insightful. However, there are still potential areas for further exploration: </w:t>
      </w:r>
      <w:r w:rsidR="0042730B">
        <w:rPr>
          <w:rFonts w:ascii="Times New Roman" w:eastAsia="Microsoft YaHei" w:hAnsi="Times New Roman" w:cs="Times New Roman"/>
          <w:sz w:val="22"/>
          <w:szCs w:val="24"/>
        </w:rPr>
        <w:t>(1)</w:t>
      </w:r>
      <w:r>
        <w:rPr>
          <w:rFonts w:ascii="Times New Roman" w:eastAsia="Microsoft YaHei" w:hAnsi="Times New Roman" w:cs="Times New Roman" w:hint="eastAsia"/>
          <w:sz w:val="22"/>
          <w:szCs w:val="24"/>
        </w:rPr>
        <w:t xml:space="preserve"> In terms of research perspective, existing literature rarely integrates the significant event of China's tax reform,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with corporate environmental performance in a single research framework. Moreover, few studies have examined the migration behavior of enterprises caused by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based on the' pollution haven 'hypothesis;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2</w:t>
      </w:r>
      <w:r w:rsidR="0042730B" w:rsidRPr="0042730B">
        <w:rPr>
          <w:rFonts w:ascii="Times New Roman" w:eastAsia="Microsoft YaHei" w:hAnsi="Times New Roman" w:cs="Times New Roman"/>
          <w:sz w:val="22"/>
          <w:szCs w:val="24"/>
        </w:rPr>
        <w:t xml:space="preserve">) </w:t>
      </w:r>
      <w:r>
        <w:rPr>
          <w:rFonts w:ascii="Times New Roman" w:eastAsia="Microsoft YaHei" w:hAnsi="Times New Roman" w:cs="Times New Roman" w:hint="eastAsia"/>
          <w:sz w:val="22"/>
          <w:szCs w:val="24"/>
        </w:rPr>
        <w:t>In terms of research methods, existing literature often uses methods such as pollutant emission levels (</w:t>
      </w:r>
      <w:r w:rsidR="00BA2A58" w:rsidRPr="00BA2A58">
        <w:rPr>
          <w:rFonts w:ascii="Times New Roman" w:eastAsia="Microsoft YaHei" w:hAnsi="Times New Roman" w:cs="Times New Roman" w:hint="eastAsia"/>
          <w:sz w:val="22"/>
          <w:szCs w:val="24"/>
        </w:rPr>
        <w:t>Uddin et al., 2023</w:t>
      </w:r>
      <w:r>
        <w:rPr>
          <w:rFonts w:ascii="Times New Roman" w:eastAsia="Microsoft YaHei" w:hAnsi="Times New Roman" w:cs="Times New Roman" w:hint="eastAsia"/>
          <w:sz w:val="22"/>
          <w:szCs w:val="24"/>
        </w:rPr>
        <w:t>) and environmental indicator scores (Clarkson et al., 2008) to measure corporate environmental performance. These methods are subjective</w:t>
      </w:r>
      <w:r w:rsidR="0023638D">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fail to fully capture the potential impact of corporate environmental decisions on their own operations; </w:t>
      </w:r>
      <w:r w:rsidR="0042730B">
        <w:rPr>
          <w:rFonts w:ascii="Times New Roman" w:eastAsia="Microsoft YaHei" w:hAnsi="Times New Roman" w:cs="Times New Roman"/>
          <w:sz w:val="22"/>
          <w:szCs w:val="24"/>
        </w:rPr>
        <w:t>(3)</w:t>
      </w:r>
      <w:r>
        <w:rPr>
          <w:rFonts w:ascii="Times New Roman" w:eastAsia="Microsoft YaHei" w:hAnsi="Times New Roman" w:cs="Times New Roman" w:hint="eastAsia"/>
          <w:sz w:val="22"/>
          <w:szCs w:val="24"/>
        </w:rPr>
        <w:t xml:space="preserve"> In terms of identification strategies, existing literature only roughly categorizes enterprises into polluting and non-polluting types, without considering the differences in law enforcement intensity across industries due to industry size or clustering, leading to biased regression results; </w:t>
      </w:r>
      <w:r w:rsidR="0042730B" w:rsidRPr="0042730B">
        <w:rPr>
          <w:rFonts w:ascii="Times New Roman" w:eastAsia="Microsoft YaHei" w:hAnsi="Times New Roman" w:cs="Times New Roman"/>
          <w:sz w:val="22"/>
          <w:szCs w:val="24"/>
        </w:rPr>
        <w:t>(</w:t>
      </w:r>
      <w:r w:rsidR="0042730B">
        <w:rPr>
          <w:rFonts w:ascii="Times New Roman" w:eastAsia="Microsoft YaHei" w:hAnsi="Times New Roman" w:cs="Times New Roman"/>
          <w:sz w:val="22"/>
          <w:szCs w:val="24"/>
        </w:rPr>
        <w:t>4</w:t>
      </w:r>
      <w:r w:rsidR="0042730B" w:rsidRPr="0042730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Few studies have attempted to analyze whether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lastRenderedPageBreak/>
        <w:t>can enhance local environmental awareness, reduce collusion between government and enterprises, increase law enforcement rigidity, and thus eliminate the' hidden economy' to boost environmental performance.</w:t>
      </w:r>
    </w:p>
    <w:p w14:paraId="3CB04B61" w14:textId="1AAE782E" w:rsidR="00F834A2" w:rsidRPr="00AF3F71" w:rsidRDefault="00D95DA7" w:rsidP="00AF3F71">
      <w:pPr>
        <w:ind w:firstLineChars="200" w:firstLine="440"/>
        <w:rPr>
          <w:rFonts w:ascii="Times New Roman" w:eastAsia="Microsoft YaHei" w:hAnsi="Times New Roman" w:cs="Times New Roman"/>
          <w:sz w:val="22"/>
          <w:szCs w:val="24"/>
          <w:highlight w:val="yellow"/>
        </w:rPr>
      </w:pPr>
      <w:r w:rsidRPr="00AF3F71">
        <w:rPr>
          <w:rFonts w:ascii="Times New Roman" w:eastAsia="Microsoft YaHei" w:hAnsi="Times New Roman" w:cs="Times New Roman" w:hint="eastAsia"/>
          <w:sz w:val="22"/>
          <w:szCs w:val="24"/>
          <w:highlight w:val="yellow"/>
        </w:rPr>
        <w:t xml:space="preserve">Based on this, the article uses micro data from listed companies in the Shanghai and Shenzhen A-share markets, along with relevant data from the 'China Environmental Statistics Yearbook' and provincial statistical yearbooks over the years, to examine how the establishment of the </w:t>
      </w:r>
      <w:r w:rsidR="00CE1A0D" w:rsidRPr="00AF3F71">
        <w:rPr>
          <w:rFonts w:ascii="Times New Roman" w:eastAsia="Microsoft YaHei" w:hAnsi="Times New Roman" w:cs="Times New Roman" w:hint="eastAsia"/>
          <w:sz w:val="22"/>
          <w:szCs w:val="24"/>
          <w:highlight w:val="yellow"/>
        </w:rPr>
        <w:t xml:space="preserve">EPTL </w:t>
      </w:r>
      <w:r w:rsidRPr="00AF3F71">
        <w:rPr>
          <w:rFonts w:ascii="Times New Roman" w:eastAsia="Microsoft YaHei" w:hAnsi="Times New Roman" w:cs="Times New Roman" w:hint="eastAsia"/>
          <w:sz w:val="22"/>
          <w:szCs w:val="24"/>
          <w:highlight w:val="yellow"/>
        </w:rPr>
        <w:t xml:space="preserve">affects corporate environmental performance. It also analyzes whether companies will rectify their practices or engage in cross-regional production under such environmental regulations. The research theme enriches previous studies on environmental regulation and corporate environmental behavior, with potential marginal contributions in three main areas: </w:t>
      </w:r>
      <w:r w:rsidR="004E58DC" w:rsidRPr="00AF3F71">
        <w:rPr>
          <w:rFonts w:ascii="Times New Roman" w:eastAsia="Microsoft YaHei" w:hAnsi="Times New Roman" w:cs="Times New Roman"/>
          <w:sz w:val="22"/>
          <w:szCs w:val="24"/>
          <w:highlight w:val="yellow"/>
        </w:rPr>
        <w:t>First, it provides rigorous micro-level evidence of the EPTL’s causal impact on corporate environmental performance. While prior studies rely on subjective measures (e.g., environmental scores or single pollutant metrics), we introduce the ecological benefit ratio—quantifying economic output per unit of environmental investment—to objectively capture performance dynamics. This approach addresses methodological limitations in existing literature and enriches understanding of firm-policy interactions.</w:t>
      </w:r>
      <w:r w:rsidR="00AF3F71" w:rsidRPr="00AF3F71">
        <w:rPr>
          <w:rFonts w:ascii="Times New Roman" w:eastAsia="Microsoft YaHei" w:hAnsi="Times New Roman" w:cs="Times New Roman" w:hint="eastAsia"/>
          <w:sz w:val="22"/>
          <w:szCs w:val="24"/>
          <w:highlight w:val="yellow"/>
        </w:rPr>
        <w:t xml:space="preserve"> </w:t>
      </w:r>
      <w:r w:rsidR="004E58DC" w:rsidRPr="004E58DC">
        <w:rPr>
          <w:rFonts w:ascii="Times New Roman" w:eastAsia="Microsoft YaHei" w:hAnsi="Times New Roman" w:cs="Times New Roman"/>
          <w:sz w:val="22"/>
          <w:szCs w:val="24"/>
          <w:highlight w:val="yellow"/>
        </w:rPr>
        <w:t>Second, leveraging integrated macro-micro data, we dissect two behavioral pathways:</w:t>
      </w:r>
      <w:r w:rsidR="00AF3F71" w:rsidRPr="00AF3F71">
        <w:rPr>
          <w:rFonts w:ascii="Times New Roman" w:eastAsia="Microsoft YaHei" w:hAnsi="Times New Roman" w:cs="Times New Roman" w:hint="eastAsia"/>
          <w:sz w:val="22"/>
          <w:szCs w:val="24"/>
          <w:highlight w:val="yellow"/>
        </w:rPr>
        <w:t xml:space="preserve"> </w:t>
      </w:r>
      <w:r w:rsidR="004E58DC" w:rsidRPr="004E58DC">
        <w:rPr>
          <w:rFonts w:ascii="Times New Roman" w:eastAsia="Microsoft YaHei" w:hAnsi="Times New Roman" w:cs="Times New Roman"/>
          <w:sz w:val="22"/>
          <w:szCs w:val="24"/>
          <w:highlight w:val="yellow"/>
        </w:rPr>
        <w:t>Pollution rectification (proactive in-house improvements)</w:t>
      </w:r>
      <w:r w:rsidR="00AF3F71" w:rsidRPr="00AF3F71">
        <w:rPr>
          <w:rFonts w:ascii="Times New Roman" w:eastAsia="Microsoft YaHei" w:hAnsi="Times New Roman" w:cs="Times New Roman" w:hint="eastAsia"/>
          <w:sz w:val="22"/>
          <w:szCs w:val="24"/>
          <w:highlight w:val="yellow"/>
        </w:rPr>
        <w:t xml:space="preserve"> and </w:t>
      </w:r>
      <w:r w:rsidR="004E58DC" w:rsidRPr="004E58DC">
        <w:rPr>
          <w:rFonts w:ascii="Times New Roman" w:eastAsia="Microsoft YaHei" w:hAnsi="Times New Roman" w:cs="Times New Roman"/>
          <w:sz w:val="22"/>
          <w:szCs w:val="24"/>
          <w:highlight w:val="yellow"/>
        </w:rPr>
        <w:t>Location selection (potential cross-regional transfer)</w:t>
      </w:r>
      <w:r w:rsidR="00AF3F71" w:rsidRPr="00AF3F71">
        <w:rPr>
          <w:rFonts w:ascii="Times New Roman" w:eastAsia="Microsoft YaHei" w:hAnsi="Times New Roman" w:cs="Times New Roman" w:hint="eastAsia"/>
          <w:sz w:val="22"/>
          <w:szCs w:val="24"/>
          <w:highlight w:val="yellow"/>
        </w:rPr>
        <w:t xml:space="preserve"> </w:t>
      </w:r>
      <w:r w:rsidR="004E58DC" w:rsidRPr="004E58DC">
        <w:rPr>
          <w:rFonts w:ascii="Times New Roman" w:eastAsia="Microsoft YaHei" w:hAnsi="Times New Roman" w:cs="Times New Roman"/>
          <w:sz w:val="22"/>
          <w:szCs w:val="24"/>
          <w:highlight w:val="yellow"/>
        </w:rPr>
        <w:t>By employing a multi-period difference-in-differences (DID) design with regional enforcement heterogeneity controls, we reveal how firms strategically balance environmental compliance and economic objectives under the EPTL. This directly tackles the literature’s neglect of firm mobility mechanisms.Third, the study expands the drivers of environmental performance by linking the EPTL’s implementation to intrinsic corporate incentives. Findings demonstrate that the law catalyzes green innovation and regulatory compliance without triggering significant pollution displacement—offering actionable insights for harmonizing economic growth with ecological sustainability.</w:t>
      </w:r>
    </w:p>
    <w:p w14:paraId="0FC8F1C5" w14:textId="5E826371" w:rsidR="009C3784" w:rsidRPr="003B563D" w:rsidRDefault="003B563D" w:rsidP="003B563D">
      <w:pPr>
        <w:keepNext/>
        <w:keepLines/>
        <w:snapToGrid w:val="0"/>
        <w:outlineLvl w:val="3"/>
        <w:rPr>
          <w:rFonts w:ascii="Times New Roman" w:eastAsia="Microsoft YaHei" w:hAnsi="Times New Roman" w:cs="Times New Roman"/>
          <w:b/>
          <w:bCs/>
          <w:szCs w:val="28"/>
        </w:rPr>
      </w:pPr>
      <w:r w:rsidRPr="003B563D">
        <w:rPr>
          <w:rFonts w:ascii="Times New Roman" w:eastAsia="Microsoft YaHei" w:hAnsi="Times New Roman" w:cs="Times New Roman" w:hint="eastAsia"/>
          <w:b/>
          <w:bCs/>
          <w:szCs w:val="28"/>
        </w:rPr>
        <w:t>2</w:t>
      </w:r>
      <w:r w:rsidR="00D95DA7" w:rsidRPr="003B563D">
        <w:rPr>
          <w:rFonts w:ascii="Times New Roman" w:eastAsia="Microsoft YaHei" w:hAnsi="Times New Roman" w:cs="Times New Roman" w:hint="eastAsia"/>
          <w:b/>
          <w:bCs/>
          <w:szCs w:val="28"/>
        </w:rPr>
        <w:t>.1 Institutional background</w:t>
      </w:r>
    </w:p>
    <w:p w14:paraId="2AEFDD92" w14:textId="0FE7C2A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environmental protection tax system in China originated from the pollution discharge fee system, which began as a pilot program in 1979 and was officially implemented nationwide in 1982.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was approved on December 25,2016, and came into effect on January 1, 2018, marking the end of the more than 30-year-old pollution discharge fee system. The law primarily draws on the design of the pollution discharge fee system, ensuring a smooth transition from a fee-based to a tax-based system through institutional and tax burden transfers. It also promotes corporate compliance with environmental obligations through mandatory punitive and positive incentive mechanisms outlined in the tax law.</w:t>
      </w:r>
    </w:p>
    <w:p w14:paraId="4F13FD0F" w14:textId="2F6F15F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According to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the tax is levied on enterprises, institutions, and other producers and operators. The taxable pollutants include air pollutants, water pollutants, solid waste, and noise, as specified in the attached regulations of the law. Compared to the pollution discharge fee system,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strengthened both institutional and policy arrangements. The law taxes enterprises based on the type and degree of pollution of their emissions. For instance, if a taxpayer's emission concentration is 30% below the standard, the tax is reduced to 75%; if it is below 50%, the tax is reduced to 50%. The law also implements differentiated management based on the pollution level of the pollutants. Additionally, a dynamic tax rate adjustment mechanism is adopted, where the central government sets the minimum standard, and local governments can adjust it upward as needed.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specifies the upper and lower limits of the taxable amount, authorizes local governments to propose specific applicable tax rates based on local conditions, and reports these to the standing committee of the same-level people's congress for approval, to meet the environmental governance needs of different regions.</w:t>
      </w:r>
    </w:p>
    <w:p w14:paraId="4CE00C2E" w14:textId="058AF1F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terms of policy arrangements,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encourages enterprises to engage in clean production activities. Specifically, the law offers multiple tax reduction benefits for companies that implement clean production practices, thereby maximizing the positive incentives of tax incentives. Additionally, it supports enterprises in </w:t>
      </w:r>
      <w:r>
        <w:rPr>
          <w:rFonts w:ascii="Times New Roman" w:eastAsia="Microsoft YaHei" w:hAnsi="Times New Roman" w:cs="Times New Roman" w:hint="eastAsia"/>
          <w:sz w:val="22"/>
          <w:szCs w:val="24"/>
        </w:rPr>
        <w:lastRenderedPageBreak/>
        <w:t xml:space="preserve">concentrating on pollutant treatment. The law stipulates that enterprises, institutions, and other producers and operators that discharge taxable pollutants to legally established centralized sewage treatment facilities or centralized household waste treatment facilities are exempt from the environmental protection tax. It also encourages enterprises to recycle emissions; taxpayers who comprehensively utilize solid waste that meets national and local environmental protection standards are temporarily exempt from the environmental protection tax. As a significant practice in China's tax system reform, the </w:t>
      </w:r>
      <w:r w:rsidR="00CE1A0D">
        <w:rPr>
          <w:rFonts w:ascii="Times New Roman" w:eastAsia="Microsoft YaHei" w:hAnsi="Times New Roman" w:cs="Times New Roman" w:hint="eastAsia"/>
          <w:sz w:val="22"/>
          <w:szCs w:val="24"/>
        </w:rPr>
        <w:t xml:space="preserve">ETPL </w:t>
      </w:r>
      <w:r>
        <w:rPr>
          <w:rFonts w:ascii="Times New Roman" w:eastAsia="Microsoft YaHei" w:hAnsi="Times New Roman" w:cs="Times New Roman" w:hint="eastAsia"/>
          <w:sz w:val="22"/>
          <w:szCs w:val="24"/>
        </w:rPr>
        <w:t xml:space="preserve">marks the formal elevation of China's environmental protection system from an administrative level to a legal one. This article will examine whether the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effectively enhance corporate environmental performance, based on the official implementation of the law.</w:t>
      </w:r>
    </w:p>
    <w:p w14:paraId="4A40117C" w14:textId="273737FC" w:rsidR="009C3784" w:rsidRPr="003B563D" w:rsidRDefault="003B563D" w:rsidP="003B563D">
      <w:pPr>
        <w:keepNext/>
        <w:keepLines/>
        <w:snapToGrid w:val="0"/>
        <w:outlineLvl w:val="3"/>
        <w:rPr>
          <w:rFonts w:ascii="Times New Roman" w:eastAsia="Microsoft YaHei" w:hAnsi="Times New Roman" w:cs="Times New Roman"/>
          <w:b/>
          <w:bCs/>
          <w:szCs w:val="28"/>
        </w:rPr>
      </w:pPr>
      <w:r>
        <w:rPr>
          <w:rFonts w:ascii="Times New Roman" w:eastAsia="Microsoft YaHei" w:hAnsi="Times New Roman" w:cs="Times New Roman" w:hint="eastAsia"/>
          <w:b/>
          <w:bCs/>
          <w:szCs w:val="28"/>
        </w:rPr>
        <w:t>2</w:t>
      </w:r>
      <w:r w:rsidR="00D95DA7" w:rsidRPr="003B563D">
        <w:rPr>
          <w:rFonts w:ascii="Times New Roman" w:eastAsia="Microsoft YaHei" w:hAnsi="Times New Roman" w:cs="Times New Roman" w:hint="eastAsia"/>
          <w:b/>
          <w:bCs/>
          <w:szCs w:val="28"/>
        </w:rPr>
        <w:t>.2 Research hypothesis</w:t>
      </w:r>
    </w:p>
    <w:p w14:paraId="16EB948C" w14:textId="0A470694"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Unforeseen expenses lead to increased private costs for businesses, hindering their ability to expand production and contradicting the goal of maximizing profits. If companies allocate part of their funds to pollution control, it generates positive externalities that cannot be internalized, eroding their price advantage and placing them at a disadvantage in an imperfect competitive market. Therefore, when there are no external constraints, companies lack the incentive to actively manage pollution. What methods can address this issue? Pigou's' polluter pays principle' provides a theoretical solution. This principle involves imposing a Pigou tax on polluters based on the severity of their pollution, using the tax to bridge the gap between private and social costs. Environmental taxes, derived from the Pigou tax, increase the costs for firms that impose negative externalities through taxation, indirectly raising the cost of resource use and correcting intergenerational unfairness in resource allocation.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green credit policies, and emission trading policies are all market-based regulatory tools, but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have a more solid legal foundation, relying on the authority and enforceability of the law to regulate corporate pollution. From a punishment mechanism perspective, environmental protection taxes establish strict pollutant emission standards, clearly defining taxable items, units, and amounts, thereby increasing compliance costs to control corporate emissions of pollutants and greenhouse gases, forcing companies to reduce pollution and improve their environmental performance. From the perspective of the tax law's incentive mechanism,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adopts a positive emission reduction incentive system that levies taxes based on emissions: more emissions, more taxes; fewer emissions, fewer taxes; no emissions, no taxes. This system encourages companies to reduce energy consumption and emissions, guides them to accelerate the development of green industrial and supply chains, and expands the scale of green production. Additionally,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supports companies in making environmental decisions and implementing green governance by providing policy support and resource allocation to those that proactively manage pollution and fulfill their environmental social responsibilities, thereby enhancing their environmental performance.</w:t>
      </w:r>
    </w:p>
    <w:p w14:paraId="66AE71C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4D50FFD2" w14:textId="40A01F99"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H1:</w:t>
      </w:r>
      <w:r w:rsidRPr="0042730B">
        <w:rPr>
          <w:rFonts w:ascii="Times New Roman" w:eastAsia="Microsoft YaHei" w:hAnsi="Times New Roman" w:cs="Times New Roman" w:hint="eastAsia"/>
          <w:b/>
          <w:i/>
          <w:sz w:val="22"/>
          <w:szCs w:val="24"/>
        </w:rPr>
        <w:t xml:space="preserve">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can improve the environmental performance of enterprises. Compared with other industries, the improvement effect of environmental performance of enterprises affected by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xml:space="preserve"> is more significant.</w:t>
      </w:r>
    </w:p>
    <w:p w14:paraId="3772EB2A" w14:textId="63D733E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China implements a regional responsibility system to oversee local environmental quality, making the specific actions of local governments crucial for regional environmental quality. This situation means that, compared to environmental governance, if local governments prioritize economic performance over environmental protection, they may struggle to achieve effective local environmental governance. Given China's long-term' extensive 'economic development, the local competition model weakens the effectiveness of administrative supervision, making it difficult for command-and-control environmental regulations to function effectively (</w:t>
      </w:r>
      <w:r w:rsidR="00CD5DE6" w:rsidRPr="00CD5DE6">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w:t>
      </w:r>
      <w:r w:rsidR="00CD5DE6" w:rsidRPr="00CD5DE6">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Local governments frequently intervene in environmental law enforcement through administrative measures, and the collusion between government and enterprises is an urgent issue that needs addressing (</w:t>
      </w:r>
      <w:r w:rsidR="00CD5DE6" w:rsidRPr="00CD5DE6">
        <w:rPr>
          <w:rFonts w:ascii="Times New Roman" w:eastAsia="Microsoft YaHei" w:hAnsi="Times New Roman" w:cs="Times New Roman" w:hint="eastAsia"/>
          <w:sz w:val="22"/>
          <w:szCs w:val="24"/>
        </w:rPr>
        <w:t>Verbeke and Coeck, 1997</w:t>
      </w:r>
      <w:r>
        <w:rPr>
          <w:rFonts w:ascii="Times New Roman" w:eastAsia="Microsoft YaHei" w:hAnsi="Times New Roman" w:cs="Times New Roman" w:hint="eastAsia"/>
          <w:sz w:val="22"/>
          <w:szCs w:val="24"/>
        </w:rPr>
        <w:t xml:space="preserve">). Compared to traditional </w:t>
      </w:r>
      <w:r>
        <w:rPr>
          <w:rFonts w:ascii="Times New Roman" w:eastAsia="Microsoft YaHei" w:hAnsi="Times New Roman" w:cs="Times New Roman" w:hint="eastAsia"/>
          <w:sz w:val="22"/>
          <w:szCs w:val="24"/>
        </w:rPr>
        <w:lastRenderedPageBreak/>
        <w:t xml:space="preserve">administrative regulatory methods,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helps address the issue of collusion between government and enterprises and promotes improvements in corporate environmental performance. Specifically,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enhances the willingness of tax enforcement agencies to enforce laws, breaks down collusion between government and enterprises, and strengthens the environmental focus of local governments. This helps to eliminate the' invisible economy' and forces enterprises to comply with environmental regulations. Additionally, the tax law requires the competent authorities to regularly report environmental protection information to the tax authorities and uses legal measures to strictly punish non-reporting or false reporting of enterprise emissions, ensuring the enforcement efficiency of the tax law. Furthermore, the diversity of entities involved in tax supervision means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can better leverage the coordination and cooperation among various functional departments compared to other regulatory measures. This law has stronger enforcement rigidity, encourages local government departments to focus on environmental efficiency, and promotes the achievement of administrative goals (</w:t>
      </w:r>
      <w:r w:rsidR="00CD5DE6" w:rsidRPr="00CD5DE6">
        <w:rPr>
          <w:rFonts w:ascii="Times New Roman" w:eastAsia="Microsoft YaHei" w:hAnsi="Times New Roman" w:cs="Times New Roman" w:hint="eastAsia"/>
          <w:sz w:val="22"/>
          <w:szCs w:val="24"/>
        </w:rPr>
        <w:t>Gunningham, 2009</w:t>
      </w:r>
      <w:r>
        <w:rPr>
          <w:rFonts w:ascii="Times New Roman" w:eastAsia="Microsoft YaHei" w:hAnsi="Times New Roman" w:cs="Times New Roman" w:hint="eastAsia"/>
          <w:sz w:val="22"/>
          <w:szCs w:val="24"/>
        </w:rPr>
        <w:t xml:space="preserve">). From a policy design perspective,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an extension of the pollution discharge fee system, is more deeply considered in response to China's current pollution control situation. In terms of policy implementation strategies, it complements and strengthens the pollution discharge fee system, making the increase in environmental taxes more direct and effective (</w:t>
      </w:r>
      <w:r w:rsidR="00CD5DE6" w:rsidRPr="00CD5DE6">
        <w:rPr>
          <w:rFonts w:ascii="Times New Roman" w:eastAsia="Microsoft YaHei" w:hAnsi="Times New Roman" w:cs="Times New Roman" w:hint="eastAsia"/>
          <w:sz w:val="22"/>
          <w:szCs w:val="24"/>
        </w:rPr>
        <w:t>Pham et al., 2024</w:t>
      </w:r>
      <w:r>
        <w:rPr>
          <w:rFonts w:ascii="Times New Roman" w:eastAsia="Microsoft YaHei" w:hAnsi="Times New Roman" w:cs="Times New Roman" w:hint="eastAsia"/>
          <w:sz w:val="22"/>
          <w:szCs w:val="24"/>
        </w:rPr>
        <w:t>). Regarding the types of products regulated entities produce, well-designed environmental policies generate an' innovation compensation' effect, encouraging companies to integrate emerging technologies into their production processes, leading to the reallocation of internal product resources and productivity improvements (</w:t>
      </w:r>
      <w:r w:rsidR="00CD5DE6" w:rsidRPr="00CD5DE6">
        <w:rPr>
          <w:rFonts w:ascii="Times New Roman" w:eastAsia="Microsoft YaHei" w:hAnsi="Times New Roman" w:cs="Times New Roman" w:hint="eastAsia"/>
          <w:sz w:val="22"/>
          <w:szCs w:val="24"/>
        </w:rPr>
        <w:t>Chelly et al., 2022</w:t>
      </w:r>
      <w:r>
        <w:rPr>
          <w:rFonts w:ascii="Times New Roman" w:eastAsia="Microsoft YaHei" w:hAnsi="Times New Roman" w:cs="Times New Roman" w:hint="eastAsia"/>
          <w:sz w:val="22"/>
          <w:szCs w:val="24"/>
        </w:rPr>
        <w:t>; Acemoglu et al., 2012). The increase in environmental taxes for non-green products by enterprises promotes greater investment in end-of-pipe treatment, driving companies to adjust their product structures through green innovation, resulting in a cleaner product structure.</w:t>
      </w:r>
    </w:p>
    <w:p w14:paraId="4EB475DC"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paper proposes the following </w:t>
      </w:r>
      <w:r w:rsidR="0042730B" w:rsidRPr="0042730B">
        <w:rPr>
          <w:rFonts w:ascii="Times New Roman" w:eastAsia="Microsoft YaHei" w:hAnsi="Times New Roman" w:cs="Times New Roman"/>
          <w:sz w:val="22"/>
          <w:szCs w:val="24"/>
        </w:rPr>
        <w:t>hypothesis</w:t>
      </w:r>
      <w:r>
        <w:rPr>
          <w:rFonts w:ascii="Times New Roman" w:eastAsia="Microsoft YaHei" w:hAnsi="Times New Roman" w:cs="Times New Roman" w:hint="eastAsia"/>
          <w:sz w:val="22"/>
          <w:szCs w:val="24"/>
        </w:rPr>
        <w:t>:</w:t>
      </w:r>
    </w:p>
    <w:p w14:paraId="7C1A5D53" w14:textId="0110C382" w:rsidR="009C3784" w:rsidRDefault="00D95DA7" w:rsidP="0042730B">
      <w:pPr>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H2: </w:t>
      </w:r>
      <w:r w:rsidRPr="0042730B">
        <w:rPr>
          <w:rFonts w:ascii="Times New Roman" w:eastAsia="Microsoft YaHei" w:hAnsi="Times New Roman" w:cs="Times New Roman" w:hint="eastAsia"/>
          <w:b/>
          <w:i/>
          <w:sz w:val="22"/>
          <w:szCs w:val="24"/>
        </w:rPr>
        <w:t xml:space="preserve">The implementation of the </w:t>
      </w:r>
      <w:r w:rsidR="00CE1A0D">
        <w:rPr>
          <w:rFonts w:ascii="Times New Roman" w:eastAsia="Microsoft YaHei" w:hAnsi="Times New Roman" w:cs="Times New Roman" w:hint="eastAsia"/>
          <w:b/>
          <w:i/>
          <w:sz w:val="22"/>
          <w:szCs w:val="24"/>
        </w:rPr>
        <w:t xml:space="preserve">EPTL </w:t>
      </w:r>
      <w:r w:rsidRPr="0042730B">
        <w:rPr>
          <w:rFonts w:ascii="Times New Roman" w:eastAsia="Microsoft YaHei" w:hAnsi="Times New Roman" w:cs="Times New Roman" w:hint="eastAsia"/>
          <w:b/>
          <w:i/>
          <w:sz w:val="22"/>
          <w:szCs w:val="24"/>
        </w:rPr>
        <w:t>will help improve the environmental awareness of local governments, strengthen the rigidity of law enforcement, break the collusion between government and enterprises, and encourage enterprises to make green innovation to promote the improvement of their environmental performance.</w:t>
      </w:r>
    </w:p>
    <w:p w14:paraId="1A7B2248" w14:textId="36932E2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From the classical </w:t>
      </w:r>
      <w:r w:rsidR="0042730B">
        <w:rPr>
          <w:rFonts w:ascii="Times New Roman" w:eastAsia="Microsoft YaHei" w:hAnsi="Times New Roman" w:cs="Times New Roman"/>
          <w:sz w:val="22"/>
          <w:szCs w:val="24"/>
        </w:rPr>
        <w:t>a</w:t>
      </w:r>
      <w:r>
        <w:rPr>
          <w:rFonts w:ascii="Times New Roman" w:eastAsia="Microsoft YaHei" w:hAnsi="Times New Roman" w:cs="Times New Roman" w:hint="eastAsia"/>
          <w:sz w:val="22"/>
          <w:szCs w:val="24"/>
        </w:rPr>
        <w:t>gricultural location theory to the Weber industrial location theory, and then to the neoclassical location theory, companies typically choose locations with the lowest production costs and the greatest cost savings. As environmental regulations become stricter, leading to higher production and compliance costs, regulated companies, unable to afford the rising operational costs, are less motivated to improve and instead opt to evade environmental enforcement, resulting in negative cross-regional relocation (</w:t>
      </w:r>
      <w:r w:rsidR="0094420B" w:rsidRPr="0094420B">
        <w:rPr>
          <w:rFonts w:ascii="Times New Roman" w:eastAsia="Microsoft YaHei" w:hAnsi="Times New Roman" w:cs="Times New Roman" w:hint="eastAsia"/>
          <w:sz w:val="22"/>
          <w:szCs w:val="24"/>
        </w:rPr>
        <w:t>Farooq et al., 2023</w:t>
      </w:r>
      <w:r>
        <w:rPr>
          <w:rFonts w:ascii="Times New Roman" w:eastAsia="Microsoft YaHei" w:hAnsi="Times New Roman" w:cs="Times New Roman" w:hint="eastAsia"/>
          <w:sz w:val="22"/>
          <w:szCs w:val="24"/>
        </w:rPr>
        <w:t>). The formal imple</w:t>
      </w:r>
      <w:bookmarkStart w:id="1" w:name="_Hlk118217651"/>
      <w:r>
        <w:rPr>
          <w:rFonts w:ascii="Times New Roman" w:eastAsia="Microsoft YaHei" w:hAnsi="Times New Roman" w:cs="Times New Roman" w:hint="eastAsia"/>
          <w:sz w:val="22"/>
          <w:szCs w:val="24"/>
        </w:rPr>
        <w:t>mentatio</w:t>
      </w:r>
      <w:bookmarkEnd w:id="1"/>
      <w:r>
        <w:rPr>
          <w:rFonts w:ascii="Times New Roman" w:eastAsia="Microsoft YaHei" w:hAnsi="Times New Roman" w:cs="Times New Roman" w:hint="eastAsia"/>
          <w:sz w:val="22"/>
          <w:szCs w:val="24"/>
        </w:rPr>
        <w:t xml:space="preserve">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means that heavily polluting enterprises must not only face local environmental policies such as environmental consultations and pilot projects (</w:t>
      </w:r>
      <w:r w:rsidR="0094420B" w:rsidRPr="0094420B">
        <w:rPr>
          <w:rFonts w:ascii="Times New Roman" w:eastAsia="Microsoft YaHei" w:hAnsi="Times New Roman" w:cs="Times New Roman" w:hint="eastAsia"/>
          <w:sz w:val="22"/>
          <w:szCs w:val="24"/>
        </w:rPr>
        <w:t>Boubaker et al., 2024</w:t>
      </w:r>
      <w:r>
        <w:rPr>
          <w:rFonts w:ascii="Times New Roman" w:eastAsia="Microsoft YaHei" w:hAnsi="Times New Roman" w:cs="Times New Roman" w:hint="eastAsia"/>
          <w:sz w:val="22"/>
          <w:szCs w:val="24"/>
        </w:rPr>
        <w:t xml:space="preserve">) but also the environmental legitimacy pressure imposed by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increases their compliance costs. According to the 'Pollution Haven Hypothesis,' heavily polluting enterprises tend to choose regions with lower environmental thresholds for production (Tobey, 2001; Galeotti et al., 2020). Considering China's current development situation, the imbalance and inadequacy in development have led to continuous economic differentiation among regions, and the gradient differences in environmental standards and management strictness across regions make pollution transfer possible. Research by </w:t>
      </w:r>
      <w:r w:rsidR="00522014" w:rsidRPr="00522014">
        <w:rPr>
          <w:rFonts w:ascii="Times New Roman" w:eastAsia="Microsoft YaHei" w:hAnsi="Times New Roman" w:cs="Times New Roman" w:hint="eastAsia"/>
          <w:sz w:val="22"/>
          <w:szCs w:val="24"/>
        </w:rPr>
        <w:t>Gunningham</w:t>
      </w:r>
      <w:r w:rsidR="00522014">
        <w:rPr>
          <w:rFonts w:ascii="Times New Roman" w:eastAsia="Microsoft YaHei" w:hAnsi="Times New Roman" w:cs="Times New Roman" w:hint="eastAsia"/>
          <w:sz w:val="22"/>
          <w:szCs w:val="24"/>
        </w:rPr>
        <w:t xml:space="preserve"> (</w:t>
      </w:r>
      <w:r w:rsidR="00522014" w:rsidRPr="00522014">
        <w:rPr>
          <w:rFonts w:ascii="Times New Roman" w:eastAsia="Microsoft YaHei" w:hAnsi="Times New Roman" w:cs="Times New Roman" w:hint="eastAsia"/>
          <w:sz w:val="22"/>
          <w:szCs w:val="24"/>
        </w:rPr>
        <w:t>2009</w:t>
      </w:r>
      <w:r w:rsidR="00522014">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has found that regional disparities in environmental regulations can lead to the near-term transfer of pollution. </w:t>
      </w:r>
      <w:r w:rsidR="0094420B" w:rsidRPr="00162214">
        <w:rPr>
          <w:rFonts w:ascii="Times New Roman" w:eastAsia="Microsoft YaHei" w:hAnsi="Times New Roman" w:cs="Times New Roman"/>
          <w:sz w:val="22"/>
          <w:szCs w:val="24"/>
        </w:rPr>
        <w:t>Bădîrcea</w:t>
      </w:r>
      <w:r w:rsidR="0094420B" w:rsidRPr="0094420B">
        <w:rPr>
          <w:rFonts w:ascii="Times New Roman" w:eastAsia="Microsoft YaHei" w:hAnsi="Times New Roman" w:cs="Times New Roman" w:hint="eastAsia"/>
          <w:sz w:val="22"/>
          <w:szCs w:val="24"/>
        </w:rPr>
        <w:t xml:space="preserve"> et al. </w:t>
      </w:r>
      <w:r w:rsidR="0094420B">
        <w:rPr>
          <w:rFonts w:ascii="Times New Roman" w:eastAsia="Microsoft YaHei" w:hAnsi="Times New Roman" w:cs="Times New Roman" w:hint="eastAsia"/>
          <w:sz w:val="22"/>
          <w:szCs w:val="24"/>
        </w:rPr>
        <w:t>(</w:t>
      </w:r>
      <w:r w:rsidR="0094420B" w:rsidRPr="0094420B">
        <w:rPr>
          <w:rFonts w:ascii="Times New Roman" w:eastAsia="Microsoft YaHei" w:hAnsi="Times New Roman" w:cs="Times New Roman" w:hint="eastAsia"/>
          <w:sz w:val="22"/>
          <w:szCs w:val="24"/>
        </w:rPr>
        <w:t>2020</w:t>
      </w:r>
      <w:r w:rsidR="0094420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 xml:space="preserve"> assessed the impact of environmental regulations on regional carbon emissions, highlighting that the varying intensity of these regulations across different regions in China leads to the transfer of carbon emissions within these regions. New economic geography, which examines spatial economic structures and changes, further emphasizes that market potential is a key factor influencing corporate location </w:t>
      </w:r>
      <w:r>
        <w:rPr>
          <w:rFonts w:ascii="Times New Roman" w:eastAsia="Microsoft YaHei" w:hAnsi="Times New Roman" w:cs="Times New Roman" w:hint="eastAsia"/>
          <w:sz w:val="22"/>
          <w:szCs w:val="24"/>
        </w:rPr>
        <w:lastRenderedPageBreak/>
        <w:t>decisions. The Environmental Protection Law grants local governments the authority to set tax rates (</w:t>
      </w:r>
      <w:r w:rsidR="0094420B" w:rsidRPr="0094420B">
        <w:rPr>
          <w:rFonts w:ascii="Times New Roman" w:eastAsia="Microsoft YaHei" w:hAnsi="Times New Roman" w:cs="Times New Roman" w:hint="cs"/>
          <w:sz w:val="22"/>
          <w:szCs w:val="24"/>
        </w:rPr>
        <w:t>İ</w:t>
      </w:r>
      <w:r w:rsidR="0094420B" w:rsidRPr="0094420B">
        <w:rPr>
          <w:rFonts w:ascii="Times New Roman" w:eastAsia="Microsoft YaHei" w:hAnsi="Times New Roman" w:cs="Times New Roman"/>
          <w:sz w:val="22"/>
          <w:szCs w:val="24"/>
        </w:rPr>
        <w:t xml:space="preserve">nceiplik </w:t>
      </w:r>
      <w:r w:rsidR="0094420B">
        <w:rPr>
          <w:rFonts w:ascii="Times New Roman" w:eastAsia="Microsoft YaHei" w:hAnsi="Times New Roman" w:cs="Times New Roman" w:hint="eastAsia"/>
          <w:sz w:val="22"/>
          <w:szCs w:val="24"/>
        </w:rPr>
        <w:t>and</w:t>
      </w:r>
      <w:r w:rsidR="0094420B" w:rsidRPr="0094420B">
        <w:rPr>
          <w:rFonts w:ascii="Times New Roman" w:eastAsia="Microsoft YaHei" w:hAnsi="Times New Roman" w:cs="Times New Roman"/>
          <w:sz w:val="22"/>
          <w:szCs w:val="24"/>
        </w:rPr>
        <w:t xml:space="preserve"> Şimşek, 2024</w:t>
      </w:r>
      <w:r>
        <w:rPr>
          <w:rFonts w:ascii="Times New Roman" w:eastAsia="Microsoft YaHei" w:hAnsi="Times New Roman" w:cs="Times New Roman" w:hint="eastAsia"/>
          <w:sz w:val="22"/>
          <w:szCs w:val="24"/>
        </w:rPr>
        <w:t xml:space="preserve">), allowing them to determine and adjust the tax rates for certain taxable pollutants, balancing environmental protection with economic and social development. This regulation means that polluting enterprises in developed areas may face stricter environmental regulations. For instance, in Xinjiang, the tax rates for air and water pollutants are 1.2 yuan and 1.4 yuan per pollution equivalent, respectively, whereas in Jiangsu, the tax rate for air pollutants is 4.8 yuan per pollution equivalent (8.4 yuan per pollution equivalent in Nanjing), and for water pollutants, it is 5.6 yuan per pollution equivalent (8.4 yuan per pollution equivalent in Nanjing). This indicates that there are significant differences in the local applicable tax rates under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and market potential varies significantly with the intensity of local regulations. Faced with varying environmental compliance pressures in different regions, if companies find it difficult to bear the costs of rectification, they may be motivated to engage in cross-regional production.</w:t>
      </w:r>
    </w:p>
    <w:p w14:paraId="00DED1A4"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paper proposes the following hypotheses:</w:t>
      </w:r>
    </w:p>
    <w:p w14:paraId="7F1D3DDE" w14:textId="1066A4EA"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H3a: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and more choose to produce in areas with less environmental regulation.</w:t>
      </w:r>
    </w:p>
    <w:p w14:paraId="1FDB5DD2" w14:textId="19A63768" w:rsidR="009C3784" w:rsidRPr="0042730B" w:rsidRDefault="00D95DA7" w:rsidP="0042730B">
      <w:pPr>
        <w:rPr>
          <w:rFonts w:ascii="Times New Roman" w:eastAsia="SimSun" w:hAnsi="Times New Roman" w:cs="Times New Roman"/>
          <w:b/>
          <w:i/>
          <w:sz w:val="22"/>
          <w:szCs w:val="24"/>
        </w:rPr>
      </w:pPr>
      <w:r>
        <w:rPr>
          <w:rFonts w:ascii="Times New Roman" w:eastAsia="Microsoft YaHei" w:hAnsi="Times New Roman" w:cs="Times New Roman" w:hint="eastAsia"/>
          <w:sz w:val="22"/>
          <w:szCs w:val="24"/>
        </w:rPr>
        <w:t xml:space="preserve">H3b: </w:t>
      </w:r>
      <w:r w:rsidRPr="0042730B">
        <w:rPr>
          <w:rFonts w:ascii="Times New Roman" w:eastAsia="Microsoft YaHei" w:hAnsi="Times New Roman" w:cs="Times New Roman" w:hint="eastAsia"/>
          <w:b/>
          <w:i/>
          <w:sz w:val="22"/>
          <w:szCs w:val="24"/>
        </w:rPr>
        <w:t xml:space="preserve">Heavy polluting enterprises are faced with the implementation of </w:t>
      </w:r>
      <w:r w:rsidR="00595421">
        <w:rPr>
          <w:rFonts w:ascii="Times New Roman" w:eastAsia="Microsoft YaHei" w:hAnsi="Times New Roman" w:cs="Times New Roman" w:hint="eastAsia"/>
          <w:b/>
          <w:i/>
          <w:sz w:val="22"/>
          <w:szCs w:val="24"/>
        </w:rPr>
        <w:t>EPTL</w:t>
      </w:r>
      <w:r w:rsidRPr="0042730B">
        <w:rPr>
          <w:rFonts w:ascii="Times New Roman" w:eastAsia="Microsoft YaHei" w:hAnsi="Times New Roman" w:cs="Times New Roman" w:hint="eastAsia"/>
          <w:b/>
          <w:i/>
          <w:sz w:val="22"/>
          <w:szCs w:val="24"/>
        </w:rPr>
        <w:t>. Due to market potential, they will also choose to rectify in order to improve their environmental legitimacy.</w:t>
      </w:r>
    </w:p>
    <w:p w14:paraId="3DAAFD28" w14:textId="21C16521" w:rsidR="009C3784" w:rsidRDefault="003B563D">
      <w:pPr>
        <w:pStyle w:val="Heading1"/>
        <w:spacing w:line="300" w:lineRule="auto"/>
        <w:rPr>
          <w:rFonts w:ascii="Times New Roman" w:eastAsia="SimSun" w:hAnsi="Times New Roman" w:cs="Times New Roman"/>
          <w:sz w:val="24"/>
          <w:szCs w:val="24"/>
        </w:rPr>
      </w:pPr>
      <w:r w:rsidRPr="00C059E3">
        <w:rPr>
          <w:rFonts w:ascii="Times New Roman" w:eastAsia="Microsoft YaHei" w:hAnsi="Times New Roman" w:cs="Times New Roman" w:hint="eastAsia"/>
          <w:sz w:val="24"/>
          <w:szCs w:val="24"/>
          <w:highlight w:val="yellow"/>
        </w:rPr>
        <w:t>3</w:t>
      </w:r>
      <w:r w:rsidR="00D95DA7" w:rsidRPr="00C059E3">
        <w:rPr>
          <w:rFonts w:ascii="Times New Roman" w:eastAsia="Microsoft YaHei" w:hAnsi="Times New Roman" w:cs="Times New Roman" w:hint="eastAsia"/>
          <w:sz w:val="24"/>
          <w:szCs w:val="24"/>
          <w:highlight w:val="yellow"/>
        </w:rPr>
        <w:t xml:space="preserve">. </w:t>
      </w:r>
      <w:r w:rsidRPr="00C059E3">
        <w:rPr>
          <w:rFonts w:ascii="Times New Roman" w:eastAsia="Microsoft YaHei" w:hAnsi="Times New Roman" w:cs="Times New Roman"/>
          <w:sz w:val="24"/>
          <w:szCs w:val="24"/>
          <w:highlight w:val="yellow"/>
        </w:rPr>
        <w:t>Methodology</w:t>
      </w:r>
    </w:p>
    <w:p w14:paraId="63BEC663" w14:textId="69207EDC"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In summary,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influences corporate environmental performance both internally and externally. However, the analysis primarily focuses on theoretical and logical aspects. Therefore, this section and subsequent parts of the article use panel data from A-share listed companies in the Shanghai and Shenzhen stock markets from 2016 to 2019 to further identify the impact of the formal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on corporate environmental performance and to empirically validate the aforementioned theoretical mechanisms.</w:t>
      </w:r>
    </w:p>
    <w:p w14:paraId="28CDC285" w14:textId="3E95C1EC"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3</w:t>
      </w:r>
      <w:r w:rsidR="00D95DA7">
        <w:rPr>
          <w:rFonts w:ascii="Times New Roman" w:eastAsia="Microsoft YaHei" w:hAnsi="Times New Roman" w:cs="Times New Roman" w:hint="eastAsia"/>
          <w:b/>
          <w:bCs/>
          <w:szCs w:val="28"/>
        </w:rPr>
        <w:t>.1</w:t>
      </w:r>
      <w:r w:rsidR="00595421">
        <w:rPr>
          <w:rFonts w:ascii="Times New Roman" w:eastAsia="Microsoft YaHei" w:hAnsi="Times New Roman" w:cs="Times New Roman"/>
          <w:b/>
          <w:bCs/>
          <w:szCs w:val="28"/>
        </w:rPr>
        <w:t xml:space="preserve"> </w:t>
      </w:r>
      <w:r w:rsidR="00D95DA7">
        <w:rPr>
          <w:rFonts w:ascii="Times New Roman" w:eastAsia="Microsoft YaHei" w:hAnsi="Times New Roman" w:cs="Times New Roman" w:hint="eastAsia"/>
          <w:b/>
          <w:bCs/>
          <w:szCs w:val="28"/>
        </w:rPr>
        <w:t>Identification strategies</w:t>
      </w:r>
    </w:p>
    <w:p w14:paraId="78AC3A23" w14:textId="0C3813AB" w:rsidR="009C3784" w:rsidRDefault="0042730B">
      <w:pPr>
        <w:ind w:firstLine="440"/>
        <w:rPr>
          <w:rFonts w:ascii="Times New Roman" w:eastAsia="Microsoft YaHei" w:hAnsi="Times New Roman" w:cs="Times New Roman"/>
          <w:sz w:val="22"/>
          <w:szCs w:val="24"/>
        </w:rPr>
      </w:pPr>
      <w:r>
        <w:rPr>
          <w:rFonts w:ascii="Times New Roman" w:eastAsia="Microsoft YaHei" w:hAnsi="Times New Roman" w:cs="Times New Roman"/>
          <w:sz w:val="22"/>
          <w:szCs w:val="24"/>
        </w:rPr>
        <w:t>Our research</w:t>
      </w:r>
      <w:r w:rsidR="00D95DA7">
        <w:rPr>
          <w:rFonts w:ascii="Times New Roman" w:eastAsia="Microsoft YaHei" w:hAnsi="Times New Roman" w:cs="Times New Roman" w:hint="eastAsia"/>
          <w:sz w:val="22"/>
          <w:szCs w:val="24"/>
        </w:rPr>
        <w:t xml:space="preserve"> uses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whic</w:t>
      </w:r>
      <w:bookmarkStart w:id="2" w:name="_Hlk116555731"/>
      <w:r w:rsidR="00D95DA7">
        <w:rPr>
          <w:rFonts w:ascii="Times New Roman" w:eastAsia="Microsoft YaHei" w:hAnsi="Times New Roman" w:cs="Times New Roman" w:hint="eastAsia"/>
          <w:sz w:val="22"/>
          <w:szCs w:val="24"/>
        </w:rPr>
        <w:t>h ca</w:t>
      </w:r>
      <w:bookmarkEnd w:id="2"/>
      <w:r w:rsidR="00D95DA7">
        <w:rPr>
          <w:rFonts w:ascii="Times New Roman" w:eastAsia="Microsoft YaHei" w:hAnsi="Times New Roman" w:cs="Times New Roman" w:hint="eastAsia"/>
          <w:sz w:val="22"/>
          <w:szCs w:val="24"/>
        </w:rPr>
        <w:t>me into effect in 2018, as a quasi-natural experiment. It employs the difference-in-differences method to examine the impact of the environmental protection tax on corporate environmental performance. The difference-in-differences model, based on the period before and after the policy's implementation, effectively isolates the policy's effects, making it widely used by scholars for assessing policy impacts. Drawing on existing literature, this paper constructs a multi-dimensional fixed effects model, with the following form:</w:t>
      </w:r>
    </w:p>
    <w:p w14:paraId="4B4F208F" w14:textId="2818D889" w:rsidR="0042730B" w:rsidRPr="00505009" w:rsidRDefault="0042730B" w:rsidP="00505009">
      <w:pPr>
        <w:ind w:firstLine="440"/>
        <w:jc w:val="center"/>
        <w:rPr>
          <w:rFonts w:ascii="Times New Roman" w:eastAsia="SimSun" w:hAnsi="Times New Roman" w:cs="Times New Roman"/>
          <w:sz w:val="22"/>
          <w:szCs w:val="24"/>
        </w:rPr>
      </w:pP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oMath>
      <w:r w:rsidRPr="0042730B">
        <w:rPr>
          <w:rFonts w:ascii="Times New Roman" w:eastAsia="SimSun" w:hAnsi="Times New Roman" w:cs="Times New Roman"/>
          <w:sz w:val="22"/>
          <w:szCs w:val="24"/>
        </w:rPr>
        <w:t>+</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w:p>
    <w:p w14:paraId="3C9D8831" w14:textId="2D0CD7FB" w:rsidR="009C3784" w:rsidRPr="00505009" w:rsidRDefault="00162214" w:rsidP="00162214">
      <w:pPr>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w</w:t>
      </w:r>
      <w:r w:rsidR="005C542F" w:rsidRPr="005C542F">
        <w:rPr>
          <w:rFonts w:ascii="Times New Roman" w:eastAsia="Microsoft YaHei" w:hAnsi="Times New Roman" w:cs="Times New Roman" w:hint="eastAsia"/>
          <w:sz w:val="22"/>
          <w:szCs w:val="24"/>
        </w:rPr>
        <w:t xml:space="preserve">here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denotes firms,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denotes years, </w:t>
      </w:r>
      <m:oMath>
        <m:r>
          <w:rPr>
            <w:rFonts w:ascii="Cambria Math" w:eastAsia="Microsoft YaHei" w:hAnsi="Cambria Math" w:cs="Times New Roman" w:hint="eastAsia"/>
            <w:sz w:val="22"/>
            <w:szCs w:val="24"/>
          </w:rPr>
          <m:t>ind</m:t>
        </m:r>
      </m:oMath>
      <w:r w:rsidR="005C542F" w:rsidRPr="005C542F">
        <w:rPr>
          <w:rFonts w:ascii="Times New Roman" w:eastAsia="Microsoft YaHei" w:hAnsi="Times New Roman" w:cs="Times New Roman" w:hint="eastAsia"/>
          <w:sz w:val="22"/>
          <w:szCs w:val="24"/>
        </w:rPr>
        <w:t xml:space="preserve"> represents industries, and </w:t>
      </w:r>
      <m:oMath>
        <m:r>
          <w:rPr>
            <w:rFonts w:ascii="Cambria Math" w:eastAsia="Microsoft YaHei" w:hAnsi="Cambria Math" w:cs="Times New Roman" w:hint="eastAsia"/>
            <w:sz w:val="22"/>
            <w:szCs w:val="24"/>
          </w:rPr>
          <m:t>prov</m:t>
        </m:r>
      </m:oMath>
      <w:r w:rsidR="005C542F" w:rsidRPr="005C542F">
        <w:rPr>
          <w:rFonts w:ascii="Times New Roman" w:eastAsia="Microsoft YaHei" w:hAnsi="Times New Roman" w:cs="Times New Roman" w:hint="eastAsia"/>
          <w:sz w:val="22"/>
          <w:szCs w:val="24"/>
        </w:rPr>
        <w:t xml:space="preserve"> indicates provinces, the dependent variable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EP</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measures environmental performance of firm </w:t>
      </w:r>
      <m:oMath>
        <m:r>
          <w:rPr>
            <w:rFonts w:ascii="Cambria Math" w:eastAsia="Microsoft YaHei" w:hAnsi="Cambria Math" w:cs="Times New Roman" w:hint="eastAsia"/>
            <w:sz w:val="22"/>
            <w:szCs w:val="24"/>
          </w:rPr>
          <m:t>i</m:t>
        </m:r>
      </m:oMath>
      <w:r w:rsidR="005C542F" w:rsidRPr="005C542F">
        <w:rPr>
          <w:rFonts w:ascii="Times New Roman" w:eastAsia="Microsoft YaHei" w:hAnsi="Times New Roman" w:cs="Times New Roman" w:hint="eastAsia"/>
          <w:sz w:val="22"/>
          <w:szCs w:val="24"/>
        </w:rPr>
        <w:t xml:space="preserve"> in year </w:t>
      </w:r>
      <m:oMath>
        <m:r>
          <w:rPr>
            <w:rFonts w:ascii="Cambria Math" w:eastAsia="Microsoft YaHei" w:hAnsi="Cambria Math" w:cs="Times New Roman" w:hint="eastAsia"/>
            <w:sz w:val="22"/>
            <w:szCs w:val="24"/>
          </w:rPr>
          <m:t>t</m:t>
        </m:r>
      </m:oMath>
      <w:r w:rsidR="005C542F" w:rsidRPr="005C542F">
        <w:rPr>
          <w:rFonts w:ascii="Times New Roman" w:eastAsia="Microsoft YaHei" w:hAnsi="Times New Roman" w:cs="Times New Roman" w:hint="eastAsia"/>
          <w:sz w:val="22"/>
          <w:szCs w:val="24"/>
        </w:rPr>
        <w:t xml:space="preserve">. The policy-time interaction term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ET</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captures whether treated firms are affected by the</w:t>
      </w:r>
      <w:r w:rsidR="005C542F">
        <w:rPr>
          <w:rFonts w:ascii="Times New Roman" w:eastAsia="Microsoft YaHei" w:hAnsi="Times New Roman" w:cs="Times New Roman" w:hint="eastAsia"/>
          <w:sz w:val="22"/>
          <w:szCs w:val="24"/>
        </w:rPr>
        <w:t xml:space="preserve"> </w:t>
      </w:r>
      <w:r w:rsidR="005C542F" w:rsidRPr="005C542F">
        <w:rPr>
          <w:rFonts w:ascii="Times New Roman" w:eastAsia="Microsoft YaHei" w:hAnsi="Times New Roman" w:cs="Times New Roman" w:hint="eastAsia"/>
          <w:sz w:val="22"/>
          <w:szCs w:val="24"/>
        </w:rPr>
        <w:t xml:space="preserve">EPTL.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pul</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is a binary variable indicating heavily polluting firms, while </w:t>
      </w:r>
      <m:oMath>
        <m:sSub>
          <m:sSubPr>
            <m:ctrlPr>
              <w:rPr>
                <w:rFonts w:ascii="Cambria Math" w:eastAsia="Microsoft YaHei" w:hAnsi="Cambria Math" w:cs="Times New Roman"/>
                <w:iCs/>
                <w:sz w:val="22"/>
                <w:szCs w:val="24"/>
              </w:rPr>
            </m:ctrlPr>
          </m:sSubPr>
          <m:e>
            <m:r>
              <m:rPr>
                <m:nor/>
              </m:rPr>
              <w:rPr>
                <w:rFonts w:ascii="Cambria Math" w:eastAsia="Microsoft YaHei" w:hAnsi="Cambria Math" w:cs="Times New Roman" w:hint="eastAsia"/>
                <w:iCs/>
                <w:sz w:val="22"/>
                <w:szCs w:val="24"/>
              </w:rPr>
              <m:t>Controls</m:t>
            </m:r>
            <m:ctrlPr>
              <w:rPr>
                <w:rFonts w:ascii="Cambria Math" w:eastAsia="Microsoft YaHei" w:hAnsi="Cambria Math" w:cs="Times New Roman" w:hint="eastAsia"/>
                <w:iCs/>
                <w:sz w:val="22"/>
                <w:szCs w:val="24"/>
              </w:rPr>
            </m:ctrlPr>
          </m:e>
          <m:sub>
            <m:r>
              <m:rPr>
                <m:sty m:val="p"/>
              </m:rPr>
              <w:rPr>
                <w:rFonts w:ascii="Cambria Math" w:eastAsia="Microsoft YaHei" w:hAnsi="Cambria Math" w:cs="Times New Roman" w:hint="eastAsia"/>
                <w:sz w:val="22"/>
                <w:szCs w:val="24"/>
              </w:rPr>
              <m:t>it</m:t>
            </m:r>
          </m:sub>
        </m:sSub>
      </m:oMath>
      <w:r w:rsidR="005C542F" w:rsidRPr="005C542F">
        <w:rPr>
          <w:rFonts w:ascii="Times New Roman" w:eastAsia="Microsoft YaHei" w:hAnsi="Times New Roman" w:cs="Times New Roman" w:hint="eastAsia"/>
          <w:sz w:val="22"/>
          <w:szCs w:val="24"/>
        </w:rPr>
        <w:t xml:space="preserve"> denotes a vector of other control variables</w:t>
      </w:r>
      <w:r w:rsidR="005C542F">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All regression equations employ industry-clustered robust standard errors. We consistently include Firm fixed effects (</w:t>
      </w:r>
      <m:oMath>
        <m:sSub>
          <m:sSubPr>
            <m:ctrlPr>
              <w:rPr>
                <w:rFonts w:ascii="Cambria Math" w:eastAsia="Microsoft YaHei" w:hAnsi="Cambria Math" w:cs="Times New Roman"/>
                <w:sz w:val="22"/>
                <w:szCs w:val="24"/>
              </w:rPr>
            </m:ctrlPr>
          </m:sSubPr>
          <m:e>
            <m:r>
              <m:rPr>
                <m:sty m:val="p"/>
              </m:rPr>
              <w:rPr>
                <w:rFonts w:ascii="Cambria Math" w:eastAsia="Microsoft YaHei" w:hAnsi="Cambria Math" w:cs="Times New Roman"/>
                <w:sz w:val="22"/>
                <w:szCs w:val="24"/>
              </w:rPr>
              <m:t>λ</m:t>
            </m:r>
          </m:e>
          <m:sub>
            <m:r>
              <m:rPr>
                <m:sty m:val="p"/>
              </m:rPr>
              <w:rPr>
                <w:rFonts w:ascii="Cambria Math" w:eastAsia="Microsoft YaHei" w:hAnsi="Cambria Math" w:cs="Times New Roman"/>
                <w:sz w:val="22"/>
                <w:szCs w:val="24"/>
              </w:rPr>
              <m:t>i</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w:t>
      </w:r>
      <w:r w:rsidR="00505009" w:rsidRPr="00505009">
        <w:rPr>
          <w:rFonts w:ascii="Times New Roman" w:eastAsia="Microsoft YaHei" w:hAnsi="Times New Roman" w:cs="Times New Roman" w:hint="eastAsia"/>
          <w:sz w:val="22"/>
          <w:szCs w:val="24"/>
        </w:rPr>
        <w:t>ndustry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ind</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j</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y</w:t>
      </w:r>
      <w:r w:rsidR="00505009" w:rsidRPr="00505009">
        <w:rPr>
          <w:rFonts w:ascii="Times New Roman" w:eastAsia="Microsoft YaHei" w:hAnsi="Times New Roman" w:cs="Times New Roman" w:hint="eastAsia"/>
          <w:sz w:val="22"/>
          <w:szCs w:val="24"/>
        </w:rPr>
        <w:t>ear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year</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t</m:t>
            </m:r>
          </m:sub>
        </m:sSub>
      </m:oMath>
      <w:r w:rsidR="00505009" w:rsidRPr="00505009">
        <w:rPr>
          <w:rFonts w:ascii="Times New Roman" w:eastAsia="Microsoft YaHei" w:hAnsi="Times New Roman" w:cs="Times New Roman" w:hint="eastAsia"/>
          <w:sz w:val="22"/>
          <w:szCs w:val="24"/>
        </w:rPr>
        <w:t>)</w:t>
      </w:r>
      <w:r w:rsidR="00505009">
        <w:rPr>
          <w:rFonts w:ascii="Times New Roman" w:eastAsia="Microsoft YaHei" w:hAnsi="Times New Roman" w:cs="Times New Roman" w:hint="eastAsia"/>
          <w:sz w:val="22"/>
          <w:szCs w:val="24"/>
        </w:rPr>
        <w:t>,</w:t>
      </w:r>
      <w:r w:rsidR="00E86B17">
        <w:rPr>
          <w:rFonts w:ascii="Times New Roman" w:eastAsia="Microsoft YaHei" w:hAnsi="Times New Roman" w:cs="Times New Roman"/>
          <w:sz w:val="22"/>
          <w:szCs w:val="24"/>
        </w:rPr>
        <w:t xml:space="preserve"> p</w:t>
      </w:r>
      <w:r w:rsidR="00505009" w:rsidRPr="00505009">
        <w:rPr>
          <w:rFonts w:ascii="Times New Roman" w:eastAsia="Microsoft YaHei" w:hAnsi="Times New Roman" w:cs="Times New Roman" w:hint="eastAsia"/>
          <w:sz w:val="22"/>
          <w:szCs w:val="24"/>
        </w:rPr>
        <w:t>rovince fixed effects (</w:t>
      </w:r>
      <m:oMath>
        <m:sSub>
          <m:sSubPr>
            <m:ctrlPr>
              <w:rPr>
                <w:rFonts w:ascii="Cambria Math" w:eastAsia="Microsoft YaHei" w:hAnsi="Cambria Math" w:cs="Times New Roman"/>
                <w:i/>
                <w:sz w:val="22"/>
                <w:szCs w:val="24"/>
              </w:rPr>
            </m:ctrlPr>
          </m:sSubPr>
          <m:e>
            <m:r>
              <m:rPr>
                <m:nor/>
              </m:rPr>
              <w:rPr>
                <w:rFonts w:ascii="Cambria Math" w:eastAsia="Microsoft YaHei" w:hAnsi="Cambria Math" w:cs="Times New Roman" w:hint="eastAsia"/>
                <w:sz w:val="22"/>
                <w:szCs w:val="24"/>
              </w:rPr>
              <m:t>prov</m:t>
            </m:r>
            <m:ctrlPr>
              <w:rPr>
                <w:rFonts w:ascii="Cambria Math" w:eastAsia="Microsoft YaHei" w:hAnsi="Cambria Math" w:cs="Times New Roman" w:hint="eastAsia"/>
                <w:sz w:val="22"/>
                <w:szCs w:val="24"/>
              </w:rPr>
            </m:ctrlPr>
          </m:e>
          <m:sub>
            <m:r>
              <w:rPr>
                <w:rFonts w:ascii="Cambria Math" w:eastAsia="Microsoft YaHei" w:hAnsi="Cambria Math" w:cs="Times New Roman" w:hint="eastAsia"/>
                <w:sz w:val="22"/>
                <w:szCs w:val="24"/>
              </w:rPr>
              <m:t>k</m:t>
            </m:r>
          </m:sub>
        </m:sSub>
      </m:oMath>
      <w:r w:rsidR="00505009" w:rsidRPr="00505009">
        <w:rPr>
          <w:rFonts w:ascii="Times New Roman" w:eastAsia="Microsoft YaHei" w:hAnsi="Times New Roman" w:cs="Times New Roman" w:hint="eastAsia"/>
          <w:sz w:val="22"/>
          <w:szCs w:val="24"/>
        </w:rPr>
        <w:t>) in all specifications</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 xml:space="preserve">to mitigate omitted variable bias, with </w:t>
      </w:r>
      <m:oMath>
        <m:sSub>
          <m:sSubPr>
            <m:ctrlPr>
              <w:rPr>
                <w:rFonts w:ascii="Cambria Math" w:eastAsia="Microsoft YaHei" w:hAnsi="Cambria Math" w:cs="Times New Roman"/>
                <w:i/>
                <w:sz w:val="22"/>
                <w:szCs w:val="24"/>
              </w:rPr>
            </m:ctrlPr>
          </m:sSubPr>
          <m:e>
            <m:r>
              <m:rPr>
                <m:sty m:val="p"/>
              </m:rPr>
              <w:rPr>
                <w:rFonts w:ascii="Cambria Math" w:eastAsia="Microsoft YaHei" w:hAnsi="Cambria Math" w:cs="Times New Roman"/>
                <w:sz w:val="22"/>
                <w:szCs w:val="24"/>
              </w:rPr>
              <m:t>ε</m:t>
            </m:r>
            <m:ctrlPr>
              <w:rPr>
                <w:rFonts w:ascii="Cambria Math" w:eastAsia="Microsoft YaHei" w:hAnsi="Cambria Math" w:cs="Times New Roman"/>
                <w:sz w:val="22"/>
                <w:szCs w:val="24"/>
              </w:rPr>
            </m:ctrlPr>
          </m:e>
          <m:sub>
            <m:r>
              <w:rPr>
                <w:rFonts w:ascii="Cambria Math" w:eastAsia="Microsoft YaHei" w:hAnsi="Cambria Math" w:cs="Times New Roman" w:hint="eastAsia"/>
                <w:sz w:val="22"/>
                <w:szCs w:val="24"/>
              </w:rPr>
              <m:t>it</m:t>
            </m:r>
          </m:sub>
        </m:sSub>
      </m:oMath>
      <w:r w:rsidR="00505009" w:rsidRPr="00505009">
        <w:rPr>
          <w:rFonts w:ascii="Times New Roman" w:eastAsia="Microsoft YaHei" w:hAnsi="Times New Roman" w:cs="Times New Roman" w:hint="eastAsia"/>
          <w:sz w:val="22"/>
          <w:szCs w:val="24"/>
        </w:rPr>
        <w:t xml:space="preserve"> denoting the error term.</w:t>
      </w:r>
      <w:r w:rsidR="00505009">
        <w:rPr>
          <w:rFonts w:ascii="Times New Roman" w:eastAsia="Microsoft YaHei" w:hAnsi="Times New Roman" w:cs="Times New Roman" w:hint="eastAsia"/>
          <w:sz w:val="22"/>
          <w:szCs w:val="24"/>
        </w:rPr>
        <w:t xml:space="preserve"> </w:t>
      </w:r>
      <w:r w:rsidR="00505009" w:rsidRPr="00505009">
        <w:rPr>
          <w:rFonts w:ascii="Times New Roman" w:eastAsia="Microsoft YaHei" w:hAnsi="Times New Roman" w:cs="Times New Roman" w:hint="eastAsia"/>
          <w:sz w:val="22"/>
          <w:szCs w:val="24"/>
        </w:rPr>
        <w:t>In robustness checks, we construct an industry pollution emission increment indicator to identify heterogeneous responses to the EPTL across industries, thereby further examining the tax law's effect on environmental performance enhancement.</w:t>
      </w:r>
    </w:p>
    <w:p w14:paraId="027E911A"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results of the double difference model are valid under the assumption that the parallel trends between the treatment and control groups are established and the timing of the policy is certain. Therefore, in the empirical analysis, we adopt the event study method to test the differences between the treatment and control groups before the policy began, and to verify the uniqueness of the policy timing, confirming that there was no policy effect prior to 2018. The method for testing the parallel trend is as follows:</w:t>
      </w:r>
    </w:p>
    <w:p w14:paraId="4C9148FE" w14:textId="498E965D" w:rsidR="009C3784" w:rsidRDefault="00D95DA7">
      <w:pPr>
        <w:ind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w:lastRenderedPageBreak/>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0</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k</m:t>
              </m:r>
            </m:sub>
          </m:sSub>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m:t>
              </m:r>
            </m:e>
            <m:sub>
              <m:r>
                <w:rPr>
                  <w:rFonts w:ascii="Cambria Math" w:eastAsia="SimSun" w:hAnsi="Cambria Math" w:cs="Times New Roman"/>
                  <w:sz w:val="22"/>
                  <w:szCs w:val="24"/>
                </w:rPr>
                <m:t>it</m:t>
              </m:r>
            </m:sub>
          </m:sSub>
          <m:sSub>
            <m:sSubPr>
              <m:ctrlPr>
                <w:rPr>
                  <w:rFonts w:ascii="Cambria Math" w:eastAsia="SimSun" w:hAnsi="Cambria Math" w:cs="Times New Roman"/>
                  <w:sz w:val="22"/>
                  <w:szCs w:val="24"/>
                </w:rPr>
              </m:ctrlPr>
            </m:sSubPr>
            <m:e>
              <m:r>
                <m:rPr>
                  <m:sty m:val="p"/>
                </m:rPr>
                <w:rPr>
                  <w:rFonts w:ascii="Cambria Math" w:eastAsia="SimSun" w:hAnsi="Cambria Math" w:cs="Times New Roman"/>
                  <w:sz w:val="22"/>
                  <w:szCs w:val="24"/>
                </w:rPr>
                <m:t>+</m:t>
              </m:r>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w:bookmarkStart w:id="3" w:name="_Hlk117589312"/>
                  <m:r>
                    <w:rPr>
                      <w:rFonts w:ascii="Cambria Math" w:eastAsia="SimSun" w:hAnsi="Cambria Math" w:cs="Times New Roman"/>
                      <w:sz w:val="22"/>
                      <w:szCs w:val="24"/>
                    </w:rPr>
                    <m:t>j</m:t>
                  </m:r>
                  <w:bookmarkEnd w:id="3"/>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w:rPr>
              <w:rFonts w:ascii="Cambria Math" w:eastAsia="SimSun" w:hAnsi="Cambria Math" w:cs="Times New Roman"/>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w:rPr>
              <w:rFonts w:ascii="Cambria Math" w:eastAsia="SimSun" w:hAnsi="Cambria Math" w:cs="Times New Roman" w:hint="eastAsia"/>
              <w:sz w:val="22"/>
              <w:szCs w:val="24"/>
            </w:rPr>
            <m:t>+</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7CAA1B1A" w14:textId="6F0F7585" w:rsidR="009C3784" w:rsidRDefault="0042730B" w:rsidP="0042730B">
      <w:pPr>
        <w:rPr>
          <w:rFonts w:ascii="Times New Roman" w:eastAsia="SimSun" w:hAnsi="Times New Roman" w:cs="Times New Roman"/>
          <w:sz w:val="22"/>
          <w:szCs w:val="24"/>
        </w:rPr>
      </w:pPr>
      <w:r>
        <w:rPr>
          <w:rFonts w:ascii="Times New Roman" w:eastAsia="Microsoft YaHei" w:hAnsi="Times New Roman" w:cs="Times New Roman"/>
          <w:sz w:val="22"/>
          <w:szCs w:val="24"/>
        </w:rPr>
        <w:t xml:space="preserve">where </w:t>
      </w:r>
      <w:r w:rsidR="00595421" w:rsidRPr="00595421">
        <w:rPr>
          <w:rFonts w:ascii="Times New Roman" w:eastAsia="Microsoft YaHei" w:hAnsi="Times New Roman" w:cs="Times New Roman" w:hint="eastAsia"/>
          <w:i/>
          <w:sz w:val="22"/>
          <w:szCs w:val="24"/>
        </w:rPr>
        <w:t>k</w:t>
      </w:r>
      <w:r w:rsidR="00595421">
        <w:rPr>
          <w:rFonts w:ascii="Times New Roman" w:eastAsia="Microsoft YaHei" w:hAnsi="Times New Roman" w:cs="Times New Roman"/>
          <w:sz w:val="22"/>
          <w:szCs w:val="24"/>
        </w:rPr>
        <w:t xml:space="preserve"> </w:t>
      </w:r>
      <w:r w:rsidR="00595421">
        <w:rPr>
          <w:rFonts w:ascii="Times New Roman" w:eastAsia="Microsoft YaHei" w:hAnsi="Times New Roman" w:cs="Times New Roman" w:hint="eastAsia"/>
          <w:sz w:val="22"/>
          <w:szCs w:val="24"/>
        </w:rPr>
        <w:t>is</w:t>
      </w:r>
      <w:r w:rsidR="00595421">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the difference between each year and 2018</w:t>
      </w:r>
      <w:r w:rsidR="00595421">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 xml:space="preserve"> </w:t>
      </w:r>
      <m:oMath>
        <m:r>
          <w:rPr>
            <w:rFonts w:ascii="Cambria Math" w:eastAsia="SimSun" w:hAnsi="Cambria Math" w:cs="Times New Roman"/>
            <w:sz w:val="22"/>
            <w:szCs w:val="24"/>
          </w:rPr>
          <m:t>E</m:t>
        </m:r>
        <m:sSubSup>
          <m:sSubSupPr>
            <m:ctrlPr>
              <w:rPr>
                <w:rFonts w:ascii="Cambria Math" w:eastAsia="SimSun" w:hAnsi="Cambria Math" w:cs="Times New Roman"/>
                <w:sz w:val="22"/>
                <w:szCs w:val="24"/>
              </w:rPr>
            </m:ctrlPr>
          </m:sSubSupPr>
          <m:e>
            <m:r>
              <w:rPr>
                <w:rFonts w:ascii="Cambria Math" w:eastAsia="SimSun" w:hAnsi="Cambria Math" w:cs="Times New Roman"/>
                <w:sz w:val="22"/>
                <w:szCs w:val="24"/>
              </w:rPr>
              <m:t>T</m:t>
            </m:r>
          </m:e>
          <m:sub>
            <m:r>
              <w:rPr>
                <w:rFonts w:ascii="Cambria Math" w:eastAsia="SimSun" w:hAnsi="Cambria Math" w:cs="Times New Roman"/>
                <w:sz w:val="22"/>
                <w:szCs w:val="24"/>
              </w:rPr>
              <m:t>it</m:t>
            </m:r>
          </m:sub>
          <m:sup>
            <m:r>
              <w:rPr>
                <w:rFonts w:ascii="Cambria Math" w:eastAsia="SimSun" w:hAnsi="Cambria Math" w:cs="Times New Roman"/>
                <w:sz w:val="22"/>
                <w:szCs w:val="24"/>
              </w:rPr>
              <m:t>k</m:t>
            </m:r>
          </m:sup>
        </m:sSubSup>
      </m:oMath>
      <w:r w:rsidR="00D95DA7">
        <w:rPr>
          <w:rFonts w:ascii="Times New Roman" w:eastAsia="Microsoft YaHei" w:hAnsi="Times New Roman" w:cs="Times New Roman" w:hint="eastAsia"/>
          <w:sz w:val="22"/>
          <w:szCs w:val="24"/>
        </w:rPr>
        <w:t xml:space="preserve">indicates the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in a specific year. The rest of the model is the same as the previous one. This paper takes the year when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was formally implemented in 2018 as the base period to examine the parallel trend and the dynamic time change of policy effects</w:t>
      </w:r>
    </w:p>
    <w:p w14:paraId="24DEBBB1" w14:textId="52D48040"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3</w:t>
      </w:r>
      <w:r w:rsidR="00D95DA7">
        <w:rPr>
          <w:rFonts w:ascii="Times New Roman" w:eastAsia="Microsoft YaHei" w:hAnsi="Times New Roman" w:cs="Times New Roman" w:hint="eastAsia"/>
          <w:b/>
          <w:bCs/>
          <w:szCs w:val="28"/>
        </w:rPr>
        <w:t>.2Index construction</w:t>
      </w:r>
    </w:p>
    <w:p w14:paraId="0FD349E6" w14:textId="77777777" w:rsidR="009C3784" w:rsidRDefault="00D95DA7">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sz w:val="22"/>
          <w:szCs w:val="24"/>
        </w:rPr>
        <w:t>1. Core explained variables.</w:t>
      </w:r>
    </w:p>
    <w:p w14:paraId="37C6B2CE" w14:textId="546EB9DF"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article primarily examines the impact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corporate environmental performance. Current methods for identifying environmental performance include: first, using the pollutant emission method, which primarily measures a company's pollution intensity. However, this method is subject to subjective selection of pollutants and challenges in data collection; second, using the environmental indicator evaluation method, which involves constructing an environmental performance index system to score and assess a company's environmental performance level. This method also suffers from subjectivity in index construction and weight measurement, making it difficult to accurately capture a company's true environmental performance.</w:t>
      </w:r>
    </w:p>
    <w:p w14:paraId="5CC64FCB" w14:textId="7C9AA443"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Given the numerous issues with the aforementioned methods, this paper adopts the ecological benefit method to measure corporate environmental performance. This method reflects a company's environmental performance by measuring the economic benefits of its environmental contributions, including the output of products or services. A higher value of this indicator indicates better environmental performance. In this paper, environmental protection expenditure is used as a proxy for a company's environmental contribution, with the measurement method following </w:t>
      </w:r>
      <w:r w:rsidR="00617508" w:rsidRPr="00617508">
        <w:rPr>
          <w:rFonts w:ascii="Times New Roman" w:eastAsia="Microsoft YaHei" w:hAnsi="Times New Roman" w:cs="Times New Roman" w:hint="eastAsia"/>
          <w:sz w:val="22"/>
          <w:szCs w:val="24"/>
        </w:rPr>
        <w:t>Hanif et al. (2023)</w:t>
      </w:r>
      <w:r>
        <w:rPr>
          <w:rFonts w:ascii="Times New Roman" w:eastAsia="Microsoft YaHei" w:hAnsi="Times New Roman" w:cs="Times New Roman" w:hint="eastAsia"/>
          <w:sz w:val="22"/>
          <w:szCs w:val="24"/>
        </w:rPr>
        <w:t>. For economic benefits, this paper draws on existing literature and uses the company's total operating revenue to reflect its business performance (</w:t>
      </w:r>
      <w:r w:rsidR="00617508" w:rsidRPr="00617508">
        <w:rPr>
          <w:rFonts w:ascii="Times New Roman" w:eastAsia="Microsoft YaHei" w:hAnsi="Times New Roman" w:cs="Times New Roman" w:hint="eastAsia"/>
          <w:sz w:val="22"/>
          <w:szCs w:val="24"/>
        </w:rPr>
        <w:t>Boubaker et al.</w:t>
      </w:r>
      <w:r w:rsidR="00617508">
        <w:rPr>
          <w:rFonts w:ascii="Times New Roman" w:eastAsia="Microsoft YaHei" w:hAnsi="Times New Roman" w:cs="Times New Roman" w:hint="eastAsia"/>
          <w:sz w:val="22"/>
          <w:szCs w:val="24"/>
        </w:rPr>
        <w:t>,</w:t>
      </w:r>
      <w:r w:rsidR="00595421">
        <w:rPr>
          <w:rFonts w:ascii="Times New Roman" w:eastAsia="Microsoft YaHei" w:hAnsi="Times New Roman" w:cs="Times New Roman"/>
          <w:sz w:val="22"/>
          <w:szCs w:val="24"/>
        </w:rPr>
        <w:t xml:space="preserve"> </w:t>
      </w:r>
      <w:r w:rsidR="00617508" w:rsidRPr="00617508">
        <w:rPr>
          <w:rFonts w:ascii="Times New Roman" w:eastAsia="Microsoft YaHei" w:hAnsi="Times New Roman" w:cs="Times New Roman" w:hint="eastAsia"/>
          <w:sz w:val="22"/>
          <w:szCs w:val="24"/>
        </w:rPr>
        <w:t>2024</w:t>
      </w:r>
      <w:r>
        <w:rPr>
          <w:rFonts w:ascii="Times New Roman" w:eastAsia="Microsoft YaHei" w:hAnsi="Times New Roman" w:cs="Times New Roman" w:hint="eastAsia"/>
          <w:sz w:val="22"/>
          <w:szCs w:val="24"/>
        </w:rPr>
        <w:t>). Environmental performance is measured by the ratio of the company's economic benefits to its environmental contributions. Both the economic benefits and environmental contributions are logarithmically transformed in this paper. In the robustness test, the company's total factor productivity is used as a proxy for business performance.</w:t>
      </w:r>
    </w:p>
    <w:p w14:paraId="3EEFF91C"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 Core explanatory variables.</w:t>
      </w:r>
    </w:p>
    <w:p w14:paraId="17348343"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time point of environmental protection fee reform to tax is January 1, 2018. Based on the existing research, this paper takes 2018 as the starting period of the event, and takes heavy polluting enterprises as the experimental group and non-heavy polluting enterprises as the control group to evaluate the policy effect of the implementation of environmental protection tax.</w:t>
      </w:r>
    </w:p>
    <w:p w14:paraId="549C5DE2" w14:textId="77777777" w:rsidR="009C3784" w:rsidRPr="007C10D5" w:rsidRDefault="00D95DA7">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 Control variables</w:t>
      </w:r>
    </w:p>
    <w:p w14:paraId="0DCA77F4" w14:textId="77777777" w:rsidR="009C3784" w:rsidRDefault="00D95DA7">
      <w:pPr>
        <w:ind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existing research, the control variables selected in this study include: company size (Size), measured by taking the natural logarithm of total assets used over the year. The Tobinq value (Tobinq) is calculated using the formula (circulating market value + non-circulating shares * net asset value per share + book value of liabilities) / total assets. The debt-to-asset ratio (Lev) is measured by dividing the total liabilities at the end of the year by the total assets at the end of the year. The revenue growth rate (Growth) is measured by dividing the increase in revenue by the total revenue of the previous year minus 1. The cash flow ratio (Cashflow) is measured by dividing the net cash flow from operating activities by total assets. The debt-to-asset ratio (Lev) is measured by dividing the total liabilities at the end of the year by the total assets at the end of the year. The return on total assets (Roa) is measured by dividing net profit by the average balance of total assets.</w:t>
      </w:r>
    </w:p>
    <w:p w14:paraId="2B687EBE" w14:textId="33868352"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3</w:t>
      </w:r>
      <w:r w:rsidR="00D95DA7">
        <w:rPr>
          <w:rFonts w:ascii="Times New Roman" w:eastAsia="Microsoft YaHei" w:hAnsi="Times New Roman" w:cs="Times New Roman" w:hint="eastAsia"/>
          <w:b/>
          <w:bCs/>
          <w:szCs w:val="28"/>
        </w:rPr>
        <w:t>.3 Data sources and descriptive statistics</w:t>
      </w:r>
    </w:p>
    <w:p w14:paraId="62D31437" w14:textId="04EB8887" w:rsidR="009C3784" w:rsidRDefault="00D95DA7">
      <w:pPr>
        <w:ind w:firstLineChars="200" w:firstLine="440"/>
        <w:jc w:val="left"/>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To maintain the symmetry of the window period, this study uses A-share listed companies from 2016 to 2019 as the research sample. The sample is processed as follows: (1) financial and real estate samples with </w:t>
      </w:r>
      <w:r>
        <w:rPr>
          <w:rFonts w:ascii="Times New Roman" w:eastAsia="Microsoft YaHei" w:hAnsi="Times New Roman" w:cs="Times New Roman" w:hint="eastAsia"/>
          <w:sz w:val="22"/>
          <w:szCs w:val="24"/>
        </w:rPr>
        <w:lastRenderedPageBreak/>
        <w:t xml:space="preserve">financial attributes are excluded; (2) ST, PT, and delisted samples are excluded; (3) samples with cross-listing on both A-shares and H-shares are excluded; (4) samples with missing key variables are excluded; (5) environmental protection expenditures are categorized into asset expenditures and expense expenditures, where asset expenditures are derived from the detailed construction in progress section of the financial statements, and expense expenditures are derived from the detailed management expenses section. The basic characteristics and financial data of listed companies are sourced from the </w:t>
      </w:r>
      <w:r w:rsidR="00162214" w:rsidRPr="00162214">
        <w:rPr>
          <w:rFonts w:ascii="Times New Roman" w:eastAsia="Microsoft YaHei" w:hAnsi="Times New Roman" w:cs="Times New Roman" w:hint="eastAsia"/>
          <w:sz w:val="22"/>
          <w:szCs w:val="24"/>
        </w:rPr>
        <w:t>China Stock Market &amp; Accounting Research Database</w:t>
      </w:r>
      <w:r w:rsidR="00162214">
        <w:rPr>
          <w:rFonts w:ascii="Times New Roman" w:eastAsia="Microsoft YaHei" w:hAnsi="Times New Roman" w:cs="Times New Roman" w:hint="eastAsia"/>
          <w:sz w:val="22"/>
          <w:szCs w:val="24"/>
        </w:rPr>
        <w:t xml:space="preserve"> (</w:t>
      </w:r>
      <w:r w:rsidR="00D922FB" w:rsidRPr="00D922FB">
        <w:rPr>
          <w:rFonts w:ascii="Times New Roman" w:eastAsia="Microsoft YaHei" w:hAnsi="Times New Roman" w:cs="Times New Roman" w:hint="eastAsia"/>
          <w:sz w:val="22"/>
          <w:szCs w:val="24"/>
        </w:rPr>
        <w:t>CSMAR Database</w:t>
      </w:r>
      <w:r w:rsidR="00162214">
        <w:rPr>
          <w:rFonts w:ascii="Times New Roman" w:eastAsia="Microsoft YaHei" w:hAnsi="Times New Roman" w:cs="Times New Roman" w:hint="eastAsia"/>
          <w:sz w:val="22"/>
          <w:szCs w:val="24"/>
        </w:rPr>
        <w:t>)</w:t>
      </w:r>
      <w:r w:rsidR="00D922FB" w:rsidRPr="00D922FB">
        <w:rPr>
          <w:rFonts w:ascii="Times New Roman" w:eastAsia="Microsoft YaHei" w:hAnsi="Times New Roman" w:cs="Times New Roman" w:hint="eastAsia"/>
          <w:sz w:val="22"/>
          <w:szCs w:val="24"/>
        </w:rPr>
        <w:t xml:space="preserve"> </w:t>
      </w:r>
      <w:r>
        <w:rPr>
          <w:rFonts w:ascii="Times New Roman" w:eastAsia="Microsoft YaHei" w:hAnsi="Times New Roman" w:cs="Times New Roman" w:hint="eastAsia"/>
          <w:sz w:val="22"/>
          <w:szCs w:val="24"/>
        </w:rPr>
        <w:t xml:space="preserve">and the Wind Database. Industry classification data is sourced from the </w:t>
      </w:r>
      <w:r w:rsidR="00D922FB">
        <w:rPr>
          <w:rFonts w:ascii="Times New Roman" w:eastAsia="Microsoft YaHei" w:hAnsi="Times New Roman" w:cs="Times New Roman" w:hint="eastAsia"/>
          <w:sz w:val="22"/>
          <w:szCs w:val="24"/>
        </w:rPr>
        <w:t>Shenwan Hongyuan Securities Co., Ltd.</w:t>
      </w:r>
      <w:r>
        <w:rPr>
          <w:rFonts w:ascii="Times New Roman" w:eastAsia="Microsoft YaHei" w:hAnsi="Times New Roman" w:cs="Times New Roman" w:hint="eastAsia"/>
          <w:sz w:val="22"/>
          <w:szCs w:val="24"/>
        </w:rPr>
        <w:t xml:space="preserve"> website, and regional data is sourced from the China Statistical Yearbook, China Urban Statistical Yearbook, and the </w:t>
      </w:r>
      <w:r w:rsidR="00595421" w:rsidRPr="00595421">
        <w:rPr>
          <w:rFonts w:ascii="Times New Roman" w:eastAsia="Microsoft YaHei" w:hAnsi="Times New Roman" w:cs="Times New Roman"/>
          <w:sz w:val="22"/>
          <w:szCs w:val="24"/>
        </w:rPr>
        <w:t>Chinese Research Data Services Platform</w:t>
      </w:r>
      <w:r w:rsidR="00595421" w:rsidRPr="00595421">
        <w:rPr>
          <w:rFonts w:ascii="Times New Roman" w:eastAsia="Microsoft YaHei" w:hAnsi="Times New Roman" w:cs="Times New Roman" w:hint="eastAsia"/>
          <w:sz w:val="22"/>
          <w:szCs w:val="24"/>
        </w:rPr>
        <w:t xml:space="preserve"> </w:t>
      </w:r>
      <w:r w:rsidR="003C297B">
        <w:rPr>
          <w:rFonts w:ascii="Times New Roman" w:eastAsia="Microsoft YaHei" w:hAnsi="Times New Roman" w:cs="Times New Roman" w:hint="eastAsia"/>
          <w:sz w:val="22"/>
          <w:szCs w:val="24"/>
        </w:rPr>
        <w:t>(</w:t>
      </w:r>
      <w:r>
        <w:rPr>
          <w:rFonts w:ascii="Times New Roman" w:eastAsia="Microsoft YaHei" w:hAnsi="Times New Roman" w:cs="Times New Roman" w:hint="eastAsia"/>
          <w:sz w:val="22"/>
          <w:szCs w:val="24"/>
        </w:rPr>
        <w:t>CNRDS</w:t>
      </w:r>
      <w:r w:rsidR="003C297B">
        <w:rPr>
          <w:rFonts w:ascii="Times New Roman" w:eastAsia="Microsoft YaHei" w:hAnsi="Times New Roman" w:cs="Times New Roman"/>
          <w:sz w:val="22"/>
          <w:szCs w:val="24"/>
        </w:rPr>
        <w:t>)</w:t>
      </w:r>
      <w:r>
        <w:rPr>
          <w:rFonts w:ascii="Times New Roman" w:eastAsia="Microsoft YaHei" w:hAnsi="Times New Roman" w:cs="Times New Roman" w:hint="eastAsia"/>
          <w:sz w:val="22"/>
          <w:szCs w:val="24"/>
        </w:rPr>
        <w:t xml:space="preserve"> database. To reduce the impact of outliers on the regression results, all continuous variables are truncated by 1% at both ends.</w:t>
      </w:r>
    </w:p>
    <w:p w14:paraId="56BB6FF9"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 Descriptive statistics of main variables</w:t>
      </w:r>
    </w:p>
    <w:tbl>
      <w:tblPr>
        <w:tblW w:w="5000" w:type="pct"/>
        <w:jc w:val="center"/>
        <w:tblCellMar>
          <w:left w:w="75" w:type="dxa"/>
          <w:right w:w="75" w:type="dxa"/>
        </w:tblCellMar>
        <w:tblLook w:val="04A0" w:firstRow="1" w:lastRow="0" w:firstColumn="1" w:lastColumn="0" w:noHBand="0" w:noVBand="1"/>
      </w:tblPr>
      <w:tblGrid>
        <w:gridCol w:w="2632"/>
        <w:gridCol w:w="1592"/>
        <w:gridCol w:w="1114"/>
        <w:gridCol w:w="1114"/>
        <w:gridCol w:w="1114"/>
        <w:gridCol w:w="1114"/>
        <w:gridCol w:w="958"/>
      </w:tblGrid>
      <w:tr w:rsidR="009C3784" w:rsidRPr="003C297B" w14:paraId="13C4B0ED" w14:textId="77777777">
        <w:trPr>
          <w:jc w:val="center"/>
        </w:trPr>
        <w:tc>
          <w:tcPr>
            <w:tcW w:w="1365" w:type="pct"/>
            <w:tcBorders>
              <w:top w:val="single" w:sz="8" w:space="0" w:color="auto"/>
              <w:left w:val="nil"/>
              <w:bottom w:val="single" w:sz="8" w:space="0" w:color="auto"/>
              <w:right w:val="nil"/>
            </w:tcBorders>
          </w:tcPr>
          <w:p w14:paraId="6FC3962B"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bookmarkStart w:id="4" w:name="_Hlk117445323"/>
            <w:r w:rsidRPr="003C297B">
              <w:rPr>
                <w:rFonts w:ascii="Times New Roman" w:eastAsia="Microsoft YaHei" w:hAnsi="Times New Roman" w:cs="Times New Roman" w:hint="eastAsia"/>
                <w:kern w:val="0"/>
                <w:sz w:val="18"/>
                <w:szCs w:val="20"/>
              </w:rPr>
              <w:t>Variable name</w:t>
            </w:r>
            <w:bookmarkEnd w:id="4"/>
          </w:p>
        </w:tc>
        <w:tc>
          <w:tcPr>
            <w:tcW w:w="826" w:type="pct"/>
            <w:tcBorders>
              <w:top w:val="single" w:sz="8" w:space="0" w:color="auto"/>
              <w:left w:val="nil"/>
              <w:bottom w:val="single" w:sz="8" w:space="0" w:color="auto"/>
              <w:right w:val="nil"/>
            </w:tcBorders>
          </w:tcPr>
          <w:p w14:paraId="3D64F358" w14:textId="2CB9B210"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Simple size</w:t>
            </w:r>
            <w:r w:rsidRPr="003C297B">
              <w:rPr>
                <w:rFonts w:ascii="Times New Roman" w:eastAsia="Microsoft YaHei" w:hAnsi="Times New Roman" w:cs="Times New Roman" w:hint="eastAsia"/>
                <w:sz w:val="18"/>
                <w:szCs w:val="20"/>
              </w:rPr>
              <w:t xml:space="preserve"> </w:t>
            </w:r>
          </w:p>
        </w:tc>
        <w:tc>
          <w:tcPr>
            <w:tcW w:w="578" w:type="pct"/>
            <w:tcBorders>
              <w:top w:val="single" w:sz="8" w:space="0" w:color="auto"/>
              <w:left w:val="nil"/>
              <w:bottom w:val="single" w:sz="8" w:space="0" w:color="auto"/>
              <w:right w:val="nil"/>
            </w:tcBorders>
          </w:tcPr>
          <w:p w14:paraId="64D85D65" w14:textId="37601BE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ean </w:t>
            </w:r>
          </w:p>
        </w:tc>
        <w:tc>
          <w:tcPr>
            <w:tcW w:w="578" w:type="pct"/>
            <w:tcBorders>
              <w:top w:val="single" w:sz="8" w:space="0" w:color="auto"/>
              <w:left w:val="nil"/>
              <w:bottom w:val="single" w:sz="8" w:space="0" w:color="auto"/>
              <w:right w:val="nil"/>
            </w:tcBorders>
          </w:tcPr>
          <w:p w14:paraId="5B83D125" w14:textId="305B95F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M</w:t>
            </w:r>
            <w:r w:rsidRPr="003C297B">
              <w:rPr>
                <w:rFonts w:ascii="Times New Roman" w:eastAsia="Microsoft YaHei" w:hAnsi="Times New Roman" w:cs="Times New Roman" w:hint="eastAsia"/>
                <w:sz w:val="18"/>
                <w:szCs w:val="20"/>
              </w:rPr>
              <w:t xml:space="preserve">edian </w:t>
            </w:r>
          </w:p>
        </w:tc>
        <w:tc>
          <w:tcPr>
            <w:tcW w:w="578" w:type="pct"/>
            <w:tcBorders>
              <w:top w:val="single" w:sz="8" w:space="0" w:color="auto"/>
              <w:left w:val="nil"/>
              <w:bottom w:val="single" w:sz="8" w:space="0" w:color="auto"/>
              <w:right w:val="nil"/>
            </w:tcBorders>
          </w:tcPr>
          <w:p w14:paraId="6AFB5008" w14:textId="0C60922B"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sz w:val="18"/>
                <w:szCs w:val="20"/>
              </w:rPr>
              <w:t xml:space="preserve"> </w:t>
            </w:r>
            <w:r w:rsidR="003C297B">
              <w:rPr>
                <w:rFonts w:ascii="Times New Roman" w:eastAsia="Microsoft YaHei" w:hAnsi="Times New Roman" w:cs="Times New Roman"/>
                <w:sz w:val="18"/>
                <w:szCs w:val="20"/>
              </w:rPr>
              <w:t>S</w:t>
            </w:r>
            <w:r w:rsidRPr="003C297B">
              <w:rPr>
                <w:rFonts w:ascii="Times New Roman" w:eastAsia="Microsoft YaHei" w:hAnsi="Times New Roman" w:cs="Times New Roman" w:hint="eastAsia"/>
                <w:sz w:val="18"/>
                <w:szCs w:val="20"/>
              </w:rPr>
              <w:t xml:space="preserve">tandard </w:t>
            </w:r>
            <w:r w:rsidR="003C297B">
              <w:rPr>
                <w:rFonts w:ascii="Times New Roman" w:eastAsia="Microsoft YaHei" w:hAnsi="Times New Roman" w:cs="Times New Roman"/>
                <w:sz w:val="18"/>
                <w:szCs w:val="20"/>
              </w:rPr>
              <w:t>D</w:t>
            </w:r>
            <w:r w:rsidRPr="003C297B">
              <w:rPr>
                <w:rFonts w:ascii="Times New Roman" w:eastAsia="Microsoft YaHei" w:hAnsi="Times New Roman" w:cs="Times New Roman" w:hint="eastAsia"/>
                <w:sz w:val="18"/>
                <w:szCs w:val="20"/>
              </w:rPr>
              <w:t xml:space="preserve">eviation </w:t>
            </w:r>
          </w:p>
        </w:tc>
        <w:tc>
          <w:tcPr>
            <w:tcW w:w="578" w:type="pct"/>
            <w:tcBorders>
              <w:top w:val="single" w:sz="8" w:space="0" w:color="auto"/>
              <w:left w:val="nil"/>
              <w:bottom w:val="single" w:sz="8" w:space="0" w:color="auto"/>
              <w:right w:val="nil"/>
            </w:tcBorders>
          </w:tcPr>
          <w:p w14:paraId="463A29B5" w14:textId="4B75DC78"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Min</w:t>
            </w:r>
            <w:r w:rsidR="00D95DA7" w:rsidRPr="003C297B">
              <w:rPr>
                <w:rFonts w:ascii="Times New Roman" w:eastAsia="Microsoft YaHei" w:hAnsi="Times New Roman" w:cs="Times New Roman" w:hint="eastAsia"/>
                <w:kern w:val="0"/>
                <w:sz w:val="18"/>
                <w:szCs w:val="20"/>
              </w:rPr>
              <w:t xml:space="preserve"> </w:t>
            </w:r>
          </w:p>
        </w:tc>
        <w:tc>
          <w:tcPr>
            <w:tcW w:w="497" w:type="pct"/>
            <w:tcBorders>
              <w:top w:val="single" w:sz="8" w:space="0" w:color="auto"/>
              <w:left w:val="nil"/>
              <w:bottom w:val="single" w:sz="8" w:space="0" w:color="auto"/>
              <w:right w:val="nil"/>
            </w:tcBorders>
          </w:tcPr>
          <w:p w14:paraId="405EE6AF" w14:textId="57C976C9" w:rsidR="009C3784" w:rsidRPr="003C297B" w:rsidRDefault="003C297B">
            <w:pPr>
              <w:autoSpaceDE w:val="0"/>
              <w:autoSpaceDN w:val="0"/>
              <w:adjustRightInd w:val="0"/>
              <w:jc w:val="center"/>
              <w:rPr>
                <w:rFonts w:ascii="Times New Roman" w:eastAsia="SimSun" w:hAnsi="Times New Roman" w:cs="Times New Roman"/>
                <w:kern w:val="0"/>
                <w:sz w:val="18"/>
                <w:szCs w:val="20"/>
              </w:rPr>
            </w:pPr>
            <w:r>
              <w:rPr>
                <w:rFonts w:ascii="Times New Roman" w:eastAsia="Microsoft YaHei" w:hAnsi="Times New Roman" w:cs="Times New Roman"/>
                <w:kern w:val="0"/>
                <w:sz w:val="18"/>
                <w:szCs w:val="20"/>
              </w:rPr>
              <w:t>Max</w:t>
            </w:r>
          </w:p>
        </w:tc>
      </w:tr>
      <w:tr w:rsidR="009C3784" w:rsidRPr="003C297B" w14:paraId="04320CA6" w14:textId="77777777">
        <w:trPr>
          <w:jc w:val="center"/>
        </w:trPr>
        <w:tc>
          <w:tcPr>
            <w:tcW w:w="1365" w:type="pct"/>
            <w:tcBorders>
              <w:top w:val="single" w:sz="8" w:space="0" w:color="auto"/>
              <w:left w:val="nil"/>
              <w:right w:val="nil"/>
            </w:tcBorders>
          </w:tcPr>
          <w:p w14:paraId="7BC43668" w14:textId="77777777" w:rsidR="009C3784" w:rsidRPr="003C297B" w:rsidRDefault="00D95DA7">
            <w:pPr>
              <w:autoSpaceDE w:val="0"/>
              <w:autoSpaceDN w:val="0"/>
              <w:adjustRightInd w:val="0"/>
              <w:jc w:val="center"/>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Core explanatory variables</w:t>
            </w:r>
          </w:p>
        </w:tc>
        <w:tc>
          <w:tcPr>
            <w:tcW w:w="3635" w:type="pct"/>
            <w:gridSpan w:val="6"/>
            <w:tcBorders>
              <w:top w:val="single" w:sz="8" w:space="0" w:color="auto"/>
              <w:left w:val="nil"/>
              <w:right w:val="nil"/>
            </w:tcBorders>
          </w:tcPr>
          <w:p w14:paraId="31682A78" w14:textId="77777777" w:rsidR="009C3784" w:rsidRPr="003C297B" w:rsidRDefault="009C3784">
            <w:pPr>
              <w:autoSpaceDE w:val="0"/>
              <w:autoSpaceDN w:val="0"/>
              <w:adjustRightInd w:val="0"/>
              <w:jc w:val="center"/>
              <w:rPr>
                <w:rFonts w:ascii="Times New Roman" w:eastAsia="SimSun" w:hAnsi="Times New Roman" w:cs="Times New Roman"/>
                <w:kern w:val="0"/>
                <w:sz w:val="18"/>
                <w:szCs w:val="20"/>
              </w:rPr>
            </w:pPr>
          </w:p>
        </w:tc>
      </w:tr>
      <w:tr w:rsidR="009C3784" w:rsidRPr="003C297B" w14:paraId="37A9C638" w14:textId="77777777">
        <w:trPr>
          <w:jc w:val="center"/>
        </w:trPr>
        <w:tc>
          <w:tcPr>
            <w:tcW w:w="1365" w:type="pct"/>
            <w:tcBorders>
              <w:left w:val="nil"/>
              <w:bottom w:val="single" w:sz="8" w:space="0" w:color="auto"/>
              <w:right w:val="nil"/>
            </w:tcBorders>
          </w:tcPr>
          <w:p w14:paraId="0F1BE19F"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performance (EP)</w:t>
            </w:r>
          </w:p>
        </w:tc>
        <w:tc>
          <w:tcPr>
            <w:tcW w:w="826" w:type="pct"/>
            <w:tcBorders>
              <w:left w:val="nil"/>
              <w:bottom w:val="single" w:sz="8" w:space="0" w:color="auto"/>
              <w:right w:val="nil"/>
            </w:tcBorders>
          </w:tcPr>
          <w:p w14:paraId="3BAB55C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single" w:sz="8" w:space="0" w:color="auto"/>
              <w:right w:val="nil"/>
            </w:tcBorders>
          </w:tcPr>
          <w:p w14:paraId="37064B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1.366</w:t>
            </w:r>
          </w:p>
        </w:tc>
        <w:tc>
          <w:tcPr>
            <w:tcW w:w="578" w:type="pct"/>
            <w:tcBorders>
              <w:left w:val="nil"/>
              <w:bottom w:val="single" w:sz="8" w:space="0" w:color="auto"/>
              <w:right w:val="nil"/>
            </w:tcBorders>
          </w:tcPr>
          <w:p w14:paraId="078DF43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1.358</w:t>
            </w:r>
          </w:p>
        </w:tc>
        <w:tc>
          <w:tcPr>
            <w:tcW w:w="578" w:type="pct"/>
            <w:tcBorders>
              <w:left w:val="nil"/>
              <w:bottom w:val="single" w:sz="8" w:space="0" w:color="auto"/>
              <w:right w:val="nil"/>
            </w:tcBorders>
          </w:tcPr>
          <w:p w14:paraId="6BDD88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0.175</w:t>
            </w:r>
          </w:p>
        </w:tc>
        <w:tc>
          <w:tcPr>
            <w:tcW w:w="578" w:type="pct"/>
            <w:tcBorders>
              <w:left w:val="nil"/>
              <w:bottom w:val="single" w:sz="8" w:space="0" w:color="auto"/>
              <w:right w:val="nil"/>
            </w:tcBorders>
          </w:tcPr>
          <w:p w14:paraId="2CC06BD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0.947</w:t>
            </w:r>
          </w:p>
        </w:tc>
        <w:tc>
          <w:tcPr>
            <w:tcW w:w="497" w:type="pct"/>
            <w:tcBorders>
              <w:left w:val="nil"/>
              <w:bottom w:val="single" w:sz="8" w:space="0" w:color="auto"/>
              <w:right w:val="nil"/>
            </w:tcBorders>
          </w:tcPr>
          <w:p w14:paraId="6CF615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2.285</w:t>
            </w:r>
          </w:p>
        </w:tc>
      </w:tr>
      <w:tr w:rsidR="009C3784" w:rsidRPr="003C297B" w14:paraId="002B9D15" w14:textId="77777777">
        <w:trPr>
          <w:trHeight w:val="35"/>
          <w:jc w:val="center"/>
        </w:trPr>
        <w:tc>
          <w:tcPr>
            <w:tcW w:w="1365" w:type="pct"/>
            <w:tcBorders>
              <w:top w:val="single" w:sz="8" w:space="0" w:color="auto"/>
              <w:left w:val="nil"/>
              <w:right w:val="nil"/>
            </w:tcBorders>
          </w:tcPr>
          <w:p w14:paraId="0726134F" w14:textId="11A2BC88" w:rsidR="009C3784" w:rsidRPr="003C297B" w:rsidRDefault="003C297B">
            <w:pPr>
              <w:autoSpaceDE w:val="0"/>
              <w:autoSpaceDN w:val="0"/>
              <w:adjustRightInd w:val="0"/>
              <w:jc w:val="center"/>
              <w:rPr>
                <w:rFonts w:ascii="Times New Roman" w:eastAsia="SimSun" w:hAnsi="Times New Roman" w:cs="Times New Roman"/>
                <w:b/>
                <w:kern w:val="0"/>
                <w:sz w:val="18"/>
                <w:szCs w:val="20"/>
              </w:rPr>
            </w:pPr>
            <w:r>
              <w:rPr>
                <w:rFonts w:ascii="Times New Roman" w:eastAsia="Microsoft YaHei" w:hAnsi="Times New Roman" w:cs="Times New Roman"/>
                <w:b/>
                <w:kern w:val="0"/>
                <w:sz w:val="18"/>
                <w:szCs w:val="20"/>
              </w:rPr>
              <w:t>C</w:t>
            </w:r>
            <w:r w:rsidR="00D95DA7" w:rsidRPr="003C297B">
              <w:rPr>
                <w:rFonts w:ascii="Times New Roman" w:eastAsia="Microsoft YaHei" w:hAnsi="Times New Roman" w:cs="Times New Roman" w:hint="eastAsia"/>
                <w:b/>
                <w:kern w:val="0"/>
                <w:sz w:val="18"/>
                <w:szCs w:val="20"/>
              </w:rPr>
              <w:t xml:space="preserve">ontrolled variable </w:t>
            </w:r>
          </w:p>
        </w:tc>
        <w:tc>
          <w:tcPr>
            <w:tcW w:w="3635" w:type="pct"/>
            <w:gridSpan w:val="6"/>
            <w:tcBorders>
              <w:top w:val="single" w:sz="8" w:space="0" w:color="auto"/>
              <w:left w:val="nil"/>
              <w:right w:val="nil"/>
            </w:tcBorders>
          </w:tcPr>
          <w:p w14:paraId="5ABF83AE"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523EC71C" w14:textId="77777777">
        <w:trPr>
          <w:jc w:val="center"/>
        </w:trPr>
        <w:tc>
          <w:tcPr>
            <w:tcW w:w="1365" w:type="pct"/>
            <w:tcBorders>
              <w:left w:val="nil"/>
              <w:bottom w:val="nil"/>
              <w:right w:val="nil"/>
            </w:tcBorders>
          </w:tcPr>
          <w:p w14:paraId="2435CD34"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Enterprise size (size)</w:t>
            </w:r>
          </w:p>
        </w:tc>
        <w:tc>
          <w:tcPr>
            <w:tcW w:w="826" w:type="pct"/>
            <w:tcBorders>
              <w:left w:val="nil"/>
              <w:bottom w:val="nil"/>
              <w:right w:val="nil"/>
            </w:tcBorders>
          </w:tcPr>
          <w:p w14:paraId="3F0DFB9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left w:val="nil"/>
              <w:bottom w:val="nil"/>
              <w:right w:val="nil"/>
            </w:tcBorders>
          </w:tcPr>
          <w:p w14:paraId="1678A9F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22.48</w:t>
            </w:r>
          </w:p>
        </w:tc>
        <w:tc>
          <w:tcPr>
            <w:tcW w:w="578" w:type="pct"/>
            <w:tcBorders>
              <w:left w:val="nil"/>
              <w:bottom w:val="nil"/>
              <w:right w:val="nil"/>
            </w:tcBorders>
          </w:tcPr>
          <w:p w14:paraId="2E1D3C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22.36</w:t>
            </w:r>
          </w:p>
        </w:tc>
        <w:tc>
          <w:tcPr>
            <w:tcW w:w="578" w:type="pct"/>
            <w:tcBorders>
              <w:left w:val="nil"/>
              <w:bottom w:val="nil"/>
              <w:right w:val="nil"/>
            </w:tcBorders>
          </w:tcPr>
          <w:p w14:paraId="32AF76C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1.146</w:t>
            </w:r>
          </w:p>
        </w:tc>
        <w:tc>
          <w:tcPr>
            <w:tcW w:w="578" w:type="pct"/>
            <w:tcBorders>
              <w:left w:val="nil"/>
              <w:bottom w:val="nil"/>
              <w:right w:val="nil"/>
            </w:tcBorders>
          </w:tcPr>
          <w:p w14:paraId="106D580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20.27</w:t>
            </w:r>
          </w:p>
        </w:tc>
        <w:tc>
          <w:tcPr>
            <w:tcW w:w="497" w:type="pct"/>
            <w:tcBorders>
              <w:left w:val="nil"/>
              <w:bottom w:val="nil"/>
              <w:right w:val="nil"/>
            </w:tcBorders>
          </w:tcPr>
          <w:p w14:paraId="4DD728A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25.64</w:t>
            </w:r>
          </w:p>
        </w:tc>
      </w:tr>
      <w:tr w:rsidR="009C3784" w:rsidRPr="003C297B" w14:paraId="40F1F5F0" w14:textId="77777777">
        <w:trPr>
          <w:jc w:val="center"/>
        </w:trPr>
        <w:tc>
          <w:tcPr>
            <w:tcW w:w="1365" w:type="pct"/>
            <w:tcBorders>
              <w:top w:val="nil"/>
              <w:left w:val="nil"/>
              <w:bottom w:val="nil"/>
              <w:right w:val="nil"/>
            </w:tcBorders>
          </w:tcPr>
          <w:p w14:paraId="4D696B7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Total asset return on equity (ROA)</w:t>
            </w:r>
          </w:p>
        </w:tc>
        <w:tc>
          <w:tcPr>
            <w:tcW w:w="826" w:type="pct"/>
            <w:tcBorders>
              <w:top w:val="nil"/>
              <w:left w:val="nil"/>
              <w:bottom w:val="nil"/>
              <w:right w:val="nil"/>
            </w:tcBorders>
          </w:tcPr>
          <w:p w14:paraId="604C9C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61B016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0.0380</w:t>
            </w:r>
          </w:p>
        </w:tc>
        <w:tc>
          <w:tcPr>
            <w:tcW w:w="578" w:type="pct"/>
            <w:tcBorders>
              <w:top w:val="nil"/>
              <w:left w:val="nil"/>
              <w:bottom w:val="nil"/>
              <w:right w:val="nil"/>
            </w:tcBorders>
          </w:tcPr>
          <w:p w14:paraId="0510CE0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0.0360</w:t>
            </w:r>
          </w:p>
        </w:tc>
        <w:tc>
          <w:tcPr>
            <w:tcW w:w="578" w:type="pct"/>
            <w:tcBorders>
              <w:top w:val="nil"/>
              <w:left w:val="nil"/>
              <w:bottom w:val="nil"/>
              <w:right w:val="nil"/>
            </w:tcBorders>
          </w:tcPr>
          <w:p w14:paraId="70BC38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0.0540</w:t>
            </w:r>
          </w:p>
        </w:tc>
        <w:tc>
          <w:tcPr>
            <w:tcW w:w="578" w:type="pct"/>
            <w:tcBorders>
              <w:top w:val="nil"/>
              <w:left w:val="nil"/>
              <w:bottom w:val="nil"/>
              <w:right w:val="nil"/>
            </w:tcBorders>
          </w:tcPr>
          <w:p w14:paraId="7FE1F01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-0.211</w:t>
            </w:r>
          </w:p>
        </w:tc>
        <w:tc>
          <w:tcPr>
            <w:tcW w:w="497" w:type="pct"/>
            <w:tcBorders>
              <w:top w:val="nil"/>
              <w:left w:val="nil"/>
              <w:bottom w:val="nil"/>
              <w:right w:val="nil"/>
            </w:tcBorders>
          </w:tcPr>
          <w:p w14:paraId="19C54B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0.193</w:t>
            </w:r>
          </w:p>
        </w:tc>
      </w:tr>
      <w:tr w:rsidR="009C3784" w:rsidRPr="003C297B" w14:paraId="37EF469B" w14:textId="77777777">
        <w:trPr>
          <w:jc w:val="center"/>
        </w:trPr>
        <w:tc>
          <w:tcPr>
            <w:tcW w:w="1365" w:type="pct"/>
            <w:tcBorders>
              <w:top w:val="nil"/>
              <w:left w:val="nil"/>
              <w:bottom w:val="nil"/>
              <w:right w:val="nil"/>
            </w:tcBorders>
          </w:tcPr>
          <w:p w14:paraId="1D74CB5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Return on equity (roe)</w:t>
            </w:r>
          </w:p>
        </w:tc>
        <w:tc>
          <w:tcPr>
            <w:tcW w:w="826" w:type="pct"/>
            <w:tcBorders>
              <w:top w:val="nil"/>
              <w:left w:val="nil"/>
              <w:bottom w:val="nil"/>
              <w:right w:val="nil"/>
            </w:tcBorders>
          </w:tcPr>
          <w:p w14:paraId="24AA53B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55ACF1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77C7EBB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0.0690</w:t>
            </w:r>
          </w:p>
        </w:tc>
        <w:tc>
          <w:tcPr>
            <w:tcW w:w="578" w:type="pct"/>
            <w:tcBorders>
              <w:top w:val="nil"/>
              <w:left w:val="nil"/>
              <w:bottom w:val="nil"/>
              <w:right w:val="nil"/>
            </w:tcBorders>
          </w:tcPr>
          <w:p w14:paraId="4BA9B7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0.110</w:t>
            </w:r>
          </w:p>
        </w:tc>
        <w:tc>
          <w:tcPr>
            <w:tcW w:w="578" w:type="pct"/>
            <w:tcBorders>
              <w:top w:val="nil"/>
              <w:left w:val="nil"/>
              <w:bottom w:val="nil"/>
              <w:right w:val="nil"/>
            </w:tcBorders>
          </w:tcPr>
          <w:p w14:paraId="48F446F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-0.514</w:t>
            </w:r>
          </w:p>
        </w:tc>
        <w:tc>
          <w:tcPr>
            <w:tcW w:w="497" w:type="pct"/>
            <w:tcBorders>
              <w:top w:val="nil"/>
              <w:left w:val="nil"/>
              <w:bottom w:val="nil"/>
              <w:right w:val="nil"/>
            </w:tcBorders>
          </w:tcPr>
          <w:p w14:paraId="5E532C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0.388</w:t>
            </w:r>
          </w:p>
        </w:tc>
      </w:tr>
      <w:tr w:rsidR="009C3784" w:rsidRPr="003C297B" w14:paraId="2549DF94" w14:textId="77777777">
        <w:trPr>
          <w:jc w:val="center"/>
        </w:trPr>
        <w:tc>
          <w:tcPr>
            <w:tcW w:w="1365" w:type="pct"/>
            <w:tcBorders>
              <w:top w:val="nil"/>
              <w:left w:val="nil"/>
              <w:bottom w:val="nil"/>
              <w:right w:val="nil"/>
            </w:tcBorders>
          </w:tcPr>
          <w:p w14:paraId="71747F3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Cash flow ratio (cashflow)</w:t>
            </w:r>
          </w:p>
        </w:tc>
        <w:tc>
          <w:tcPr>
            <w:tcW w:w="826" w:type="pct"/>
            <w:tcBorders>
              <w:top w:val="nil"/>
              <w:left w:val="nil"/>
              <w:bottom w:val="nil"/>
              <w:right w:val="nil"/>
            </w:tcBorders>
          </w:tcPr>
          <w:p w14:paraId="1D41A286"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7A04A90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0.0520</w:t>
            </w:r>
          </w:p>
        </w:tc>
        <w:tc>
          <w:tcPr>
            <w:tcW w:w="578" w:type="pct"/>
            <w:tcBorders>
              <w:top w:val="nil"/>
              <w:left w:val="nil"/>
              <w:bottom w:val="nil"/>
              <w:right w:val="nil"/>
            </w:tcBorders>
          </w:tcPr>
          <w:p w14:paraId="1FD61E4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0.0510</w:t>
            </w:r>
          </w:p>
        </w:tc>
        <w:tc>
          <w:tcPr>
            <w:tcW w:w="578" w:type="pct"/>
            <w:tcBorders>
              <w:top w:val="nil"/>
              <w:left w:val="nil"/>
              <w:bottom w:val="nil"/>
              <w:right w:val="nil"/>
            </w:tcBorders>
          </w:tcPr>
          <w:p w14:paraId="7455745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0.0630</w:t>
            </w:r>
          </w:p>
        </w:tc>
        <w:tc>
          <w:tcPr>
            <w:tcW w:w="578" w:type="pct"/>
            <w:tcBorders>
              <w:top w:val="nil"/>
              <w:left w:val="nil"/>
              <w:bottom w:val="nil"/>
              <w:right w:val="nil"/>
            </w:tcBorders>
          </w:tcPr>
          <w:p w14:paraId="0D5E38C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-0.120</w:t>
            </w:r>
          </w:p>
        </w:tc>
        <w:tc>
          <w:tcPr>
            <w:tcW w:w="497" w:type="pct"/>
            <w:tcBorders>
              <w:top w:val="nil"/>
              <w:left w:val="nil"/>
              <w:bottom w:val="nil"/>
              <w:right w:val="nil"/>
            </w:tcBorders>
          </w:tcPr>
          <w:p w14:paraId="72B5033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0.239</w:t>
            </w:r>
          </w:p>
        </w:tc>
      </w:tr>
      <w:tr w:rsidR="009C3784" w:rsidRPr="003C297B" w14:paraId="6BC30D28" w14:textId="77777777">
        <w:trPr>
          <w:jc w:val="center"/>
        </w:trPr>
        <w:tc>
          <w:tcPr>
            <w:tcW w:w="1365" w:type="pct"/>
            <w:tcBorders>
              <w:top w:val="nil"/>
              <w:left w:val="nil"/>
              <w:bottom w:val="nil"/>
              <w:right w:val="nil"/>
            </w:tcBorders>
          </w:tcPr>
          <w:p w14:paraId="1E12EF09"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Operating income growth (growth)</w:t>
            </w:r>
          </w:p>
        </w:tc>
        <w:tc>
          <w:tcPr>
            <w:tcW w:w="826" w:type="pct"/>
            <w:tcBorders>
              <w:top w:val="nil"/>
              <w:left w:val="nil"/>
              <w:bottom w:val="nil"/>
              <w:right w:val="nil"/>
            </w:tcBorders>
          </w:tcPr>
          <w:p w14:paraId="5768DD9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6D0917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0.188</w:t>
            </w:r>
          </w:p>
        </w:tc>
        <w:tc>
          <w:tcPr>
            <w:tcW w:w="578" w:type="pct"/>
            <w:tcBorders>
              <w:top w:val="nil"/>
              <w:left w:val="nil"/>
              <w:bottom w:val="nil"/>
              <w:right w:val="nil"/>
            </w:tcBorders>
          </w:tcPr>
          <w:p w14:paraId="10E33E0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0.117</w:t>
            </w:r>
          </w:p>
        </w:tc>
        <w:tc>
          <w:tcPr>
            <w:tcW w:w="578" w:type="pct"/>
            <w:tcBorders>
              <w:top w:val="nil"/>
              <w:left w:val="nil"/>
              <w:bottom w:val="nil"/>
              <w:right w:val="nil"/>
            </w:tcBorders>
          </w:tcPr>
          <w:p w14:paraId="78CEBC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0.355</w:t>
            </w:r>
          </w:p>
        </w:tc>
        <w:tc>
          <w:tcPr>
            <w:tcW w:w="578" w:type="pct"/>
            <w:tcBorders>
              <w:top w:val="nil"/>
              <w:left w:val="nil"/>
              <w:bottom w:val="nil"/>
              <w:right w:val="nil"/>
            </w:tcBorders>
          </w:tcPr>
          <w:p w14:paraId="2E206CE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-0.418</w:t>
            </w:r>
          </w:p>
        </w:tc>
        <w:tc>
          <w:tcPr>
            <w:tcW w:w="497" w:type="pct"/>
            <w:tcBorders>
              <w:top w:val="nil"/>
              <w:left w:val="nil"/>
              <w:bottom w:val="nil"/>
              <w:right w:val="nil"/>
            </w:tcBorders>
          </w:tcPr>
          <w:p w14:paraId="2CFFC8B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2.086</w:t>
            </w:r>
          </w:p>
        </w:tc>
      </w:tr>
      <w:tr w:rsidR="009C3784" w:rsidRPr="003C297B" w14:paraId="4E7D078B" w14:textId="77777777">
        <w:trPr>
          <w:jc w:val="center"/>
        </w:trPr>
        <w:tc>
          <w:tcPr>
            <w:tcW w:w="1365" w:type="pct"/>
            <w:tcBorders>
              <w:top w:val="nil"/>
              <w:left w:val="nil"/>
              <w:right w:val="nil"/>
            </w:tcBorders>
          </w:tcPr>
          <w:p w14:paraId="34DCB616"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Asset-liability ratio (lev)</w:t>
            </w:r>
          </w:p>
        </w:tc>
        <w:tc>
          <w:tcPr>
            <w:tcW w:w="826" w:type="pct"/>
            <w:tcBorders>
              <w:top w:val="nil"/>
              <w:left w:val="nil"/>
              <w:right w:val="nil"/>
            </w:tcBorders>
          </w:tcPr>
          <w:p w14:paraId="12423B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120061C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33B337B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0.436</w:t>
            </w:r>
          </w:p>
        </w:tc>
        <w:tc>
          <w:tcPr>
            <w:tcW w:w="578" w:type="pct"/>
            <w:tcBorders>
              <w:top w:val="nil"/>
              <w:left w:val="nil"/>
              <w:right w:val="nil"/>
            </w:tcBorders>
          </w:tcPr>
          <w:p w14:paraId="7D6CC14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0.187</w:t>
            </w:r>
          </w:p>
        </w:tc>
        <w:tc>
          <w:tcPr>
            <w:tcW w:w="578" w:type="pct"/>
            <w:tcBorders>
              <w:top w:val="nil"/>
              <w:left w:val="nil"/>
              <w:right w:val="nil"/>
            </w:tcBorders>
          </w:tcPr>
          <w:p w14:paraId="503F357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0.0480</w:t>
            </w:r>
          </w:p>
        </w:tc>
        <w:tc>
          <w:tcPr>
            <w:tcW w:w="497" w:type="pct"/>
            <w:tcBorders>
              <w:top w:val="nil"/>
              <w:left w:val="nil"/>
              <w:bottom w:val="nil"/>
              <w:right w:val="nil"/>
            </w:tcBorders>
          </w:tcPr>
          <w:p w14:paraId="23F37931"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0.869</w:t>
            </w:r>
          </w:p>
        </w:tc>
      </w:tr>
      <w:tr w:rsidR="009C3784" w:rsidRPr="003C297B" w14:paraId="2FCBAB35" w14:textId="77777777">
        <w:trPr>
          <w:jc w:val="center"/>
        </w:trPr>
        <w:tc>
          <w:tcPr>
            <w:tcW w:w="1365" w:type="pct"/>
            <w:tcBorders>
              <w:top w:val="nil"/>
              <w:left w:val="nil"/>
              <w:bottom w:val="single" w:sz="8" w:space="0" w:color="auto"/>
              <w:right w:val="nil"/>
            </w:tcBorders>
          </w:tcPr>
          <w:p w14:paraId="2D9748E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Tobin q-value (tobinq)</w:t>
            </w:r>
          </w:p>
        </w:tc>
        <w:tc>
          <w:tcPr>
            <w:tcW w:w="826" w:type="pct"/>
            <w:tcBorders>
              <w:top w:val="nil"/>
              <w:left w:val="nil"/>
              <w:bottom w:val="single" w:sz="8" w:space="0" w:color="auto"/>
              <w:right w:val="nil"/>
            </w:tcBorders>
          </w:tcPr>
          <w:p w14:paraId="1FD54F0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554518A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1.726</w:t>
            </w:r>
          </w:p>
        </w:tc>
        <w:tc>
          <w:tcPr>
            <w:tcW w:w="578" w:type="pct"/>
            <w:tcBorders>
              <w:top w:val="nil"/>
              <w:left w:val="nil"/>
              <w:bottom w:val="single" w:sz="8" w:space="0" w:color="auto"/>
              <w:right w:val="nil"/>
            </w:tcBorders>
          </w:tcPr>
          <w:p w14:paraId="56CFB47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1.450</w:t>
            </w:r>
          </w:p>
        </w:tc>
        <w:tc>
          <w:tcPr>
            <w:tcW w:w="578" w:type="pct"/>
            <w:tcBorders>
              <w:top w:val="nil"/>
              <w:left w:val="nil"/>
              <w:bottom w:val="single" w:sz="8" w:space="0" w:color="auto"/>
              <w:right w:val="nil"/>
            </w:tcBorders>
          </w:tcPr>
          <w:p w14:paraId="794AB4A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0.975</w:t>
            </w:r>
          </w:p>
        </w:tc>
        <w:tc>
          <w:tcPr>
            <w:tcW w:w="578" w:type="pct"/>
            <w:tcBorders>
              <w:top w:val="nil"/>
              <w:left w:val="nil"/>
              <w:bottom w:val="single" w:sz="8" w:space="0" w:color="auto"/>
              <w:right w:val="nil"/>
            </w:tcBorders>
          </w:tcPr>
          <w:p w14:paraId="42018E2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50B7A1E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8.012</w:t>
            </w:r>
          </w:p>
        </w:tc>
      </w:tr>
      <w:tr w:rsidR="009C3784" w:rsidRPr="003C297B" w14:paraId="07207121" w14:textId="77777777">
        <w:trPr>
          <w:jc w:val="center"/>
        </w:trPr>
        <w:tc>
          <w:tcPr>
            <w:tcW w:w="1365" w:type="pct"/>
            <w:tcBorders>
              <w:top w:val="single" w:sz="8" w:space="0" w:color="auto"/>
              <w:left w:val="nil"/>
              <w:bottom w:val="nil"/>
              <w:right w:val="nil"/>
            </w:tcBorders>
          </w:tcPr>
          <w:p w14:paraId="3373ED3E" w14:textId="77777777" w:rsidR="009C3784" w:rsidRPr="003C297B" w:rsidRDefault="00D95DA7">
            <w:pPr>
              <w:autoSpaceDE w:val="0"/>
              <w:autoSpaceDN w:val="0"/>
              <w:adjustRightInd w:val="0"/>
              <w:jc w:val="center"/>
              <w:rPr>
                <w:rFonts w:ascii="Times New Roman" w:eastAsia="SimSun" w:hAnsi="Times New Roman" w:cs="Times New Roman"/>
                <w:b/>
                <w:kern w:val="0"/>
                <w:sz w:val="18"/>
                <w:szCs w:val="20"/>
              </w:rPr>
            </w:pPr>
            <w:r w:rsidRPr="003C297B">
              <w:rPr>
                <w:rFonts w:ascii="Times New Roman" w:eastAsia="Microsoft YaHei" w:hAnsi="Times New Roman" w:cs="Times New Roman" w:hint="eastAsia"/>
                <w:b/>
                <w:kern w:val="0"/>
                <w:sz w:val="18"/>
                <w:szCs w:val="20"/>
              </w:rPr>
              <w:t>Mechanism variables</w:t>
            </w:r>
          </w:p>
        </w:tc>
        <w:tc>
          <w:tcPr>
            <w:tcW w:w="3635" w:type="pct"/>
            <w:gridSpan w:val="6"/>
            <w:tcBorders>
              <w:top w:val="single" w:sz="8" w:space="0" w:color="auto"/>
              <w:left w:val="nil"/>
              <w:bottom w:val="nil"/>
              <w:right w:val="nil"/>
            </w:tcBorders>
          </w:tcPr>
          <w:p w14:paraId="016126F7" w14:textId="77777777" w:rsidR="009C3784" w:rsidRPr="003C297B" w:rsidRDefault="009C3784">
            <w:pPr>
              <w:autoSpaceDE w:val="0"/>
              <w:autoSpaceDN w:val="0"/>
              <w:adjustRightInd w:val="0"/>
              <w:jc w:val="center"/>
              <w:rPr>
                <w:rFonts w:ascii="Times New Roman" w:eastAsia="SimSun" w:hAnsi="Times New Roman" w:cs="Times New Roman"/>
                <w:kern w:val="0"/>
                <w:sz w:val="18"/>
                <w:szCs w:val="24"/>
              </w:rPr>
            </w:pPr>
          </w:p>
        </w:tc>
      </w:tr>
      <w:tr w:rsidR="009C3784" w:rsidRPr="003C297B" w14:paraId="2C1F9707" w14:textId="77777777">
        <w:trPr>
          <w:jc w:val="center"/>
        </w:trPr>
        <w:tc>
          <w:tcPr>
            <w:tcW w:w="1365" w:type="pct"/>
            <w:tcBorders>
              <w:top w:val="nil"/>
              <w:left w:val="nil"/>
              <w:bottom w:val="nil"/>
              <w:right w:val="nil"/>
            </w:tcBorders>
          </w:tcPr>
          <w:p w14:paraId="02A0B697"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Environmental concerns (LNER)</w:t>
            </w:r>
          </w:p>
        </w:tc>
        <w:tc>
          <w:tcPr>
            <w:tcW w:w="826" w:type="pct"/>
            <w:tcBorders>
              <w:top w:val="nil"/>
              <w:left w:val="nil"/>
              <w:bottom w:val="nil"/>
              <w:right w:val="nil"/>
            </w:tcBorders>
          </w:tcPr>
          <w:p w14:paraId="6A89754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665837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3.338</w:t>
            </w:r>
          </w:p>
        </w:tc>
        <w:tc>
          <w:tcPr>
            <w:tcW w:w="578" w:type="pct"/>
            <w:tcBorders>
              <w:top w:val="nil"/>
              <w:left w:val="nil"/>
              <w:bottom w:val="nil"/>
              <w:right w:val="nil"/>
            </w:tcBorders>
          </w:tcPr>
          <w:p w14:paraId="6F70804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3.611</w:t>
            </w:r>
          </w:p>
        </w:tc>
        <w:tc>
          <w:tcPr>
            <w:tcW w:w="578" w:type="pct"/>
            <w:tcBorders>
              <w:top w:val="nil"/>
              <w:left w:val="nil"/>
              <w:bottom w:val="nil"/>
              <w:right w:val="nil"/>
            </w:tcBorders>
          </w:tcPr>
          <w:p w14:paraId="49F547A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1.066</w:t>
            </w:r>
          </w:p>
        </w:tc>
        <w:tc>
          <w:tcPr>
            <w:tcW w:w="578" w:type="pct"/>
            <w:tcBorders>
              <w:top w:val="nil"/>
              <w:left w:val="nil"/>
              <w:bottom w:val="nil"/>
              <w:right w:val="nil"/>
            </w:tcBorders>
          </w:tcPr>
          <w:p w14:paraId="61C9DBCE"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1802526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4.454</w:t>
            </w:r>
          </w:p>
        </w:tc>
      </w:tr>
      <w:tr w:rsidR="009C3784" w:rsidRPr="003C297B" w14:paraId="24C04449" w14:textId="77777777">
        <w:trPr>
          <w:jc w:val="center"/>
        </w:trPr>
        <w:tc>
          <w:tcPr>
            <w:tcW w:w="1365" w:type="pct"/>
            <w:tcBorders>
              <w:top w:val="nil"/>
              <w:left w:val="nil"/>
              <w:bottom w:val="nil"/>
              <w:right w:val="nil"/>
            </w:tcBorders>
          </w:tcPr>
          <w:p w14:paraId="52F1B312"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Green Innovation (Invent)</w:t>
            </w:r>
          </w:p>
        </w:tc>
        <w:tc>
          <w:tcPr>
            <w:tcW w:w="826" w:type="pct"/>
            <w:tcBorders>
              <w:top w:val="nil"/>
              <w:left w:val="nil"/>
              <w:bottom w:val="nil"/>
              <w:right w:val="nil"/>
            </w:tcBorders>
          </w:tcPr>
          <w:p w14:paraId="1D6F96F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5CFFBBB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1.368</w:t>
            </w:r>
          </w:p>
        </w:tc>
        <w:tc>
          <w:tcPr>
            <w:tcW w:w="578" w:type="pct"/>
            <w:tcBorders>
              <w:top w:val="nil"/>
              <w:left w:val="nil"/>
              <w:bottom w:val="nil"/>
              <w:right w:val="nil"/>
            </w:tcBorders>
          </w:tcPr>
          <w:p w14:paraId="59D0BBC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37C0EE3A"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1.755</w:t>
            </w:r>
          </w:p>
        </w:tc>
        <w:tc>
          <w:tcPr>
            <w:tcW w:w="578" w:type="pct"/>
            <w:tcBorders>
              <w:top w:val="nil"/>
              <w:left w:val="nil"/>
              <w:bottom w:val="nil"/>
              <w:right w:val="nil"/>
            </w:tcBorders>
          </w:tcPr>
          <w:p w14:paraId="7F800999"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6DFD2D50"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8.495</w:t>
            </w:r>
          </w:p>
        </w:tc>
      </w:tr>
      <w:tr w:rsidR="009C3784" w:rsidRPr="003C297B" w14:paraId="1C205005" w14:textId="77777777">
        <w:trPr>
          <w:jc w:val="center"/>
        </w:trPr>
        <w:tc>
          <w:tcPr>
            <w:tcW w:w="1365" w:type="pct"/>
            <w:tcBorders>
              <w:top w:val="nil"/>
              <w:left w:val="nil"/>
              <w:right w:val="nil"/>
            </w:tcBorders>
          </w:tcPr>
          <w:p w14:paraId="7F085F7C"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Rigidity of law enforcement (law)</w:t>
            </w:r>
          </w:p>
        </w:tc>
        <w:tc>
          <w:tcPr>
            <w:tcW w:w="826" w:type="pct"/>
            <w:tcBorders>
              <w:top w:val="nil"/>
              <w:left w:val="nil"/>
              <w:right w:val="nil"/>
            </w:tcBorders>
          </w:tcPr>
          <w:p w14:paraId="7F44165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right w:val="nil"/>
            </w:tcBorders>
          </w:tcPr>
          <w:p w14:paraId="721B444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7.310</w:t>
            </w:r>
          </w:p>
        </w:tc>
        <w:tc>
          <w:tcPr>
            <w:tcW w:w="578" w:type="pct"/>
            <w:tcBorders>
              <w:top w:val="nil"/>
              <w:left w:val="nil"/>
              <w:right w:val="nil"/>
            </w:tcBorders>
          </w:tcPr>
          <w:p w14:paraId="1B183FA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7.484</w:t>
            </w:r>
          </w:p>
        </w:tc>
        <w:tc>
          <w:tcPr>
            <w:tcW w:w="578" w:type="pct"/>
            <w:tcBorders>
              <w:top w:val="nil"/>
              <w:left w:val="nil"/>
              <w:right w:val="nil"/>
            </w:tcBorders>
          </w:tcPr>
          <w:p w14:paraId="0C4F938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1.639</w:t>
            </w:r>
          </w:p>
        </w:tc>
        <w:tc>
          <w:tcPr>
            <w:tcW w:w="578" w:type="pct"/>
            <w:tcBorders>
              <w:top w:val="nil"/>
              <w:left w:val="nil"/>
              <w:right w:val="nil"/>
            </w:tcBorders>
          </w:tcPr>
          <w:p w14:paraId="63DABCE3"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right w:val="nil"/>
            </w:tcBorders>
          </w:tcPr>
          <w:p w14:paraId="598D486C"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9.747</w:t>
            </w:r>
          </w:p>
        </w:tc>
      </w:tr>
      <w:tr w:rsidR="009C3784" w:rsidRPr="003C297B" w14:paraId="722B63E0" w14:textId="77777777">
        <w:trPr>
          <w:jc w:val="center"/>
        </w:trPr>
        <w:tc>
          <w:tcPr>
            <w:tcW w:w="1365" w:type="pct"/>
            <w:tcBorders>
              <w:top w:val="nil"/>
              <w:left w:val="nil"/>
              <w:bottom w:val="nil"/>
              <w:right w:val="nil"/>
            </w:tcBorders>
          </w:tcPr>
          <w:p w14:paraId="1EAAA22A"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Government-business collusion (PC)</w:t>
            </w:r>
          </w:p>
        </w:tc>
        <w:tc>
          <w:tcPr>
            <w:tcW w:w="826" w:type="pct"/>
            <w:tcBorders>
              <w:top w:val="nil"/>
              <w:left w:val="nil"/>
              <w:bottom w:val="nil"/>
              <w:right w:val="nil"/>
            </w:tcBorders>
          </w:tcPr>
          <w:p w14:paraId="131BF0A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nil"/>
              <w:right w:val="nil"/>
            </w:tcBorders>
          </w:tcPr>
          <w:p w14:paraId="31EB6CB7"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0.300</w:t>
            </w:r>
          </w:p>
        </w:tc>
        <w:tc>
          <w:tcPr>
            <w:tcW w:w="578" w:type="pct"/>
            <w:tcBorders>
              <w:top w:val="nil"/>
              <w:left w:val="nil"/>
              <w:bottom w:val="nil"/>
              <w:right w:val="nil"/>
            </w:tcBorders>
          </w:tcPr>
          <w:p w14:paraId="2FB6779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nil"/>
              <w:right w:val="nil"/>
            </w:tcBorders>
          </w:tcPr>
          <w:p w14:paraId="061747F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0.458</w:t>
            </w:r>
          </w:p>
        </w:tc>
        <w:tc>
          <w:tcPr>
            <w:tcW w:w="578" w:type="pct"/>
            <w:tcBorders>
              <w:top w:val="nil"/>
              <w:left w:val="nil"/>
              <w:bottom w:val="nil"/>
              <w:right w:val="nil"/>
            </w:tcBorders>
          </w:tcPr>
          <w:p w14:paraId="463042E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nil"/>
              <w:right w:val="nil"/>
            </w:tcBorders>
          </w:tcPr>
          <w:p w14:paraId="44830A35"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w:t>
            </w:r>
          </w:p>
        </w:tc>
      </w:tr>
      <w:tr w:rsidR="009C3784" w:rsidRPr="003C297B" w14:paraId="6CC69180" w14:textId="77777777">
        <w:tblPrEx>
          <w:tblBorders>
            <w:bottom w:val="single" w:sz="6" w:space="0" w:color="auto"/>
          </w:tblBorders>
        </w:tblPrEx>
        <w:trPr>
          <w:jc w:val="center"/>
        </w:trPr>
        <w:tc>
          <w:tcPr>
            <w:tcW w:w="1365" w:type="pct"/>
            <w:tcBorders>
              <w:top w:val="nil"/>
              <w:left w:val="nil"/>
              <w:bottom w:val="single" w:sz="8" w:space="0" w:color="auto"/>
              <w:right w:val="nil"/>
            </w:tcBorders>
          </w:tcPr>
          <w:p w14:paraId="05A3734D" w14:textId="77777777" w:rsidR="009C3784" w:rsidRPr="003C297B" w:rsidRDefault="00D95DA7">
            <w:pPr>
              <w:autoSpaceDE w:val="0"/>
              <w:autoSpaceDN w:val="0"/>
              <w:adjustRightInd w:val="0"/>
              <w:jc w:val="left"/>
              <w:rPr>
                <w:rFonts w:ascii="Times New Roman" w:eastAsia="SimSun" w:hAnsi="Times New Roman" w:cs="Times New Roman"/>
                <w:kern w:val="0"/>
                <w:sz w:val="18"/>
                <w:szCs w:val="20"/>
              </w:rPr>
            </w:pPr>
            <w:r w:rsidRPr="003C297B">
              <w:rPr>
                <w:rFonts w:ascii="Times New Roman" w:eastAsia="Microsoft YaHei" w:hAnsi="Times New Roman" w:cs="Times New Roman" w:hint="eastAsia"/>
                <w:kern w:val="0"/>
                <w:sz w:val="18"/>
                <w:szCs w:val="20"/>
              </w:rPr>
              <w:t>Government-enterprise collusion level (pclevel)</w:t>
            </w:r>
          </w:p>
        </w:tc>
        <w:tc>
          <w:tcPr>
            <w:tcW w:w="826" w:type="pct"/>
            <w:tcBorders>
              <w:top w:val="nil"/>
              <w:left w:val="nil"/>
              <w:bottom w:val="single" w:sz="8" w:space="0" w:color="auto"/>
              <w:right w:val="nil"/>
            </w:tcBorders>
          </w:tcPr>
          <w:p w14:paraId="6A8B0C3D"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3044</w:t>
            </w:r>
          </w:p>
        </w:tc>
        <w:tc>
          <w:tcPr>
            <w:tcW w:w="578" w:type="pct"/>
            <w:tcBorders>
              <w:top w:val="nil"/>
              <w:left w:val="nil"/>
              <w:bottom w:val="single" w:sz="8" w:space="0" w:color="auto"/>
              <w:right w:val="nil"/>
            </w:tcBorders>
          </w:tcPr>
          <w:p w14:paraId="736173FF"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0.901</w:t>
            </w:r>
          </w:p>
        </w:tc>
        <w:tc>
          <w:tcPr>
            <w:tcW w:w="578" w:type="pct"/>
            <w:tcBorders>
              <w:top w:val="nil"/>
              <w:left w:val="nil"/>
              <w:bottom w:val="single" w:sz="8" w:space="0" w:color="auto"/>
              <w:right w:val="nil"/>
            </w:tcBorders>
          </w:tcPr>
          <w:p w14:paraId="7CABF6CB"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578" w:type="pct"/>
            <w:tcBorders>
              <w:top w:val="nil"/>
              <w:left w:val="nil"/>
              <w:bottom w:val="single" w:sz="8" w:space="0" w:color="auto"/>
              <w:right w:val="nil"/>
            </w:tcBorders>
          </w:tcPr>
          <w:p w14:paraId="6C27BF02"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1.479</w:t>
            </w:r>
          </w:p>
        </w:tc>
        <w:tc>
          <w:tcPr>
            <w:tcW w:w="578" w:type="pct"/>
            <w:tcBorders>
              <w:top w:val="nil"/>
              <w:left w:val="nil"/>
              <w:bottom w:val="single" w:sz="8" w:space="0" w:color="auto"/>
              <w:right w:val="nil"/>
            </w:tcBorders>
          </w:tcPr>
          <w:p w14:paraId="4BD793E8"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0</w:t>
            </w:r>
          </w:p>
        </w:tc>
        <w:tc>
          <w:tcPr>
            <w:tcW w:w="497" w:type="pct"/>
            <w:tcBorders>
              <w:top w:val="nil"/>
              <w:left w:val="nil"/>
              <w:bottom w:val="single" w:sz="8" w:space="0" w:color="auto"/>
              <w:right w:val="nil"/>
            </w:tcBorders>
          </w:tcPr>
          <w:p w14:paraId="2851FF94" w14:textId="77777777" w:rsidR="009C3784" w:rsidRPr="003C297B" w:rsidRDefault="00D95DA7">
            <w:pPr>
              <w:autoSpaceDE w:val="0"/>
              <w:autoSpaceDN w:val="0"/>
              <w:adjustRightInd w:val="0"/>
              <w:jc w:val="center"/>
              <w:rPr>
                <w:rFonts w:ascii="Times New Roman" w:hAnsi="Times New Roman" w:cs="Times New Roman"/>
                <w:kern w:val="0"/>
                <w:sz w:val="18"/>
                <w:szCs w:val="24"/>
              </w:rPr>
            </w:pPr>
            <w:r w:rsidRPr="003C297B">
              <w:rPr>
                <w:rFonts w:ascii="Times New Roman" w:eastAsia="Microsoft YaHei" w:hAnsi="Times New Roman" w:cs="Times New Roman" w:hint="eastAsia"/>
                <w:kern w:val="0"/>
                <w:sz w:val="18"/>
                <w:szCs w:val="24"/>
              </w:rPr>
              <w:t>4</w:t>
            </w:r>
          </w:p>
        </w:tc>
      </w:tr>
    </w:tbl>
    <w:p w14:paraId="18C8D94F"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1 presents the descriptive statistics of the variables related to the </w:t>
      </w:r>
      <m:oMath>
        <m:r>
          <w:rPr>
            <w:rFonts w:ascii="Cambria Math" w:eastAsia="SimSun" w:hAnsi="Cambria Math" w:cs="Times New Roman"/>
            <w:sz w:val="22"/>
            <w:szCs w:val="24"/>
          </w:rPr>
          <m:t>E</m:t>
        </m:r>
        <m:sSub>
          <m:sSubPr>
            <m:ctrlPr>
              <w:rPr>
                <w:rFonts w:ascii="Cambria Math" w:eastAsia="SimSun" w:hAnsi="Cambria Math" w:cs="Times New Roman"/>
                <w:i/>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oMath>
      <w:r>
        <w:rPr>
          <w:rFonts w:ascii="Times New Roman" w:eastAsia="Microsoft YaHei" w:hAnsi="Times New Roman" w:cs="Times New Roman" w:hint="eastAsia"/>
          <w:sz w:val="22"/>
          <w:szCs w:val="24"/>
        </w:rPr>
        <w:t>article. The mean and standard deviation of the dependent variable are 1.366 and 0.175, respectively, with a minimum value of 0.947 and a maximum value of 2.285. This indicates significant differences in environmental performance among different companies. Listed companies generally exhibit lower environmental performance, with most failing to meet the average level. Overall, the environmental performance is still relatively low, which holds considerable research value. The statistical information for other control variables is similar to that found in previous studies.</w:t>
      </w:r>
    </w:p>
    <w:p w14:paraId="6C455E46" w14:textId="6EC555AA" w:rsidR="009C3784" w:rsidRDefault="003B563D">
      <w:pPr>
        <w:pStyle w:val="Heading1"/>
        <w:spacing w:line="300" w:lineRule="auto"/>
        <w:rPr>
          <w:rFonts w:ascii="Times New Roman" w:eastAsia="SimSun" w:hAnsi="Times New Roman" w:cs="Times New Roman"/>
          <w:sz w:val="24"/>
          <w:szCs w:val="24"/>
        </w:rPr>
      </w:pPr>
      <w:r w:rsidRPr="00C059E3">
        <w:rPr>
          <w:rFonts w:ascii="Times New Roman" w:eastAsia="Microsoft YaHei" w:hAnsi="Times New Roman" w:cs="Times New Roman" w:hint="eastAsia"/>
          <w:sz w:val="24"/>
          <w:szCs w:val="24"/>
          <w:highlight w:val="yellow"/>
        </w:rPr>
        <w:t>4</w:t>
      </w:r>
      <w:r w:rsidR="00D95DA7" w:rsidRPr="00C059E3">
        <w:rPr>
          <w:rFonts w:ascii="Times New Roman" w:eastAsia="Microsoft YaHei" w:hAnsi="Times New Roman" w:cs="Times New Roman" w:hint="eastAsia"/>
          <w:sz w:val="24"/>
          <w:szCs w:val="24"/>
          <w:highlight w:val="yellow"/>
        </w:rPr>
        <w:t xml:space="preserve">. </w:t>
      </w:r>
      <w:r w:rsidRPr="00C059E3">
        <w:rPr>
          <w:rFonts w:ascii="Times New Roman" w:eastAsia="Microsoft YaHei" w:hAnsi="Times New Roman" w:cs="Times New Roman"/>
          <w:sz w:val="24"/>
          <w:szCs w:val="24"/>
          <w:highlight w:val="yellow"/>
        </w:rPr>
        <w:t>Results</w:t>
      </w:r>
    </w:p>
    <w:p w14:paraId="3C3E9492" w14:textId="115F9D32" w:rsidR="009C3784" w:rsidRDefault="003B563D" w:rsidP="003C297B">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w:t>
      </w:r>
      <w:r w:rsidR="00D95DA7">
        <w:rPr>
          <w:rFonts w:ascii="Times New Roman" w:eastAsia="Microsoft YaHei" w:hAnsi="Times New Roman" w:cs="Times New Roman" w:hint="eastAsia"/>
          <w:b/>
          <w:bCs/>
          <w:szCs w:val="28"/>
        </w:rPr>
        <w:t>.1 Benchmark regression</w:t>
      </w:r>
    </w:p>
    <w:p w14:paraId="47D689AB"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Table 2 presents the regression results of the EPTL on corporate environmental performance. The </w:t>
      </w:r>
      <w:r>
        <w:rPr>
          <w:rFonts w:ascii="Times New Roman" w:eastAsia="Microsoft YaHei" w:hAnsi="Times New Roman" w:cs="Times New Roman" w:hint="eastAsia"/>
          <w:sz w:val="22"/>
          <w:szCs w:val="24"/>
        </w:rPr>
        <w:lastRenderedPageBreak/>
        <w:t>dependent variable is the environmental performance indicator constructed using the ecological benefit method. Each regression result in the table has been adjusted for standard errors using industry-level clustering effects. The empirical results show that the estimated coefficients of the EPTL are all highly significant and positive, indicating that the implementation of the EPTL can effectively enhance the environmental performance of heavily polluting enterprises. Columns (1) to (2) do not control for any fixed effects. Columns (3) to (5) gradually control for various fixed effects, and the regression results for the core explanatory variables are all highly significant and positive, with little variation in the coefficients. The regression results suggest that the formal implementation of the EPTL can effectively promote environmental awareness among heavily polluting enterprises, compelling them to actively reduce pollution and improve their environmental performance, thus supporting Hypothesis 1.</w:t>
      </w:r>
    </w:p>
    <w:p w14:paraId="0C6C3CCA" w14:textId="67B26904" w:rsidR="009C3784" w:rsidRPr="00E86B17" w:rsidRDefault="00D95DA7">
      <w:pPr>
        <w:ind w:firstLineChars="200" w:firstLine="440"/>
        <w:jc w:val="center"/>
        <w:rPr>
          <w:rFonts w:ascii="Times New Roman" w:eastAsia="SimSun" w:hAnsi="Times New Roman" w:cs="Times New Roman"/>
          <w:b/>
          <w:sz w:val="22"/>
          <w:szCs w:val="24"/>
        </w:rPr>
      </w:pPr>
      <w:r w:rsidRPr="00E86B17">
        <w:rPr>
          <w:rFonts w:ascii="Times New Roman" w:eastAsia="Microsoft YaHei" w:hAnsi="Times New Roman" w:cs="Times New Roman" w:hint="eastAsia"/>
          <w:b/>
          <w:sz w:val="22"/>
          <w:szCs w:val="24"/>
        </w:rPr>
        <w:t>Table 2. Baseline regression</w:t>
      </w:r>
      <w:r w:rsidR="00E86B17" w:rsidRPr="00E86B17">
        <w:rPr>
          <w:rFonts w:ascii="Times New Roman" w:eastAsia="Microsoft YaHei" w:hAnsi="Times New Roman" w:cs="Times New Roman"/>
          <w:b/>
          <w:sz w:val="22"/>
          <w:szCs w:val="24"/>
        </w:rPr>
        <w:t xml:space="preserve"> results</w:t>
      </w:r>
    </w:p>
    <w:tbl>
      <w:tblPr>
        <w:tblW w:w="9321" w:type="dxa"/>
        <w:jc w:val="center"/>
        <w:tblLayout w:type="fixed"/>
        <w:tblCellMar>
          <w:left w:w="75" w:type="dxa"/>
          <w:right w:w="75" w:type="dxa"/>
        </w:tblCellMar>
        <w:tblLook w:val="04A0" w:firstRow="1" w:lastRow="0" w:firstColumn="1" w:lastColumn="0" w:noHBand="0" w:noVBand="1"/>
      </w:tblPr>
      <w:tblGrid>
        <w:gridCol w:w="1833"/>
        <w:gridCol w:w="1584"/>
        <w:gridCol w:w="1584"/>
        <w:gridCol w:w="1440"/>
        <w:gridCol w:w="1440"/>
        <w:gridCol w:w="1440"/>
      </w:tblGrid>
      <w:tr w:rsidR="009C3784" w:rsidRPr="003C297B" w14:paraId="267B8AB0" w14:textId="77777777">
        <w:trPr>
          <w:jc w:val="center"/>
        </w:trPr>
        <w:tc>
          <w:tcPr>
            <w:tcW w:w="1833" w:type="dxa"/>
            <w:tcBorders>
              <w:top w:val="single" w:sz="6" w:space="0" w:color="auto"/>
              <w:left w:val="nil"/>
              <w:bottom w:val="nil"/>
              <w:right w:val="nil"/>
            </w:tcBorders>
          </w:tcPr>
          <w:p w14:paraId="2F64D8CA"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4ADD9B3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3297908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440" w:type="dxa"/>
            <w:tcBorders>
              <w:top w:val="single" w:sz="6" w:space="0" w:color="auto"/>
              <w:left w:val="nil"/>
              <w:bottom w:val="nil"/>
              <w:right w:val="nil"/>
            </w:tcBorders>
          </w:tcPr>
          <w:p w14:paraId="7B9049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440" w:type="dxa"/>
            <w:tcBorders>
              <w:top w:val="single" w:sz="6" w:space="0" w:color="auto"/>
              <w:left w:val="nil"/>
              <w:bottom w:val="nil"/>
              <w:right w:val="nil"/>
            </w:tcBorders>
          </w:tcPr>
          <w:p w14:paraId="696D527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440" w:type="dxa"/>
            <w:tcBorders>
              <w:top w:val="single" w:sz="6" w:space="0" w:color="auto"/>
              <w:left w:val="nil"/>
              <w:bottom w:val="nil"/>
              <w:right w:val="nil"/>
            </w:tcBorders>
          </w:tcPr>
          <w:p w14:paraId="220149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6D0542D9" w14:textId="77777777">
        <w:trPr>
          <w:jc w:val="center"/>
        </w:trPr>
        <w:tc>
          <w:tcPr>
            <w:tcW w:w="1833" w:type="dxa"/>
            <w:tcBorders>
              <w:top w:val="nil"/>
              <w:left w:val="nil"/>
              <w:bottom w:val="single" w:sz="6" w:space="0" w:color="auto"/>
              <w:right w:val="nil"/>
            </w:tcBorders>
          </w:tcPr>
          <w:p w14:paraId="6C844EE3"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2AD349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6AC62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1E3B5B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662C6D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440" w:type="dxa"/>
            <w:tcBorders>
              <w:top w:val="nil"/>
              <w:left w:val="nil"/>
              <w:bottom w:val="single" w:sz="6" w:space="0" w:color="auto"/>
              <w:right w:val="nil"/>
            </w:tcBorders>
          </w:tcPr>
          <w:p w14:paraId="5170BCB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667A5816" w14:textId="77777777">
        <w:trPr>
          <w:jc w:val="center"/>
        </w:trPr>
        <w:tc>
          <w:tcPr>
            <w:tcW w:w="1833" w:type="dxa"/>
            <w:tcBorders>
              <w:top w:val="nil"/>
              <w:left w:val="nil"/>
              <w:bottom w:val="nil"/>
              <w:right w:val="nil"/>
            </w:tcBorders>
          </w:tcPr>
          <w:p w14:paraId="7DE274C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did</w:t>
            </w:r>
          </w:p>
        </w:tc>
        <w:tc>
          <w:tcPr>
            <w:tcW w:w="1584" w:type="dxa"/>
            <w:tcBorders>
              <w:top w:val="nil"/>
              <w:left w:val="nil"/>
              <w:bottom w:val="nil"/>
              <w:right w:val="nil"/>
            </w:tcBorders>
          </w:tcPr>
          <w:p w14:paraId="73A67FC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0.0854***</w:t>
            </w:r>
          </w:p>
        </w:tc>
        <w:tc>
          <w:tcPr>
            <w:tcW w:w="1584" w:type="dxa"/>
            <w:tcBorders>
              <w:top w:val="nil"/>
              <w:left w:val="nil"/>
              <w:bottom w:val="nil"/>
              <w:right w:val="nil"/>
            </w:tcBorders>
          </w:tcPr>
          <w:p w14:paraId="558204B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0.0818***</w:t>
            </w:r>
          </w:p>
        </w:tc>
        <w:tc>
          <w:tcPr>
            <w:tcW w:w="1440" w:type="dxa"/>
            <w:tcBorders>
              <w:top w:val="nil"/>
              <w:left w:val="nil"/>
              <w:bottom w:val="nil"/>
              <w:right w:val="nil"/>
            </w:tcBorders>
          </w:tcPr>
          <w:p w14:paraId="77FC86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0.0370**</w:t>
            </w:r>
          </w:p>
        </w:tc>
        <w:tc>
          <w:tcPr>
            <w:tcW w:w="1440" w:type="dxa"/>
            <w:tcBorders>
              <w:top w:val="nil"/>
              <w:left w:val="nil"/>
              <w:bottom w:val="nil"/>
              <w:right w:val="nil"/>
            </w:tcBorders>
          </w:tcPr>
          <w:p w14:paraId="2DC94C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0.0349**</w:t>
            </w:r>
          </w:p>
        </w:tc>
        <w:tc>
          <w:tcPr>
            <w:tcW w:w="1440" w:type="dxa"/>
            <w:tcBorders>
              <w:top w:val="nil"/>
              <w:left w:val="nil"/>
              <w:bottom w:val="nil"/>
              <w:right w:val="nil"/>
            </w:tcBorders>
          </w:tcPr>
          <w:p w14:paraId="1E8EC7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0.0347**</w:t>
            </w:r>
          </w:p>
        </w:tc>
      </w:tr>
      <w:tr w:rsidR="009C3784" w:rsidRPr="003C297B" w14:paraId="2F54D0D2" w14:textId="77777777">
        <w:trPr>
          <w:jc w:val="center"/>
        </w:trPr>
        <w:tc>
          <w:tcPr>
            <w:tcW w:w="1833" w:type="dxa"/>
            <w:tcBorders>
              <w:top w:val="nil"/>
              <w:left w:val="nil"/>
              <w:bottom w:val="nil"/>
              <w:right w:val="nil"/>
            </w:tcBorders>
          </w:tcPr>
          <w:p w14:paraId="7E92440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C49441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(0.0249)</w:t>
            </w:r>
          </w:p>
        </w:tc>
        <w:tc>
          <w:tcPr>
            <w:tcW w:w="1584" w:type="dxa"/>
            <w:tcBorders>
              <w:top w:val="nil"/>
              <w:left w:val="nil"/>
              <w:bottom w:val="nil"/>
              <w:right w:val="nil"/>
            </w:tcBorders>
          </w:tcPr>
          <w:p w14:paraId="31C62E5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(0.0226)</w:t>
            </w:r>
          </w:p>
        </w:tc>
        <w:tc>
          <w:tcPr>
            <w:tcW w:w="1440" w:type="dxa"/>
            <w:tcBorders>
              <w:top w:val="nil"/>
              <w:left w:val="nil"/>
              <w:bottom w:val="nil"/>
              <w:right w:val="nil"/>
            </w:tcBorders>
          </w:tcPr>
          <w:p w14:paraId="1AED00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1440" w:type="dxa"/>
            <w:tcBorders>
              <w:top w:val="nil"/>
              <w:left w:val="nil"/>
              <w:bottom w:val="nil"/>
              <w:right w:val="nil"/>
            </w:tcBorders>
          </w:tcPr>
          <w:p w14:paraId="112C6A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(0.0156)</w:t>
            </w:r>
          </w:p>
        </w:tc>
        <w:tc>
          <w:tcPr>
            <w:tcW w:w="1440" w:type="dxa"/>
            <w:tcBorders>
              <w:top w:val="nil"/>
              <w:left w:val="nil"/>
              <w:bottom w:val="nil"/>
              <w:right w:val="nil"/>
            </w:tcBorders>
          </w:tcPr>
          <w:p w14:paraId="7009497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(0.0157)</w:t>
            </w:r>
          </w:p>
        </w:tc>
      </w:tr>
      <w:tr w:rsidR="009C3784" w:rsidRPr="003C297B" w14:paraId="0217DC2C" w14:textId="77777777">
        <w:trPr>
          <w:jc w:val="center"/>
        </w:trPr>
        <w:tc>
          <w:tcPr>
            <w:tcW w:w="1833" w:type="dxa"/>
            <w:tcBorders>
              <w:top w:val="nil"/>
              <w:left w:val="nil"/>
              <w:bottom w:val="nil"/>
              <w:right w:val="nil"/>
            </w:tcBorders>
          </w:tcPr>
          <w:p w14:paraId="63DBD9B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043CEC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303C220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-0.0331</w:t>
            </w:r>
          </w:p>
        </w:tc>
        <w:tc>
          <w:tcPr>
            <w:tcW w:w="1440" w:type="dxa"/>
            <w:tcBorders>
              <w:top w:val="nil"/>
              <w:left w:val="nil"/>
              <w:bottom w:val="nil"/>
              <w:right w:val="nil"/>
            </w:tcBorders>
          </w:tcPr>
          <w:p w14:paraId="0DF257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440" w:type="dxa"/>
            <w:tcBorders>
              <w:top w:val="nil"/>
              <w:left w:val="nil"/>
              <w:bottom w:val="nil"/>
              <w:right w:val="nil"/>
            </w:tcBorders>
          </w:tcPr>
          <w:p w14:paraId="2514F950"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0AD440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4296E37" w14:textId="77777777">
        <w:trPr>
          <w:jc w:val="center"/>
        </w:trPr>
        <w:tc>
          <w:tcPr>
            <w:tcW w:w="1833" w:type="dxa"/>
            <w:tcBorders>
              <w:top w:val="nil"/>
              <w:left w:val="nil"/>
              <w:bottom w:val="nil"/>
              <w:right w:val="nil"/>
            </w:tcBorders>
          </w:tcPr>
          <w:p w14:paraId="686641B9"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5F449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77C0F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(0.0209)</w:t>
            </w:r>
          </w:p>
        </w:tc>
        <w:tc>
          <w:tcPr>
            <w:tcW w:w="1440" w:type="dxa"/>
            <w:tcBorders>
              <w:top w:val="nil"/>
              <w:left w:val="nil"/>
              <w:bottom w:val="nil"/>
              <w:right w:val="nil"/>
            </w:tcBorders>
          </w:tcPr>
          <w:p w14:paraId="410BE4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(0.0258)</w:t>
            </w:r>
          </w:p>
        </w:tc>
        <w:tc>
          <w:tcPr>
            <w:tcW w:w="1440" w:type="dxa"/>
            <w:tcBorders>
              <w:top w:val="nil"/>
              <w:left w:val="nil"/>
              <w:bottom w:val="nil"/>
              <w:right w:val="nil"/>
            </w:tcBorders>
          </w:tcPr>
          <w:p w14:paraId="005C4E06"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029F1AD"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D062B37" w14:textId="77777777">
        <w:trPr>
          <w:jc w:val="center"/>
        </w:trPr>
        <w:tc>
          <w:tcPr>
            <w:tcW w:w="1833" w:type="dxa"/>
            <w:tcBorders>
              <w:top w:val="nil"/>
              <w:left w:val="nil"/>
              <w:bottom w:val="nil"/>
              <w:right w:val="nil"/>
            </w:tcBorders>
          </w:tcPr>
          <w:p w14:paraId="1475F94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0CE9666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710A1A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440" w:type="dxa"/>
            <w:tcBorders>
              <w:top w:val="nil"/>
              <w:left w:val="nil"/>
              <w:bottom w:val="nil"/>
              <w:right w:val="nil"/>
            </w:tcBorders>
          </w:tcPr>
          <w:p w14:paraId="2BAFB92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0F5E923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3A1B1B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1948267E" w14:textId="77777777">
        <w:trPr>
          <w:jc w:val="center"/>
        </w:trPr>
        <w:tc>
          <w:tcPr>
            <w:tcW w:w="1833" w:type="dxa"/>
            <w:tcBorders>
              <w:top w:val="nil"/>
              <w:left w:val="nil"/>
              <w:bottom w:val="nil"/>
              <w:right w:val="nil"/>
            </w:tcBorders>
          </w:tcPr>
          <w:p w14:paraId="30B4A91C"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DC85FA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2B096F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440" w:type="dxa"/>
            <w:tcBorders>
              <w:top w:val="nil"/>
              <w:left w:val="nil"/>
              <w:bottom w:val="nil"/>
              <w:right w:val="nil"/>
            </w:tcBorders>
          </w:tcPr>
          <w:p w14:paraId="2411889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4FB2199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440" w:type="dxa"/>
            <w:tcBorders>
              <w:top w:val="nil"/>
              <w:left w:val="nil"/>
              <w:bottom w:val="nil"/>
              <w:right w:val="nil"/>
            </w:tcBorders>
          </w:tcPr>
          <w:p w14:paraId="7E8D998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4B7D5D1D" w14:textId="77777777">
        <w:trPr>
          <w:jc w:val="center"/>
        </w:trPr>
        <w:tc>
          <w:tcPr>
            <w:tcW w:w="1833" w:type="dxa"/>
            <w:tcBorders>
              <w:top w:val="nil"/>
              <w:left w:val="nil"/>
              <w:bottom w:val="nil"/>
              <w:right w:val="nil"/>
            </w:tcBorders>
          </w:tcPr>
          <w:p w14:paraId="7FF95DD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1C9269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37DBF22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1.6103***</w:t>
            </w:r>
          </w:p>
        </w:tc>
        <w:tc>
          <w:tcPr>
            <w:tcW w:w="1440" w:type="dxa"/>
            <w:tcBorders>
              <w:top w:val="nil"/>
              <w:left w:val="nil"/>
              <w:bottom w:val="nil"/>
              <w:right w:val="nil"/>
            </w:tcBorders>
          </w:tcPr>
          <w:p w14:paraId="0BE55CF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1.8024***</w:t>
            </w:r>
          </w:p>
        </w:tc>
        <w:tc>
          <w:tcPr>
            <w:tcW w:w="1440" w:type="dxa"/>
            <w:tcBorders>
              <w:top w:val="nil"/>
              <w:left w:val="nil"/>
              <w:bottom w:val="nil"/>
              <w:right w:val="nil"/>
            </w:tcBorders>
          </w:tcPr>
          <w:p w14:paraId="792D572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2.1942***</w:t>
            </w:r>
          </w:p>
        </w:tc>
        <w:tc>
          <w:tcPr>
            <w:tcW w:w="1440" w:type="dxa"/>
            <w:tcBorders>
              <w:top w:val="nil"/>
              <w:left w:val="nil"/>
              <w:bottom w:val="nil"/>
              <w:right w:val="nil"/>
            </w:tcBorders>
          </w:tcPr>
          <w:p w14:paraId="5B75A6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2.1856***</w:t>
            </w:r>
          </w:p>
        </w:tc>
      </w:tr>
      <w:tr w:rsidR="009C3784" w:rsidRPr="003C297B" w14:paraId="786C873B" w14:textId="77777777">
        <w:trPr>
          <w:jc w:val="center"/>
        </w:trPr>
        <w:tc>
          <w:tcPr>
            <w:tcW w:w="1833" w:type="dxa"/>
            <w:tcBorders>
              <w:top w:val="nil"/>
              <w:left w:val="nil"/>
              <w:bottom w:val="nil"/>
              <w:right w:val="nil"/>
            </w:tcBorders>
          </w:tcPr>
          <w:p w14:paraId="2369F502"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32E90E8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31DFA2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(0.1219)</w:t>
            </w:r>
          </w:p>
        </w:tc>
        <w:tc>
          <w:tcPr>
            <w:tcW w:w="1440" w:type="dxa"/>
            <w:tcBorders>
              <w:top w:val="nil"/>
              <w:left w:val="nil"/>
              <w:bottom w:val="nil"/>
              <w:right w:val="nil"/>
            </w:tcBorders>
          </w:tcPr>
          <w:p w14:paraId="6B6B833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(0.4859)</w:t>
            </w:r>
          </w:p>
        </w:tc>
        <w:tc>
          <w:tcPr>
            <w:tcW w:w="1440" w:type="dxa"/>
            <w:tcBorders>
              <w:top w:val="nil"/>
              <w:left w:val="nil"/>
              <w:bottom w:val="nil"/>
              <w:right w:val="nil"/>
            </w:tcBorders>
          </w:tcPr>
          <w:p w14:paraId="1696A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(0.4846)</w:t>
            </w:r>
          </w:p>
        </w:tc>
        <w:tc>
          <w:tcPr>
            <w:tcW w:w="1440" w:type="dxa"/>
            <w:tcBorders>
              <w:top w:val="nil"/>
              <w:left w:val="nil"/>
              <w:bottom w:val="nil"/>
              <w:right w:val="nil"/>
            </w:tcBorders>
          </w:tcPr>
          <w:p w14:paraId="2C5FF5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(0.4892)</w:t>
            </w:r>
          </w:p>
        </w:tc>
      </w:tr>
      <w:tr w:rsidR="009C3784" w:rsidRPr="003C297B" w14:paraId="015519B8" w14:textId="77777777">
        <w:trPr>
          <w:jc w:val="center"/>
        </w:trPr>
        <w:tc>
          <w:tcPr>
            <w:tcW w:w="1833" w:type="dxa"/>
            <w:tcBorders>
              <w:top w:val="nil"/>
              <w:left w:val="nil"/>
              <w:bottom w:val="nil"/>
              <w:right w:val="nil"/>
            </w:tcBorders>
          </w:tcPr>
          <w:p w14:paraId="768CD5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13EB2F7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4088BC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440" w:type="dxa"/>
            <w:tcBorders>
              <w:top w:val="nil"/>
              <w:left w:val="nil"/>
              <w:bottom w:val="nil"/>
              <w:right w:val="nil"/>
            </w:tcBorders>
          </w:tcPr>
          <w:p w14:paraId="58C0C74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440" w:type="dxa"/>
            <w:tcBorders>
              <w:top w:val="nil"/>
              <w:left w:val="nil"/>
              <w:bottom w:val="nil"/>
              <w:right w:val="nil"/>
            </w:tcBorders>
          </w:tcPr>
          <w:p w14:paraId="76A942A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440" w:type="dxa"/>
            <w:tcBorders>
              <w:top w:val="nil"/>
              <w:left w:val="nil"/>
              <w:bottom w:val="nil"/>
              <w:right w:val="nil"/>
            </w:tcBorders>
          </w:tcPr>
          <w:p w14:paraId="566F27C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34FFBB53" w14:textId="77777777">
        <w:trPr>
          <w:jc w:val="center"/>
        </w:trPr>
        <w:tc>
          <w:tcPr>
            <w:tcW w:w="1833" w:type="dxa"/>
            <w:tcBorders>
              <w:top w:val="nil"/>
              <w:left w:val="nil"/>
              <w:bottom w:val="nil"/>
              <w:right w:val="nil"/>
            </w:tcBorders>
          </w:tcPr>
          <w:p w14:paraId="38C84BF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7716E4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0.015</w:t>
            </w:r>
          </w:p>
        </w:tc>
        <w:tc>
          <w:tcPr>
            <w:tcW w:w="1584" w:type="dxa"/>
            <w:tcBorders>
              <w:top w:val="nil"/>
              <w:left w:val="nil"/>
              <w:bottom w:val="nil"/>
              <w:right w:val="nil"/>
            </w:tcBorders>
          </w:tcPr>
          <w:p w14:paraId="445B0A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0.044</w:t>
            </w:r>
          </w:p>
        </w:tc>
        <w:tc>
          <w:tcPr>
            <w:tcW w:w="1440" w:type="dxa"/>
            <w:tcBorders>
              <w:top w:val="nil"/>
              <w:left w:val="nil"/>
              <w:bottom w:val="nil"/>
              <w:right w:val="nil"/>
            </w:tcBorders>
          </w:tcPr>
          <w:p w14:paraId="73A0A6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0.766</w:t>
            </w:r>
          </w:p>
        </w:tc>
        <w:tc>
          <w:tcPr>
            <w:tcW w:w="1440" w:type="dxa"/>
            <w:tcBorders>
              <w:top w:val="nil"/>
              <w:left w:val="nil"/>
              <w:bottom w:val="nil"/>
              <w:right w:val="nil"/>
            </w:tcBorders>
          </w:tcPr>
          <w:p w14:paraId="75308D2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c>
          <w:tcPr>
            <w:tcW w:w="1440" w:type="dxa"/>
            <w:tcBorders>
              <w:top w:val="nil"/>
              <w:left w:val="nil"/>
              <w:bottom w:val="nil"/>
              <w:right w:val="nil"/>
            </w:tcBorders>
          </w:tcPr>
          <w:p w14:paraId="62A37D0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0.774</w:t>
            </w:r>
          </w:p>
        </w:tc>
      </w:tr>
      <w:tr w:rsidR="009C3784" w:rsidRPr="003C297B" w14:paraId="4D772E64" w14:textId="77777777">
        <w:trPr>
          <w:jc w:val="center"/>
        </w:trPr>
        <w:tc>
          <w:tcPr>
            <w:tcW w:w="1833" w:type="dxa"/>
            <w:tcBorders>
              <w:top w:val="nil"/>
              <w:left w:val="nil"/>
              <w:bottom w:val="nil"/>
              <w:right w:val="nil"/>
            </w:tcBorders>
          </w:tcPr>
          <w:p w14:paraId="51C233D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224AE2D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2DEE47D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9472A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A38FB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671937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EE4BD4E" w14:textId="77777777">
        <w:trPr>
          <w:jc w:val="center"/>
        </w:trPr>
        <w:tc>
          <w:tcPr>
            <w:tcW w:w="1833" w:type="dxa"/>
            <w:tcBorders>
              <w:top w:val="nil"/>
              <w:left w:val="nil"/>
              <w:bottom w:val="nil"/>
              <w:right w:val="nil"/>
            </w:tcBorders>
          </w:tcPr>
          <w:p w14:paraId="703BA08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3A8AFC1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0F6DC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196487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0A8B2F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2E60F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9B4E12B" w14:textId="77777777">
        <w:trPr>
          <w:jc w:val="center"/>
        </w:trPr>
        <w:tc>
          <w:tcPr>
            <w:tcW w:w="1833" w:type="dxa"/>
            <w:tcBorders>
              <w:top w:val="nil"/>
              <w:left w:val="nil"/>
              <w:bottom w:val="nil"/>
              <w:right w:val="nil"/>
            </w:tcBorders>
          </w:tcPr>
          <w:p w14:paraId="583F411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0DB1BF0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FAC3B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0D3413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21CCFC5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4FF9B58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E802F75" w14:textId="77777777">
        <w:trPr>
          <w:jc w:val="center"/>
        </w:trPr>
        <w:tc>
          <w:tcPr>
            <w:tcW w:w="1833" w:type="dxa"/>
            <w:tcBorders>
              <w:top w:val="nil"/>
              <w:left w:val="nil"/>
              <w:bottom w:val="nil"/>
              <w:right w:val="nil"/>
            </w:tcBorders>
          </w:tcPr>
          <w:p w14:paraId="6B2EF7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03CC66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5381C2D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341D16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nil"/>
              <w:right w:val="nil"/>
            </w:tcBorders>
          </w:tcPr>
          <w:p w14:paraId="5B05C4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440" w:type="dxa"/>
            <w:tcBorders>
              <w:top w:val="nil"/>
              <w:left w:val="nil"/>
              <w:bottom w:val="nil"/>
              <w:right w:val="nil"/>
            </w:tcBorders>
          </w:tcPr>
          <w:p w14:paraId="075763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7F1597C" w14:textId="77777777">
        <w:tblPrEx>
          <w:tblBorders>
            <w:bottom w:val="single" w:sz="6" w:space="0" w:color="auto"/>
          </w:tblBorders>
        </w:tblPrEx>
        <w:trPr>
          <w:jc w:val="center"/>
        </w:trPr>
        <w:tc>
          <w:tcPr>
            <w:tcW w:w="1833" w:type="dxa"/>
            <w:tcBorders>
              <w:top w:val="nil"/>
              <w:left w:val="nil"/>
              <w:bottom w:val="single" w:sz="6" w:space="0" w:color="auto"/>
              <w:right w:val="nil"/>
            </w:tcBorders>
          </w:tcPr>
          <w:p w14:paraId="56A982C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400A0B7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C67B1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110D5A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85A1A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440" w:type="dxa"/>
            <w:tcBorders>
              <w:top w:val="nil"/>
              <w:left w:val="nil"/>
              <w:bottom w:val="single" w:sz="6" w:space="0" w:color="auto"/>
              <w:right w:val="nil"/>
            </w:tcBorders>
          </w:tcPr>
          <w:p w14:paraId="43BAFFB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102DEDD" w14:textId="77777777" w:rsidR="007C10D5" w:rsidRPr="007C10D5" w:rsidRDefault="007C10D5" w:rsidP="007C10D5">
      <w:pPr>
        <w:rPr>
          <w:rFonts w:ascii="Times New Roman" w:hAnsi="Times New Roman" w:cs="Times New Roman"/>
        </w:rPr>
      </w:pPr>
      <w:r w:rsidRPr="007C10D5">
        <w:rPr>
          <w:rFonts w:ascii="Times New Roman" w:hAnsi="Times New Roman" w:cs="Times New Roman"/>
        </w:rPr>
        <w:t>Note: *, **, *** indicate significance at the 10%, 5% and 1% levels respectively; and the same applies hereinafter.</w:t>
      </w:r>
    </w:p>
    <w:p w14:paraId="662C7EA7" w14:textId="77777777" w:rsidR="007C10D5" w:rsidRPr="007C10D5" w:rsidRDefault="007C10D5" w:rsidP="007C10D5"/>
    <w:p w14:paraId="5403B99D" w14:textId="52AA89FC"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w:t>
      </w:r>
      <w:r w:rsidR="00D95DA7">
        <w:rPr>
          <w:rFonts w:ascii="Times New Roman" w:eastAsia="Microsoft YaHei" w:hAnsi="Times New Roman" w:cs="Times New Roman" w:hint="eastAsia"/>
          <w:b/>
          <w:bCs/>
          <w:szCs w:val="28"/>
        </w:rPr>
        <w:t>.2Parallel trend test</w:t>
      </w:r>
    </w:p>
    <w:p w14:paraId="2DF4A563" w14:textId="31610B9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double difference must satisfy the prior assumption of common support, indicating that the control group and the treatment group had the same trend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Figure 1 presents the estimated values of the coefficients for the parallel trend test. The regression results show that the coefficients of the key variables were not significant before the implementation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Specifically, in 2016-2017 and before the formal implementation of the protection tax law, there was no statistically significant difference between the experimental group and the control group, confirming the parallel trend hypothesis. However, in 2018-2019, there was a significant difference in the trend of environmental investment changes between the experimental group and the control group, with the regression coefficient being significantly positive. Therefore, the control group selected in this study is comparable to the treatment group before the policy shock, meeting the parallel trend hypothesis.</w:t>
      </w:r>
    </w:p>
    <w:p w14:paraId="1D798947" w14:textId="77777777" w:rsidR="009C3784" w:rsidRDefault="00D95DA7">
      <w:pPr>
        <w:keepNext/>
        <w:keepLines/>
        <w:snapToGrid w:val="0"/>
        <w:jc w:val="center"/>
        <w:outlineLvl w:val="3"/>
        <w:rPr>
          <w:rFonts w:ascii="Times New Roman" w:eastAsia="SimSun" w:hAnsi="Times New Roman" w:cs="Times New Roman"/>
          <w:b/>
          <w:bCs/>
          <w:szCs w:val="28"/>
        </w:rPr>
      </w:pPr>
      <w:r>
        <w:rPr>
          <w:noProof/>
          <w:lang w:eastAsia="en-US"/>
        </w:rPr>
        <w:lastRenderedPageBreak/>
        <w:drawing>
          <wp:inline distT="0" distB="0" distL="0" distR="0" wp14:anchorId="79DD61D0" wp14:editId="3CFE5D3A">
            <wp:extent cx="2974975" cy="212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5162" b="6682"/>
                    <a:stretch>
                      <a:fillRect/>
                    </a:stretch>
                  </pic:blipFill>
                  <pic:spPr>
                    <a:xfrm>
                      <a:off x="0" y="0"/>
                      <a:ext cx="2974975" cy="2128520"/>
                    </a:xfrm>
                    <a:prstGeom prst="rect">
                      <a:avLst/>
                    </a:prstGeom>
                  </pic:spPr>
                </pic:pic>
              </a:graphicData>
            </a:graphic>
          </wp:inline>
        </w:drawing>
      </w:r>
    </w:p>
    <w:p w14:paraId="5A94391D"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1. Parallel trend test</w:t>
      </w:r>
    </w:p>
    <w:p w14:paraId="036002F4" w14:textId="081627C6"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w:t>
      </w:r>
      <w:r w:rsidR="00D95DA7">
        <w:rPr>
          <w:rFonts w:ascii="Times New Roman" w:eastAsia="Microsoft YaHei" w:hAnsi="Times New Roman" w:cs="Times New Roman" w:hint="eastAsia"/>
          <w:b/>
          <w:bCs/>
          <w:szCs w:val="28"/>
        </w:rPr>
        <w:t>.3Robustness analysis</w:t>
      </w:r>
    </w:p>
    <w:p w14:paraId="155DEFF5" w14:textId="69DB17ED"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sidR="00D95DA7">
        <w:rPr>
          <w:rFonts w:ascii="Times New Roman" w:eastAsia="Microsoft YaHei" w:hAnsi="Times New Roman" w:cs="Times New Roman" w:hint="eastAsia"/>
          <w:sz w:val="22"/>
          <w:szCs w:val="24"/>
        </w:rPr>
        <w:t>1</w:t>
      </w:r>
      <w:r>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 xml:space="preserve">Replace the representation form of core variables. Referring to the research ideas of </w:t>
      </w:r>
      <w:r w:rsidR="0047354F" w:rsidRPr="0047354F">
        <w:rPr>
          <w:rFonts w:ascii="Times New Roman" w:eastAsia="Microsoft YaHei" w:cs="SimSun" w:hint="eastAsia"/>
          <w:bCs/>
          <w:color w:val="000000"/>
          <w:kern w:val="0"/>
          <w:sz w:val="22"/>
          <w:szCs w:val="24"/>
        </w:rPr>
        <w:t>Greenstone</w:t>
      </w:r>
      <w:r w:rsidR="0047354F">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this paper constructs the model by replacing the core explanatory variables as follows:</w:t>
      </w:r>
    </w:p>
    <w:p w14:paraId="4FCB4F03" w14:textId="04342538" w:rsidR="009C3784" w:rsidRDefault="00D95DA7">
      <w:pPr>
        <w:ind w:firstLineChars="200" w:firstLine="440"/>
        <w:jc w:val="center"/>
        <w:rPr>
          <w:rFonts w:ascii="Times New Roman" w:eastAsia="SimSun" w:hAnsi="Times New Roman" w:cs="Times New Roman"/>
          <w:sz w:val="22"/>
          <w:szCs w:val="24"/>
        </w:rPr>
      </w:pPr>
      <m:oMathPara>
        <m:oMath>
          <m:r>
            <w:rPr>
              <w:rFonts w:ascii="Cambria Math" w:eastAsia="SimSun" w:hAnsi="Cambria Math" w:cs="Times New Roman"/>
              <w:sz w:val="22"/>
              <w:szCs w:val="24"/>
            </w:rPr>
            <m:t>E</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0</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1</m:t>
                  </m:r>
                </m:sub>
              </m:sSub>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m:rPr>
                  <m:sty m:val="p"/>
                </m:rPr>
                <w:rPr>
                  <w:rFonts w:ascii="Cambria Math" w:eastAsia="SimSun" w:hAnsi="Cambria Math" w:cs="Times New Roman"/>
                  <w:sz w:val="22"/>
                  <w:szCs w:val="24"/>
                </w:rPr>
                <m:t>2</m:t>
              </m:r>
            </m:sub>
          </m:sSub>
          <m:sSub>
            <m:sSubPr>
              <m:ctrlPr>
                <w:rPr>
                  <w:rFonts w:ascii="Cambria Math" w:eastAsia="SimSun" w:hAnsi="Cambria Math" w:cs="Times New Roman"/>
                  <w:sz w:val="22"/>
                  <w:szCs w:val="24"/>
                </w:rPr>
              </m:ctrlPr>
            </m:sSubPr>
            <m:e>
              <m:r>
                <w:rPr>
                  <w:rFonts w:ascii="Cambria Math" w:eastAsia="SimSun" w:hAnsi="Cambria Math" w:cs="Times New Roman"/>
                  <w:sz w:val="22"/>
                  <w:szCs w:val="24"/>
                </w:rPr>
                <m:t>ET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β</m:t>
              </m:r>
            </m:e>
            <m:sub>
              <m:r>
                <w:rPr>
                  <w:rFonts w:ascii="Cambria Math" w:eastAsia="SimSun" w:hAnsi="Cambria Math" w:cs="Times New Roman"/>
                  <w:sz w:val="22"/>
                  <w:szCs w:val="24"/>
                </w:rPr>
                <m:t>j</m:t>
              </m:r>
            </m:sub>
          </m:sSub>
          <m:sSub>
            <m:sSubPr>
              <m:ctrlPr>
                <w:rPr>
                  <w:rFonts w:ascii="Cambria Math" w:eastAsia="SimSun" w:hAnsi="Cambria Math" w:cs="Times New Roman"/>
                  <w:sz w:val="22"/>
                  <w:szCs w:val="24"/>
                </w:rPr>
              </m:ctrlPr>
            </m:sSubPr>
            <m:e>
              <m:nary>
                <m:naryPr>
                  <m:chr m:val="∑"/>
                  <m:limLoc m:val="undOvr"/>
                  <m:grow m:val="1"/>
                  <m:supHide m:val="1"/>
                  <m:ctrlPr>
                    <w:rPr>
                      <w:rFonts w:ascii="Cambria Math" w:eastAsia="SimSun" w:hAnsi="Cambria Math" w:cs="Times New Roman"/>
                      <w:sz w:val="22"/>
                      <w:szCs w:val="24"/>
                    </w:rPr>
                  </m:ctrlPr>
                </m:naryPr>
                <m:sub>
                  <m:r>
                    <w:rPr>
                      <w:rFonts w:ascii="Cambria Math" w:eastAsia="SimSun" w:hAnsi="Cambria Math" w:cs="Times New Roman"/>
                      <w:sz w:val="22"/>
                      <w:szCs w:val="24"/>
                    </w:rPr>
                    <m:t>j</m:t>
                  </m:r>
                </m:sub>
                <m:sup/>
                <m:e>
                  <m:r>
                    <m:rPr>
                      <m:sty m:val="p"/>
                    </m:rPr>
                    <w:rPr>
                      <w:rFonts w:ascii="Cambria Math" w:eastAsia="SimSun" w:hAnsi="Cambria Math" w:cs="Times New Roman"/>
                      <w:sz w:val="22"/>
                      <w:szCs w:val="24"/>
                    </w:rPr>
                    <m:t xml:space="preserve"> </m:t>
                  </m:r>
                </m:e>
              </m:nary>
              <m:r>
                <w:rPr>
                  <w:rFonts w:ascii="Cambria Math" w:eastAsia="SimSun" w:hAnsi="Cambria Math" w:cs="Times New Roman"/>
                  <w:sz w:val="22"/>
                  <w:szCs w:val="24"/>
                </w:rPr>
                <m:t>Controls</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λ</m:t>
              </m:r>
            </m:e>
            <m:sub>
              <m:r>
                <w:rPr>
                  <w:rFonts w:ascii="Cambria Math" w:eastAsia="SimSun" w:hAnsi="Cambria Math" w:cs="Times New Roman"/>
                  <w:sz w:val="22"/>
                  <w:szCs w:val="24"/>
                </w:rPr>
                <m:t>i</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ind</m:t>
              </m:r>
            </m:e>
            <m:sub>
              <m:r>
                <w:rPr>
                  <w:rFonts w:ascii="Cambria Math" w:eastAsia="SimSun" w:hAnsi="Cambria Math" w:cs="Times New Roman"/>
                  <w:sz w:val="22"/>
                  <w:szCs w:val="24"/>
                </w:rPr>
                <m:t>j</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year</m:t>
              </m:r>
            </m:e>
            <m:sub>
              <m:r>
                <w:rPr>
                  <w:rFonts w:ascii="Cambria Math" w:eastAsia="SimSun" w:hAnsi="Cambria Math" w:cs="Times New Roman"/>
                  <w:sz w:val="22"/>
                  <w:szCs w:val="24"/>
                </w:rPr>
                <m:t>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prov</m:t>
              </m:r>
            </m:e>
            <m:sub>
              <m:r>
                <w:rPr>
                  <w:rFonts w:ascii="Cambria Math" w:eastAsia="SimSun" w:hAnsi="Cambria Math" w:cs="Times New Roman"/>
                  <w:sz w:val="22"/>
                  <w:szCs w:val="24"/>
                </w:rPr>
                <m:t>k</m:t>
              </m:r>
            </m:sub>
          </m:sSub>
          <m:r>
            <m:rPr>
              <m:sty m:val="p"/>
            </m:rPr>
            <w:rPr>
              <w:rFonts w:ascii="Times New Roman" w:eastAsia="Microsoft YaHei" w:hAnsi="Cambria Math" w:cs="Times New Roman" w:hint="eastAsia"/>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ε</m:t>
              </m:r>
            </m:e>
            <m:sub>
              <m:r>
                <w:rPr>
                  <w:rFonts w:ascii="Cambria Math" w:eastAsia="SimSun" w:hAnsi="Cambria Math" w:cs="Times New Roman"/>
                  <w:sz w:val="22"/>
                  <w:szCs w:val="24"/>
                </w:rPr>
                <m:t>ijtk</m:t>
              </m:r>
            </m:sub>
          </m:sSub>
        </m:oMath>
      </m:oMathPara>
    </w:p>
    <w:p w14:paraId="45A30B18" w14:textId="7C40CE31"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section primarily illustrates the extent to which industries are affected by policies</w:t>
      </w:r>
      <m:oMath>
        <m:sSub>
          <m:sSubPr>
            <m:ctrlPr>
              <w:rPr>
                <w:rFonts w:ascii="Cambria Math" w:eastAsia="SimSun" w:hAnsi="Cambria Math" w:cs="Times New Roman"/>
                <w:sz w:val="22"/>
                <w:szCs w:val="24"/>
              </w:rPr>
            </m:ctrlPr>
          </m:sSubPr>
          <m:e>
            <m:r>
              <w:rPr>
                <w:rFonts w:ascii="Cambria Math" w:eastAsia="SimSun" w:hAnsi="Cambria Math" w:cs="Times New Roman"/>
                <w:sz w:val="22"/>
                <w:szCs w:val="24"/>
              </w:rPr>
              <m:t>ETT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Treat</m:t>
            </m:r>
          </m:e>
          <m:sub>
            <m:r>
              <w:rPr>
                <w:rFonts w:ascii="Cambria Math" w:eastAsia="SimSun" w:hAnsi="Cambria Math" w:cs="Times New Roman"/>
                <w:sz w:val="22"/>
                <w:szCs w:val="24"/>
              </w:rPr>
              <m:t>it</m:t>
            </m:r>
          </m:sub>
        </m:sSub>
        <m:r>
          <m:rPr>
            <m:sty m:val="p"/>
          </m:rPr>
          <w:rPr>
            <w:rFonts w:ascii="Cambria Math" w:eastAsia="SimSun" w:hAnsi="Cambria Math" w:cs="Times New Roman"/>
            <w:sz w:val="22"/>
            <w:szCs w:val="24"/>
          </w:rPr>
          <m:t>×</m:t>
        </m:r>
        <m:r>
          <w:rPr>
            <w:rFonts w:ascii="Cambria Math" w:eastAsia="SimSun" w:hAnsi="Cambria Math" w:cs="Times New Roman"/>
            <w:sz w:val="22"/>
            <w:szCs w:val="24"/>
          </w:rPr>
          <m:t>Δ</m:t>
        </m:r>
        <m:sSub>
          <m:sSubPr>
            <m:ctrlPr>
              <w:rPr>
                <w:rFonts w:ascii="Cambria Math" w:eastAsia="SimSun" w:hAnsi="Cambria Math" w:cs="Times New Roman"/>
                <w:sz w:val="22"/>
                <w:szCs w:val="24"/>
              </w:rPr>
            </m:ctrlPr>
          </m:sSubPr>
          <m:e>
            <m:r>
              <w:rPr>
                <w:rFonts w:ascii="Cambria Math" w:eastAsia="SimSun" w:hAnsi="Cambria Math" w:cs="Times New Roman"/>
                <w:sz w:val="22"/>
                <w:szCs w:val="24"/>
              </w:rPr>
              <m:t>pullutin</m:t>
            </m:r>
          </m:e>
          <m:sub>
            <m:r>
              <m:rPr>
                <m:sty m:val="p"/>
              </m:rPr>
              <w:rPr>
                <w:rFonts w:ascii="Cambria Math" w:eastAsia="SimSun" w:hAnsi="Cambria Math" w:cs="Times New Roman"/>
                <w:sz w:val="22"/>
                <w:szCs w:val="24"/>
              </w:rPr>
              <m:t xml:space="preserve"> </m:t>
            </m:r>
          </m:sub>
        </m:sSub>
      </m:oMath>
      <w:r>
        <w:rPr>
          <w:rFonts w:ascii="Times New Roman" w:eastAsia="Microsoft YaHei" w:hAnsi="Times New Roman" w:cs="Times New Roman" w:hint="eastAsia"/>
          <w:sz w:val="22"/>
          <w:szCs w:val="24"/>
        </w:rPr>
        <w:t xml:space="preserve"> The paper measures the overall pollution level of each industry using the weighted average of pollutant increments across various sectors. The higher the pollution level, the greater the impact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which stipulates 'more emissions, more taxes; fewer emissions, fewer taxes; no emissions, no taxes.' The study focuses on three types of pollutants: industrial solid waste, industrial exhaust (sulfur dioxide, nitrogen oxides, and fly ash), and industrial wastewater. The method of normalization and equal-weight linear summation is used to determine the overall changes in pollutant emissions for each industry. The primary sources of industry-specific pollutant data are the 'China Environmental Statistics Yearbook' and the 'China Statistical Yearbook,' spanning multiple years. According to the 'National Economic Industry Classification and Code' (GB/T 4754-2017), two-digit industry codes are used to match the restricted industries under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with those of listed companies.</w:t>
      </w:r>
    </w:p>
    <w:p w14:paraId="1AED6BDE" w14:textId="24E84CB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Pr>
          <w:rFonts w:ascii="Times New Roman" w:eastAsia="Microsoft YaHei" w:hAnsi="Times New Roman" w:cs="Times New Roman" w:hint="eastAsia"/>
          <w:sz w:val="22"/>
          <w:szCs w:val="24"/>
        </w:rPr>
        <w:t xml:space="preserve"> replaces the core explanatory variable, excluding non-restricted industries from the treatment group and characterizing the extent to which the treatment group is affected by policy. Only industries that are both restricted and significantly impacted by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experience a greater impact on their internal enterprises. The regression results in Table 3 show that after replacing the core explanatory variable, the regression results under the same baseline model are all highly significant and positive, with the coefficients and significance levels increasing, indicating the robustness of the baseline regression and further confirming Hypothesis 1.</w:t>
      </w:r>
    </w:p>
    <w:p w14:paraId="214FD67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3 Robustness test 1</w:t>
      </w:r>
    </w:p>
    <w:tbl>
      <w:tblPr>
        <w:tblW w:w="9867" w:type="dxa"/>
        <w:jc w:val="center"/>
        <w:tblLayout w:type="fixed"/>
        <w:tblCellMar>
          <w:left w:w="75" w:type="dxa"/>
          <w:right w:w="75" w:type="dxa"/>
        </w:tblCellMar>
        <w:tblLook w:val="04A0" w:firstRow="1" w:lastRow="0" w:firstColumn="1" w:lastColumn="0" w:noHBand="0" w:noVBand="1"/>
      </w:tblPr>
      <w:tblGrid>
        <w:gridCol w:w="1947"/>
        <w:gridCol w:w="1584"/>
        <w:gridCol w:w="1584"/>
        <w:gridCol w:w="1584"/>
        <w:gridCol w:w="1584"/>
        <w:gridCol w:w="1584"/>
      </w:tblGrid>
      <w:tr w:rsidR="009C3784" w:rsidRPr="003C297B" w14:paraId="45529EB9" w14:textId="77777777">
        <w:trPr>
          <w:jc w:val="center"/>
        </w:trPr>
        <w:tc>
          <w:tcPr>
            <w:tcW w:w="1947" w:type="dxa"/>
            <w:tcBorders>
              <w:top w:val="single" w:sz="6" w:space="0" w:color="auto"/>
              <w:left w:val="nil"/>
              <w:bottom w:val="nil"/>
              <w:right w:val="nil"/>
            </w:tcBorders>
          </w:tcPr>
          <w:p w14:paraId="0EE2D97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single" w:sz="6" w:space="0" w:color="auto"/>
              <w:left w:val="nil"/>
              <w:bottom w:val="nil"/>
              <w:right w:val="nil"/>
            </w:tcBorders>
          </w:tcPr>
          <w:p w14:paraId="2FBD5BF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584" w:type="dxa"/>
            <w:tcBorders>
              <w:top w:val="single" w:sz="6" w:space="0" w:color="auto"/>
              <w:left w:val="nil"/>
              <w:bottom w:val="nil"/>
              <w:right w:val="nil"/>
            </w:tcBorders>
          </w:tcPr>
          <w:p w14:paraId="0E7E9D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584" w:type="dxa"/>
            <w:tcBorders>
              <w:top w:val="single" w:sz="6" w:space="0" w:color="auto"/>
              <w:left w:val="nil"/>
              <w:bottom w:val="nil"/>
              <w:right w:val="nil"/>
            </w:tcBorders>
          </w:tcPr>
          <w:p w14:paraId="2A693D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1584" w:type="dxa"/>
            <w:tcBorders>
              <w:top w:val="single" w:sz="6" w:space="0" w:color="auto"/>
              <w:left w:val="nil"/>
              <w:bottom w:val="nil"/>
              <w:right w:val="nil"/>
            </w:tcBorders>
          </w:tcPr>
          <w:p w14:paraId="2269437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1584" w:type="dxa"/>
            <w:tcBorders>
              <w:top w:val="single" w:sz="6" w:space="0" w:color="auto"/>
              <w:left w:val="nil"/>
              <w:bottom w:val="nil"/>
              <w:right w:val="nil"/>
            </w:tcBorders>
          </w:tcPr>
          <w:p w14:paraId="3B4E48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558B5F34" w14:textId="77777777">
        <w:trPr>
          <w:jc w:val="center"/>
        </w:trPr>
        <w:tc>
          <w:tcPr>
            <w:tcW w:w="1947" w:type="dxa"/>
            <w:tcBorders>
              <w:top w:val="nil"/>
              <w:left w:val="nil"/>
              <w:bottom w:val="single" w:sz="6" w:space="0" w:color="auto"/>
              <w:right w:val="nil"/>
            </w:tcBorders>
          </w:tcPr>
          <w:p w14:paraId="0D9FFB5F"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single" w:sz="6" w:space="0" w:color="auto"/>
              <w:right w:val="nil"/>
            </w:tcBorders>
          </w:tcPr>
          <w:p w14:paraId="4D7B2F0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9C7C5E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50002F1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321C89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1584" w:type="dxa"/>
            <w:tcBorders>
              <w:top w:val="nil"/>
              <w:left w:val="nil"/>
              <w:bottom w:val="single" w:sz="6" w:space="0" w:color="auto"/>
              <w:right w:val="nil"/>
            </w:tcBorders>
          </w:tcPr>
          <w:p w14:paraId="0BE46F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00255BC2" w14:textId="77777777">
        <w:trPr>
          <w:jc w:val="center"/>
        </w:trPr>
        <w:tc>
          <w:tcPr>
            <w:tcW w:w="1947" w:type="dxa"/>
            <w:tcBorders>
              <w:top w:val="nil"/>
              <w:left w:val="nil"/>
              <w:bottom w:val="nil"/>
              <w:right w:val="nil"/>
            </w:tcBorders>
          </w:tcPr>
          <w:p w14:paraId="5ED040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ET2</w:t>
            </w:r>
          </w:p>
        </w:tc>
        <w:tc>
          <w:tcPr>
            <w:tcW w:w="1584" w:type="dxa"/>
            <w:tcBorders>
              <w:top w:val="nil"/>
              <w:left w:val="nil"/>
              <w:bottom w:val="nil"/>
              <w:right w:val="nil"/>
            </w:tcBorders>
          </w:tcPr>
          <w:p w14:paraId="76345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11.5019***</w:t>
            </w:r>
          </w:p>
        </w:tc>
        <w:tc>
          <w:tcPr>
            <w:tcW w:w="1584" w:type="dxa"/>
            <w:tcBorders>
              <w:top w:val="nil"/>
              <w:left w:val="nil"/>
              <w:bottom w:val="nil"/>
              <w:right w:val="nil"/>
            </w:tcBorders>
          </w:tcPr>
          <w:p w14:paraId="513BD24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12.5486***</w:t>
            </w:r>
          </w:p>
        </w:tc>
        <w:tc>
          <w:tcPr>
            <w:tcW w:w="1584" w:type="dxa"/>
            <w:tcBorders>
              <w:top w:val="nil"/>
              <w:left w:val="nil"/>
              <w:bottom w:val="nil"/>
              <w:right w:val="nil"/>
            </w:tcBorders>
          </w:tcPr>
          <w:p w14:paraId="7EFE9C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6.7680***</w:t>
            </w:r>
          </w:p>
        </w:tc>
        <w:tc>
          <w:tcPr>
            <w:tcW w:w="1584" w:type="dxa"/>
            <w:tcBorders>
              <w:top w:val="nil"/>
              <w:left w:val="nil"/>
              <w:bottom w:val="nil"/>
              <w:right w:val="nil"/>
            </w:tcBorders>
          </w:tcPr>
          <w:p w14:paraId="08B46E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6.4001***</w:t>
            </w:r>
          </w:p>
        </w:tc>
        <w:tc>
          <w:tcPr>
            <w:tcW w:w="1584" w:type="dxa"/>
            <w:tcBorders>
              <w:top w:val="nil"/>
              <w:left w:val="nil"/>
              <w:bottom w:val="nil"/>
              <w:right w:val="nil"/>
            </w:tcBorders>
          </w:tcPr>
          <w:p w14:paraId="0D0B28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6.4472***</w:t>
            </w:r>
          </w:p>
        </w:tc>
      </w:tr>
      <w:tr w:rsidR="009C3784" w:rsidRPr="003C297B" w14:paraId="7AB71F8D" w14:textId="77777777">
        <w:trPr>
          <w:jc w:val="center"/>
        </w:trPr>
        <w:tc>
          <w:tcPr>
            <w:tcW w:w="1947" w:type="dxa"/>
            <w:tcBorders>
              <w:top w:val="nil"/>
              <w:left w:val="nil"/>
              <w:bottom w:val="nil"/>
              <w:right w:val="nil"/>
            </w:tcBorders>
          </w:tcPr>
          <w:p w14:paraId="343DD73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375A26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(1.8148)</w:t>
            </w:r>
          </w:p>
        </w:tc>
        <w:tc>
          <w:tcPr>
            <w:tcW w:w="1584" w:type="dxa"/>
            <w:tcBorders>
              <w:top w:val="nil"/>
              <w:left w:val="nil"/>
              <w:bottom w:val="nil"/>
              <w:right w:val="nil"/>
            </w:tcBorders>
          </w:tcPr>
          <w:p w14:paraId="12E55B9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(1.7636)</w:t>
            </w:r>
          </w:p>
        </w:tc>
        <w:tc>
          <w:tcPr>
            <w:tcW w:w="1584" w:type="dxa"/>
            <w:tcBorders>
              <w:top w:val="nil"/>
              <w:left w:val="nil"/>
              <w:bottom w:val="nil"/>
              <w:right w:val="nil"/>
            </w:tcBorders>
          </w:tcPr>
          <w:p w14:paraId="03F651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(1.3865)</w:t>
            </w:r>
          </w:p>
        </w:tc>
        <w:tc>
          <w:tcPr>
            <w:tcW w:w="1584" w:type="dxa"/>
            <w:tcBorders>
              <w:top w:val="nil"/>
              <w:left w:val="nil"/>
              <w:bottom w:val="nil"/>
              <w:right w:val="nil"/>
            </w:tcBorders>
          </w:tcPr>
          <w:p w14:paraId="1BA5FDF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(1.3966)</w:t>
            </w:r>
          </w:p>
        </w:tc>
        <w:tc>
          <w:tcPr>
            <w:tcW w:w="1584" w:type="dxa"/>
            <w:tcBorders>
              <w:top w:val="nil"/>
              <w:left w:val="nil"/>
              <w:bottom w:val="nil"/>
              <w:right w:val="nil"/>
            </w:tcBorders>
          </w:tcPr>
          <w:p w14:paraId="4A0D490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(1.3930)</w:t>
            </w:r>
          </w:p>
        </w:tc>
      </w:tr>
      <w:tr w:rsidR="009C3784" w:rsidRPr="003C297B" w14:paraId="3EF42A14" w14:textId="77777777">
        <w:trPr>
          <w:jc w:val="center"/>
        </w:trPr>
        <w:tc>
          <w:tcPr>
            <w:tcW w:w="1947" w:type="dxa"/>
            <w:tcBorders>
              <w:top w:val="nil"/>
              <w:left w:val="nil"/>
              <w:bottom w:val="nil"/>
              <w:right w:val="nil"/>
            </w:tcBorders>
          </w:tcPr>
          <w:p w14:paraId="5E42632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pul</w:t>
            </w:r>
          </w:p>
        </w:tc>
        <w:tc>
          <w:tcPr>
            <w:tcW w:w="1584" w:type="dxa"/>
            <w:tcBorders>
              <w:top w:val="nil"/>
              <w:left w:val="nil"/>
              <w:bottom w:val="nil"/>
              <w:right w:val="nil"/>
            </w:tcBorders>
          </w:tcPr>
          <w:p w14:paraId="33E29D9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-0.0361</w:t>
            </w:r>
          </w:p>
        </w:tc>
        <w:tc>
          <w:tcPr>
            <w:tcW w:w="1584" w:type="dxa"/>
            <w:tcBorders>
              <w:top w:val="nil"/>
              <w:left w:val="nil"/>
              <w:bottom w:val="nil"/>
              <w:right w:val="nil"/>
            </w:tcBorders>
          </w:tcPr>
          <w:p w14:paraId="17C5970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-0.0328</w:t>
            </w:r>
          </w:p>
        </w:tc>
        <w:tc>
          <w:tcPr>
            <w:tcW w:w="1584" w:type="dxa"/>
            <w:tcBorders>
              <w:top w:val="nil"/>
              <w:left w:val="nil"/>
              <w:bottom w:val="nil"/>
              <w:right w:val="nil"/>
            </w:tcBorders>
          </w:tcPr>
          <w:p w14:paraId="1240DA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-0.0136</w:t>
            </w:r>
          </w:p>
        </w:tc>
        <w:tc>
          <w:tcPr>
            <w:tcW w:w="1584" w:type="dxa"/>
            <w:tcBorders>
              <w:top w:val="nil"/>
              <w:left w:val="nil"/>
              <w:bottom w:val="nil"/>
              <w:right w:val="nil"/>
            </w:tcBorders>
          </w:tcPr>
          <w:p w14:paraId="5CFA79D1"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1020373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AE60B0A" w14:textId="77777777">
        <w:trPr>
          <w:jc w:val="center"/>
        </w:trPr>
        <w:tc>
          <w:tcPr>
            <w:tcW w:w="1947" w:type="dxa"/>
            <w:tcBorders>
              <w:top w:val="nil"/>
              <w:left w:val="nil"/>
              <w:bottom w:val="nil"/>
              <w:right w:val="nil"/>
            </w:tcBorders>
          </w:tcPr>
          <w:p w14:paraId="37FF11F7"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4F60FC4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(0.0241)</w:t>
            </w:r>
          </w:p>
        </w:tc>
        <w:tc>
          <w:tcPr>
            <w:tcW w:w="1584" w:type="dxa"/>
            <w:tcBorders>
              <w:top w:val="nil"/>
              <w:left w:val="nil"/>
              <w:bottom w:val="nil"/>
              <w:right w:val="nil"/>
            </w:tcBorders>
          </w:tcPr>
          <w:p w14:paraId="56BA4D6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(0.0207)</w:t>
            </w:r>
          </w:p>
        </w:tc>
        <w:tc>
          <w:tcPr>
            <w:tcW w:w="1584" w:type="dxa"/>
            <w:tcBorders>
              <w:top w:val="nil"/>
              <w:left w:val="nil"/>
              <w:bottom w:val="nil"/>
              <w:right w:val="nil"/>
            </w:tcBorders>
          </w:tcPr>
          <w:p w14:paraId="4438A26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(0.0260)</w:t>
            </w:r>
          </w:p>
        </w:tc>
        <w:tc>
          <w:tcPr>
            <w:tcW w:w="1584" w:type="dxa"/>
            <w:tcBorders>
              <w:top w:val="nil"/>
              <w:left w:val="nil"/>
              <w:bottom w:val="nil"/>
              <w:right w:val="nil"/>
            </w:tcBorders>
          </w:tcPr>
          <w:p w14:paraId="4BBAA9B9"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30DFE6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3A2230DD" w14:textId="77777777">
        <w:trPr>
          <w:jc w:val="center"/>
        </w:trPr>
        <w:tc>
          <w:tcPr>
            <w:tcW w:w="1947" w:type="dxa"/>
            <w:tcBorders>
              <w:top w:val="nil"/>
              <w:left w:val="nil"/>
              <w:bottom w:val="nil"/>
              <w:right w:val="nil"/>
            </w:tcBorders>
          </w:tcPr>
          <w:p w14:paraId="46425301"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post</w:t>
            </w:r>
          </w:p>
        </w:tc>
        <w:tc>
          <w:tcPr>
            <w:tcW w:w="1584" w:type="dxa"/>
            <w:tcBorders>
              <w:top w:val="nil"/>
              <w:left w:val="nil"/>
              <w:bottom w:val="nil"/>
              <w:right w:val="nil"/>
            </w:tcBorders>
          </w:tcPr>
          <w:p w14:paraId="797715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-0.0301***</w:t>
            </w:r>
          </w:p>
        </w:tc>
        <w:tc>
          <w:tcPr>
            <w:tcW w:w="1584" w:type="dxa"/>
            <w:tcBorders>
              <w:top w:val="nil"/>
              <w:left w:val="nil"/>
              <w:bottom w:val="nil"/>
              <w:right w:val="nil"/>
            </w:tcBorders>
          </w:tcPr>
          <w:p w14:paraId="687026D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-0.0199***</w:t>
            </w:r>
          </w:p>
        </w:tc>
        <w:tc>
          <w:tcPr>
            <w:tcW w:w="1584" w:type="dxa"/>
            <w:tcBorders>
              <w:top w:val="nil"/>
              <w:left w:val="nil"/>
              <w:bottom w:val="nil"/>
              <w:right w:val="nil"/>
            </w:tcBorders>
          </w:tcPr>
          <w:p w14:paraId="318F9F2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6DD9CE8B"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57D5A4D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E07702C" w14:textId="77777777">
        <w:trPr>
          <w:jc w:val="center"/>
        </w:trPr>
        <w:tc>
          <w:tcPr>
            <w:tcW w:w="1947" w:type="dxa"/>
            <w:tcBorders>
              <w:top w:val="nil"/>
              <w:left w:val="nil"/>
              <w:bottom w:val="nil"/>
              <w:right w:val="nil"/>
            </w:tcBorders>
          </w:tcPr>
          <w:p w14:paraId="4CB956D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7D44632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(0.0070)</w:t>
            </w:r>
          </w:p>
        </w:tc>
        <w:tc>
          <w:tcPr>
            <w:tcW w:w="1584" w:type="dxa"/>
            <w:tcBorders>
              <w:top w:val="nil"/>
              <w:left w:val="nil"/>
              <w:bottom w:val="nil"/>
              <w:right w:val="nil"/>
            </w:tcBorders>
          </w:tcPr>
          <w:p w14:paraId="439D614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(0.0071)</w:t>
            </w:r>
          </w:p>
        </w:tc>
        <w:tc>
          <w:tcPr>
            <w:tcW w:w="1584" w:type="dxa"/>
            <w:tcBorders>
              <w:top w:val="nil"/>
              <w:left w:val="nil"/>
              <w:bottom w:val="nil"/>
              <w:right w:val="nil"/>
            </w:tcBorders>
          </w:tcPr>
          <w:p w14:paraId="07A8E58A"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57A9A53"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1584" w:type="dxa"/>
            <w:tcBorders>
              <w:top w:val="nil"/>
              <w:left w:val="nil"/>
              <w:bottom w:val="nil"/>
              <w:right w:val="nil"/>
            </w:tcBorders>
          </w:tcPr>
          <w:p w14:paraId="7B7F4F05"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FD910AC" w14:textId="77777777">
        <w:trPr>
          <w:jc w:val="center"/>
        </w:trPr>
        <w:tc>
          <w:tcPr>
            <w:tcW w:w="1947" w:type="dxa"/>
            <w:tcBorders>
              <w:top w:val="nil"/>
              <w:left w:val="nil"/>
              <w:bottom w:val="nil"/>
              <w:right w:val="nil"/>
            </w:tcBorders>
          </w:tcPr>
          <w:p w14:paraId="5E671D7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584" w:type="dxa"/>
            <w:tcBorders>
              <w:top w:val="nil"/>
              <w:left w:val="nil"/>
              <w:bottom w:val="nil"/>
              <w:right w:val="nil"/>
            </w:tcBorders>
          </w:tcPr>
          <w:p w14:paraId="34E2B4D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-0.1243***</w:t>
            </w:r>
          </w:p>
        </w:tc>
        <w:tc>
          <w:tcPr>
            <w:tcW w:w="1584" w:type="dxa"/>
            <w:tcBorders>
              <w:top w:val="nil"/>
              <w:left w:val="nil"/>
              <w:bottom w:val="nil"/>
              <w:right w:val="nil"/>
            </w:tcBorders>
          </w:tcPr>
          <w:p w14:paraId="783FE4E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-0.1478***</w:t>
            </w:r>
          </w:p>
        </w:tc>
        <w:tc>
          <w:tcPr>
            <w:tcW w:w="1584" w:type="dxa"/>
            <w:tcBorders>
              <w:top w:val="nil"/>
              <w:left w:val="nil"/>
              <w:bottom w:val="nil"/>
              <w:right w:val="nil"/>
            </w:tcBorders>
          </w:tcPr>
          <w:p w14:paraId="463C90F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-0.0882***</w:t>
            </w:r>
          </w:p>
        </w:tc>
        <w:tc>
          <w:tcPr>
            <w:tcW w:w="1584" w:type="dxa"/>
            <w:tcBorders>
              <w:top w:val="nil"/>
              <w:left w:val="nil"/>
              <w:bottom w:val="nil"/>
              <w:right w:val="nil"/>
            </w:tcBorders>
          </w:tcPr>
          <w:p w14:paraId="1C9205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-0.0835***</w:t>
            </w:r>
          </w:p>
        </w:tc>
        <w:tc>
          <w:tcPr>
            <w:tcW w:w="1584" w:type="dxa"/>
            <w:tcBorders>
              <w:top w:val="nil"/>
              <w:left w:val="nil"/>
              <w:bottom w:val="nil"/>
              <w:right w:val="nil"/>
            </w:tcBorders>
          </w:tcPr>
          <w:p w14:paraId="28F1D08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-0.0846***</w:t>
            </w:r>
          </w:p>
        </w:tc>
      </w:tr>
      <w:tr w:rsidR="009C3784" w:rsidRPr="003C297B" w14:paraId="0C8E5820" w14:textId="77777777">
        <w:trPr>
          <w:jc w:val="center"/>
        </w:trPr>
        <w:tc>
          <w:tcPr>
            <w:tcW w:w="1947" w:type="dxa"/>
            <w:tcBorders>
              <w:top w:val="nil"/>
              <w:left w:val="nil"/>
              <w:bottom w:val="nil"/>
              <w:right w:val="nil"/>
            </w:tcBorders>
          </w:tcPr>
          <w:p w14:paraId="25618395"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2901B09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(0.0372)</w:t>
            </w:r>
          </w:p>
        </w:tc>
        <w:tc>
          <w:tcPr>
            <w:tcW w:w="1584" w:type="dxa"/>
            <w:tcBorders>
              <w:top w:val="nil"/>
              <w:left w:val="nil"/>
              <w:bottom w:val="nil"/>
              <w:right w:val="nil"/>
            </w:tcBorders>
          </w:tcPr>
          <w:p w14:paraId="40E052F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(0.0367)</w:t>
            </w:r>
          </w:p>
        </w:tc>
        <w:tc>
          <w:tcPr>
            <w:tcW w:w="1584" w:type="dxa"/>
            <w:tcBorders>
              <w:top w:val="nil"/>
              <w:left w:val="nil"/>
              <w:bottom w:val="nil"/>
              <w:right w:val="nil"/>
            </w:tcBorders>
          </w:tcPr>
          <w:p w14:paraId="78DAC95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(0.0269)</w:t>
            </w:r>
          </w:p>
        </w:tc>
        <w:tc>
          <w:tcPr>
            <w:tcW w:w="1584" w:type="dxa"/>
            <w:tcBorders>
              <w:top w:val="nil"/>
              <w:left w:val="nil"/>
              <w:bottom w:val="nil"/>
              <w:right w:val="nil"/>
            </w:tcBorders>
          </w:tcPr>
          <w:p w14:paraId="7C6A9D4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(0.0285)</w:t>
            </w:r>
          </w:p>
        </w:tc>
        <w:tc>
          <w:tcPr>
            <w:tcW w:w="1584" w:type="dxa"/>
            <w:tcBorders>
              <w:top w:val="nil"/>
              <w:left w:val="nil"/>
              <w:bottom w:val="nil"/>
              <w:right w:val="nil"/>
            </w:tcBorders>
          </w:tcPr>
          <w:p w14:paraId="212110C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(0.0284)</w:t>
            </w:r>
          </w:p>
        </w:tc>
      </w:tr>
      <w:tr w:rsidR="009C3784" w:rsidRPr="003C297B" w14:paraId="69A1106D" w14:textId="77777777">
        <w:trPr>
          <w:jc w:val="center"/>
        </w:trPr>
        <w:tc>
          <w:tcPr>
            <w:tcW w:w="1947" w:type="dxa"/>
            <w:tcBorders>
              <w:top w:val="nil"/>
              <w:left w:val="nil"/>
              <w:bottom w:val="nil"/>
              <w:right w:val="nil"/>
            </w:tcBorders>
          </w:tcPr>
          <w:p w14:paraId="4BD77A5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584" w:type="dxa"/>
            <w:tcBorders>
              <w:top w:val="nil"/>
              <w:left w:val="nil"/>
              <w:bottom w:val="nil"/>
              <w:right w:val="nil"/>
            </w:tcBorders>
          </w:tcPr>
          <w:p w14:paraId="247C8C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1.3800***</w:t>
            </w:r>
          </w:p>
        </w:tc>
        <w:tc>
          <w:tcPr>
            <w:tcW w:w="1584" w:type="dxa"/>
            <w:tcBorders>
              <w:top w:val="nil"/>
              <w:left w:val="nil"/>
              <w:bottom w:val="nil"/>
              <w:right w:val="nil"/>
            </w:tcBorders>
          </w:tcPr>
          <w:p w14:paraId="59290B9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1.6581***</w:t>
            </w:r>
          </w:p>
        </w:tc>
        <w:tc>
          <w:tcPr>
            <w:tcW w:w="1584" w:type="dxa"/>
            <w:tcBorders>
              <w:top w:val="nil"/>
              <w:left w:val="nil"/>
              <w:bottom w:val="nil"/>
              <w:right w:val="nil"/>
            </w:tcBorders>
          </w:tcPr>
          <w:p w14:paraId="16AE57D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1.7864***</w:t>
            </w:r>
          </w:p>
        </w:tc>
        <w:tc>
          <w:tcPr>
            <w:tcW w:w="1584" w:type="dxa"/>
            <w:tcBorders>
              <w:top w:val="nil"/>
              <w:left w:val="nil"/>
              <w:bottom w:val="nil"/>
              <w:right w:val="nil"/>
            </w:tcBorders>
          </w:tcPr>
          <w:p w14:paraId="396C2DC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2.1666***</w:t>
            </w:r>
          </w:p>
        </w:tc>
        <w:tc>
          <w:tcPr>
            <w:tcW w:w="1584" w:type="dxa"/>
            <w:tcBorders>
              <w:top w:val="nil"/>
              <w:left w:val="nil"/>
              <w:bottom w:val="nil"/>
              <w:right w:val="nil"/>
            </w:tcBorders>
          </w:tcPr>
          <w:p w14:paraId="06258D0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2.1565***</w:t>
            </w:r>
          </w:p>
        </w:tc>
      </w:tr>
      <w:tr w:rsidR="009C3784" w:rsidRPr="003C297B" w14:paraId="10BE0412" w14:textId="77777777">
        <w:trPr>
          <w:jc w:val="center"/>
        </w:trPr>
        <w:tc>
          <w:tcPr>
            <w:tcW w:w="1947" w:type="dxa"/>
            <w:tcBorders>
              <w:top w:val="nil"/>
              <w:left w:val="nil"/>
              <w:bottom w:val="nil"/>
              <w:right w:val="nil"/>
            </w:tcBorders>
          </w:tcPr>
          <w:p w14:paraId="6300043B"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1584" w:type="dxa"/>
            <w:tcBorders>
              <w:top w:val="nil"/>
              <w:left w:val="nil"/>
              <w:bottom w:val="nil"/>
              <w:right w:val="nil"/>
            </w:tcBorders>
          </w:tcPr>
          <w:p w14:paraId="12AF35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(0.0143)</w:t>
            </w:r>
          </w:p>
        </w:tc>
        <w:tc>
          <w:tcPr>
            <w:tcW w:w="1584" w:type="dxa"/>
            <w:tcBorders>
              <w:top w:val="nil"/>
              <w:left w:val="nil"/>
              <w:bottom w:val="nil"/>
              <w:right w:val="nil"/>
            </w:tcBorders>
          </w:tcPr>
          <w:p w14:paraId="669444D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(0.1221)</w:t>
            </w:r>
          </w:p>
        </w:tc>
        <w:tc>
          <w:tcPr>
            <w:tcW w:w="1584" w:type="dxa"/>
            <w:tcBorders>
              <w:top w:val="nil"/>
              <w:left w:val="nil"/>
              <w:bottom w:val="nil"/>
              <w:right w:val="nil"/>
            </w:tcBorders>
          </w:tcPr>
          <w:p w14:paraId="6120C5C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(0.5020)</w:t>
            </w:r>
          </w:p>
        </w:tc>
        <w:tc>
          <w:tcPr>
            <w:tcW w:w="1584" w:type="dxa"/>
            <w:tcBorders>
              <w:top w:val="nil"/>
              <w:left w:val="nil"/>
              <w:bottom w:val="nil"/>
              <w:right w:val="nil"/>
            </w:tcBorders>
          </w:tcPr>
          <w:p w14:paraId="414FC0C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(0.5070)</w:t>
            </w:r>
          </w:p>
        </w:tc>
        <w:tc>
          <w:tcPr>
            <w:tcW w:w="1584" w:type="dxa"/>
            <w:tcBorders>
              <w:top w:val="nil"/>
              <w:left w:val="nil"/>
              <w:bottom w:val="nil"/>
              <w:right w:val="nil"/>
            </w:tcBorders>
          </w:tcPr>
          <w:p w14:paraId="2BA269B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(0.5126)</w:t>
            </w:r>
          </w:p>
        </w:tc>
      </w:tr>
      <w:tr w:rsidR="009C3784" w:rsidRPr="003C297B" w14:paraId="2B95C2DC" w14:textId="77777777">
        <w:trPr>
          <w:jc w:val="center"/>
        </w:trPr>
        <w:tc>
          <w:tcPr>
            <w:tcW w:w="1947" w:type="dxa"/>
            <w:tcBorders>
              <w:top w:val="nil"/>
              <w:left w:val="nil"/>
              <w:bottom w:val="nil"/>
              <w:right w:val="nil"/>
            </w:tcBorders>
          </w:tcPr>
          <w:p w14:paraId="64AEECAC"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584" w:type="dxa"/>
            <w:tcBorders>
              <w:top w:val="nil"/>
              <w:left w:val="nil"/>
              <w:bottom w:val="nil"/>
              <w:right w:val="nil"/>
            </w:tcBorders>
          </w:tcPr>
          <w:p w14:paraId="25BA5CE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98BACC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c>
          <w:tcPr>
            <w:tcW w:w="1584" w:type="dxa"/>
            <w:tcBorders>
              <w:top w:val="nil"/>
              <w:left w:val="nil"/>
              <w:bottom w:val="nil"/>
              <w:right w:val="nil"/>
            </w:tcBorders>
          </w:tcPr>
          <w:p w14:paraId="7E70A02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2,849</w:t>
            </w:r>
          </w:p>
        </w:tc>
        <w:tc>
          <w:tcPr>
            <w:tcW w:w="1584" w:type="dxa"/>
            <w:tcBorders>
              <w:top w:val="nil"/>
              <w:left w:val="nil"/>
              <w:bottom w:val="nil"/>
              <w:right w:val="nil"/>
            </w:tcBorders>
          </w:tcPr>
          <w:p w14:paraId="41BD62E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1584" w:type="dxa"/>
            <w:tcBorders>
              <w:top w:val="nil"/>
              <w:left w:val="nil"/>
              <w:bottom w:val="nil"/>
              <w:right w:val="nil"/>
            </w:tcBorders>
          </w:tcPr>
          <w:p w14:paraId="1988AE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5C77B4E5" w14:textId="77777777">
        <w:trPr>
          <w:jc w:val="center"/>
        </w:trPr>
        <w:tc>
          <w:tcPr>
            <w:tcW w:w="1947" w:type="dxa"/>
            <w:tcBorders>
              <w:top w:val="nil"/>
              <w:left w:val="nil"/>
              <w:bottom w:val="nil"/>
              <w:right w:val="nil"/>
            </w:tcBorders>
          </w:tcPr>
          <w:p w14:paraId="2B6137A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584" w:type="dxa"/>
            <w:tcBorders>
              <w:top w:val="nil"/>
              <w:left w:val="nil"/>
              <w:bottom w:val="nil"/>
              <w:right w:val="nil"/>
            </w:tcBorders>
          </w:tcPr>
          <w:p w14:paraId="4BA1EC2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0.038</w:t>
            </w:r>
          </w:p>
        </w:tc>
        <w:tc>
          <w:tcPr>
            <w:tcW w:w="1584" w:type="dxa"/>
            <w:tcBorders>
              <w:top w:val="nil"/>
              <w:left w:val="nil"/>
              <w:bottom w:val="nil"/>
              <w:right w:val="nil"/>
            </w:tcBorders>
          </w:tcPr>
          <w:p w14:paraId="1DEE254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0.070</w:t>
            </w:r>
          </w:p>
        </w:tc>
        <w:tc>
          <w:tcPr>
            <w:tcW w:w="1584" w:type="dxa"/>
            <w:tcBorders>
              <w:top w:val="nil"/>
              <w:left w:val="nil"/>
              <w:bottom w:val="nil"/>
              <w:right w:val="nil"/>
            </w:tcBorders>
          </w:tcPr>
          <w:p w14:paraId="541918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0.770</w:t>
            </w:r>
          </w:p>
        </w:tc>
        <w:tc>
          <w:tcPr>
            <w:tcW w:w="1584" w:type="dxa"/>
            <w:tcBorders>
              <w:top w:val="nil"/>
              <w:left w:val="nil"/>
              <w:bottom w:val="nil"/>
              <w:right w:val="nil"/>
            </w:tcBorders>
          </w:tcPr>
          <w:p w14:paraId="61BD270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c>
          <w:tcPr>
            <w:tcW w:w="1584" w:type="dxa"/>
            <w:tcBorders>
              <w:top w:val="nil"/>
              <w:left w:val="nil"/>
              <w:bottom w:val="nil"/>
              <w:right w:val="nil"/>
            </w:tcBorders>
          </w:tcPr>
          <w:p w14:paraId="308E419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0.777</w:t>
            </w:r>
          </w:p>
        </w:tc>
      </w:tr>
      <w:tr w:rsidR="009C3784" w:rsidRPr="003C297B" w14:paraId="381D0D0C" w14:textId="77777777">
        <w:trPr>
          <w:jc w:val="center"/>
        </w:trPr>
        <w:tc>
          <w:tcPr>
            <w:tcW w:w="1947" w:type="dxa"/>
            <w:tcBorders>
              <w:top w:val="nil"/>
              <w:left w:val="nil"/>
              <w:bottom w:val="nil"/>
              <w:right w:val="nil"/>
            </w:tcBorders>
          </w:tcPr>
          <w:p w14:paraId="77638A02"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584" w:type="dxa"/>
            <w:tcBorders>
              <w:top w:val="nil"/>
              <w:left w:val="nil"/>
              <w:bottom w:val="nil"/>
              <w:right w:val="nil"/>
            </w:tcBorders>
          </w:tcPr>
          <w:p w14:paraId="40B2603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6230B8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97F290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E56586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18A0CE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05580A41" w14:textId="77777777">
        <w:trPr>
          <w:jc w:val="center"/>
        </w:trPr>
        <w:tc>
          <w:tcPr>
            <w:tcW w:w="1947" w:type="dxa"/>
            <w:tcBorders>
              <w:top w:val="nil"/>
              <w:left w:val="nil"/>
              <w:bottom w:val="nil"/>
              <w:right w:val="nil"/>
            </w:tcBorders>
          </w:tcPr>
          <w:p w14:paraId="4D8A621F"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584" w:type="dxa"/>
            <w:tcBorders>
              <w:top w:val="nil"/>
              <w:left w:val="nil"/>
              <w:bottom w:val="nil"/>
              <w:right w:val="nil"/>
            </w:tcBorders>
          </w:tcPr>
          <w:p w14:paraId="50E3142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328914A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4FEA27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64FA5BB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39DBC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64B3ADA" w14:textId="77777777">
        <w:trPr>
          <w:jc w:val="center"/>
        </w:trPr>
        <w:tc>
          <w:tcPr>
            <w:tcW w:w="1947" w:type="dxa"/>
            <w:tcBorders>
              <w:top w:val="nil"/>
              <w:left w:val="nil"/>
              <w:bottom w:val="nil"/>
              <w:right w:val="nil"/>
            </w:tcBorders>
          </w:tcPr>
          <w:p w14:paraId="1D8E119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584" w:type="dxa"/>
            <w:tcBorders>
              <w:top w:val="nil"/>
              <w:left w:val="nil"/>
              <w:bottom w:val="nil"/>
              <w:right w:val="nil"/>
            </w:tcBorders>
          </w:tcPr>
          <w:p w14:paraId="6E45AD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02223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6DC4F1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7CD231F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26D3CC2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97DCC56" w14:textId="77777777">
        <w:trPr>
          <w:jc w:val="center"/>
        </w:trPr>
        <w:tc>
          <w:tcPr>
            <w:tcW w:w="1947" w:type="dxa"/>
            <w:tcBorders>
              <w:top w:val="nil"/>
              <w:left w:val="nil"/>
              <w:bottom w:val="nil"/>
              <w:right w:val="nil"/>
            </w:tcBorders>
          </w:tcPr>
          <w:p w14:paraId="2F1D7265"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584" w:type="dxa"/>
            <w:tcBorders>
              <w:top w:val="nil"/>
              <w:left w:val="nil"/>
              <w:bottom w:val="nil"/>
              <w:right w:val="nil"/>
            </w:tcBorders>
          </w:tcPr>
          <w:p w14:paraId="17BA652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64C8836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7B66039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nil"/>
              <w:right w:val="nil"/>
            </w:tcBorders>
          </w:tcPr>
          <w:p w14:paraId="13A5D89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584" w:type="dxa"/>
            <w:tcBorders>
              <w:top w:val="nil"/>
              <w:left w:val="nil"/>
              <w:bottom w:val="nil"/>
              <w:right w:val="nil"/>
            </w:tcBorders>
          </w:tcPr>
          <w:p w14:paraId="5C73973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9E0D266"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4A14DC8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584" w:type="dxa"/>
            <w:tcBorders>
              <w:top w:val="nil"/>
              <w:left w:val="nil"/>
              <w:bottom w:val="single" w:sz="6" w:space="0" w:color="auto"/>
              <w:right w:val="nil"/>
            </w:tcBorders>
          </w:tcPr>
          <w:p w14:paraId="1D5D06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4C9865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12334A57"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54B7AED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1584" w:type="dxa"/>
            <w:tcBorders>
              <w:top w:val="nil"/>
              <w:left w:val="nil"/>
              <w:bottom w:val="single" w:sz="6" w:space="0" w:color="auto"/>
              <w:right w:val="nil"/>
            </w:tcBorders>
          </w:tcPr>
          <w:p w14:paraId="25BA5F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40F4899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Furthermore, to avoid the interference of the measurement model of the dependent variable on the estimation results, this paper employs multiple evaluation methods to test the robustness of the core dependent variable</w:t>
      </w:r>
      <w:bookmarkStart w:id="5" w:name="_Hlk133161742"/>
      <w:r>
        <w:rPr>
          <w:rFonts w:ascii="Times New Roman" w:eastAsia="Microsoft YaHei" w:hAnsi="Times New Roman" w:cs="Times New Roman" w:hint="eastAsia"/>
          <w:sz w:val="22"/>
          <w:szCs w:val="24"/>
        </w:rPr>
        <w:t>, ensurin</w:t>
      </w:r>
      <w:bookmarkEnd w:id="5"/>
      <w:r>
        <w:rPr>
          <w:rFonts w:ascii="Times New Roman" w:eastAsia="Microsoft YaHei" w:hAnsi="Times New Roman" w:cs="Times New Roman" w:hint="eastAsia"/>
          <w:sz w:val="22"/>
          <w:szCs w:val="24"/>
        </w:rPr>
        <w:t>g the robustness of the regression results. Previously, economic benefits were measured using the total operating revenue of enterprises to reflect their operational outcomes. In this section, total factor productivity is used as a replacement for the previous economic benefit measurement indicator to further test the robustness of the article. Total factor productivity reflects the production efficiency and resource allocation efficiency of enterprises, effectively demonstrating their operational outcomes. This paper uses the lp method and the op method to measure total factor productivity, which reflects the operational outcomes of enterprises. The measurement methods for environmental performance are the same as previously described. The results in columns (1) and (2) of Table 4 show that the regression coefficients of key variables remain highly significant, confirming the high robustness of the baseline regression results of this paper.</w:t>
      </w:r>
    </w:p>
    <w:p w14:paraId="004F4D7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2)</w:t>
      </w:r>
      <w:r w:rsidR="00D95DA7">
        <w:rPr>
          <w:rFonts w:ascii="Times New Roman" w:eastAsia="Microsoft YaHei" w:hAnsi="Times New Roman" w:cs="Times New Roman" w:hint="eastAsia"/>
          <w:sz w:val="22"/>
          <w:szCs w:val="24"/>
        </w:rPr>
        <w:t xml:space="preserve"> Control time trends and macroeconomic factors:</w:t>
      </w:r>
    </w:p>
    <w:p w14:paraId="7D5C4989"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In the benchmark regression, the article controls for individual fixed effects, time fixed effects, province fixed effects, and industry fixed effects to control for unobservable variables. In this section, based on the benchmark regression, the province year fixed effect and industry time trend are controlled to further control for industry trends and macroeconomic factors. The regression results in columns (3) and (4) of Table 4 show that the regression coefficients of key variables remain significantly positive, reaffirming the robustness of the previous findings.</w:t>
      </w:r>
    </w:p>
    <w:p w14:paraId="587E158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4 Robustness test 2</w:t>
      </w:r>
    </w:p>
    <w:tbl>
      <w:tblPr>
        <w:tblW w:w="5000" w:type="pct"/>
        <w:jc w:val="center"/>
        <w:tblCellMar>
          <w:left w:w="75" w:type="dxa"/>
          <w:right w:w="75" w:type="dxa"/>
        </w:tblCellMar>
        <w:tblLook w:val="04A0" w:firstRow="1" w:lastRow="0" w:firstColumn="1" w:lastColumn="0" w:noHBand="0" w:noVBand="1"/>
      </w:tblPr>
      <w:tblGrid>
        <w:gridCol w:w="2437"/>
        <w:gridCol w:w="1801"/>
        <w:gridCol w:w="1800"/>
        <w:gridCol w:w="1800"/>
        <w:gridCol w:w="1800"/>
      </w:tblGrid>
      <w:tr w:rsidR="009C3784" w:rsidRPr="003C297B" w14:paraId="485FB61E" w14:textId="77777777">
        <w:trPr>
          <w:jc w:val="center"/>
        </w:trPr>
        <w:tc>
          <w:tcPr>
            <w:tcW w:w="1264" w:type="pct"/>
            <w:tcBorders>
              <w:top w:val="single" w:sz="6" w:space="0" w:color="auto"/>
              <w:left w:val="nil"/>
              <w:bottom w:val="nil"/>
              <w:right w:val="nil"/>
            </w:tcBorders>
          </w:tcPr>
          <w:p w14:paraId="780C3DD8"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single" w:sz="6" w:space="0" w:color="auto"/>
              <w:left w:val="nil"/>
              <w:bottom w:val="nil"/>
              <w:right w:val="nil"/>
            </w:tcBorders>
          </w:tcPr>
          <w:p w14:paraId="08AD7FF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934" w:type="pct"/>
            <w:tcBorders>
              <w:top w:val="single" w:sz="6" w:space="0" w:color="auto"/>
              <w:left w:val="nil"/>
              <w:bottom w:val="nil"/>
              <w:right w:val="nil"/>
            </w:tcBorders>
          </w:tcPr>
          <w:p w14:paraId="0312907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934" w:type="pct"/>
            <w:tcBorders>
              <w:top w:val="single" w:sz="6" w:space="0" w:color="auto"/>
              <w:left w:val="nil"/>
              <w:bottom w:val="nil"/>
              <w:right w:val="nil"/>
            </w:tcBorders>
          </w:tcPr>
          <w:p w14:paraId="7A3D742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934" w:type="pct"/>
            <w:tcBorders>
              <w:top w:val="single" w:sz="6" w:space="0" w:color="auto"/>
              <w:left w:val="nil"/>
              <w:bottom w:val="nil"/>
              <w:right w:val="nil"/>
            </w:tcBorders>
          </w:tcPr>
          <w:p w14:paraId="229EFD1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r>
      <w:tr w:rsidR="009C3784" w:rsidRPr="003C297B" w14:paraId="79F1D451" w14:textId="77777777">
        <w:trPr>
          <w:jc w:val="center"/>
        </w:trPr>
        <w:tc>
          <w:tcPr>
            <w:tcW w:w="1264" w:type="pct"/>
            <w:tcBorders>
              <w:top w:val="nil"/>
              <w:left w:val="nil"/>
              <w:bottom w:val="single" w:sz="6" w:space="0" w:color="auto"/>
              <w:right w:val="nil"/>
            </w:tcBorders>
          </w:tcPr>
          <w:p w14:paraId="1ADA6C2D"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single" w:sz="6" w:space="0" w:color="auto"/>
              <w:right w:val="nil"/>
            </w:tcBorders>
          </w:tcPr>
          <w:p w14:paraId="4874B49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LP law </w:t>
            </w:r>
          </w:p>
        </w:tc>
        <w:tc>
          <w:tcPr>
            <w:tcW w:w="934" w:type="pct"/>
            <w:tcBorders>
              <w:top w:val="nil"/>
              <w:left w:val="nil"/>
              <w:bottom w:val="single" w:sz="6" w:space="0" w:color="auto"/>
              <w:right w:val="nil"/>
            </w:tcBorders>
          </w:tcPr>
          <w:p w14:paraId="403FFDA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sz w:val="22"/>
                <w:szCs w:val="24"/>
              </w:rPr>
              <w:t xml:space="preserve">OP law </w:t>
            </w:r>
          </w:p>
        </w:tc>
        <w:tc>
          <w:tcPr>
            <w:tcW w:w="934" w:type="pct"/>
            <w:tcBorders>
              <w:top w:val="nil"/>
              <w:left w:val="nil"/>
              <w:bottom w:val="single" w:sz="6" w:space="0" w:color="auto"/>
              <w:right w:val="nil"/>
            </w:tcBorders>
          </w:tcPr>
          <w:p w14:paraId="71F408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c>
          <w:tcPr>
            <w:tcW w:w="934" w:type="pct"/>
            <w:tcBorders>
              <w:top w:val="nil"/>
              <w:left w:val="nil"/>
              <w:bottom w:val="single" w:sz="6" w:space="0" w:color="auto"/>
              <w:right w:val="nil"/>
            </w:tcBorders>
          </w:tcPr>
          <w:p w14:paraId="39FEAAF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EP</w:t>
            </w:r>
          </w:p>
        </w:tc>
      </w:tr>
      <w:tr w:rsidR="009C3784" w:rsidRPr="003C297B" w14:paraId="2B4138DA" w14:textId="77777777">
        <w:trPr>
          <w:jc w:val="center"/>
        </w:trPr>
        <w:tc>
          <w:tcPr>
            <w:tcW w:w="1264" w:type="pct"/>
            <w:tcBorders>
              <w:top w:val="nil"/>
              <w:left w:val="nil"/>
              <w:bottom w:val="nil"/>
              <w:right w:val="nil"/>
            </w:tcBorders>
          </w:tcPr>
          <w:p w14:paraId="4D6B1AAA"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934" w:type="pct"/>
            <w:tcBorders>
              <w:top w:val="nil"/>
              <w:left w:val="nil"/>
              <w:bottom w:val="nil"/>
              <w:right w:val="nil"/>
            </w:tcBorders>
          </w:tcPr>
          <w:p w14:paraId="20EAD3B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0.0080**</w:t>
            </w:r>
          </w:p>
        </w:tc>
        <w:tc>
          <w:tcPr>
            <w:tcW w:w="934" w:type="pct"/>
            <w:tcBorders>
              <w:top w:val="nil"/>
              <w:left w:val="nil"/>
              <w:bottom w:val="nil"/>
              <w:right w:val="nil"/>
            </w:tcBorders>
          </w:tcPr>
          <w:p w14:paraId="6BC7B7F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0.0310*</w:t>
            </w:r>
          </w:p>
        </w:tc>
        <w:tc>
          <w:tcPr>
            <w:tcW w:w="934" w:type="pct"/>
            <w:tcBorders>
              <w:top w:val="nil"/>
              <w:left w:val="nil"/>
              <w:bottom w:val="nil"/>
              <w:right w:val="nil"/>
            </w:tcBorders>
          </w:tcPr>
          <w:p w14:paraId="67E86A7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0.0311*</w:t>
            </w:r>
          </w:p>
        </w:tc>
        <w:tc>
          <w:tcPr>
            <w:tcW w:w="934" w:type="pct"/>
            <w:tcBorders>
              <w:top w:val="nil"/>
              <w:left w:val="nil"/>
              <w:bottom w:val="nil"/>
              <w:right w:val="nil"/>
            </w:tcBorders>
          </w:tcPr>
          <w:p w14:paraId="5A4885C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0.0620***</w:t>
            </w:r>
          </w:p>
        </w:tc>
      </w:tr>
      <w:tr w:rsidR="009C3784" w:rsidRPr="003C297B" w14:paraId="31EB06AD" w14:textId="77777777">
        <w:trPr>
          <w:jc w:val="center"/>
        </w:trPr>
        <w:tc>
          <w:tcPr>
            <w:tcW w:w="1264" w:type="pct"/>
            <w:tcBorders>
              <w:top w:val="nil"/>
              <w:left w:val="nil"/>
              <w:bottom w:val="nil"/>
              <w:right w:val="nil"/>
            </w:tcBorders>
          </w:tcPr>
          <w:p w14:paraId="002ECBF4"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1E53116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(0.0034)</w:t>
            </w:r>
          </w:p>
        </w:tc>
        <w:tc>
          <w:tcPr>
            <w:tcW w:w="934" w:type="pct"/>
            <w:tcBorders>
              <w:top w:val="nil"/>
              <w:left w:val="nil"/>
              <w:bottom w:val="nil"/>
              <w:right w:val="nil"/>
            </w:tcBorders>
          </w:tcPr>
          <w:p w14:paraId="73D06ED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(0.0160)</w:t>
            </w:r>
          </w:p>
        </w:tc>
        <w:tc>
          <w:tcPr>
            <w:tcW w:w="934" w:type="pct"/>
            <w:tcBorders>
              <w:top w:val="nil"/>
              <w:left w:val="nil"/>
              <w:bottom w:val="nil"/>
              <w:right w:val="nil"/>
            </w:tcBorders>
          </w:tcPr>
          <w:p w14:paraId="1E3A34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(0.0171)</w:t>
            </w:r>
          </w:p>
        </w:tc>
        <w:tc>
          <w:tcPr>
            <w:tcW w:w="934" w:type="pct"/>
            <w:tcBorders>
              <w:top w:val="nil"/>
              <w:left w:val="nil"/>
              <w:bottom w:val="nil"/>
              <w:right w:val="nil"/>
            </w:tcBorders>
          </w:tcPr>
          <w:p w14:paraId="3A0D791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(0.0230)</w:t>
            </w:r>
          </w:p>
        </w:tc>
      </w:tr>
      <w:tr w:rsidR="009C3784" w:rsidRPr="003C297B" w14:paraId="6970CD7F" w14:textId="77777777">
        <w:trPr>
          <w:jc w:val="center"/>
        </w:trPr>
        <w:tc>
          <w:tcPr>
            <w:tcW w:w="1264" w:type="pct"/>
            <w:tcBorders>
              <w:top w:val="nil"/>
              <w:left w:val="nil"/>
              <w:bottom w:val="nil"/>
              <w:right w:val="nil"/>
            </w:tcBorders>
          </w:tcPr>
          <w:p w14:paraId="206BF1D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934" w:type="pct"/>
            <w:tcBorders>
              <w:top w:val="nil"/>
              <w:left w:val="nil"/>
              <w:bottom w:val="nil"/>
              <w:right w:val="nil"/>
            </w:tcBorders>
          </w:tcPr>
          <w:p w14:paraId="68299A8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0.4069***</w:t>
            </w:r>
          </w:p>
        </w:tc>
        <w:tc>
          <w:tcPr>
            <w:tcW w:w="934" w:type="pct"/>
            <w:tcBorders>
              <w:top w:val="nil"/>
              <w:left w:val="nil"/>
              <w:bottom w:val="nil"/>
              <w:right w:val="nil"/>
            </w:tcBorders>
          </w:tcPr>
          <w:p w14:paraId="1F19E33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2.1905***</w:t>
            </w:r>
          </w:p>
        </w:tc>
        <w:tc>
          <w:tcPr>
            <w:tcW w:w="934" w:type="pct"/>
            <w:tcBorders>
              <w:top w:val="nil"/>
              <w:left w:val="nil"/>
              <w:bottom w:val="nil"/>
              <w:right w:val="nil"/>
            </w:tcBorders>
          </w:tcPr>
          <w:p w14:paraId="3F2E9B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2.2280***</w:t>
            </w:r>
          </w:p>
        </w:tc>
        <w:tc>
          <w:tcPr>
            <w:tcW w:w="934" w:type="pct"/>
            <w:tcBorders>
              <w:top w:val="nil"/>
              <w:left w:val="nil"/>
              <w:bottom w:val="nil"/>
              <w:right w:val="nil"/>
            </w:tcBorders>
          </w:tcPr>
          <w:p w14:paraId="7A09EA5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2.1148***</w:t>
            </w:r>
          </w:p>
        </w:tc>
      </w:tr>
      <w:tr w:rsidR="009C3784" w:rsidRPr="003C297B" w14:paraId="6C6FAEBB" w14:textId="77777777">
        <w:trPr>
          <w:jc w:val="center"/>
        </w:trPr>
        <w:tc>
          <w:tcPr>
            <w:tcW w:w="1264" w:type="pct"/>
            <w:tcBorders>
              <w:top w:val="nil"/>
              <w:left w:val="nil"/>
              <w:bottom w:val="nil"/>
              <w:right w:val="nil"/>
            </w:tcBorders>
          </w:tcPr>
          <w:p w14:paraId="27886791" w14:textId="77777777" w:rsidR="009C3784" w:rsidRPr="003C297B" w:rsidRDefault="009C3784">
            <w:pPr>
              <w:autoSpaceDE w:val="0"/>
              <w:autoSpaceDN w:val="0"/>
              <w:adjustRightInd w:val="0"/>
              <w:jc w:val="left"/>
              <w:rPr>
                <w:rFonts w:ascii="Times New Roman" w:eastAsia="SimSun" w:hAnsi="Times New Roman" w:cs="Times New Roman"/>
                <w:kern w:val="0"/>
                <w:sz w:val="22"/>
                <w:szCs w:val="24"/>
              </w:rPr>
            </w:pPr>
          </w:p>
        </w:tc>
        <w:tc>
          <w:tcPr>
            <w:tcW w:w="934" w:type="pct"/>
            <w:tcBorders>
              <w:top w:val="nil"/>
              <w:left w:val="nil"/>
              <w:bottom w:val="nil"/>
              <w:right w:val="nil"/>
            </w:tcBorders>
          </w:tcPr>
          <w:p w14:paraId="36F9E4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(0.1461)</w:t>
            </w:r>
          </w:p>
        </w:tc>
        <w:tc>
          <w:tcPr>
            <w:tcW w:w="934" w:type="pct"/>
            <w:tcBorders>
              <w:top w:val="nil"/>
              <w:left w:val="nil"/>
              <w:bottom w:val="nil"/>
              <w:right w:val="nil"/>
            </w:tcBorders>
          </w:tcPr>
          <w:p w14:paraId="2BCA0ACC"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(0.5243)</w:t>
            </w:r>
          </w:p>
        </w:tc>
        <w:tc>
          <w:tcPr>
            <w:tcW w:w="934" w:type="pct"/>
            <w:tcBorders>
              <w:top w:val="nil"/>
              <w:left w:val="nil"/>
              <w:bottom w:val="nil"/>
              <w:right w:val="nil"/>
            </w:tcBorders>
          </w:tcPr>
          <w:p w14:paraId="010CF48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(0.5306)</w:t>
            </w:r>
          </w:p>
        </w:tc>
        <w:tc>
          <w:tcPr>
            <w:tcW w:w="934" w:type="pct"/>
            <w:tcBorders>
              <w:top w:val="nil"/>
              <w:left w:val="nil"/>
              <w:bottom w:val="nil"/>
              <w:right w:val="nil"/>
            </w:tcBorders>
          </w:tcPr>
          <w:p w14:paraId="690E80CA"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(0.5281)</w:t>
            </w:r>
          </w:p>
        </w:tc>
      </w:tr>
      <w:tr w:rsidR="009C3784" w:rsidRPr="003C297B" w14:paraId="4D68C3FD" w14:textId="77777777">
        <w:trPr>
          <w:jc w:val="center"/>
        </w:trPr>
        <w:tc>
          <w:tcPr>
            <w:tcW w:w="1264" w:type="pct"/>
            <w:tcBorders>
              <w:top w:val="nil"/>
              <w:left w:val="nil"/>
              <w:bottom w:val="nil"/>
              <w:right w:val="nil"/>
            </w:tcBorders>
          </w:tcPr>
          <w:p w14:paraId="138F3013"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934" w:type="pct"/>
            <w:tcBorders>
              <w:top w:val="nil"/>
              <w:left w:val="nil"/>
              <w:bottom w:val="nil"/>
              <w:right w:val="nil"/>
            </w:tcBorders>
          </w:tcPr>
          <w:p w14:paraId="7734115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238AC2B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c>
          <w:tcPr>
            <w:tcW w:w="934" w:type="pct"/>
            <w:tcBorders>
              <w:top w:val="nil"/>
              <w:left w:val="nil"/>
              <w:bottom w:val="nil"/>
              <w:right w:val="nil"/>
            </w:tcBorders>
          </w:tcPr>
          <w:p w14:paraId="1D5C239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2,847</w:t>
            </w:r>
          </w:p>
        </w:tc>
        <w:tc>
          <w:tcPr>
            <w:tcW w:w="934" w:type="pct"/>
            <w:tcBorders>
              <w:top w:val="nil"/>
              <w:left w:val="nil"/>
              <w:bottom w:val="nil"/>
              <w:right w:val="nil"/>
            </w:tcBorders>
          </w:tcPr>
          <w:p w14:paraId="72CD6A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2,848</w:t>
            </w:r>
          </w:p>
        </w:tc>
      </w:tr>
      <w:tr w:rsidR="009C3784" w:rsidRPr="003C297B" w14:paraId="236D0996" w14:textId="77777777">
        <w:trPr>
          <w:jc w:val="center"/>
        </w:trPr>
        <w:tc>
          <w:tcPr>
            <w:tcW w:w="1264" w:type="pct"/>
            <w:tcBorders>
              <w:top w:val="nil"/>
              <w:left w:val="nil"/>
              <w:bottom w:val="nil"/>
              <w:right w:val="nil"/>
            </w:tcBorders>
          </w:tcPr>
          <w:p w14:paraId="4733A51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934" w:type="pct"/>
            <w:tcBorders>
              <w:top w:val="nil"/>
              <w:left w:val="nil"/>
              <w:bottom w:val="nil"/>
              <w:right w:val="nil"/>
            </w:tcBorders>
          </w:tcPr>
          <w:p w14:paraId="2351379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0.865</w:t>
            </w:r>
          </w:p>
        </w:tc>
        <w:tc>
          <w:tcPr>
            <w:tcW w:w="934" w:type="pct"/>
            <w:tcBorders>
              <w:top w:val="nil"/>
              <w:left w:val="nil"/>
              <w:bottom w:val="nil"/>
              <w:right w:val="nil"/>
            </w:tcBorders>
          </w:tcPr>
          <w:p w14:paraId="7DCDE28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0.870</w:t>
            </w:r>
          </w:p>
        </w:tc>
        <w:tc>
          <w:tcPr>
            <w:tcW w:w="934" w:type="pct"/>
            <w:tcBorders>
              <w:top w:val="nil"/>
              <w:left w:val="nil"/>
              <w:bottom w:val="nil"/>
              <w:right w:val="nil"/>
            </w:tcBorders>
          </w:tcPr>
          <w:p w14:paraId="5E787D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0.787</w:t>
            </w:r>
          </w:p>
        </w:tc>
        <w:tc>
          <w:tcPr>
            <w:tcW w:w="934" w:type="pct"/>
            <w:tcBorders>
              <w:top w:val="nil"/>
              <w:left w:val="nil"/>
              <w:bottom w:val="nil"/>
              <w:right w:val="nil"/>
            </w:tcBorders>
          </w:tcPr>
          <w:p w14:paraId="4F6CFE8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0.785</w:t>
            </w:r>
          </w:p>
        </w:tc>
      </w:tr>
      <w:tr w:rsidR="009C3784" w:rsidRPr="003C297B" w14:paraId="23D5E08C" w14:textId="77777777">
        <w:trPr>
          <w:jc w:val="center"/>
        </w:trPr>
        <w:tc>
          <w:tcPr>
            <w:tcW w:w="1264" w:type="pct"/>
            <w:tcBorders>
              <w:top w:val="nil"/>
              <w:left w:val="nil"/>
              <w:bottom w:val="nil"/>
              <w:right w:val="nil"/>
            </w:tcBorders>
          </w:tcPr>
          <w:p w14:paraId="29158E18"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934" w:type="pct"/>
            <w:tcBorders>
              <w:top w:val="nil"/>
              <w:left w:val="nil"/>
              <w:bottom w:val="nil"/>
              <w:right w:val="nil"/>
            </w:tcBorders>
          </w:tcPr>
          <w:p w14:paraId="3AF8F6F3"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C26A602"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71BBA3D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6897EE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52E0F00C" w14:textId="77777777">
        <w:trPr>
          <w:jc w:val="center"/>
        </w:trPr>
        <w:tc>
          <w:tcPr>
            <w:tcW w:w="1264" w:type="pct"/>
            <w:tcBorders>
              <w:top w:val="nil"/>
              <w:left w:val="nil"/>
              <w:right w:val="nil"/>
            </w:tcBorders>
          </w:tcPr>
          <w:p w14:paraId="5F142E07"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934" w:type="pct"/>
            <w:tcBorders>
              <w:top w:val="nil"/>
              <w:left w:val="nil"/>
              <w:right w:val="nil"/>
            </w:tcBorders>
          </w:tcPr>
          <w:p w14:paraId="2436B43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61AC442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28BF390D"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right w:val="nil"/>
            </w:tcBorders>
          </w:tcPr>
          <w:p w14:paraId="4AFC79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77304FD" w14:textId="77777777">
        <w:trPr>
          <w:jc w:val="center"/>
        </w:trPr>
        <w:tc>
          <w:tcPr>
            <w:tcW w:w="1264" w:type="pct"/>
            <w:tcBorders>
              <w:top w:val="nil"/>
              <w:left w:val="nil"/>
              <w:bottom w:val="nil"/>
              <w:right w:val="nil"/>
            </w:tcBorders>
          </w:tcPr>
          <w:p w14:paraId="1A65CFF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934" w:type="pct"/>
            <w:tcBorders>
              <w:top w:val="nil"/>
              <w:left w:val="nil"/>
              <w:bottom w:val="nil"/>
              <w:right w:val="nil"/>
            </w:tcBorders>
          </w:tcPr>
          <w:p w14:paraId="4EE89EEF"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D260CFE"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7CD41C4"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2860DFB6"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5C640D2" w14:textId="77777777">
        <w:trPr>
          <w:jc w:val="center"/>
        </w:trPr>
        <w:tc>
          <w:tcPr>
            <w:tcW w:w="1264" w:type="pct"/>
            <w:tcBorders>
              <w:top w:val="nil"/>
              <w:left w:val="nil"/>
              <w:bottom w:val="nil"/>
              <w:right w:val="nil"/>
            </w:tcBorders>
          </w:tcPr>
          <w:p w14:paraId="02931669"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934" w:type="pct"/>
            <w:tcBorders>
              <w:top w:val="nil"/>
              <w:left w:val="nil"/>
              <w:bottom w:val="nil"/>
              <w:right w:val="nil"/>
            </w:tcBorders>
          </w:tcPr>
          <w:p w14:paraId="5FCF6BF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336E0148"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E33FF20"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4BCF2B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649C1848" w14:textId="77777777">
        <w:tblPrEx>
          <w:tblBorders>
            <w:bottom w:val="single" w:sz="6" w:space="0" w:color="auto"/>
          </w:tblBorders>
        </w:tblPrEx>
        <w:trPr>
          <w:jc w:val="center"/>
        </w:trPr>
        <w:tc>
          <w:tcPr>
            <w:tcW w:w="1264" w:type="pct"/>
            <w:tcBorders>
              <w:top w:val="nil"/>
              <w:left w:val="nil"/>
              <w:bottom w:val="nil"/>
              <w:right w:val="nil"/>
            </w:tcBorders>
          </w:tcPr>
          <w:p w14:paraId="01B1A384"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934" w:type="pct"/>
            <w:tcBorders>
              <w:top w:val="nil"/>
              <w:left w:val="nil"/>
              <w:bottom w:val="nil"/>
              <w:right w:val="nil"/>
            </w:tcBorders>
          </w:tcPr>
          <w:p w14:paraId="16DAAFA9"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5E919C6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132AA44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65ED888B"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4009AA8" w14:textId="77777777">
        <w:tblPrEx>
          <w:tblBorders>
            <w:bottom w:val="single" w:sz="6" w:space="0" w:color="auto"/>
          </w:tblBorders>
        </w:tblPrEx>
        <w:trPr>
          <w:jc w:val="center"/>
        </w:trPr>
        <w:tc>
          <w:tcPr>
            <w:tcW w:w="1264" w:type="pct"/>
            <w:tcBorders>
              <w:top w:val="nil"/>
              <w:left w:val="nil"/>
              <w:bottom w:val="nil"/>
              <w:right w:val="nil"/>
            </w:tcBorders>
          </w:tcPr>
          <w:p w14:paraId="535C6F8D"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Prov-Year</w:t>
            </w:r>
          </w:p>
        </w:tc>
        <w:tc>
          <w:tcPr>
            <w:tcW w:w="934" w:type="pct"/>
            <w:tcBorders>
              <w:top w:val="nil"/>
              <w:left w:val="nil"/>
              <w:bottom w:val="nil"/>
              <w:right w:val="nil"/>
            </w:tcBorders>
          </w:tcPr>
          <w:p w14:paraId="1C30558F"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054F008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nil"/>
              <w:right w:val="nil"/>
            </w:tcBorders>
          </w:tcPr>
          <w:p w14:paraId="42D50481"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934" w:type="pct"/>
            <w:tcBorders>
              <w:top w:val="nil"/>
              <w:left w:val="nil"/>
              <w:bottom w:val="nil"/>
              <w:right w:val="nil"/>
            </w:tcBorders>
          </w:tcPr>
          <w:p w14:paraId="011A9632"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r>
      <w:tr w:rsidR="009C3784" w:rsidRPr="003C297B" w14:paraId="5CDFB2B5" w14:textId="77777777">
        <w:tblPrEx>
          <w:tblBorders>
            <w:bottom w:val="single" w:sz="6" w:space="0" w:color="auto"/>
          </w:tblBorders>
        </w:tblPrEx>
        <w:trPr>
          <w:jc w:val="center"/>
        </w:trPr>
        <w:tc>
          <w:tcPr>
            <w:tcW w:w="1264" w:type="pct"/>
            <w:tcBorders>
              <w:top w:val="nil"/>
              <w:left w:val="nil"/>
              <w:bottom w:val="single" w:sz="4" w:space="0" w:color="auto"/>
              <w:right w:val="nil"/>
            </w:tcBorders>
          </w:tcPr>
          <w:p w14:paraId="563A1C76"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Ind-Trend</w:t>
            </w:r>
          </w:p>
        </w:tc>
        <w:tc>
          <w:tcPr>
            <w:tcW w:w="934" w:type="pct"/>
            <w:tcBorders>
              <w:top w:val="nil"/>
              <w:left w:val="nil"/>
              <w:bottom w:val="single" w:sz="4" w:space="0" w:color="auto"/>
              <w:right w:val="nil"/>
            </w:tcBorders>
          </w:tcPr>
          <w:p w14:paraId="0E62C2C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7DD7BD1C"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587ED36E" w14:textId="77777777" w:rsidR="009C3784" w:rsidRPr="003C297B" w:rsidRDefault="009C3784">
            <w:pPr>
              <w:autoSpaceDE w:val="0"/>
              <w:autoSpaceDN w:val="0"/>
              <w:adjustRightInd w:val="0"/>
              <w:jc w:val="center"/>
              <w:rPr>
                <w:rFonts w:ascii="Times New Roman" w:eastAsia="SimSun" w:hAnsi="Times New Roman" w:cs="Times New Roman"/>
                <w:kern w:val="0"/>
                <w:sz w:val="22"/>
                <w:szCs w:val="24"/>
              </w:rPr>
            </w:pPr>
          </w:p>
        </w:tc>
        <w:tc>
          <w:tcPr>
            <w:tcW w:w="934" w:type="pct"/>
            <w:tcBorders>
              <w:top w:val="nil"/>
              <w:left w:val="nil"/>
              <w:bottom w:val="single" w:sz="4" w:space="0" w:color="auto"/>
              <w:right w:val="nil"/>
            </w:tcBorders>
          </w:tcPr>
          <w:p w14:paraId="14821155" w14:textId="77777777" w:rsidR="009C3784" w:rsidRPr="003C297B" w:rsidRDefault="00D95DA7">
            <w:pPr>
              <w:autoSpaceDE w:val="0"/>
              <w:autoSpaceDN w:val="0"/>
              <w:adjustRightInd w:val="0"/>
              <w:jc w:val="center"/>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0CD7B8E0"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lastRenderedPageBreak/>
        <w:t>(</w:t>
      </w:r>
      <w:r>
        <w:rPr>
          <w:rFonts w:ascii="Times New Roman" w:eastAsia="Microsoft YaHei" w:hAnsi="Times New Roman" w:cs="Times New Roman"/>
          <w:sz w:val="22"/>
          <w:szCs w:val="24"/>
        </w:rPr>
        <w:t>3)</w:t>
      </w:r>
      <w:r w:rsidR="00D95DA7">
        <w:rPr>
          <w:rFonts w:ascii="Times New Roman" w:eastAsia="Microsoft YaHei" w:hAnsi="Times New Roman" w:cs="Times New Roman" w:hint="eastAsia"/>
          <w:sz w:val="22"/>
          <w:szCs w:val="24"/>
        </w:rPr>
        <w:t xml:space="preserve"> Early policy</w:t>
      </w:r>
    </w:p>
    <w:p w14:paraId="4ADC2B29" w14:textId="16460D5A"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parallel trend test examined the dynamic effects of policies by constructing dummy variables for each year, thus testing the uniqueness of the policy setting point. This section further advanced the implementation time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by 1-2 years, setting up two 'pseudo-treatment effect variables' and incorporating them into the empirical framework for analysis. The empirical results in columns (1) and (2) of Table 5 show that after advancing the policy treatment point, the regression coefficients of the core explanatory variables were not significant, indicating that no significant average treatment effect was observed, thus reaffirming the robustness of the regression results from the previous section.</w:t>
      </w:r>
    </w:p>
    <w:p w14:paraId="7B70B02A"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Propensity score matching</w:t>
      </w:r>
    </w:p>
    <w:p w14:paraId="2D23272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article uses propensity score matching (PSM) to address the issue of sample differences, selecting control variables such as firm size (size), return on assets (ROA), return on equity (ROE), revenue growth rate (cashflow), cashflow ratio (growth), debt-to-asset ratio (lev), and Tobin's q-value (tobinq) as covariates. The logit model is used for propensity score matching. The study employs a 1:2 resampling method with replacement for matching and re-runs the regression using the psm-did approach. As shown in the third column of Table 5, after matching and eliminating firm characteristic differences, the regression coefficients of the core explanatory variables remain highly significant, confirming the robustness of the previous findings.</w:t>
      </w:r>
    </w:p>
    <w:p w14:paraId="38A1F296"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5) E</w:t>
      </w:r>
      <w:r w:rsidR="00D95DA7">
        <w:rPr>
          <w:rFonts w:ascii="Times New Roman" w:eastAsia="Microsoft YaHei" w:hAnsi="Times New Roman" w:cs="Times New Roman" w:hint="eastAsia"/>
          <w:sz w:val="22"/>
          <w:szCs w:val="24"/>
        </w:rPr>
        <w:t>xcluding the influence of other policies</w:t>
      </w:r>
    </w:p>
    <w:p w14:paraId="37E4422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This paper covers the period from 2016 to 2019 for empirical research, effectively excluding the influence of other policies. For instance, the Environmental Protection Law, implemented in 2015, was enacted before the study's timeframe, thus its impact is minimized. Additionally, the paper excludes the effect of the green finance pilot policy on the empirical results. Since 2016, China has established green finance innovation and reform pilot zones in nine locations across six provinces (regions), including Zhejiang, Jiangxi, and Guangdong. These pilot zones require companies within the zones to actively engage in environmental social responsibility. Existing literature indicates that the green finance pilot policy significantly reduces the production efficiency of polluting enterprises in the pilot zones while promoting the innovative development of green enterprises. Therefore, the green finance trends in these pilot zones are likely to differ from those in other regions. By excluding the provinces with green finance innovation and reform pilot zones, the regression results are shown in the fourth column of Table 5.</w:t>
      </w:r>
    </w:p>
    <w:p w14:paraId="4ACAADF4"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5 Robustness test 3</w:t>
      </w:r>
    </w:p>
    <w:tbl>
      <w:tblPr>
        <w:tblW w:w="5000" w:type="pct"/>
        <w:jc w:val="center"/>
        <w:tblCellMar>
          <w:left w:w="75" w:type="dxa"/>
          <w:right w:w="75" w:type="dxa"/>
        </w:tblCellMar>
        <w:tblLook w:val="04A0" w:firstRow="1" w:lastRow="0" w:firstColumn="1" w:lastColumn="0" w:noHBand="0" w:noVBand="1"/>
      </w:tblPr>
      <w:tblGrid>
        <w:gridCol w:w="1691"/>
        <w:gridCol w:w="1685"/>
        <w:gridCol w:w="1685"/>
        <w:gridCol w:w="1398"/>
        <w:gridCol w:w="1685"/>
        <w:gridCol w:w="1494"/>
      </w:tblGrid>
      <w:tr w:rsidR="009C3784" w:rsidRPr="003C297B" w14:paraId="7A3C7791" w14:textId="77777777">
        <w:trPr>
          <w:trHeight w:val="312"/>
          <w:jc w:val="center"/>
        </w:trPr>
        <w:tc>
          <w:tcPr>
            <w:tcW w:w="877" w:type="pct"/>
            <w:tcBorders>
              <w:top w:val="single" w:sz="6" w:space="0" w:color="auto"/>
              <w:left w:val="nil"/>
              <w:bottom w:val="nil"/>
              <w:right w:val="nil"/>
            </w:tcBorders>
          </w:tcPr>
          <w:p w14:paraId="5C80570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single" w:sz="6" w:space="0" w:color="auto"/>
              <w:left w:val="nil"/>
              <w:bottom w:val="nil"/>
              <w:right w:val="nil"/>
            </w:tcBorders>
          </w:tcPr>
          <w:p w14:paraId="4297D59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874" w:type="pct"/>
            <w:tcBorders>
              <w:top w:val="single" w:sz="6" w:space="0" w:color="auto"/>
              <w:left w:val="nil"/>
              <w:bottom w:val="nil"/>
              <w:right w:val="nil"/>
            </w:tcBorders>
          </w:tcPr>
          <w:p w14:paraId="55EA4CE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725" w:type="pct"/>
            <w:tcBorders>
              <w:top w:val="single" w:sz="6" w:space="0" w:color="auto"/>
              <w:left w:val="nil"/>
              <w:bottom w:val="nil"/>
              <w:right w:val="nil"/>
            </w:tcBorders>
          </w:tcPr>
          <w:p w14:paraId="189569E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c>
          <w:tcPr>
            <w:tcW w:w="874" w:type="pct"/>
            <w:tcBorders>
              <w:top w:val="single" w:sz="6" w:space="0" w:color="auto"/>
              <w:left w:val="nil"/>
              <w:bottom w:val="nil"/>
              <w:right w:val="nil"/>
            </w:tcBorders>
          </w:tcPr>
          <w:p w14:paraId="370D76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(4)</w:t>
            </w:r>
          </w:p>
        </w:tc>
        <w:tc>
          <w:tcPr>
            <w:tcW w:w="775" w:type="pct"/>
            <w:tcBorders>
              <w:top w:val="single" w:sz="6" w:space="0" w:color="auto"/>
              <w:left w:val="nil"/>
              <w:bottom w:val="nil"/>
              <w:right w:val="nil"/>
            </w:tcBorders>
          </w:tcPr>
          <w:p w14:paraId="1A84F87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(5)</w:t>
            </w:r>
          </w:p>
        </w:tc>
      </w:tr>
      <w:tr w:rsidR="009C3784" w:rsidRPr="003C297B" w14:paraId="446D5AB1" w14:textId="77777777">
        <w:trPr>
          <w:trHeight w:val="312"/>
          <w:jc w:val="center"/>
        </w:trPr>
        <w:tc>
          <w:tcPr>
            <w:tcW w:w="877" w:type="pct"/>
            <w:tcBorders>
              <w:top w:val="nil"/>
              <w:left w:val="nil"/>
              <w:bottom w:val="single" w:sz="6" w:space="0" w:color="auto"/>
              <w:right w:val="nil"/>
            </w:tcBorders>
          </w:tcPr>
          <w:p w14:paraId="7CC3F86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single" w:sz="6" w:space="0" w:color="auto"/>
              <w:right w:val="nil"/>
            </w:tcBorders>
          </w:tcPr>
          <w:p w14:paraId="051E4618"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a year ahead of schedule</w:t>
            </w:r>
          </w:p>
        </w:tc>
        <w:tc>
          <w:tcPr>
            <w:tcW w:w="874" w:type="pct"/>
            <w:tcBorders>
              <w:top w:val="nil"/>
              <w:left w:val="nil"/>
              <w:bottom w:val="single" w:sz="6" w:space="0" w:color="auto"/>
              <w:right w:val="nil"/>
            </w:tcBorders>
          </w:tcPr>
          <w:p w14:paraId="7573A7C2" w14:textId="77777777" w:rsidR="009C3784" w:rsidRPr="003C297B" w:rsidRDefault="00D95DA7">
            <w:pPr>
              <w:autoSpaceDE w:val="0"/>
              <w:autoSpaceDN w:val="0"/>
              <w:adjustRightInd w:val="0"/>
              <w:jc w:val="center"/>
              <w:rPr>
                <w:rFonts w:ascii="Times New Roman" w:hAnsi="Times New Roman" w:cs="Times New Roman"/>
                <w:kern w:val="0"/>
                <w:sz w:val="22"/>
                <w:szCs w:val="21"/>
              </w:rPr>
            </w:pPr>
            <w:r w:rsidRPr="003C297B">
              <w:rPr>
                <w:rFonts w:ascii="Times New Roman" w:eastAsia="Microsoft YaHei" w:hAnsi="Times New Roman" w:cs="Times New Roman" w:hint="eastAsia"/>
                <w:kern w:val="0"/>
                <w:sz w:val="22"/>
                <w:szCs w:val="21"/>
              </w:rPr>
              <w:t>The policy is two years ahead of schedule</w:t>
            </w:r>
          </w:p>
        </w:tc>
        <w:tc>
          <w:tcPr>
            <w:tcW w:w="725" w:type="pct"/>
            <w:tcBorders>
              <w:top w:val="nil"/>
              <w:left w:val="nil"/>
              <w:bottom w:val="single" w:sz="6" w:space="0" w:color="auto"/>
              <w:right w:val="nil"/>
            </w:tcBorders>
          </w:tcPr>
          <w:p w14:paraId="70F7C1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PSM</w:t>
            </w:r>
          </w:p>
        </w:tc>
        <w:tc>
          <w:tcPr>
            <w:tcW w:w="874" w:type="pct"/>
            <w:tcBorders>
              <w:top w:val="nil"/>
              <w:left w:val="nil"/>
              <w:bottom w:val="single" w:sz="6" w:space="0" w:color="auto"/>
              <w:right w:val="nil"/>
            </w:tcBorders>
          </w:tcPr>
          <w:p w14:paraId="6BCCE70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1"/>
              </w:rPr>
              <w:t>Rule out other policies</w:t>
            </w:r>
          </w:p>
        </w:tc>
        <w:tc>
          <w:tcPr>
            <w:tcW w:w="775" w:type="pct"/>
            <w:tcBorders>
              <w:top w:val="nil"/>
              <w:left w:val="nil"/>
              <w:bottom w:val="single" w:sz="6" w:space="0" w:color="auto"/>
              <w:right w:val="nil"/>
            </w:tcBorders>
          </w:tcPr>
          <w:p w14:paraId="2EC7DCC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rPr>
              <w:t xml:space="preserve">Logit model </w:t>
            </w:r>
          </w:p>
        </w:tc>
      </w:tr>
      <w:tr w:rsidR="009C3784" w:rsidRPr="003C297B" w14:paraId="5DAA4140" w14:textId="77777777">
        <w:trPr>
          <w:trHeight w:val="312"/>
          <w:jc w:val="center"/>
        </w:trPr>
        <w:tc>
          <w:tcPr>
            <w:tcW w:w="877" w:type="pct"/>
            <w:tcBorders>
              <w:top w:val="nil"/>
              <w:left w:val="nil"/>
              <w:bottom w:val="nil"/>
              <w:right w:val="nil"/>
            </w:tcBorders>
          </w:tcPr>
          <w:p w14:paraId="323D0C12"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6B04EB3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6C0DDF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01155E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5418753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495504E9"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29274AC8" w14:textId="77777777">
        <w:trPr>
          <w:trHeight w:val="312"/>
          <w:jc w:val="center"/>
        </w:trPr>
        <w:tc>
          <w:tcPr>
            <w:tcW w:w="877" w:type="pct"/>
            <w:tcBorders>
              <w:top w:val="nil"/>
              <w:left w:val="nil"/>
              <w:bottom w:val="nil"/>
              <w:right w:val="nil"/>
            </w:tcBorders>
          </w:tcPr>
          <w:p w14:paraId="67960F9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ET_2017</w:t>
            </w:r>
          </w:p>
        </w:tc>
        <w:tc>
          <w:tcPr>
            <w:tcW w:w="874" w:type="pct"/>
            <w:tcBorders>
              <w:top w:val="nil"/>
              <w:left w:val="nil"/>
              <w:bottom w:val="nil"/>
              <w:right w:val="nil"/>
            </w:tcBorders>
          </w:tcPr>
          <w:p w14:paraId="02E0D77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0.0078</w:t>
            </w:r>
          </w:p>
        </w:tc>
        <w:tc>
          <w:tcPr>
            <w:tcW w:w="874" w:type="pct"/>
            <w:tcBorders>
              <w:top w:val="nil"/>
              <w:left w:val="nil"/>
              <w:bottom w:val="nil"/>
              <w:right w:val="nil"/>
            </w:tcBorders>
          </w:tcPr>
          <w:p w14:paraId="06B5DDC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A08BE1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71FAD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0BB13A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5C2A47E9" w14:textId="77777777">
        <w:trPr>
          <w:trHeight w:val="312"/>
          <w:jc w:val="center"/>
        </w:trPr>
        <w:tc>
          <w:tcPr>
            <w:tcW w:w="877" w:type="pct"/>
            <w:tcBorders>
              <w:top w:val="nil"/>
              <w:left w:val="nil"/>
              <w:bottom w:val="nil"/>
              <w:right w:val="nil"/>
            </w:tcBorders>
          </w:tcPr>
          <w:p w14:paraId="636C94FA"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579C283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(0.0159)</w:t>
            </w:r>
          </w:p>
        </w:tc>
        <w:tc>
          <w:tcPr>
            <w:tcW w:w="874" w:type="pct"/>
            <w:tcBorders>
              <w:top w:val="nil"/>
              <w:left w:val="nil"/>
              <w:bottom w:val="nil"/>
              <w:right w:val="nil"/>
            </w:tcBorders>
          </w:tcPr>
          <w:p w14:paraId="1CBFA75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7F82800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4C766FD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76ACBF0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10FCEC2D" w14:textId="77777777">
        <w:trPr>
          <w:trHeight w:val="312"/>
          <w:jc w:val="center"/>
        </w:trPr>
        <w:tc>
          <w:tcPr>
            <w:tcW w:w="877" w:type="pct"/>
            <w:tcBorders>
              <w:top w:val="nil"/>
              <w:left w:val="nil"/>
              <w:bottom w:val="nil"/>
              <w:right w:val="nil"/>
            </w:tcBorders>
          </w:tcPr>
          <w:p w14:paraId="5D15AEF4"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ET_2016</w:t>
            </w:r>
          </w:p>
        </w:tc>
        <w:tc>
          <w:tcPr>
            <w:tcW w:w="874" w:type="pct"/>
            <w:tcBorders>
              <w:top w:val="nil"/>
              <w:left w:val="nil"/>
              <w:bottom w:val="nil"/>
              <w:right w:val="nil"/>
            </w:tcBorders>
          </w:tcPr>
          <w:p w14:paraId="23E5A367"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BBA7B5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-0.0169</w:t>
            </w:r>
          </w:p>
        </w:tc>
        <w:tc>
          <w:tcPr>
            <w:tcW w:w="725" w:type="pct"/>
            <w:tcBorders>
              <w:top w:val="nil"/>
              <w:left w:val="nil"/>
              <w:bottom w:val="nil"/>
              <w:right w:val="nil"/>
            </w:tcBorders>
          </w:tcPr>
          <w:p w14:paraId="7C197E2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90AADE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9BE9F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D26FE7D" w14:textId="77777777">
        <w:trPr>
          <w:trHeight w:val="312"/>
          <w:jc w:val="center"/>
        </w:trPr>
        <w:tc>
          <w:tcPr>
            <w:tcW w:w="877" w:type="pct"/>
            <w:tcBorders>
              <w:top w:val="nil"/>
              <w:left w:val="nil"/>
              <w:bottom w:val="nil"/>
              <w:right w:val="nil"/>
            </w:tcBorders>
          </w:tcPr>
          <w:p w14:paraId="51FD340B"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9C25E96"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30B3A3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(0.0234)</w:t>
            </w:r>
          </w:p>
        </w:tc>
        <w:tc>
          <w:tcPr>
            <w:tcW w:w="725" w:type="pct"/>
            <w:tcBorders>
              <w:top w:val="nil"/>
              <w:left w:val="nil"/>
              <w:bottom w:val="nil"/>
              <w:right w:val="nil"/>
            </w:tcBorders>
          </w:tcPr>
          <w:p w14:paraId="7692F98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F7C7095"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63F806BA"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33E69C56" w14:textId="77777777">
        <w:trPr>
          <w:trHeight w:val="312"/>
          <w:jc w:val="center"/>
        </w:trPr>
        <w:tc>
          <w:tcPr>
            <w:tcW w:w="877" w:type="pct"/>
            <w:tcBorders>
              <w:top w:val="nil"/>
              <w:left w:val="nil"/>
              <w:bottom w:val="nil"/>
              <w:right w:val="nil"/>
            </w:tcBorders>
          </w:tcPr>
          <w:p w14:paraId="1BFDD0F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874" w:type="pct"/>
            <w:tcBorders>
              <w:top w:val="nil"/>
              <w:left w:val="nil"/>
              <w:bottom w:val="nil"/>
              <w:right w:val="nil"/>
            </w:tcBorders>
          </w:tcPr>
          <w:p w14:paraId="734729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C1547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75598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0.0365**</w:t>
            </w:r>
          </w:p>
        </w:tc>
        <w:tc>
          <w:tcPr>
            <w:tcW w:w="874" w:type="pct"/>
            <w:tcBorders>
              <w:top w:val="nil"/>
              <w:left w:val="nil"/>
              <w:bottom w:val="nil"/>
              <w:right w:val="nil"/>
            </w:tcBorders>
          </w:tcPr>
          <w:p w14:paraId="19B7CC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0.0402**</w:t>
            </w:r>
          </w:p>
        </w:tc>
        <w:tc>
          <w:tcPr>
            <w:tcW w:w="775" w:type="pct"/>
            <w:tcBorders>
              <w:top w:val="nil"/>
              <w:left w:val="nil"/>
              <w:bottom w:val="nil"/>
              <w:right w:val="nil"/>
            </w:tcBorders>
          </w:tcPr>
          <w:p w14:paraId="3B29211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0.2351</w:t>
            </w:r>
          </w:p>
        </w:tc>
      </w:tr>
      <w:tr w:rsidR="009C3784" w:rsidRPr="003C297B" w14:paraId="283C46E9" w14:textId="77777777">
        <w:trPr>
          <w:trHeight w:val="312"/>
          <w:jc w:val="center"/>
        </w:trPr>
        <w:tc>
          <w:tcPr>
            <w:tcW w:w="877" w:type="pct"/>
            <w:tcBorders>
              <w:top w:val="nil"/>
              <w:left w:val="nil"/>
              <w:bottom w:val="nil"/>
              <w:right w:val="nil"/>
            </w:tcBorders>
          </w:tcPr>
          <w:p w14:paraId="31085F31"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938AD60"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E5FF5C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4265563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(0.0164)</w:t>
            </w:r>
          </w:p>
        </w:tc>
        <w:tc>
          <w:tcPr>
            <w:tcW w:w="874" w:type="pct"/>
            <w:tcBorders>
              <w:top w:val="nil"/>
              <w:left w:val="nil"/>
              <w:bottom w:val="nil"/>
              <w:right w:val="nil"/>
            </w:tcBorders>
          </w:tcPr>
          <w:p w14:paraId="44AA7F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(0.0166)</w:t>
            </w:r>
          </w:p>
        </w:tc>
        <w:tc>
          <w:tcPr>
            <w:tcW w:w="775" w:type="pct"/>
            <w:tcBorders>
              <w:top w:val="nil"/>
              <w:left w:val="nil"/>
              <w:bottom w:val="nil"/>
              <w:right w:val="nil"/>
            </w:tcBorders>
          </w:tcPr>
          <w:p w14:paraId="5BDC29C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(0.2314)</w:t>
            </w:r>
          </w:p>
        </w:tc>
      </w:tr>
      <w:tr w:rsidR="009C3784" w:rsidRPr="003C297B" w14:paraId="5E294AA4" w14:textId="77777777">
        <w:trPr>
          <w:trHeight w:val="312"/>
          <w:jc w:val="center"/>
        </w:trPr>
        <w:tc>
          <w:tcPr>
            <w:tcW w:w="877" w:type="pct"/>
            <w:tcBorders>
              <w:top w:val="nil"/>
              <w:left w:val="nil"/>
              <w:bottom w:val="nil"/>
              <w:right w:val="nil"/>
            </w:tcBorders>
          </w:tcPr>
          <w:p w14:paraId="2B791D48"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874" w:type="pct"/>
            <w:tcBorders>
              <w:top w:val="nil"/>
              <w:left w:val="nil"/>
              <w:bottom w:val="nil"/>
              <w:right w:val="nil"/>
            </w:tcBorders>
          </w:tcPr>
          <w:p w14:paraId="606515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2.0613***</w:t>
            </w:r>
          </w:p>
        </w:tc>
        <w:tc>
          <w:tcPr>
            <w:tcW w:w="874" w:type="pct"/>
            <w:tcBorders>
              <w:top w:val="nil"/>
              <w:left w:val="nil"/>
              <w:bottom w:val="nil"/>
              <w:right w:val="nil"/>
            </w:tcBorders>
          </w:tcPr>
          <w:p w14:paraId="20EFAD2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1.8894***</w:t>
            </w:r>
          </w:p>
        </w:tc>
        <w:tc>
          <w:tcPr>
            <w:tcW w:w="725" w:type="pct"/>
            <w:tcBorders>
              <w:top w:val="nil"/>
              <w:left w:val="nil"/>
              <w:bottom w:val="nil"/>
              <w:right w:val="nil"/>
            </w:tcBorders>
          </w:tcPr>
          <w:p w14:paraId="25D36E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2.1714***</w:t>
            </w:r>
          </w:p>
        </w:tc>
        <w:tc>
          <w:tcPr>
            <w:tcW w:w="874" w:type="pct"/>
            <w:tcBorders>
              <w:top w:val="nil"/>
              <w:left w:val="nil"/>
              <w:bottom w:val="nil"/>
              <w:right w:val="nil"/>
            </w:tcBorders>
          </w:tcPr>
          <w:p w14:paraId="3B4854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2.1215***</w:t>
            </w:r>
          </w:p>
        </w:tc>
        <w:tc>
          <w:tcPr>
            <w:tcW w:w="775" w:type="pct"/>
            <w:tcBorders>
              <w:top w:val="nil"/>
              <w:left w:val="nil"/>
              <w:bottom w:val="nil"/>
              <w:right w:val="nil"/>
            </w:tcBorders>
          </w:tcPr>
          <w:p w14:paraId="60DECB4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-3.0215***</w:t>
            </w:r>
          </w:p>
        </w:tc>
      </w:tr>
      <w:tr w:rsidR="009C3784" w:rsidRPr="003C297B" w14:paraId="647B7550" w14:textId="77777777">
        <w:trPr>
          <w:trHeight w:val="312"/>
          <w:jc w:val="center"/>
        </w:trPr>
        <w:tc>
          <w:tcPr>
            <w:tcW w:w="877" w:type="pct"/>
            <w:tcBorders>
              <w:top w:val="nil"/>
              <w:left w:val="nil"/>
              <w:bottom w:val="nil"/>
              <w:right w:val="nil"/>
            </w:tcBorders>
          </w:tcPr>
          <w:p w14:paraId="71216C56"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2A461BA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(0.6091)</w:t>
            </w:r>
          </w:p>
        </w:tc>
        <w:tc>
          <w:tcPr>
            <w:tcW w:w="874" w:type="pct"/>
            <w:tcBorders>
              <w:top w:val="nil"/>
              <w:left w:val="nil"/>
              <w:bottom w:val="nil"/>
              <w:right w:val="nil"/>
            </w:tcBorders>
          </w:tcPr>
          <w:p w14:paraId="5E9E90A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(0.5779)</w:t>
            </w:r>
          </w:p>
        </w:tc>
        <w:tc>
          <w:tcPr>
            <w:tcW w:w="725" w:type="pct"/>
            <w:tcBorders>
              <w:top w:val="nil"/>
              <w:left w:val="nil"/>
              <w:bottom w:val="nil"/>
              <w:right w:val="nil"/>
            </w:tcBorders>
          </w:tcPr>
          <w:p w14:paraId="04214EF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(0.5331)</w:t>
            </w:r>
          </w:p>
        </w:tc>
        <w:tc>
          <w:tcPr>
            <w:tcW w:w="874" w:type="pct"/>
            <w:tcBorders>
              <w:top w:val="nil"/>
              <w:left w:val="nil"/>
              <w:bottom w:val="nil"/>
              <w:right w:val="nil"/>
            </w:tcBorders>
          </w:tcPr>
          <w:p w14:paraId="0CDEEE7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(0.6621)</w:t>
            </w:r>
          </w:p>
        </w:tc>
        <w:tc>
          <w:tcPr>
            <w:tcW w:w="775" w:type="pct"/>
            <w:tcBorders>
              <w:top w:val="nil"/>
              <w:left w:val="nil"/>
              <w:bottom w:val="nil"/>
              <w:right w:val="nil"/>
            </w:tcBorders>
          </w:tcPr>
          <w:p w14:paraId="5F6FF0F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(1.0960)</w:t>
            </w:r>
          </w:p>
        </w:tc>
      </w:tr>
      <w:tr w:rsidR="009C3784" w:rsidRPr="003C297B" w14:paraId="48CDEC35" w14:textId="77777777">
        <w:trPr>
          <w:trHeight w:val="312"/>
          <w:jc w:val="center"/>
        </w:trPr>
        <w:tc>
          <w:tcPr>
            <w:tcW w:w="877" w:type="pct"/>
            <w:tcBorders>
              <w:top w:val="nil"/>
              <w:left w:val="nil"/>
              <w:bottom w:val="nil"/>
              <w:right w:val="nil"/>
            </w:tcBorders>
          </w:tcPr>
          <w:p w14:paraId="6F507280"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874" w:type="pct"/>
            <w:tcBorders>
              <w:top w:val="nil"/>
              <w:left w:val="nil"/>
              <w:bottom w:val="nil"/>
              <w:right w:val="nil"/>
            </w:tcBorders>
          </w:tcPr>
          <w:p w14:paraId="7C457C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10CCF382"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21A6830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0BFDF50C"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28AE7BBE"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7C3750C1" w14:textId="77777777">
        <w:trPr>
          <w:trHeight w:val="312"/>
          <w:jc w:val="center"/>
        </w:trPr>
        <w:tc>
          <w:tcPr>
            <w:tcW w:w="877" w:type="pct"/>
            <w:tcBorders>
              <w:top w:val="nil"/>
              <w:left w:val="nil"/>
              <w:bottom w:val="nil"/>
              <w:right w:val="nil"/>
            </w:tcBorders>
          </w:tcPr>
          <w:p w14:paraId="1EEB925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874" w:type="pct"/>
            <w:tcBorders>
              <w:top w:val="nil"/>
              <w:left w:val="nil"/>
              <w:bottom w:val="nil"/>
              <w:right w:val="nil"/>
            </w:tcBorders>
          </w:tcPr>
          <w:p w14:paraId="4E59A1F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874" w:type="pct"/>
            <w:tcBorders>
              <w:top w:val="nil"/>
              <w:left w:val="nil"/>
              <w:bottom w:val="nil"/>
              <w:right w:val="nil"/>
            </w:tcBorders>
          </w:tcPr>
          <w:p w14:paraId="5FA8625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2,788</w:t>
            </w:r>
          </w:p>
        </w:tc>
        <w:tc>
          <w:tcPr>
            <w:tcW w:w="725" w:type="pct"/>
            <w:tcBorders>
              <w:top w:val="nil"/>
              <w:left w:val="nil"/>
              <w:bottom w:val="nil"/>
              <w:right w:val="nil"/>
            </w:tcBorders>
          </w:tcPr>
          <w:p w14:paraId="59D09D7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1,941</w:t>
            </w:r>
          </w:p>
        </w:tc>
        <w:tc>
          <w:tcPr>
            <w:tcW w:w="874" w:type="pct"/>
            <w:tcBorders>
              <w:top w:val="nil"/>
              <w:left w:val="nil"/>
              <w:bottom w:val="nil"/>
              <w:right w:val="nil"/>
            </w:tcBorders>
          </w:tcPr>
          <w:p w14:paraId="333672A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1,995</w:t>
            </w:r>
          </w:p>
        </w:tc>
        <w:tc>
          <w:tcPr>
            <w:tcW w:w="775" w:type="pct"/>
            <w:tcBorders>
              <w:top w:val="nil"/>
              <w:left w:val="nil"/>
              <w:bottom w:val="nil"/>
              <w:right w:val="nil"/>
            </w:tcBorders>
          </w:tcPr>
          <w:p w14:paraId="4AD8DA3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3,096</w:t>
            </w:r>
          </w:p>
        </w:tc>
      </w:tr>
      <w:tr w:rsidR="009C3784" w:rsidRPr="003C297B" w14:paraId="6C3A1A6B" w14:textId="77777777">
        <w:trPr>
          <w:trHeight w:val="312"/>
          <w:jc w:val="center"/>
        </w:trPr>
        <w:tc>
          <w:tcPr>
            <w:tcW w:w="877" w:type="pct"/>
            <w:tcBorders>
              <w:top w:val="nil"/>
              <w:left w:val="nil"/>
              <w:bottom w:val="nil"/>
              <w:right w:val="nil"/>
            </w:tcBorders>
          </w:tcPr>
          <w:p w14:paraId="7121FCD6"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lastRenderedPageBreak/>
              <w:t>R-squared</w:t>
            </w:r>
          </w:p>
        </w:tc>
        <w:tc>
          <w:tcPr>
            <w:tcW w:w="874" w:type="pct"/>
            <w:tcBorders>
              <w:top w:val="nil"/>
              <w:left w:val="nil"/>
              <w:bottom w:val="nil"/>
              <w:right w:val="nil"/>
            </w:tcBorders>
          </w:tcPr>
          <w:p w14:paraId="3FEDA05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0.771</w:t>
            </w:r>
          </w:p>
        </w:tc>
        <w:tc>
          <w:tcPr>
            <w:tcW w:w="874" w:type="pct"/>
            <w:tcBorders>
              <w:top w:val="nil"/>
              <w:left w:val="nil"/>
              <w:bottom w:val="nil"/>
              <w:right w:val="nil"/>
            </w:tcBorders>
          </w:tcPr>
          <w:p w14:paraId="1A2D1A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0.764</w:t>
            </w:r>
          </w:p>
        </w:tc>
        <w:tc>
          <w:tcPr>
            <w:tcW w:w="725" w:type="pct"/>
            <w:tcBorders>
              <w:top w:val="nil"/>
              <w:left w:val="nil"/>
              <w:bottom w:val="nil"/>
              <w:right w:val="nil"/>
            </w:tcBorders>
          </w:tcPr>
          <w:p w14:paraId="4F5F564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0.780</w:t>
            </w:r>
          </w:p>
        </w:tc>
        <w:tc>
          <w:tcPr>
            <w:tcW w:w="874" w:type="pct"/>
            <w:tcBorders>
              <w:top w:val="nil"/>
              <w:left w:val="nil"/>
              <w:bottom w:val="nil"/>
              <w:right w:val="nil"/>
            </w:tcBorders>
          </w:tcPr>
          <w:p w14:paraId="177CD1B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0.782</w:t>
            </w:r>
          </w:p>
        </w:tc>
        <w:tc>
          <w:tcPr>
            <w:tcW w:w="775" w:type="pct"/>
            <w:tcBorders>
              <w:top w:val="nil"/>
              <w:left w:val="nil"/>
              <w:bottom w:val="nil"/>
              <w:right w:val="nil"/>
            </w:tcBorders>
          </w:tcPr>
          <w:p w14:paraId="2A85DB48"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6BAA046E" w14:textId="77777777">
        <w:trPr>
          <w:trHeight w:val="312"/>
          <w:jc w:val="center"/>
        </w:trPr>
        <w:tc>
          <w:tcPr>
            <w:tcW w:w="877" w:type="pct"/>
            <w:tcBorders>
              <w:top w:val="nil"/>
              <w:left w:val="nil"/>
              <w:bottom w:val="nil"/>
              <w:right w:val="nil"/>
            </w:tcBorders>
          </w:tcPr>
          <w:p w14:paraId="0C145CBB" w14:textId="77777777" w:rsidR="009C3784" w:rsidRPr="003C297B" w:rsidRDefault="00D95DA7">
            <w:pPr>
              <w:autoSpaceDE w:val="0"/>
              <w:autoSpaceDN w:val="0"/>
              <w:adjustRightInd w:val="0"/>
              <w:jc w:val="left"/>
              <w:rPr>
                <w:rFonts w:ascii="Times New Roman" w:eastAsia="SimSun" w:hAnsi="Times New Roman" w:cs="Times New Roman"/>
                <w:kern w:val="0"/>
                <w:sz w:val="22"/>
                <w:szCs w:val="24"/>
              </w:rPr>
            </w:pPr>
            <w:r w:rsidRPr="003C297B">
              <w:rPr>
                <w:rFonts w:ascii="Times New Roman" w:eastAsia="Microsoft YaHei" w:hAnsi="Times New Roman" w:cs="Times New Roman" w:hint="eastAsia"/>
                <w:kern w:val="0"/>
                <w:sz w:val="22"/>
              </w:rPr>
              <w:t>Pseudo R2</w:t>
            </w:r>
          </w:p>
        </w:tc>
        <w:tc>
          <w:tcPr>
            <w:tcW w:w="874" w:type="pct"/>
            <w:tcBorders>
              <w:top w:val="nil"/>
              <w:left w:val="nil"/>
              <w:bottom w:val="nil"/>
              <w:right w:val="nil"/>
            </w:tcBorders>
          </w:tcPr>
          <w:p w14:paraId="04362E1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2D936FD1"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25" w:type="pct"/>
            <w:tcBorders>
              <w:top w:val="nil"/>
              <w:left w:val="nil"/>
              <w:bottom w:val="nil"/>
              <w:right w:val="nil"/>
            </w:tcBorders>
          </w:tcPr>
          <w:p w14:paraId="0C356CA3"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874" w:type="pct"/>
            <w:tcBorders>
              <w:top w:val="nil"/>
              <w:left w:val="nil"/>
              <w:bottom w:val="nil"/>
              <w:right w:val="nil"/>
            </w:tcBorders>
          </w:tcPr>
          <w:p w14:paraId="7895562B"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c>
          <w:tcPr>
            <w:tcW w:w="775" w:type="pct"/>
            <w:tcBorders>
              <w:top w:val="nil"/>
              <w:left w:val="nil"/>
              <w:bottom w:val="nil"/>
              <w:right w:val="nil"/>
            </w:tcBorders>
          </w:tcPr>
          <w:p w14:paraId="1417AF3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0.105</w:t>
            </w:r>
          </w:p>
        </w:tc>
      </w:tr>
      <w:tr w:rsidR="009C3784" w:rsidRPr="003C297B" w14:paraId="5A3B3BD8" w14:textId="77777777">
        <w:trPr>
          <w:trHeight w:val="312"/>
          <w:jc w:val="center"/>
        </w:trPr>
        <w:tc>
          <w:tcPr>
            <w:tcW w:w="877" w:type="pct"/>
            <w:tcBorders>
              <w:top w:val="nil"/>
              <w:left w:val="nil"/>
              <w:bottom w:val="nil"/>
              <w:right w:val="nil"/>
            </w:tcBorders>
          </w:tcPr>
          <w:p w14:paraId="7478F149"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874" w:type="pct"/>
            <w:tcBorders>
              <w:top w:val="nil"/>
              <w:left w:val="nil"/>
              <w:bottom w:val="nil"/>
              <w:right w:val="nil"/>
            </w:tcBorders>
          </w:tcPr>
          <w:p w14:paraId="5ECD6B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994140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10D1231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423CEFD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36C90E6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2B63F970" w14:textId="77777777">
        <w:trPr>
          <w:trHeight w:val="312"/>
          <w:jc w:val="center"/>
        </w:trPr>
        <w:tc>
          <w:tcPr>
            <w:tcW w:w="877" w:type="pct"/>
            <w:tcBorders>
              <w:top w:val="nil"/>
              <w:left w:val="nil"/>
              <w:bottom w:val="nil"/>
              <w:right w:val="nil"/>
            </w:tcBorders>
          </w:tcPr>
          <w:p w14:paraId="2D73BBEA"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874" w:type="pct"/>
            <w:tcBorders>
              <w:top w:val="nil"/>
              <w:left w:val="nil"/>
              <w:bottom w:val="nil"/>
              <w:right w:val="nil"/>
            </w:tcBorders>
          </w:tcPr>
          <w:p w14:paraId="4BFCCFC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3CBCFCD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93C5FE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C3809AB"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6CD7BC6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0D8532B" w14:textId="77777777">
        <w:trPr>
          <w:trHeight w:val="312"/>
          <w:jc w:val="center"/>
        </w:trPr>
        <w:tc>
          <w:tcPr>
            <w:tcW w:w="877" w:type="pct"/>
            <w:tcBorders>
              <w:top w:val="nil"/>
              <w:left w:val="nil"/>
              <w:bottom w:val="nil"/>
              <w:right w:val="nil"/>
            </w:tcBorders>
          </w:tcPr>
          <w:p w14:paraId="356509B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874" w:type="pct"/>
            <w:tcBorders>
              <w:top w:val="nil"/>
              <w:left w:val="nil"/>
              <w:bottom w:val="nil"/>
              <w:right w:val="nil"/>
            </w:tcBorders>
          </w:tcPr>
          <w:p w14:paraId="00337F8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52AF94F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nil"/>
              <w:right w:val="nil"/>
            </w:tcBorders>
          </w:tcPr>
          <w:p w14:paraId="34F383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7D19176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46A3B15F"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41F3266" w14:textId="77777777">
        <w:trPr>
          <w:trHeight w:val="312"/>
          <w:jc w:val="center"/>
        </w:trPr>
        <w:tc>
          <w:tcPr>
            <w:tcW w:w="877" w:type="pct"/>
            <w:tcBorders>
              <w:top w:val="nil"/>
              <w:left w:val="nil"/>
              <w:bottom w:val="nil"/>
              <w:right w:val="nil"/>
            </w:tcBorders>
          </w:tcPr>
          <w:p w14:paraId="55FB614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874" w:type="pct"/>
            <w:tcBorders>
              <w:top w:val="nil"/>
              <w:left w:val="nil"/>
              <w:bottom w:val="nil"/>
              <w:right w:val="nil"/>
            </w:tcBorders>
          </w:tcPr>
          <w:p w14:paraId="27D0A82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0ACFD09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NO</w:t>
            </w:r>
          </w:p>
        </w:tc>
        <w:tc>
          <w:tcPr>
            <w:tcW w:w="725" w:type="pct"/>
            <w:tcBorders>
              <w:top w:val="nil"/>
              <w:left w:val="nil"/>
              <w:bottom w:val="nil"/>
              <w:right w:val="nil"/>
            </w:tcBorders>
          </w:tcPr>
          <w:p w14:paraId="6180E97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nil"/>
              <w:right w:val="nil"/>
            </w:tcBorders>
          </w:tcPr>
          <w:p w14:paraId="2989938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nil"/>
              <w:right w:val="nil"/>
            </w:tcBorders>
          </w:tcPr>
          <w:p w14:paraId="1DEDBAAD" w14:textId="77777777" w:rsidR="009C3784" w:rsidRPr="003C297B" w:rsidRDefault="009C3784">
            <w:pPr>
              <w:autoSpaceDE w:val="0"/>
              <w:autoSpaceDN w:val="0"/>
              <w:adjustRightInd w:val="0"/>
              <w:jc w:val="center"/>
              <w:rPr>
                <w:rFonts w:ascii="Times New Roman" w:hAnsi="Times New Roman" w:cs="Times New Roman"/>
                <w:kern w:val="0"/>
                <w:sz w:val="22"/>
                <w:szCs w:val="24"/>
              </w:rPr>
            </w:pPr>
          </w:p>
        </w:tc>
      </w:tr>
      <w:tr w:rsidR="009C3784" w:rsidRPr="003C297B" w14:paraId="4F6B00F8" w14:textId="77777777">
        <w:tblPrEx>
          <w:tblBorders>
            <w:bottom w:val="single" w:sz="6" w:space="0" w:color="auto"/>
          </w:tblBorders>
        </w:tblPrEx>
        <w:trPr>
          <w:trHeight w:val="312"/>
          <w:jc w:val="center"/>
        </w:trPr>
        <w:tc>
          <w:tcPr>
            <w:tcW w:w="877" w:type="pct"/>
            <w:tcBorders>
              <w:top w:val="nil"/>
              <w:left w:val="nil"/>
              <w:bottom w:val="single" w:sz="6" w:space="0" w:color="auto"/>
              <w:right w:val="nil"/>
            </w:tcBorders>
          </w:tcPr>
          <w:p w14:paraId="7BDD4BB1"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874" w:type="pct"/>
            <w:tcBorders>
              <w:top w:val="nil"/>
              <w:left w:val="nil"/>
              <w:bottom w:val="single" w:sz="6" w:space="0" w:color="auto"/>
              <w:right w:val="nil"/>
            </w:tcBorders>
          </w:tcPr>
          <w:p w14:paraId="73ADC0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6BCF5F9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25" w:type="pct"/>
            <w:tcBorders>
              <w:top w:val="nil"/>
              <w:left w:val="nil"/>
              <w:bottom w:val="single" w:sz="6" w:space="0" w:color="auto"/>
              <w:right w:val="nil"/>
            </w:tcBorders>
          </w:tcPr>
          <w:p w14:paraId="0D9260A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874" w:type="pct"/>
            <w:tcBorders>
              <w:top w:val="nil"/>
              <w:left w:val="nil"/>
              <w:bottom w:val="single" w:sz="6" w:space="0" w:color="auto"/>
              <w:right w:val="nil"/>
            </w:tcBorders>
          </w:tcPr>
          <w:p w14:paraId="4392767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775" w:type="pct"/>
            <w:tcBorders>
              <w:top w:val="nil"/>
              <w:left w:val="nil"/>
              <w:bottom w:val="single" w:sz="6" w:space="0" w:color="auto"/>
              <w:right w:val="nil"/>
            </w:tcBorders>
          </w:tcPr>
          <w:p w14:paraId="64D80CA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571105CE"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6) </w:t>
      </w:r>
      <w:r w:rsidR="00D95DA7">
        <w:rPr>
          <w:rFonts w:ascii="Times New Roman" w:eastAsia="Microsoft YaHei" w:hAnsi="Times New Roman" w:cs="Times New Roman" w:hint="eastAsia"/>
          <w:sz w:val="22"/>
          <w:szCs w:val="24"/>
        </w:rPr>
        <w:t>Re-examination of identification conditions</w:t>
      </w:r>
    </w:p>
    <w:p w14:paraId="43189643" w14:textId="1A5FF2ED"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section used parallel trend tests and policy pre-selection methods to examine the randomness of the timing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's establishment. However, it did not consider whether the selection of heavily polluting industries was non-random. There might be a reverse causal relationship where industries with lower environmental performance are more likely to be selected as heavily polluting industries. To address this, this paper adopts the approach of </w:t>
      </w:r>
      <w:r w:rsidR="00AF0A74" w:rsidRPr="00AF0A74">
        <w:rPr>
          <w:rFonts w:ascii="Times New Roman" w:eastAsia="Microsoft YaHei" w:cs="SimSun" w:hint="eastAsia"/>
          <w:bCs/>
          <w:color w:val="000000"/>
          <w:kern w:val="0"/>
          <w:sz w:val="22"/>
          <w:szCs w:val="24"/>
        </w:rPr>
        <w:t>Hanna</w:t>
      </w:r>
      <w:r w:rsidR="00AF0A74">
        <w:rPr>
          <w:rFonts w:ascii="Times New Roman" w:eastAsia="Microsoft YaHei" w:cs="SimSun" w:hint="eastAsia"/>
          <w:bCs/>
          <w:color w:val="000000"/>
          <w:kern w:val="0"/>
          <w:sz w:val="22"/>
          <w:szCs w:val="24"/>
        </w:rPr>
        <w:t xml:space="preserve"> (2015)</w:t>
      </w:r>
      <w:r>
        <w:rPr>
          <w:rFonts w:ascii="Times New Roman" w:eastAsia="Microsoft YaHei" w:hAnsi="Times New Roman" w:cs="Times New Roman" w:hint="eastAsia"/>
          <w:sz w:val="22"/>
          <w:szCs w:val="24"/>
        </w:rPr>
        <w:t xml:space="preserve"> and constructs a Logit model to estimate the probability of an industry being selected as a heavily polluting industry. The core explanatory variable in the logit model is whether the industry is a heavily polluting industry (pul), while environmental performance (EP) and the control variables selected earlier are used as explanatory variables. The regression results in the fifth column of Table 5 show that the regression coefficient of environmental performance is not significant, indicating that environmental performance levels do not influence the selection of heavily polluting industries in this study, suggesting no non-randomness in industry selection.</w:t>
      </w:r>
    </w:p>
    <w:p w14:paraId="21496DCC" w14:textId="77777777" w:rsidR="009C3784" w:rsidRDefault="007C10D5">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w:t>
      </w:r>
      <w:r>
        <w:rPr>
          <w:rFonts w:ascii="Times New Roman" w:eastAsia="Microsoft YaHei" w:hAnsi="Times New Roman" w:cs="Times New Roman"/>
          <w:sz w:val="22"/>
          <w:szCs w:val="24"/>
        </w:rPr>
        <w:t xml:space="preserve">7) </w:t>
      </w:r>
      <w:r w:rsidR="00D95DA7">
        <w:rPr>
          <w:rFonts w:ascii="Times New Roman" w:eastAsia="Microsoft YaHei" w:hAnsi="Times New Roman" w:cs="Times New Roman" w:hint="eastAsia"/>
          <w:sz w:val="22"/>
          <w:szCs w:val="24"/>
        </w:rPr>
        <w:t>Placebo test</w:t>
      </w:r>
    </w:p>
    <w:p w14:paraId="1905DC57"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grouping of the experimental and control groups may be influenced by other random factors, necessitating a placebo test to enhance the robustness of the article's results. All enterprises were randomly reselected, with 1000 random samples repeated. Figure 2 presents the kernel density plot and p-value distribution of the regression coefficients under the placebo test. The regression results show that the mean of the estimated coefficients under the random process is close to 0, and most p-values are above 0.1. The actual estimated coefficients of the benchmark regression ET in this study fall within the range of small probability events on the kernel density plot of the placebo test, indicating that the true estimates in this study are empirically robust.</w:t>
      </w:r>
    </w:p>
    <w:p w14:paraId="10E2B60C" w14:textId="77777777" w:rsidR="009C3784" w:rsidRDefault="00D95DA7">
      <w:pPr>
        <w:ind w:firstLine="440"/>
        <w:jc w:val="center"/>
        <w:rPr>
          <w:rFonts w:ascii="Times New Roman" w:eastAsia="SimSun" w:hAnsi="Times New Roman" w:cs="Times New Roman"/>
          <w:sz w:val="24"/>
          <w:szCs w:val="24"/>
        </w:rPr>
      </w:pPr>
      <w:r>
        <w:rPr>
          <w:rFonts w:ascii="Times New Roman" w:eastAsia="SimSun" w:hAnsi="Times New Roman" w:cs="Times New Roman"/>
          <w:noProof/>
          <w:lang w:eastAsia="en-US"/>
        </w:rPr>
        <w:drawing>
          <wp:inline distT="0" distB="0" distL="0" distR="0" wp14:anchorId="054B4CDF" wp14:editId="34D0AF79">
            <wp:extent cx="3657600" cy="26174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715273" cy="2659053"/>
                    </a:xfrm>
                    <a:prstGeom prst="rect">
                      <a:avLst/>
                    </a:prstGeom>
                  </pic:spPr>
                </pic:pic>
              </a:graphicData>
            </a:graphic>
          </wp:inline>
        </w:drawing>
      </w:r>
    </w:p>
    <w:p w14:paraId="646EA5ED"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Figure 2 Placebo test</w:t>
      </w:r>
    </w:p>
    <w:p w14:paraId="51942417" w14:textId="39CFE18B" w:rsidR="009C3784" w:rsidRDefault="003B563D">
      <w:pPr>
        <w:keepNext/>
        <w:keepLines/>
        <w:snapToGrid w:val="0"/>
        <w:outlineLvl w:val="3"/>
        <w:rPr>
          <w:rFonts w:ascii="Times New Roman" w:eastAsia="SimSun" w:hAnsi="Times New Roman" w:cs="Times New Roman"/>
          <w:b/>
          <w:bCs/>
          <w:szCs w:val="28"/>
        </w:rPr>
      </w:pPr>
      <w:r>
        <w:rPr>
          <w:rFonts w:ascii="Times New Roman" w:eastAsia="Microsoft YaHei" w:hAnsi="Times New Roman" w:cs="Times New Roman" w:hint="eastAsia"/>
          <w:b/>
          <w:bCs/>
          <w:szCs w:val="28"/>
        </w:rPr>
        <w:t>4</w:t>
      </w:r>
      <w:r w:rsidR="00D95DA7">
        <w:rPr>
          <w:rFonts w:ascii="Times New Roman" w:eastAsia="Microsoft YaHei" w:hAnsi="Times New Roman" w:cs="Times New Roman" w:hint="eastAsia"/>
          <w:b/>
          <w:bCs/>
          <w:szCs w:val="28"/>
        </w:rPr>
        <w:t>.</w:t>
      </w:r>
      <w:r>
        <w:rPr>
          <w:rFonts w:ascii="Times New Roman" w:eastAsia="Microsoft YaHei" w:hAnsi="Times New Roman" w:cs="Times New Roman" w:hint="eastAsia"/>
          <w:b/>
          <w:bCs/>
          <w:szCs w:val="28"/>
        </w:rPr>
        <w:t xml:space="preserve">4 </w:t>
      </w:r>
      <w:r w:rsidR="00D95DA7">
        <w:rPr>
          <w:rFonts w:ascii="Times New Roman" w:eastAsia="Microsoft YaHei" w:hAnsi="Times New Roman" w:cs="Times New Roman" w:hint="eastAsia"/>
          <w:b/>
          <w:bCs/>
          <w:szCs w:val="28"/>
        </w:rPr>
        <w:t>Heterogeneity analysis</w:t>
      </w:r>
    </w:p>
    <w:p w14:paraId="3B3956AE" w14:textId="70407A5D" w:rsidR="007C10D5" w:rsidRDefault="00D95DA7" w:rsidP="007C10D5">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 xml:space="preserve">The above research mainly discusses the average treatment effect of environmental protection policies. </w:t>
      </w:r>
      <w:r>
        <w:rPr>
          <w:rFonts w:ascii="Times New Roman" w:eastAsia="Microsoft YaHei" w:hAnsi="Times New Roman" w:cs="Times New Roman" w:hint="eastAsia"/>
          <w:sz w:val="22"/>
          <w:szCs w:val="24"/>
        </w:rPr>
        <w:lastRenderedPageBreak/>
        <w:t xml:space="preserve">However, for subjects with different characteristics, it is difficult to have the same effect of policies considering the influence of factors such as product production cycle and differences in production factors. Therefore, it is necessary to discuss the asymmetric effect of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on subjects with different characteristics from the perspective of heterogeneity.</w:t>
      </w:r>
    </w:p>
    <w:p w14:paraId="4FCD62D3" w14:textId="11624F99" w:rsidR="009C3784" w:rsidRDefault="003C297B">
      <w:pPr>
        <w:ind w:firstLineChars="200" w:firstLine="440"/>
        <w:rPr>
          <w:rFonts w:ascii="Times New Roman" w:eastAsia="SimSun" w:hAnsi="Times New Roman" w:cs="Times New Roman"/>
          <w:sz w:val="22"/>
          <w:szCs w:val="24"/>
        </w:rPr>
      </w:pPr>
      <w:r>
        <w:rPr>
          <w:rFonts w:ascii="Times New Roman" w:eastAsia="Microsoft YaHei" w:hAnsi="Times New Roman" w:cs="Times New Roman"/>
          <w:sz w:val="22"/>
          <w:szCs w:val="24"/>
        </w:rPr>
        <w:t xml:space="preserve"> </w:t>
      </w:r>
      <w:r w:rsidR="007C10D5">
        <w:rPr>
          <w:rFonts w:ascii="Times New Roman" w:eastAsia="Microsoft YaHei" w:hAnsi="Times New Roman" w:cs="Times New Roman"/>
          <w:sz w:val="22"/>
          <w:szCs w:val="24"/>
        </w:rPr>
        <w:t xml:space="preserve">(1) </w:t>
      </w:r>
      <w:r w:rsidR="00D95DA7">
        <w:rPr>
          <w:rFonts w:ascii="Times New Roman" w:eastAsia="Microsoft YaHei" w:hAnsi="Times New Roman" w:cs="Times New Roman" w:hint="eastAsia"/>
          <w:sz w:val="22"/>
          <w:szCs w:val="24"/>
        </w:rPr>
        <w:t>Heterogeneity of financing constraints: "strengthening" or "weakening"?</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As the demands for sustainable development become increasingly stringent, the business philosophies of enterprises have undergone profound changes. With the increasing number of ecological, environmental, social, and economic issues, environmentally friendly investments are becoming an essential requirement. Given the current investment environment, the capital market is increasingly focusing on a company's ability to sustainably develop, leading to significant changes in external financing channels. The conflict between financing constraints and free cash flow has also intensified. Does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have different policy effects for companies with varying financing constraints? This paper employs three methods to measure financing constraints, constructing the WW index, KZ index, and SA index, to analyze the differential policy effects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under heterogeneous financing constraints. The regression results in Table 6 show that companies with high financing constraints benefit more from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as evidenced by higher significance and coefficients. This may be because companies with high financing constraints face strong environmental regulation pressures. Without the motivation to rectify environmental issues, they might exacerbate their own operational difficulties, leading to poor economic outcomes. Therefore, in the face of the institutional pressure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high financing constraints are more likely to rectify their operations, which is reflected in a significant improvement in their environmental performance.</w:t>
      </w:r>
    </w:p>
    <w:p w14:paraId="15551DA9"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6 Heterogeneity of financing constraints, "strengthening" or "weakening"?</w:t>
      </w:r>
    </w:p>
    <w:tbl>
      <w:tblPr>
        <w:tblW w:w="10011" w:type="dxa"/>
        <w:jc w:val="center"/>
        <w:tblLayout w:type="fixed"/>
        <w:tblCellMar>
          <w:left w:w="75" w:type="dxa"/>
          <w:right w:w="75" w:type="dxa"/>
        </w:tblCellMar>
        <w:tblLook w:val="04A0" w:firstRow="1" w:lastRow="0" w:firstColumn="1" w:lastColumn="0" w:noHBand="0" w:noVBand="1"/>
      </w:tblPr>
      <w:tblGrid>
        <w:gridCol w:w="1947"/>
        <w:gridCol w:w="1296"/>
        <w:gridCol w:w="1440"/>
        <w:gridCol w:w="1296"/>
        <w:gridCol w:w="1296"/>
        <w:gridCol w:w="1440"/>
        <w:gridCol w:w="1296"/>
      </w:tblGrid>
      <w:tr w:rsidR="009C3784" w14:paraId="2668607F" w14:textId="77777777">
        <w:trPr>
          <w:jc w:val="center"/>
        </w:trPr>
        <w:tc>
          <w:tcPr>
            <w:tcW w:w="1947" w:type="dxa"/>
            <w:tcBorders>
              <w:top w:val="single" w:sz="6" w:space="0" w:color="auto"/>
              <w:left w:val="nil"/>
              <w:bottom w:val="nil"/>
              <w:right w:val="nil"/>
            </w:tcBorders>
          </w:tcPr>
          <w:p w14:paraId="7D5F8A2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736" w:type="dxa"/>
            <w:gridSpan w:val="2"/>
            <w:tcBorders>
              <w:top w:val="single" w:sz="6" w:space="0" w:color="auto"/>
              <w:left w:val="nil"/>
              <w:bottom w:val="nil"/>
              <w:right w:val="nil"/>
            </w:tcBorders>
          </w:tcPr>
          <w:p w14:paraId="5544B9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WW index number </w:t>
            </w:r>
          </w:p>
        </w:tc>
        <w:tc>
          <w:tcPr>
            <w:tcW w:w="2592" w:type="dxa"/>
            <w:gridSpan w:val="2"/>
            <w:tcBorders>
              <w:top w:val="single" w:sz="6" w:space="0" w:color="auto"/>
              <w:left w:val="nil"/>
              <w:bottom w:val="nil"/>
              <w:right w:val="nil"/>
            </w:tcBorders>
          </w:tcPr>
          <w:p w14:paraId="488DB66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KZ index number </w:t>
            </w:r>
          </w:p>
        </w:tc>
        <w:tc>
          <w:tcPr>
            <w:tcW w:w="2736" w:type="dxa"/>
            <w:gridSpan w:val="2"/>
            <w:tcBorders>
              <w:top w:val="single" w:sz="6" w:space="0" w:color="auto"/>
              <w:left w:val="nil"/>
              <w:bottom w:val="nil"/>
              <w:right w:val="nil"/>
            </w:tcBorders>
          </w:tcPr>
          <w:p w14:paraId="7F9C334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SA index number </w:t>
            </w:r>
          </w:p>
        </w:tc>
      </w:tr>
      <w:tr w:rsidR="009C3784" w14:paraId="123D2FC7" w14:textId="77777777">
        <w:trPr>
          <w:jc w:val="center"/>
        </w:trPr>
        <w:tc>
          <w:tcPr>
            <w:tcW w:w="1947" w:type="dxa"/>
            <w:tcBorders>
              <w:top w:val="nil"/>
              <w:left w:val="nil"/>
              <w:bottom w:val="single" w:sz="6" w:space="0" w:color="auto"/>
              <w:right w:val="nil"/>
            </w:tcBorders>
          </w:tcPr>
          <w:p w14:paraId="0D4AAE0C"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single" w:sz="6" w:space="0" w:color="auto"/>
              <w:right w:val="nil"/>
            </w:tcBorders>
          </w:tcPr>
          <w:p w14:paraId="0503C7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440" w:type="dxa"/>
            <w:tcBorders>
              <w:top w:val="nil"/>
              <w:left w:val="nil"/>
              <w:bottom w:val="single" w:sz="6" w:space="0" w:color="auto"/>
              <w:right w:val="nil"/>
            </w:tcBorders>
          </w:tcPr>
          <w:p w14:paraId="7D18653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296" w:type="dxa"/>
            <w:tcBorders>
              <w:top w:val="nil"/>
              <w:left w:val="nil"/>
              <w:bottom w:val="single" w:sz="6" w:space="0" w:color="auto"/>
              <w:right w:val="nil"/>
            </w:tcBorders>
          </w:tcPr>
          <w:p w14:paraId="2BF0FF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578879C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440" w:type="dxa"/>
            <w:tcBorders>
              <w:top w:val="nil"/>
              <w:left w:val="nil"/>
              <w:bottom w:val="single" w:sz="6" w:space="0" w:color="auto"/>
              <w:right w:val="nil"/>
            </w:tcBorders>
          </w:tcPr>
          <w:p w14:paraId="29B55C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c>
          <w:tcPr>
            <w:tcW w:w="1296" w:type="dxa"/>
            <w:tcBorders>
              <w:top w:val="nil"/>
              <w:left w:val="nil"/>
              <w:bottom w:val="single" w:sz="6" w:space="0" w:color="auto"/>
              <w:right w:val="nil"/>
            </w:tcBorders>
          </w:tcPr>
          <w:p w14:paraId="2D9A445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r>
      <w:tr w:rsidR="009C3784" w14:paraId="744D1E1A" w14:textId="77777777">
        <w:trPr>
          <w:jc w:val="center"/>
        </w:trPr>
        <w:tc>
          <w:tcPr>
            <w:tcW w:w="1947" w:type="dxa"/>
            <w:tcBorders>
              <w:top w:val="nil"/>
              <w:left w:val="nil"/>
              <w:bottom w:val="nil"/>
              <w:right w:val="nil"/>
            </w:tcBorders>
          </w:tcPr>
          <w:p w14:paraId="505E9B2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296" w:type="dxa"/>
            <w:tcBorders>
              <w:top w:val="nil"/>
              <w:left w:val="nil"/>
              <w:bottom w:val="nil"/>
              <w:right w:val="nil"/>
            </w:tcBorders>
          </w:tcPr>
          <w:p w14:paraId="58738B1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0.0323</w:t>
            </w:r>
          </w:p>
        </w:tc>
        <w:tc>
          <w:tcPr>
            <w:tcW w:w="1440" w:type="dxa"/>
            <w:tcBorders>
              <w:top w:val="nil"/>
              <w:left w:val="nil"/>
              <w:bottom w:val="nil"/>
              <w:right w:val="nil"/>
            </w:tcBorders>
          </w:tcPr>
          <w:p w14:paraId="63AC2D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0.0393**</w:t>
            </w:r>
          </w:p>
        </w:tc>
        <w:tc>
          <w:tcPr>
            <w:tcW w:w="1296" w:type="dxa"/>
            <w:tcBorders>
              <w:top w:val="nil"/>
              <w:left w:val="nil"/>
              <w:bottom w:val="nil"/>
              <w:right w:val="nil"/>
            </w:tcBorders>
          </w:tcPr>
          <w:p w14:paraId="5F4925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0.0291</w:t>
            </w:r>
          </w:p>
        </w:tc>
        <w:tc>
          <w:tcPr>
            <w:tcW w:w="1296" w:type="dxa"/>
            <w:tcBorders>
              <w:top w:val="nil"/>
              <w:left w:val="nil"/>
              <w:bottom w:val="nil"/>
              <w:right w:val="nil"/>
            </w:tcBorders>
          </w:tcPr>
          <w:p w14:paraId="1441365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0.0497**</w:t>
            </w:r>
          </w:p>
        </w:tc>
        <w:tc>
          <w:tcPr>
            <w:tcW w:w="1440" w:type="dxa"/>
            <w:tcBorders>
              <w:top w:val="nil"/>
              <w:left w:val="nil"/>
              <w:bottom w:val="nil"/>
              <w:right w:val="nil"/>
            </w:tcBorders>
          </w:tcPr>
          <w:p w14:paraId="24CE6C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0.0311</w:t>
            </w:r>
          </w:p>
        </w:tc>
        <w:tc>
          <w:tcPr>
            <w:tcW w:w="1296" w:type="dxa"/>
            <w:tcBorders>
              <w:top w:val="nil"/>
              <w:left w:val="nil"/>
              <w:bottom w:val="nil"/>
              <w:right w:val="nil"/>
            </w:tcBorders>
          </w:tcPr>
          <w:p w14:paraId="1E21086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0.0387*</w:t>
            </w:r>
          </w:p>
        </w:tc>
      </w:tr>
      <w:tr w:rsidR="009C3784" w14:paraId="479DA606" w14:textId="77777777">
        <w:trPr>
          <w:jc w:val="center"/>
        </w:trPr>
        <w:tc>
          <w:tcPr>
            <w:tcW w:w="1947" w:type="dxa"/>
            <w:tcBorders>
              <w:top w:val="nil"/>
              <w:left w:val="nil"/>
              <w:bottom w:val="nil"/>
              <w:right w:val="nil"/>
            </w:tcBorders>
          </w:tcPr>
          <w:p w14:paraId="4D88C9D9"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13B4742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(0.0239)</w:t>
            </w:r>
          </w:p>
        </w:tc>
        <w:tc>
          <w:tcPr>
            <w:tcW w:w="1440" w:type="dxa"/>
            <w:tcBorders>
              <w:top w:val="nil"/>
              <w:left w:val="nil"/>
              <w:bottom w:val="nil"/>
              <w:right w:val="nil"/>
            </w:tcBorders>
          </w:tcPr>
          <w:p w14:paraId="0CD8F2B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(0.0195)</w:t>
            </w:r>
          </w:p>
        </w:tc>
        <w:tc>
          <w:tcPr>
            <w:tcW w:w="1296" w:type="dxa"/>
            <w:tcBorders>
              <w:top w:val="nil"/>
              <w:left w:val="nil"/>
              <w:bottom w:val="nil"/>
              <w:right w:val="nil"/>
            </w:tcBorders>
          </w:tcPr>
          <w:p w14:paraId="79E3CAD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c>
          <w:tcPr>
            <w:tcW w:w="1296" w:type="dxa"/>
            <w:tcBorders>
              <w:top w:val="nil"/>
              <w:left w:val="nil"/>
              <w:bottom w:val="nil"/>
              <w:right w:val="nil"/>
            </w:tcBorders>
          </w:tcPr>
          <w:p w14:paraId="32EA7A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(0.0244)</w:t>
            </w:r>
          </w:p>
        </w:tc>
        <w:tc>
          <w:tcPr>
            <w:tcW w:w="1440" w:type="dxa"/>
            <w:tcBorders>
              <w:top w:val="nil"/>
              <w:left w:val="nil"/>
              <w:bottom w:val="nil"/>
              <w:right w:val="nil"/>
            </w:tcBorders>
          </w:tcPr>
          <w:p w14:paraId="686CF74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(0.0211)</w:t>
            </w:r>
          </w:p>
        </w:tc>
        <w:tc>
          <w:tcPr>
            <w:tcW w:w="1296" w:type="dxa"/>
            <w:tcBorders>
              <w:top w:val="nil"/>
              <w:left w:val="nil"/>
              <w:bottom w:val="nil"/>
              <w:right w:val="nil"/>
            </w:tcBorders>
          </w:tcPr>
          <w:p w14:paraId="37580A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(0.0205)</w:t>
            </w:r>
          </w:p>
        </w:tc>
      </w:tr>
      <w:tr w:rsidR="009C3784" w14:paraId="013986E0" w14:textId="77777777">
        <w:trPr>
          <w:jc w:val="center"/>
        </w:trPr>
        <w:tc>
          <w:tcPr>
            <w:tcW w:w="1947" w:type="dxa"/>
            <w:tcBorders>
              <w:top w:val="nil"/>
              <w:left w:val="nil"/>
              <w:bottom w:val="nil"/>
              <w:right w:val="nil"/>
            </w:tcBorders>
          </w:tcPr>
          <w:p w14:paraId="05F7099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296" w:type="dxa"/>
            <w:tcBorders>
              <w:top w:val="nil"/>
              <w:left w:val="nil"/>
              <w:bottom w:val="nil"/>
              <w:right w:val="nil"/>
            </w:tcBorders>
          </w:tcPr>
          <w:p w14:paraId="71380F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2.1627</w:t>
            </w:r>
          </w:p>
        </w:tc>
        <w:tc>
          <w:tcPr>
            <w:tcW w:w="1440" w:type="dxa"/>
            <w:tcBorders>
              <w:top w:val="nil"/>
              <w:left w:val="nil"/>
              <w:bottom w:val="nil"/>
              <w:right w:val="nil"/>
            </w:tcBorders>
          </w:tcPr>
          <w:p w14:paraId="0EA8D84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2.8827***</w:t>
            </w:r>
          </w:p>
        </w:tc>
        <w:tc>
          <w:tcPr>
            <w:tcW w:w="1296" w:type="dxa"/>
            <w:tcBorders>
              <w:top w:val="nil"/>
              <w:left w:val="nil"/>
              <w:bottom w:val="nil"/>
              <w:right w:val="nil"/>
            </w:tcBorders>
          </w:tcPr>
          <w:p w14:paraId="7E7CEDE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2.6152**</w:t>
            </w:r>
          </w:p>
        </w:tc>
        <w:tc>
          <w:tcPr>
            <w:tcW w:w="1296" w:type="dxa"/>
            <w:tcBorders>
              <w:top w:val="nil"/>
              <w:left w:val="nil"/>
              <w:bottom w:val="nil"/>
              <w:right w:val="nil"/>
            </w:tcBorders>
          </w:tcPr>
          <w:p w14:paraId="19BEE0C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1.9590**</w:t>
            </w:r>
          </w:p>
        </w:tc>
        <w:tc>
          <w:tcPr>
            <w:tcW w:w="1440" w:type="dxa"/>
            <w:tcBorders>
              <w:top w:val="nil"/>
              <w:left w:val="nil"/>
              <w:bottom w:val="nil"/>
              <w:right w:val="nil"/>
            </w:tcBorders>
          </w:tcPr>
          <w:p w14:paraId="4AC104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2.1041***</w:t>
            </w:r>
          </w:p>
        </w:tc>
        <w:tc>
          <w:tcPr>
            <w:tcW w:w="1296" w:type="dxa"/>
            <w:tcBorders>
              <w:top w:val="nil"/>
              <w:left w:val="nil"/>
              <w:bottom w:val="nil"/>
              <w:right w:val="nil"/>
            </w:tcBorders>
          </w:tcPr>
          <w:p w14:paraId="69C68DC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2.3648**</w:t>
            </w:r>
          </w:p>
        </w:tc>
      </w:tr>
      <w:tr w:rsidR="009C3784" w14:paraId="011A0399" w14:textId="77777777">
        <w:trPr>
          <w:jc w:val="center"/>
        </w:trPr>
        <w:tc>
          <w:tcPr>
            <w:tcW w:w="1947" w:type="dxa"/>
            <w:tcBorders>
              <w:top w:val="nil"/>
              <w:left w:val="nil"/>
              <w:bottom w:val="nil"/>
              <w:right w:val="nil"/>
            </w:tcBorders>
          </w:tcPr>
          <w:p w14:paraId="16F7FDB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296" w:type="dxa"/>
            <w:tcBorders>
              <w:top w:val="nil"/>
              <w:left w:val="nil"/>
              <w:bottom w:val="nil"/>
              <w:right w:val="nil"/>
            </w:tcBorders>
          </w:tcPr>
          <w:p w14:paraId="42CD34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(1.4357)</w:t>
            </w:r>
          </w:p>
        </w:tc>
        <w:tc>
          <w:tcPr>
            <w:tcW w:w="1440" w:type="dxa"/>
            <w:tcBorders>
              <w:top w:val="nil"/>
              <w:left w:val="nil"/>
              <w:bottom w:val="nil"/>
              <w:right w:val="nil"/>
            </w:tcBorders>
          </w:tcPr>
          <w:p w14:paraId="555531A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(0.7510)</w:t>
            </w:r>
          </w:p>
        </w:tc>
        <w:tc>
          <w:tcPr>
            <w:tcW w:w="1296" w:type="dxa"/>
            <w:tcBorders>
              <w:top w:val="nil"/>
              <w:left w:val="nil"/>
              <w:bottom w:val="nil"/>
              <w:right w:val="nil"/>
            </w:tcBorders>
          </w:tcPr>
          <w:p w14:paraId="405FF35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(0.9834)</w:t>
            </w:r>
          </w:p>
        </w:tc>
        <w:tc>
          <w:tcPr>
            <w:tcW w:w="1296" w:type="dxa"/>
            <w:tcBorders>
              <w:top w:val="nil"/>
              <w:left w:val="nil"/>
              <w:bottom w:val="nil"/>
              <w:right w:val="nil"/>
            </w:tcBorders>
          </w:tcPr>
          <w:p w14:paraId="3C0853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(0.8853)</w:t>
            </w:r>
          </w:p>
        </w:tc>
        <w:tc>
          <w:tcPr>
            <w:tcW w:w="1440" w:type="dxa"/>
            <w:tcBorders>
              <w:top w:val="nil"/>
              <w:left w:val="nil"/>
              <w:bottom w:val="nil"/>
              <w:right w:val="nil"/>
            </w:tcBorders>
          </w:tcPr>
          <w:p w14:paraId="2676A87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(0.6403)</w:t>
            </w:r>
          </w:p>
        </w:tc>
        <w:tc>
          <w:tcPr>
            <w:tcW w:w="1296" w:type="dxa"/>
            <w:tcBorders>
              <w:top w:val="nil"/>
              <w:left w:val="nil"/>
              <w:bottom w:val="nil"/>
              <w:right w:val="nil"/>
            </w:tcBorders>
          </w:tcPr>
          <w:p w14:paraId="3128B0F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(1.0469)</w:t>
            </w:r>
          </w:p>
        </w:tc>
      </w:tr>
      <w:tr w:rsidR="009C3784" w14:paraId="6D3E4E09" w14:textId="77777777">
        <w:trPr>
          <w:jc w:val="center"/>
        </w:trPr>
        <w:tc>
          <w:tcPr>
            <w:tcW w:w="1947" w:type="dxa"/>
            <w:tcBorders>
              <w:top w:val="nil"/>
              <w:left w:val="nil"/>
              <w:bottom w:val="nil"/>
              <w:right w:val="nil"/>
            </w:tcBorders>
          </w:tcPr>
          <w:p w14:paraId="5E08AE77"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296" w:type="dxa"/>
            <w:tcBorders>
              <w:top w:val="nil"/>
              <w:left w:val="nil"/>
              <w:bottom w:val="nil"/>
              <w:right w:val="nil"/>
            </w:tcBorders>
          </w:tcPr>
          <w:p w14:paraId="0E19F9A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966</w:t>
            </w:r>
          </w:p>
        </w:tc>
        <w:tc>
          <w:tcPr>
            <w:tcW w:w="1440" w:type="dxa"/>
            <w:tcBorders>
              <w:top w:val="nil"/>
              <w:left w:val="nil"/>
              <w:bottom w:val="nil"/>
              <w:right w:val="nil"/>
            </w:tcBorders>
          </w:tcPr>
          <w:p w14:paraId="158C3D1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1,497</w:t>
            </w:r>
          </w:p>
        </w:tc>
        <w:tc>
          <w:tcPr>
            <w:tcW w:w="1296" w:type="dxa"/>
            <w:tcBorders>
              <w:top w:val="nil"/>
              <w:left w:val="nil"/>
              <w:bottom w:val="nil"/>
              <w:right w:val="nil"/>
            </w:tcBorders>
          </w:tcPr>
          <w:p w14:paraId="40113E2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1,181</w:t>
            </w:r>
          </w:p>
        </w:tc>
        <w:tc>
          <w:tcPr>
            <w:tcW w:w="1296" w:type="dxa"/>
            <w:tcBorders>
              <w:top w:val="nil"/>
              <w:left w:val="nil"/>
              <w:bottom w:val="nil"/>
              <w:right w:val="nil"/>
            </w:tcBorders>
          </w:tcPr>
          <w:p w14:paraId="708A35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1,229</w:t>
            </w:r>
          </w:p>
        </w:tc>
        <w:tc>
          <w:tcPr>
            <w:tcW w:w="1440" w:type="dxa"/>
            <w:tcBorders>
              <w:top w:val="nil"/>
              <w:left w:val="nil"/>
              <w:bottom w:val="nil"/>
              <w:right w:val="nil"/>
            </w:tcBorders>
          </w:tcPr>
          <w:p w14:paraId="0145D9E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1,377</w:t>
            </w:r>
          </w:p>
        </w:tc>
        <w:tc>
          <w:tcPr>
            <w:tcW w:w="1296" w:type="dxa"/>
            <w:tcBorders>
              <w:top w:val="nil"/>
              <w:left w:val="nil"/>
              <w:bottom w:val="nil"/>
              <w:right w:val="nil"/>
            </w:tcBorders>
          </w:tcPr>
          <w:p w14:paraId="6FC4D5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1,347</w:t>
            </w:r>
          </w:p>
        </w:tc>
      </w:tr>
      <w:tr w:rsidR="009C3784" w14:paraId="1A8410BC" w14:textId="77777777">
        <w:trPr>
          <w:jc w:val="center"/>
        </w:trPr>
        <w:tc>
          <w:tcPr>
            <w:tcW w:w="1947" w:type="dxa"/>
            <w:tcBorders>
              <w:top w:val="nil"/>
              <w:left w:val="nil"/>
              <w:bottom w:val="nil"/>
              <w:right w:val="nil"/>
            </w:tcBorders>
          </w:tcPr>
          <w:p w14:paraId="0A4494C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296" w:type="dxa"/>
            <w:tcBorders>
              <w:top w:val="nil"/>
              <w:left w:val="nil"/>
              <w:bottom w:val="nil"/>
              <w:right w:val="nil"/>
            </w:tcBorders>
          </w:tcPr>
          <w:p w14:paraId="040D34B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0.798</w:t>
            </w:r>
          </w:p>
        </w:tc>
        <w:tc>
          <w:tcPr>
            <w:tcW w:w="1440" w:type="dxa"/>
            <w:tcBorders>
              <w:top w:val="nil"/>
              <w:left w:val="nil"/>
              <w:bottom w:val="nil"/>
              <w:right w:val="nil"/>
            </w:tcBorders>
          </w:tcPr>
          <w:p w14:paraId="09AD46A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0.782</w:t>
            </w:r>
          </w:p>
        </w:tc>
        <w:tc>
          <w:tcPr>
            <w:tcW w:w="1296" w:type="dxa"/>
            <w:tcBorders>
              <w:top w:val="nil"/>
              <w:left w:val="nil"/>
              <w:bottom w:val="nil"/>
              <w:right w:val="nil"/>
            </w:tcBorders>
          </w:tcPr>
          <w:p w14:paraId="577D12A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0.803</w:t>
            </w:r>
          </w:p>
        </w:tc>
        <w:tc>
          <w:tcPr>
            <w:tcW w:w="1296" w:type="dxa"/>
            <w:tcBorders>
              <w:top w:val="nil"/>
              <w:left w:val="nil"/>
              <w:bottom w:val="nil"/>
              <w:right w:val="nil"/>
            </w:tcBorders>
          </w:tcPr>
          <w:p w14:paraId="7442105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0.781</w:t>
            </w:r>
          </w:p>
        </w:tc>
        <w:tc>
          <w:tcPr>
            <w:tcW w:w="1440" w:type="dxa"/>
            <w:tcBorders>
              <w:top w:val="nil"/>
              <w:left w:val="nil"/>
              <w:bottom w:val="nil"/>
              <w:right w:val="nil"/>
            </w:tcBorders>
          </w:tcPr>
          <w:p w14:paraId="257910B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0.790</w:t>
            </w:r>
          </w:p>
        </w:tc>
        <w:tc>
          <w:tcPr>
            <w:tcW w:w="1296" w:type="dxa"/>
            <w:tcBorders>
              <w:top w:val="nil"/>
              <w:left w:val="nil"/>
              <w:bottom w:val="nil"/>
              <w:right w:val="nil"/>
            </w:tcBorders>
          </w:tcPr>
          <w:p w14:paraId="308287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0.768</w:t>
            </w:r>
          </w:p>
        </w:tc>
      </w:tr>
      <w:tr w:rsidR="009C3784" w14:paraId="56C7BDCE" w14:textId="77777777">
        <w:trPr>
          <w:jc w:val="center"/>
        </w:trPr>
        <w:tc>
          <w:tcPr>
            <w:tcW w:w="1947" w:type="dxa"/>
            <w:tcBorders>
              <w:top w:val="nil"/>
              <w:left w:val="nil"/>
              <w:bottom w:val="nil"/>
              <w:right w:val="nil"/>
            </w:tcBorders>
          </w:tcPr>
          <w:p w14:paraId="5782BE4F"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296" w:type="dxa"/>
            <w:tcBorders>
              <w:top w:val="nil"/>
              <w:left w:val="nil"/>
              <w:bottom w:val="nil"/>
              <w:right w:val="nil"/>
            </w:tcBorders>
          </w:tcPr>
          <w:p w14:paraId="4DCBB78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B4BFC2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D1421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61AEE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7680CB2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45FEB08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60C93BCD" w14:textId="77777777">
        <w:trPr>
          <w:jc w:val="center"/>
        </w:trPr>
        <w:tc>
          <w:tcPr>
            <w:tcW w:w="1947" w:type="dxa"/>
            <w:tcBorders>
              <w:top w:val="nil"/>
              <w:left w:val="nil"/>
              <w:bottom w:val="nil"/>
              <w:right w:val="nil"/>
            </w:tcBorders>
          </w:tcPr>
          <w:p w14:paraId="47C96499"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296" w:type="dxa"/>
            <w:tcBorders>
              <w:top w:val="nil"/>
              <w:left w:val="nil"/>
              <w:bottom w:val="nil"/>
              <w:right w:val="nil"/>
            </w:tcBorders>
          </w:tcPr>
          <w:p w14:paraId="142516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DC18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2FA283E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8AA776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0EB37F6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72AD20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BF59696" w14:textId="77777777">
        <w:trPr>
          <w:jc w:val="center"/>
        </w:trPr>
        <w:tc>
          <w:tcPr>
            <w:tcW w:w="1947" w:type="dxa"/>
            <w:tcBorders>
              <w:top w:val="nil"/>
              <w:left w:val="nil"/>
              <w:bottom w:val="nil"/>
              <w:right w:val="nil"/>
            </w:tcBorders>
          </w:tcPr>
          <w:p w14:paraId="230803B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296" w:type="dxa"/>
            <w:tcBorders>
              <w:top w:val="nil"/>
              <w:left w:val="nil"/>
              <w:bottom w:val="nil"/>
              <w:right w:val="nil"/>
            </w:tcBorders>
          </w:tcPr>
          <w:p w14:paraId="0583279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1392E13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04D5C8A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87F7C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6DE4491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69D42E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403F6C72" w14:textId="77777777">
        <w:trPr>
          <w:jc w:val="center"/>
        </w:trPr>
        <w:tc>
          <w:tcPr>
            <w:tcW w:w="1947" w:type="dxa"/>
            <w:tcBorders>
              <w:top w:val="nil"/>
              <w:left w:val="nil"/>
              <w:bottom w:val="nil"/>
              <w:right w:val="nil"/>
            </w:tcBorders>
          </w:tcPr>
          <w:p w14:paraId="679EB123"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296" w:type="dxa"/>
            <w:tcBorders>
              <w:top w:val="nil"/>
              <w:left w:val="nil"/>
              <w:bottom w:val="nil"/>
              <w:right w:val="nil"/>
            </w:tcBorders>
          </w:tcPr>
          <w:p w14:paraId="4DFE71D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3562350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399F57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146988A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nil"/>
              <w:right w:val="nil"/>
            </w:tcBorders>
          </w:tcPr>
          <w:p w14:paraId="2FAB522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nil"/>
              <w:right w:val="nil"/>
            </w:tcBorders>
          </w:tcPr>
          <w:p w14:paraId="5A7B1E1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61D922A"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5C301B7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296" w:type="dxa"/>
            <w:tcBorders>
              <w:top w:val="nil"/>
              <w:left w:val="nil"/>
              <w:bottom w:val="single" w:sz="6" w:space="0" w:color="auto"/>
              <w:right w:val="nil"/>
            </w:tcBorders>
          </w:tcPr>
          <w:p w14:paraId="3C99A99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6E0B38F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3F95C11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6F1D42F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440" w:type="dxa"/>
            <w:tcBorders>
              <w:top w:val="nil"/>
              <w:left w:val="nil"/>
              <w:bottom w:val="single" w:sz="6" w:space="0" w:color="auto"/>
              <w:right w:val="nil"/>
            </w:tcBorders>
          </w:tcPr>
          <w:p w14:paraId="509F76C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296" w:type="dxa"/>
            <w:tcBorders>
              <w:top w:val="nil"/>
              <w:left w:val="nil"/>
              <w:bottom w:val="single" w:sz="6" w:space="0" w:color="auto"/>
              <w:right w:val="nil"/>
            </w:tcBorders>
          </w:tcPr>
          <w:p w14:paraId="109D1AE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4B19C615" w14:textId="57592160" w:rsidR="009C3784" w:rsidRDefault="007C10D5" w:rsidP="003C297B">
      <w:pPr>
        <w:ind w:firstLineChars="200" w:firstLine="440"/>
        <w:jc w:val="left"/>
        <w:rPr>
          <w:rFonts w:ascii="Times New Roman" w:eastAsia="SimSun" w:hAnsi="Times New Roman" w:cs="Times New Roman"/>
          <w:sz w:val="22"/>
          <w:szCs w:val="24"/>
        </w:rPr>
      </w:pPr>
      <w:r w:rsidRPr="007C10D5">
        <w:rPr>
          <w:rFonts w:ascii="Times New Roman" w:eastAsia="Microsoft YaHei" w:hAnsi="Times New Roman" w:cs="Times New Roman"/>
          <w:sz w:val="22"/>
          <w:szCs w:val="24"/>
        </w:rPr>
        <w:t>(2)</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Property right heterogeneity, can state-owned enterprises make a "model"?</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previous section has detailed the specific effects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xml:space="preserve">. Compared to the pollution discharge fee system,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is more enforceable and widespread. Can this law achieve the same policy outcomes for both state-owned and non-state-owned enterprises, thereby comprehensively enhancing their environmental performance? The regression results in Table 7 show that the formal implementation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significantly improves the environmental performance of both state-owned and non-state-owned enterprises. In terms of coefficient size and significance,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has a stronger promoting effect on the environmental performance of heavily polluting enterprises among state-owned enterprises. This may be due to two main reasons: First, compared to private enterprises, state-owned enterprises have more political connections, making their decision-making more susceptible to government influence. Therefore, when faced with the formal implementation of the </w:t>
      </w:r>
      <w:r w:rsidR="00595421">
        <w:rPr>
          <w:rFonts w:ascii="Times New Roman" w:eastAsia="Microsoft YaHei" w:hAnsi="Times New Roman" w:cs="Times New Roman" w:hint="eastAsia"/>
          <w:sz w:val="22"/>
          <w:szCs w:val="24"/>
        </w:rPr>
        <w:lastRenderedPageBreak/>
        <w:t>EPTL</w:t>
      </w:r>
      <w:r w:rsidR="00D95DA7">
        <w:rPr>
          <w:rFonts w:ascii="Times New Roman" w:eastAsia="Microsoft YaHei" w:hAnsi="Times New Roman" w:cs="Times New Roman" w:hint="eastAsia"/>
          <w:sz w:val="22"/>
          <w:szCs w:val="24"/>
        </w:rPr>
        <w:t xml:space="preserve">, state-owned enterprises have a better ability to perceive and dynamically adjust to the policy, leading to more noticeable policy effects. Second, private enterprises, which face significant disadvantages in talent reserves, financing costs, and policy preferences compared to state-owned enterprises, find it difficult to make timely adjustments when policies are issued. As a result,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on non-state-owned enterprises is less pronounced.</w:t>
      </w:r>
    </w:p>
    <w:p w14:paraId="0ADC279E" w14:textId="0D9FB2B4"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3</w:t>
      </w:r>
      <w:r w:rsidRPr="007C10D5">
        <w:rPr>
          <w:rFonts w:ascii="Times New Roman" w:eastAsia="Microsoft YaHei" w:hAnsi="Times New Roman" w:cs="Times New Roman"/>
          <w:sz w:val="22"/>
          <w:szCs w:val="24"/>
        </w:rPr>
        <w:t>)</w:t>
      </w:r>
      <w:r>
        <w:rPr>
          <w:rFonts w:ascii="Times New Roman" w:eastAsia="Microsoft YaHei" w:hAnsi="Times New Roman" w:cs="Times New Roman"/>
          <w:sz w:val="22"/>
          <w:szCs w:val="24"/>
        </w:rPr>
        <w:t xml:space="preserve"> </w:t>
      </w:r>
      <w:r w:rsidR="004E4AA4">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The heterogeneity of corporate transparency: "sincerity" or "concealment"?</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Contract theory suggests that the process of multi-party games with diverse participants inevitably increases the cost of reaching a contract. Currently, China's formal institutional framework is not fully developed, and the factor market is still underdeveloped. The legal system has loopholes, and the cost of law enforcement is high, all of which increase the risk of companies failing to fulfill their obligations. With the implementation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 companies with poor environmental performance may have the incentive to manipulate their environmental contributions to gain environmental legitimacy at a lower cost. Existing literature indicates that company transparency affects investors' information acquisition costs, thereby influencing the level of attention paid to the company. A low transparency information environment can reduce investors 'trust in the company's information, while high transparency can enhance corporate performance</w:t>
      </w:r>
      <w:r w:rsidR="004E4AA4">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 xml:space="preserve"> (</w:t>
      </w:r>
      <w:r w:rsidR="00617508" w:rsidRPr="00617508">
        <w:rPr>
          <w:rFonts w:ascii="Times New Roman" w:eastAsia="Microsoft YaHei" w:hAnsi="Times New Roman" w:cs="Times New Roman" w:hint="eastAsia"/>
          <w:sz w:val="22"/>
          <w:szCs w:val="24"/>
        </w:rPr>
        <w:t xml:space="preserve">Omran et al. </w:t>
      </w:r>
      <w:r w:rsidR="00617508">
        <w:rPr>
          <w:rFonts w:ascii="Times New Roman" w:eastAsia="Microsoft YaHei" w:hAnsi="Times New Roman" w:cs="Times New Roman" w:hint="eastAsia"/>
          <w:sz w:val="22"/>
          <w:szCs w:val="24"/>
        </w:rPr>
        <w:t>,</w:t>
      </w:r>
      <w:r w:rsidR="00617508" w:rsidRPr="00617508">
        <w:rPr>
          <w:rFonts w:ascii="Times New Roman" w:eastAsia="Microsoft YaHei" w:hAnsi="Times New Roman" w:cs="Times New Roman" w:hint="eastAsia"/>
          <w:sz w:val="22"/>
          <w:szCs w:val="24"/>
        </w:rPr>
        <w:t>2021</w:t>
      </w:r>
      <w:r w:rsidR="00D95DA7">
        <w:rPr>
          <w:rFonts w:ascii="Times New Roman" w:eastAsia="Microsoft YaHei" w:hAnsi="Times New Roman" w:cs="Times New Roman" w:hint="eastAsia"/>
          <w:sz w:val="22"/>
          <w:szCs w:val="24"/>
        </w:rPr>
        <w:t xml:space="preserve">). Does the effectiveness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vary significantly among companies with different levels of transparency? This paper draws on existing research, using the Shenzhen Stock Exchange and Shanghai Stock Exchange Information Disclosure Rating (Dscore) as proxies for company transparency. It also adopts the manipulated accounting profit (DACC) as a proxy for information transparency, based on</w:t>
      </w:r>
      <w:r w:rsidR="00617508" w:rsidRPr="00617508">
        <w:rPr>
          <w:rFonts w:hint="eastAsia"/>
        </w:rPr>
        <w:t xml:space="preserve"> </w:t>
      </w:r>
      <w:r w:rsidR="00617508" w:rsidRPr="00617508">
        <w:rPr>
          <w:rFonts w:ascii="Times New Roman" w:eastAsia="Microsoft YaHei" w:hAnsi="Times New Roman" w:cs="Times New Roman" w:hint="eastAsia"/>
          <w:sz w:val="22"/>
          <w:szCs w:val="24"/>
        </w:rPr>
        <w:t>Nyilasy et al. (2014)</w:t>
      </w:r>
      <w:r w:rsidR="00D95DA7">
        <w:rPr>
          <w:rFonts w:ascii="Times New Roman" w:eastAsia="Microsoft YaHei" w:hAnsi="Times New Roman" w:cs="Times New Roman" w:hint="eastAsia"/>
          <w:sz w:val="22"/>
          <w:szCs w:val="24"/>
        </w:rPr>
        <w:t xml:space="preserve">. The regression results in Table 7 show that companies with high transparency benefit more from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in terms of environmental performance improvement.</w:t>
      </w:r>
    </w:p>
    <w:p w14:paraId="3AE8A02E"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7 Heterogeneity analysis 2</w:t>
      </w:r>
    </w:p>
    <w:tbl>
      <w:tblPr>
        <w:tblW w:w="5000" w:type="pct"/>
        <w:jc w:val="center"/>
        <w:tblCellMar>
          <w:left w:w="75" w:type="dxa"/>
          <w:right w:w="75" w:type="dxa"/>
        </w:tblCellMar>
        <w:tblLook w:val="04A0" w:firstRow="1" w:lastRow="0" w:firstColumn="1" w:lastColumn="0" w:noHBand="0" w:noVBand="1"/>
      </w:tblPr>
      <w:tblGrid>
        <w:gridCol w:w="1926"/>
        <w:gridCol w:w="1928"/>
        <w:gridCol w:w="1928"/>
        <w:gridCol w:w="1928"/>
        <w:gridCol w:w="1928"/>
      </w:tblGrid>
      <w:tr w:rsidR="009C3784" w14:paraId="38B99D92" w14:textId="77777777">
        <w:trPr>
          <w:jc w:val="center"/>
        </w:trPr>
        <w:tc>
          <w:tcPr>
            <w:tcW w:w="999" w:type="pct"/>
            <w:tcBorders>
              <w:top w:val="single" w:sz="6" w:space="0" w:color="auto"/>
              <w:left w:val="nil"/>
              <w:bottom w:val="nil"/>
              <w:right w:val="nil"/>
            </w:tcBorders>
          </w:tcPr>
          <w:p w14:paraId="0955DF01"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2000" w:type="pct"/>
            <w:gridSpan w:val="2"/>
            <w:tcBorders>
              <w:top w:val="single" w:sz="6" w:space="0" w:color="auto"/>
              <w:left w:val="nil"/>
              <w:bottom w:val="nil"/>
              <w:right w:val="nil"/>
            </w:tcBorders>
          </w:tcPr>
          <w:p w14:paraId="3E58D81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Property heterogeneity</w:t>
            </w:r>
          </w:p>
        </w:tc>
        <w:tc>
          <w:tcPr>
            <w:tcW w:w="2000" w:type="pct"/>
            <w:gridSpan w:val="2"/>
            <w:tcBorders>
              <w:top w:val="single" w:sz="6" w:space="0" w:color="auto"/>
              <w:left w:val="nil"/>
              <w:bottom w:val="nil"/>
              <w:right w:val="nil"/>
            </w:tcBorders>
          </w:tcPr>
          <w:p w14:paraId="7167D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Heterogeneity of company transparency</w:t>
            </w:r>
          </w:p>
        </w:tc>
      </w:tr>
      <w:tr w:rsidR="009C3784" w14:paraId="7FF2082F" w14:textId="77777777">
        <w:trPr>
          <w:jc w:val="center"/>
        </w:trPr>
        <w:tc>
          <w:tcPr>
            <w:tcW w:w="999" w:type="pct"/>
            <w:tcBorders>
              <w:top w:val="nil"/>
              <w:left w:val="nil"/>
              <w:bottom w:val="single" w:sz="6" w:space="0" w:color="auto"/>
              <w:right w:val="nil"/>
            </w:tcBorders>
          </w:tcPr>
          <w:p w14:paraId="43DEC72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single" w:sz="6" w:space="0" w:color="auto"/>
              <w:right w:val="nil"/>
            </w:tcBorders>
          </w:tcPr>
          <w:p w14:paraId="548BDAB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 xml:space="preserve"> belong to the state </w:t>
            </w:r>
          </w:p>
        </w:tc>
        <w:tc>
          <w:tcPr>
            <w:tcW w:w="1000" w:type="pct"/>
            <w:tcBorders>
              <w:top w:val="nil"/>
              <w:left w:val="nil"/>
              <w:bottom w:val="single" w:sz="6" w:space="0" w:color="auto"/>
              <w:right w:val="nil"/>
            </w:tcBorders>
          </w:tcPr>
          <w:p w14:paraId="1452A8B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Non-state-owned</w:t>
            </w:r>
          </w:p>
        </w:tc>
        <w:tc>
          <w:tcPr>
            <w:tcW w:w="1000" w:type="pct"/>
            <w:tcBorders>
              <w:top w:val="nil"/>
              <w:left w:val="nil"/>
              <w:bottom w:val="single" w:sz="6" w:space="0" w:color="auto"/>
              <w:right w:val="nil"/>
            </w:tcBorders>
          </w:tcPr>
          <w:p w14:paraId="421F9F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High</w:t>
            </w:r>
          </w:p>
        </w:tc>
        <w:tc>
          <w:tcPr>
            <w:tcW w:w="1000" w:type="pct"/>
            <w:tcBorders>
              <w:top w:val="nil"/>
              <w:left w:val="nil"/>
              <w:bottom w:val="single" w:sz="6" w:space="0" w:color="auto"/>
              <w:right w:val="nil"/>
            </w:tcBorders>
          </w:tcPr>
          <w:p w14:paraId="5246C4A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Low</w:t>
            </w:r>
          </w:p>
        </w:tc>
      </w:tr>
      <w:tr w:rsidR="009C3784" w14:paraId="70C92261" w14:textId="77777777">
        <w:trPr>
          <w:jc w:val="center"/>
        </w:trPr>
        <w:tc>
          <w:tcPr>
            <w:tcW w:w="999" w:type="pct"/>
            <w:tcBorders>
              <w:top w:val="nil"/>
              <w:left w:val="nil"/>
              <w:bottom w:val="nil"/>
              <w:right w:val="nil"/>
            </w:tcBorders>
          </w:tcPr>
          <w:p w14:paraId="03310005"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ET</w:t>
            </w:r>
          </w:p>
        </w:tc>
        <w:tc>
          <w:tcPr>
            <w:tcW w:w="1000" w:type="pct"/>
            <w:tcBorders>
              <w:top w:val="nil"/>
              <w:left w:val="nil"/>
              <w:bottom w:val="nil"/>
              <w:right w:val="nil"/>
            </w:tcBorders>
          </w:tcPr>
          <w:p w14:paraId="09DA668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0.0461**</w:t>
            </w:r>
          </w:p>
        </w:tc>
        <w:tc>
          <w:tcPr>
            <w:tcW w:w="1000" w:type="pct"/>
            <w:tcBorders>
              <w:top w:val="nil"/>
              <w:left w:val="nil"/>
              <w:bottom w:val="nil"/>
              <w:right w:val="nil"/>
            </w:tcBorders>
          </w:tcPr>
          <w:p w14:paraId="1A9D2BE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0.0293*</w:t>
            </w:r>
          </w:p>
        </w:tc>
        <w:tc>
          <w:tcPr>
            <w:tcW w:w="1000" w:type="pct"/>
            <w:tcBorders>
              <w:top w:val="nil"/>
              <w:left w:val="nil"/>
              <w:bottom w:val="nil"/>
              <w:right w:val="nil"/>
            </w:tcBorders>
          </w:tcPr>
          <w:p w14:paraId="1AAA375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0.0521***</w:t>
            </w:r>
          </w:p>
        </w:tc>
        <w:tc>
          <w:tcPr>
            <w:tcW w:w="1000" w:type="pct"/>
            <w:tcBorders>
              <w:top w:val="nil"/>
              <w:left w:val="nil"/>
              <w:bottom w:val="nil"/>
              <w:right w:val="nil"/>
            </w:tcBorders>
          </w:tcPr>
          <w:p w14:paraId="0F19EDE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0.0297</w:t>
            </w:r>
          </w:p>
        </w:tc>
      </w:tr>
      <w:tr w:rsidR="009C3784" w14:paraId="4EBF9D07" w14:textId="77777777">
        <w:trPr>
          <w:jc w:val="center"/>
        </w:trPr>
        <w:tc>
          <w:tcPr>
            <w:tcW w:w="999" w:type="pct"/>
            <w:tcBorders>
              <w:top w:val="nil"/>
              <w:left w:val="nil"/>
              <w:bottom w:val="nil"/>
              <w:right w:val="nil"/>
            </w:tcBorders>
          </w:tcPr>
          <w:p w14:paraId="6F38C8CD"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707C55B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(0.0198)</w:t>
            </w:r>
          </w:p>
        </w:tc>
        <w:tc>
          <w:tcPr>
            <w:tcW w:w="1000" w:type="pct"/>
            <w:tcBorders>
              <w:top w:val="nil"/>
              <w:left w:val="nil"/>
              <w:bottom w:val="nil"/>
              <w:right w:val="nil"/>
            </w:tcBorders>
          </w:tcPr>
          <w:p w14:paraId="6CF1F17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(0.0163)</w:t>
            </w:r>
          </w:p>
        </w:tc>
        <w:tc>
          <w:tcPr>
            <w:tcW w:w="1000" w:type="pct"/>
            <w:tcBorders>
              <w:top w:val="nil"/>
              <w:left w:val="nil"/>
              <w:bottom w:val="nil"/>
              <w:right w:val="nil"/>
            </w:tcBorders>
          </w:tcPr>
          <w:p w14:paraId="18C9A99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(0.0185)</w:t>
            </w:r>
          </w:p>
        </w:tc>
        <w:tc>
          <w:tcPr>
            <w:tcW w:w="1000" w:type="pct"/>
            <w:tcBorders>
              <w:top w:val="nil"/>
              <w:left w:val="nil"/>
              <w:bottom w:val="nil"/>
              <w:right w:val="nil"/>
            </w:tcBorders>
          </w:tcPr>
          <w:p w14:paraId="0B7CD33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(0.0294)</w:t>
            </w:r>
          </w:p>
        </w:tc>
      </w:tr>
      <w:tr w:rsidR="009C3784" w14:paraId="3B6C0EDB" w14:textId="77777777">
        <w:trPr>
          <w:jc w:val="center"/>
        </w:trPr>
        <w:tc>
          <w:tcPr>
            <w:tcW w:w="999" w:type="pct"/>
            <w:tcBorders>
              <w:top w:val="nil"/>
              <w:left w:val="nil"/>
              <w:bottom w:val="nil"/>
              <w:right w:val="nil"/>
            </w:tcBorders>
          </w:tcPr>
          <w:p w14:paraId="27F7EA4A"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Constant</w:t>
            </w:r>
          </w:p>
        </w:tc>
        <w:tc>
          <w:tcPr>
            <w:tcW w:w="1000" w:type="pct"/>
            <w:tcBorders>
              <w:top w:val="nil"/>
              <w:left w:val="nil"/>
              <w:bottom w:val="nil"/>
              <w:right w:val="nil"/>
            </w:tcBorders>
          </w:tcPr>
          <w:p w14:paraId="6CE3DD1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2.4802**</w:t>
            </w:r>
          </w:p>
        </w:tc>
        <w:tc>
          <w:tcPr>
            <w:tcW w:w="1000" w:type="pct"/>
            <w:tcBorders>
              <w:top w:val="nil"/>
              <w:left w:val="nil"/>
              <w:bottom w:val="nil"/>
              <w:right w:val="nil"/>
            </w:tcBorders>
          </w:tcPr>
          <w:p w14:paraId="7CA4BA4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2.2904***</w:t>
            </w:r>
          </w:p>
        </w:tc>
        <w:tc>
          <w:tcPr>
            <w:tcW w:w="1000" w:type="pct"/>
            <w:tcBorders>
              <w:top w:val="nil"/>
              <w:left w:val="nil"/>
              <w:bottom w:val="nil"/>
              <w:right w:val="nil"/>
            </w:tcBorders>
          </w:tcPr>
          <w:p w14:paraId="568A2ACD"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2.8036**</w:t>
            </w:r>
          </w:p>
        </w:tc>
        <w:tc>
          <w:tcPr>
            <w:tcW w:w="1000" w:type="pct"/>
            <w:tcBorders>
              <w:top w:val="nil"/>
              <w:left w:val="nil"/>
              <w:bottom w:val="nil"/>
              <w:right w:val="nil"/>
            </w:tcBorders>
          </w:tcPr>
          <w:p w14:paraId="0D98D69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1.1596</w:t>
            </w:r>
          </w:p>
        </w:tc>
      </w:tr>
      <w:tr w:rsidR="009C3784" w14:paraId="64D48BA9" w14:textId="77777777">
        <w:trPr>
          <w:jc w:val="center"/>
        </w:trPr>
        <w:tc>
          <w:tcPr>
            <w:tcW w:w="999" w:type="pct"/>
            <w:tcBorders>
              <w:top w:val="nil"/>
              <w:left w:val="nil"/>
              <w:bottom w:val="nil"/>
              <w:right w:val="nil"/>
            </w:tcBorders>
          </w:tcPr>
          <w:p w14:paraId="3B82B868" w14:textId="77777777" w:rsidR="009C3784" w:rsidRDefault="009C3784">
            <w:pPr>
              <w:autoSpaceDE w:val="0"/>
              <w:autoSpaceDN w:val="0"/>
              <w:adjustRightInd w:val="0"/>
              <w:jc w:val="left"/>
              <w:rPr>
                <w:rFonts w:ascii="Times New Roman" w:eastAsia="SimSun" w:hAnsi="Times New Roman" w:cs="Times New Roman"/>
                <w:kern w:val="0"/>
                <w:sz w:val="22"/>
              </w:rPr>
            </w:pPr>
          </w:p>
        </w:tc>
        <w:tc>
          <w:tcPr>
            <w:tcW w:w="1000" w:type="pct"/>
            <w:tcBorders>
              <w:top w:val="nil"/>
              <w:left w:val="nil"/>
              <w:bottom w:val="nil"/>
              <w:right w:val="nil"/>
            </w:tcBorders>
          </w:tcPr>
          <w:p w14:paraId="20E9473F"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(0.9965)</w:t>
            </w:r>
          </w:p>
        </w:tc>
        <w:tc>
          <w:tcPr>
            <w:tcW w:w="1000" w:type="pct"/>
            <w:tcBorders>
              <w:top w:val="nil"/>
              <w:left w:val="nil"/>
              <w:bottom w:val="nil"/>
              <w:right w:val="nil"/>
            </w:tcBorders>
          </w:tcPr>
          <w:p w14:paraId="305F111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(0.7883)</w:t>
            </w:r>
          </w:p>
        </w:tc>
        <w:tc>
          <w:tcPr>
            <w:tcW w:w="1000" w:type="pct"/>
            <w:tcBorders>
              <w:top w:val="nil"/>
              <w:left w:val="nil"/>
              <w:bottom w:val="nil"/>
              <w:right w:val="nil"/>
            </w:tcBorders>
          </w:tcPr>
          <w:p w14:paraId="4A1F1A43"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(1.1870)</w:t>
            </w:r>
          </w:p>
        </w:tc>
        <w:tc>
          <w:tcPr>
            <w:tcW w:w="1000" w:type="pct"/>
            <w:tcBorders>
              <w:top w:val="nil"/>
              <w:left w:val="nil"/>
              <w:bottom w:val="nil"/>
              <w:right w:val="nil"/>
            </w:tcBorders>
          </w:tcPr>
          <w:p w14:paraId="263F48B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(0.8847)</w:t>
            </w:r>
          </w:p>
        </w:tc>
      </w:tr>
      <w:tr w:rsidR="009C3784" w14:paraId="24FB44EA" w14:textId="77777777">
        <w:trPr>
          <w:jc w:val="center"/>
        </w:trPr>
        <w:tc>
          <w:tcPr>
            <w:tcW w:w="999" w:type="pct"/>
            <w:tcBorders>
              <w:top w:val="nil"/>
              <w:left w:val="nil"/>
              <w:bottom w:val="nil"/>
              <w:right w:val="nil"/>
            </w:tcBorders>
          </w:tcPr>
          <w:p w14:paraId="48FEB8AC"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Observations</w:t>
            </w:r>
          </w:p>
        </w:tc>
        <w:tc>
          <w:tcPr>
            <w:tcW w:w="1000" w:type="pct"/>
            <w:tcBorders>
              <w:top w:val="nil"/>
              <w:left w:val="nil"/>
              <w:bottom w:val="nil"/>
              <w:right w:val="nil"/>
            </w:tcBorders>
          </w:tcPr>
          <w:p w14:paraId="6EFF760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1,081</w:t>
            </w:r>
          </w:p>
        </w:tc>
        <w:tc>
          <w:tcPr>
            <w:tcW w:w="1000" w:type="pct"/>
            <w:tcBorders>
              <w:top w:val="nil"/>
              <w:left w:val="nil"/>
              <w:bottom w:val="nil"/>
              <w:right w:val="nil"/>
            </w:tcBorders>
          </w:tcPr>
          <w:p w14:paraId="595EBDD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1,737</w:t>
            </w:r>
          </w:p>
        </w:tc>
        <w:tc>
          <w:tcPr>
            <w:tcW w:w="1000" w:type="pct"/>
            <w:tcBorders>
              <w:top w:val="nil"/>
              <w:left w:val="nil"/>
              <w:bottom w:val="nil"/>
              <w:right w:val="nil"/>
            </w:tcBorders>
          </w:tcPr>
          <w:p w14:paraId="22A57A8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1,070</w:t>
            </w:r>
          </w:p>
        </w:tc>
        <w:tc>
          <w:tcPr>
            <w:tcW w:w="1000" w:type="pct"/>
            <w:tcBorders>
              <w:top w:val="nil"/>
              <w:left w:val="nil"/>
              <w:bottom w:val="nil"/>
              <w:right w:val="nil"/>
            </w:tcBorders>
          </w:tcPr>
          <w:p w14:paraId="415996C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979</w:t>
            </w:r>
          </w:p>
        </w:tc>
      </w:tr>
      <w:tr w:rsidR="009C3784" w14:paraId="02126C5D" w14:textId="77777777">
        <w:trPr>
          <w:jc w:val="center"/>
        </w:trPr>
        <w:tc>
          <w:tcPr>
            <w:tcW w:w="999" w:type="pct"/>
            <w:tcBorders>
              <w:top w:val="nil"/>
              <w:left w:val="nil"/>
              <w:bottom w:val="nil"/>
              <w:right w:val="nil"/>
            </w:tcBorders>
          </w:tcPr>
          <w:p w14:paraId="568F83F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R-squared</w:t>
            </w:r>
          </w:p>
        </w:tc>
        <w:tc>
          <w:tcPr>
            <w:tcW w:w="1000" w:type="pct"/>
            <w:tcBorders>
              <w:top w:val="nil"/>
              <w:left w:val="nil"/>
              <w:bottom w:val="nil"/>
              <w:right w:val="nil"/>
            </w:tcBorders>
          </w:tcPr>
          <w:p w14:paraId="5AC5CAE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0.796</w:t>
            </w:r>
          </w:p>
        </w:tc>
        <w:tc>
          <w:tcPr>
            <w:tcW w:w="1000" w:type="pct"/>
            <w:tcBorders>
              <w:top w:val="nil"/>
              <w:left w:val="nil"/>
              <w:bottom w:val="nil"/>
              <w:right w:val="nil"/>
            </w:tcBorders>
          </w:tcPr>
          <w:p w14:paraId="7106FB8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0.765</w:t>
            </w:r>
          </w:p>
        </w:tc>
        <w:tc>
          <w:tcPr>
            <w:tcW w:w="1000" w:type="pct"/>
            <w:tcBorders>
              <w:top w:val="nil"/>
              <w:left w:val="nil"/>
              <w:bottom w:val="nil"/>
              <w:right w:val="nil"/>
            </w:tcBorders>
          </w:tcPr>
          <w:p w14:paraId="33EB650C"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0.815</w:t>
            </w:r>
          </w:p>
        </w:tc>
        <w:tc>
          <w:tcPr>
            <w:tcW w:w="1000" w:type="pct"/>
            <w:tcBorders>
              <w:top w:val="nil"/>
              <w:left w:val="nil"/>
              <w:bottom w:val="nil"/>
              <w:right w:val="nil"/>
            </w:tcBorders>
          </w:tcPr>
          <w:p w14:paraId="68904776"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0.793</w:t>
            </w:r>
          </w:p>
        </w:tc>
      </w:tr>
      <w:tr w:rsidR="009C3784" w14:paraId="1ED865FE" w14:textId="77777777">
        <w:trPr>
          <w:jc w:val="center"/>
        </w:trPr>
        <w:tc>
          <w:tcPr>
            <w:tcW w:w="999" w:type="pct"/>
            <w:tcBorders>
              <w:top w:val="nil"/>
              <w:left w:val="nil"/>
              <w:bottom w:val="nil"/>
              <w:right w:val="nil"/>
            </w:tcBorders>
          </w:tcPr>
          <w:p w14:paraId="17D3CDE1"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Controls</w:t>
            </w:r>
          </w:p>
        </w:tc>
        <w:tc>
          <w:tcPr>
            <w:tcW w:w="1000" w:type="pct"/>
            <w:tcBorders>
              <w:top w:val="nil"/>
              <w:left w:val="nil"/>
              <w:bottom w:val="nil"/>
              <w:right w:val="nil"/>
            </w:tcBorders>
          </w:tcPr>
          <w:p w14:paraId="338DFD0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9306FD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23FB92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1AF5839"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0C534211" w14:textId="77777777">
        <w:trPr>
          <w:jc w:val="center"/>
        </w:trPr>
        <w:tc>
          <w:tcPr>
            <w:tcW w:w="999" w:type="pct"/>
            <w:tcBorders>
              <w:top w:val="nil"/>
              <w:left w:val="nil"/>
              <w:bottom w:val="nil"/>
              <w:right w:val="nil"/>
            </w:tcBorders>
          </w:tcPr>
          <w:p w14:paraId="6ECD7F3D"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Year FE</w:t>
            </w:r>
          </w:p>
        </w:tc>
        <w:tc>
          <w:tcPr>
            <w:tcW w:w="1000" w:type="pct"/>
            <w:tcBorders>
              <w:top w:val="nil"/>
              <w:left w:val="nil"/>
              <w:bottom w:val="nil"/>
              <w:right w:val="nil"/>
            </w:tcBorders>
          </w:tcPr>
          <w:p w14:paraId="5C97295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2E18E078"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0B681F7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48C7AE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3086A4E0" w14:textId="77777777">
        <w:trPr>
          <w:jc w:val="center"/>
        </w:trPr>
        <w:tc>
          <w:tcPr>
            <w:tcW w:w="999" w:type="pct"/>
            <w:tcBorders>
              <w:top w:val="nil"/>
              <w:left w:val="nil"/>
              <w:bottom w:val="nil"/>
              <w:right w:val="nil"/>
            </w:tcBorders>
          </w:tcPr>
          <w:p w14:paraId="711A335B"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Id FE</w:t>
            </w:r>
          </w:p>
        </w:tc>
        <w:tc>
          <w:tcPr>
            <w:tcW w:w="1000" w:type="pct"/>
            <w:tcBorders>
              <w:top w:val="nil"/>
              <w:left w:val="nil"/>
              <w:bottom w:val="nil"/>
              <w:right w:val="nil"/>
            </w:tcBorders>
          </w:tcPr>
          <w:p w14:paraId="1531183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77A5D55"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4C5B429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415B9D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161407CA" w14:textId="77777777">
        <w:trPr>
          <w:jc w:val="center"/>
        </w:trPr>
        <w:tc>
          <w:tcPr>
            <w:tcW w:w="999" w:type="pct"/>
            <w:tcBorders>
              <w:top w:val="nil"/>
              <w:left w:val="nil"/>
              <w:bottom w:val="nil"/>
              <w:right w:val="nil"/>
            </w:tcBorders>
          </w:tcPr>
          <w:p w14:paraId="386FFB52"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Ind FE</w:t>
            </w:r>
          </w:p>
        </w:tc>
        <w:tc>
          <w:tcPr>
            <w:tcW w:w="1000" w:type="pct"/>
            <w:tcBorders>
              <w:top w:val="nil"/>
              <w:left w:val="nil"/>
              <w:bottom w:val="nil"/>
              <w:right w:val="nil"/>
            </w:tcBorders>
          </w:tcPr>
          <w:p w14:paraId="3B093961"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6BEB07BE"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3294E522"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nil"/>
              <w:right w:val="nil"/>
            </w:tcBorders>
          </w:tcPr>
          <w:p w14:paraId="15270C6A"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r w:rsidR="009C3784" w14:paraId="78E4D6CC" w14:textId="77777777">
        <w:tblPrEx>
          <w:tblBorders>
            <w:bottom w:val="single" w:sz="6" w:space="0" w:color="auto"/>
          </w:tblBorders>
        </w:tblPrEx>
        <w:trPr>
          <w:jc w:val="center"/>
        </w:trPr>
        <w:tc>
          <w:tcPr>
            <w:tcW w:w="999" w:type="pct"/>
            <w:tcBorders>
              <w:top w:val="nil"/>
              <w:left w:val="nil"/>
              <w:bottom w:val="single" w:sz="6" w:space="0" w:color="auto"/>
              <w:right w:val="nil"/>
            </w:tcBorders>
          </w:tcPr>
          <w:p w14:paraId="197B9C96" w14:textId="77777777" w:rsidR="009C3784" w:rsidRDefault="00D95DA7">
            <w:pPr>
              <w:autoSpaceDE w:val="0"/>
              <w:autoSpaceDN w:val="0"/>
              <w:adjustRightInd w:val="0"/>
              <w:jc w:val="left"/>
              <w:rPr>
                <w:rFonts w:ascii="Times New Roman" w:eastAsia="SimSun" w:hAnsi="Times New Roman" w:cs="Times New Roman"/>
                <w:kern w:val="0"/>
                <w:sz w:val="22"/>
              </w:rPr>
            </w:pPr>
            <w:r>
              <w:rPr>
                <w:rFonts w:ascii="Times New Roman" w:eastAsia="Microsoft YaHei" w:hAnsi="Times New Roman" w:cs="Times New Roman" w:hint="eastAsia"/>
                <w:kern w:val="0"/>
                <w:sz w:val="22"/>
              </w:rPr>
              <w:t>Prov FE</w:t>
            </w:r>
          </w:p>
        </w:tc>
        <w:tc>
          <w:tcPr>
            <w:tcW w:w="1000" w:type="pct"/>
            <w:tcBorders>
              <w:top w:val="nil"/>
              <w:left w:val="nil"/>
              <w:bottom w:val="single" w:sz="6" w:space="0" w:color="auto"/>
              <w:right w:val="nil"/>
            </w:tcBorders>
          </w:tcPr>
          <w:p w14:paraId="3632F5EB"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5C110087"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134E11D0"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c>
          <w:tcPr>
            <w:tcW w:w="1000" w:type="pct"/>
            <w:tcBorders>
              <w:top w:val="nil"/>
              <w:left w:val="nil"/>
              <w:bottom w:val="single" w:sz="6" w:space="0" w:color="auto"/>
              <w:right w:val="nil"/>
            </w:tcBorders>
          </w:tcPr>
          <w:p w14:paraId="350E1914" w14:textId="77777777" w:rsidR="009C3784" w:rsidRDefault="00D95DA7">
            <w:pPr>
              <w:autoSpaceDE w:val="0"/>
              <w:autoSpaceDN w:val="0"/>
              <w:adjustRightInd w:val="0"/>
              <w:jc w:val="center"/>
              <w:rPr>
                <w:rFonts w:ascii="Times New Roman" w:eastAsia="SimSun" w:hAnsi="Times New Roman" w:cs="Times New Roman"/>
                <w:kern w:val="0"/>
                <w:sz w:val="22"/>
              </w:rPr>
            </w:pPr>
            <w:r>
              <w:rPr>
                <w:rFonts w:ascii="Times New Roman" w:eastAsia="Microsoft YaHei" w:hAnsi="Times New Roman" w:cs="Times New Roman" w:hint="eastAsia"/>
                <w:kern w:val="0"/>
                <w:sz w:val="22"/>
              </w:rPr>
              <w:t>YES</w:t>
            </w:r>
          </w:p>
        </w:tc>
      </w:tr>
    </w:tbl>
    <w:p w14:paraId="7E115BB3"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2</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Heterogeneity of corporate governance</w:t>
      </w:r>
    </w:p>
    <w:p w14:paraId="7AF7CB26" w14:textId="03944D65"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The analysis of corporate governance heterogeneity in the article comprises three aspects: whether executives have overseas backgrounds, financial backgrounds, and doctoral degrees. According to the High-Level Team Theory (Hambrick and Mason, 1984), the professional background of executives can lead to significant differences in psychological traits such as cognitive patterns, thinking styles, risk preferences, and decision-making methods. Research indicates that executive teams with overseas backgrounds can better foster innovation and social responsibility (</w:t>
      </w:r>
      <w:r w:rsidR="00AA289B" w:rsidRPr="00AA289B">
        <w:rPr>
          <w:rFonts w:ascii="Times New Roman" w:eastAsia="Microsoft YaHei" w:hAnsi="Times New Roman" w:cs="Times New Roman" w:hint="eastAsia"/>
          <w:sz w:val="22"/>
          <w:szCs w:val="24"/>
        </w:rPr>
        <w:t>Yan et al., 2021</w:t>
      </w:r>
      <w:r>
        <w:rPr>
          <w:rFonts w:ascii="Times New Roman" w:eastAsia="Microsoft YaHei" w:hAnsi="Times New Roman" w:cs="Times New Roman" w:hint="eastAsia"/>
          <w:sz w:val="22"/>
          <w:szCs w:val="24"/>
        </w:rPr>
        <w:t xml:space="preserve">). In the face of stricter environmental regulations under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executive teams with overseas backgrounds may demonstrate stronger adjustment capabilities and more effective improvements in environmental performance. Regarding the financial background of </w:t>
      </w:r>
      <w:r>
        <w:rPr>
          <w:rFonts w:ascii="Times New Roman" w:eastAsia="Microsoft YaHei" w:hAnsi="Times New Roman" w:cs="Times New Roman" w:hint="eastAsia"/>
          <w:sz w:val="22"/>
          <w:szCs w:val="24"/>
        </w:rPr>
        <w:lastRenderedPageBreak/>
        <w:t xml:space="preserve">executives, companies can establish bank-enterprise relationships by hiring executives with financial expertise, which reduces financing difficulties and facilitates long-term loans. Conversely, executive teams without a financial background may find it harder to secure funding, are more susceptible to policy influences, and may need to improve their environmental performance to meet environmental legitimacy requirements and alleviate cash flow pressures. From the perspective of the academic background of executives, educational background to some extent reflects a company's management capabilities. The higher the educational level of executives, the more likely they are to take on social responsibilities. Therefore, companies with a team of highly educated executives tend to meet environmental compliance standards. In contrast, companies with a team of less educated executives face greater environmental pressure from the </w:t>
      </w:r>
      <w:r w:rsidR="00CE1A0D">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As a result, companies with a team of highly educated executives can more effectively improve their environmental performance in the face of mandatory tax laws. Based on this, the article further explores whether the EPTL has a differential impact on corporate environmental performance. Table 8 presents the heterogeneity regression results of corporate governance, indicating that non-financial, overseas, and low-academic backgrounds have a stronger effect on improving environmental performance.</w:t>
      </w:r>
    </w:p>
    <w:p w14:paraId="0F396B04"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8 Analysis of corporate governance heterogeneity</w:t>
      </w:r>
    </w:p>
    <w:tbl>
      <w:tblPr>
        <w:tblW w:w="10443" w:type="dxa"/>
        <w:jc w:val="center"/>
        <w:tblLayout w:type="fixed"/>
        <w:tblCellMar>
          <w:left w:w="75" w:type="dxa"/>
          <w:right w:w="75" w:type="dxa"/>
        </w:tblCellMar>
        <w:tblLook w:val="04A0" w:firstRow="1" w:lastRow="0" w:firstColumn="1" w:lastColumn="0" w:noHBand="0" w:noVBand="1"/>
      </w:tblPr>
      <w:tblGrid>
        <w:gridCol w:w="1947"/>
        <w:gridCol w:w="1440"/>
        <w:gridCol w:w="1296"/>
        <w:gridCol w:w="1440"/>
        <w:gridCol w:w="1440"/>
        <w:gridCol w:w="1440"/>
        <w:gridCol w:w="1440"/>
      </w:tblGrid>
      <w:tr w:rsidR="009C3784" w:rsidRPr="003C297B" w14:paraId="5C8EFAB5" w14:textId="77777777">
        <w:trPr>
          <w:jc w:val="center"/>
        </w:trPr>
        <w:tc>
          <w:tcPr>
            <w:tcW w:w="1947" w:type="dxa"/>
            <w:tcBorders>
              <w:top w:val="single" w:sz="6" w:space="0" w:color="auto"/>
              <w:left w:val="nil"/>
              <w:bottom w:val="nil"/>
              <w:right w:val="nil"/>
            </w:tcBorders>
          </w:tcPr>
          <w:p w14:paraId="28CB35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2736" w:type="dxa"/>
            <w:gridSpan w:val="2"/>
            <w:tcBorders>
              <w:top w:val="single" w:sz="6" w:space="0" w:color="auto"/>
              <w:left w:val="nil"/>
              <w:bottom w:val="nil"/>
              <w:right w:val="nil"/>
            </w:tcBorders>
          </w:tcPr>
          <w:p w14:paraId="16DC8A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 financial background</w:t>
            </w:r>
          </w:p>
        </w:tc>
        <w:tc>
          <w:tcPr>
            <w:tcW w:w="2880" w:type="dxa"/>
            <w:gridSpan w:val="2"/>
            <w:tcBorders>
              <w:top w:val="single" w:sz="6" w:space="0" w:color="auto"/>
              <w:left w:val="nil"/>
              <w:bottom w:val="nil"/>
              <w:right w:val="nil"/>
            </w:tcBorders>
          </w:tcPr>
          <w:p w14:paraId="25A95A4F" w14:textId="77777777" w:rsidR="009C3784" w:rsidRPr="003C297B" w:rsidRDefault="00D95DA7">
            <w:pPr>
              <w:autoSpaceDE w:val="0"/>
              <w:autoSpaceDN w:val="0"/>
              <w:adjustRightInd w:val="0"/>
              <w:ind w:firstLineChars="200" w:firstLine="420"/>
              <w:rPr>
                <w:rFonts w:ascii="Times New Roman" w:eastAsia="SimSun" w:hAnsi="Times New Roman" w:cs="Times New Roman"/>
                <w:kern w:val="0"/>
              </w:rPr>
            </w:pPr>
            <w:r w:rsidRPr="003C297B">
              <w:rPr>
                <w:rFonts w:ascii="Times New Roman" w:eastAsia="Microsoft YaHei" w:hAnsi="Times New Roman" w:cs="Times New Roman" w:hint="eastAsia"/>
                <w:kern w:val="0"/>
              </w:rPr>
              <w:t>Whether it is an overseas background</w:t>
            </w:r>
          </w:p>
        </w:tc>
        <w:tc>
          <w:tcPr>
            <w:tcW w:w="2880" w:type="dxa"/>
            <w:gridSpan w:val="2"/>
            <w:tcBorders>
              <w:top w:val="single" w:sz="6" w:space="0" w:color="auto"/>
              <w:left w:val="nil"/>
              <w:bottom w:val="nil"/>
              <w:right w:val="nil"/>
            </w:tcBorders>
          </w:tcPr>
          <w:p w14:paraId="6CFA620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Whether you have a PhD background</w:t>
            </w:r>
          </w:p>
        </w:tc>
      </w:tr>
      <w:tr w:rsidR="009C3784" w:rsidRPr="003C297B" w14:paraId="4D29FD77" w14:textId="77777777">
        <w:trPr>
          <w:jc w:val="center"/>
        </w:trPr>
        <w:tc>
          <w:tcPr>
            <w:tcW w:w="1947" w:type="dxa"/>
            <w:tcBorders>
              <w:top w:val="nil"/>
              <w:left w:val="nil"/>
              <w:bottom w:val="single" w:sz="6" w:space="0" w:color="auto"/>
              <w:right w:val="nil"/>
            </w:tcBorders>
          </w:tcPr>
          <w:p w14:paraId="7434E81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single" w:sz="6" w:space="0" w:color="auto"/>
              <w:right w:val="nil"/>
            </w:tcBorders>
          </w:tcPr>
          <w:p w14:paraId="2CB7A6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1C84CDD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DD8C25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6FA531C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c>
          <w:tcPr>
            <w:tcW w:w="1440" w:type="dxa"/>
            <w:tcBorders>
              <w:top w:val="nil"/>
              <w:left w:val="nil"/>
              <w:bottom w:val="single" w:sz="6" w:space="0" w:color="auto"/>
              <w:right w:val="nil"/>
            </w:tcBorders>
          </w:tcPr>
          <w:p w14:paraId="2F7401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106D53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No</w:t>
            </w:r>
          </w:p>
        </w:tc>
      </w:tr>
      <w:tr w:rsidR="009C3784" w:rsidRPr="003C297B" w14:paraId="016B5FF8" w14:textId="77777777">
        <w:trPr>
          <w:jc w:val="center"/>
        </w:trPr>
        <w:tc>
          <w:tcPr>
            <w:tcW w:w="1947" w:type="dxa"/>
            <w:tcBorders>
              <w:top w:val="nil"/>
              <w:left w:val="nil"/>
              <w:bottom w:val="nil"/>
              <w:right w:val="nil"/>
            </w:tcBorders>
          </w:tcPr>
          <w:p w14:paraId="5EEDAA8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440" w:type="dxa"/>
            <w:tcBorders>
              <w:top w:val="nil"/>
              <w:left w:val="nil"/>
              <w:bottom w:val="nil"/>
              <w:right w:val="nil"/>
            </w:tcBorders>
          </w:tcPr>
          <w:p w14:paraId="5EB2DC6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0.0250</w:t>
            </w:r>
          </w:p>
        </w:tc>
        <w:tc>
          <w:tcPr>
            <w:tcW w:w="1296" w:type="dxa"/>
            <w:tcBorders>
              <w:top w:val="nil"/>
              <w:left w:val="nil"/>
              <w:bottom w:val="nil"/>
              <w:right w:val="nil"/>
            </w:tcBorders>
          </w:tcPr>
          <w:p w14:paraId="0EBDFE1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0.0388**</w:t>
            </w:r>
          </w:p>
        </w:tc>
        <w:tc>
          <w:tcPr>
            <w:tcW w:w="1440" w:type="dxa"/>
            <w:tcBorders>
              <w:top w:val="nil"/>
              <w:left w:val="nil"/>
              <w:bottom w:val="nil"/>
              <w:right w:val="nil"/>
            </w:tcBorders>
          </w:tcPr>
          <w:p w14:paraId="29CA55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0.0452***</w:t>
            </w:r>
          </w:p>
        </w:tc>
        <w:tc>
          <w:tcPr>
            <w:tcW w:w="1440" w:type="dxa"/>
            <w:tcBorders>
              <w:top w:val="nil"/>
              <w:left w:val="nil"/>
              <w:bottom w:val="nil"/>
              <w:right w:val="nil"/>
            </w:tcBorders>
          </w:tcPr>
          <w:p w14:paraId="524BA82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440" w:type="dxa"/>
            <w:tcBorders>
              <w:top w:val="nil"/>
              <w:left w:val="nil"/>
              <w:bottom w:val="nil"/>
              <w:right w:val="nil"/>
            </w:tcBorders>
          </w:tcPr>
          <w:p w14:paraId="3B7F4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0.0280</w:t>
            </w:r>
          </w:p>
        </w:tc>
        <w:tc>
          <w:tcPr>
            <w:tcW w:w="1440" w:type="dxa"/>
            <w:tcBorders>
              <w:top w:val="nil"/>
              <w:left w:val="nil"/>
              <w:bottom w:val="nil"/>
              <w:right w:val="nil"/>
            </w:tcBorders>
          </w:tcPr>
          <w:p w14:paraId="1BE0280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0.0547**</w:t>
            </w:r>
          </w:p>
        </w:tc>
      </w:tr>
      <w:tr w:rsidR="009C3784" w:rsidRPr="003C297B" w14:paraId="021E61F3" w14:textId="77777777">
        <w:trPr>
          <w:jc w:val="center"/>
        </w:trPr>
        <w:tc>
          <w:tcPr>
            <w:tcW w:w="1947" w:type="dxa"/>
            <w:tcBorders>
              <w:top w:val="nil"/>
              <w:left w:val="nil"/>
              <w:bottom w:val="nil"/>
              <w:right w:val="nil"/>
            </w:tcBorders>
          </w:tcPr>
          <w:p w14:paraId="0F4D6A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27E8C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(0.0226)</w:t>
            </w:r>
          </w:p>
        </w:tc>
        <w:tc>
          <w:tcPr>
            <w:tcW w:w="1296" w:type="dxa"/>
            <w:tcBorders>
              <w:top w:val="nil"/>
              <w:left w:val="nil"/>
              <w:bottom w:val="nil"/>
              <w:right w:val="nil"/>
            </w:tcBorders>
          </w:tcPr>
          <w:p w14:paraId="277753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(0.0186)</w:t>
            </w:r>
          </w:p>
        </w:tc>
        <w:tc>
          <w:tcPr>
            <w:tcW w:w="1440" w:type="dxa"/>
            <w:tcBorders>
              <w:top w:val="nil"/>
              <w:left w:val="nil"/>
              <w:bottom w:val="nil"/>
              <w:right w:val="nil"/>
            </w:tcBorders>
          </w:tcPr>
          <w:p w14:paraId="27C0E4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(0.0163)</w:t>
            </w:r>
          </w:p>
        </w:tc>
        <w:tc>
          <w:tcPr>
            <w:tcW w:w="1440" w:type="dxa"/>
            <w:tcBorders>
              <w:top w:val="nil"/>
              <w:left w:val="nil"/>
              <w:bottom w:val="nil"/>
              <w:right w:val="nil"/>
            </w:tcBorders>
          </w:tcPr>
          <w:p w14:paraId="2DFD62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(0.0215)</w:t>
            </w:r>
          </w:p>
        </w:tc>
        <w:tc>
          <w:tcPr>
            <w:tcW w:w="1440" w:type="dxa"/>
            <w:tcBorders>
              <w:top w:val="nil"/>
              <w:left w:val="nil"/>
              <w:bottom w:val="nil"/>
              <w:right w:val="nil"/>
            </w:tcBorders>
          </w:tcPr>
          <w:p w14:paraId="6CBC99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(0.0196)</w:t>
            </w:r>
          </w:p>
        </w:tc>
        <w:tc>
          <w:tcPr>
            <w:tcW w:w="1440" w:type="dxa"/>
            <w:tcBorders>
              <w:top w:val="nil"/>
              <w:left w:val="nil"/>
              <w:bottom w:val="nil"/>
              <w:right w:val="nil"/>
            </w:tcBorders>
          </w:tcPr>
          <w:p w14:paraId="1A59CD1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(0.0221)</w:t>
            </w:r>
          </w:p>
        </w:tc>
      </w:tr>
      <w:tr w:rsidR="009C3784" w:rsidRPr="003C297B" w14:paraId="5C2F2080" w14:textId="77777777">
        <w:trPr>
          <w:jc w:val="center"/>
        </w:trPr>
        <w:tc>
          <w:tcPr>
            <w:tcW w:w="1947" w:type="dxa"/>
            <w:tcBorders>
              <w:top w:val="nil"/>
              <w:left w:val="nil"/>
              <w:bottom w:val="nil"/>
              <w:right w:val="nil"/>
            </w:tcBorders>
          </w:tcPr>
          <w:p w14:paraId="62A0524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440" w:type="dxa"/>
            <w:tcBorders>
              <w:top w:val="nil"/>
              <w:left w:val="nil"/>
              <w:bottom w:val="nil"/>
              <w:right w:val="nil"/>
            </w:tcBorders>
          </w:tcPr>
          <w:p w14:paraId="3B819E6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2.2909***</w:t>
            </w:r>
          </w:p>
        </w:tc>
        <w:tc>
          <w:tcPr>
            <w:tcW w:w="1296" w:type="dxa"/>
            <w:tcBorders>
              <w:top w:val="nil"/>
              <w:left w:val="nil"/>
              <w:bottom w:val="nil"/>
              <w:right w:val="nil"/>
            </w:tcBorders>
          </w:tcPr>
          <w:p w14:paraId="76A6A4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2.4994**</w:t>
            </w:r>
          </w:p>
        </w:tc>
        <w:tc>
          <w:tcPr>
            <w:tcW w:w="1440" w:type="dxa"/>
            <w:tcBorders>
              <w:top w:val="nil"/>
              <w:left w:val="nil"/>
              <w:bottom w:val="nil"/>
              <w:right w:val="nil"/>
            </w:tcBorders>
          </w:tcPr>
          <w:p w14:paraId="720BDAC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1.2116</w:t>
            </w:r>
          </w:p>
        </w:tc>
        <w:tc>
          <w:tcPr>
            <w:tcW w:w="1440" w:type="dxa"/>
            <w:tcBorders>
              <w:top w:val="nil"/>
              <w:left w:val="nil"/>
              <w:bottom w:val="nil"/>
              <w:right w:val="nil"/>
            </w:tcBorders>
          </w:tcPr>
          <w:p w14:paraId="4BD3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2.0818***</w:t>
            </w:r>
          </w:p>
        </w:tc>
        <w:tc>
          <w:tcPr>
            <w:tcW w:w="1440" w:type="dxa"/>
            <w:tcBorders>
              <w:top w:val="nil"/>
              <w:left w:val="nil"/>
              <w:bottom w:val="nil"/>
              <w:right w:val="nil"/>
            </w:tcBorders>
          </w:tcPr>
          <w:p w14:paraId="1E0A1B5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1.9924***</w:t>
            </w:r>
          </w:p>
        </w:tc>
        <w:tc>
          <w:tcPr>
            <w:tcW w:w="1440" w:type="dxa"/>
            <w:tcBorders>
              <w:top w:val="nil"/>
              <w:left w:val="nil"/>
              <w:bottom w:val="nil"/>
              <w:right w:val="nil"/>
            </w:tcBorders>
          </w:tcPr>
          <w:p w14:paraId="04C6DD9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2.3963***</w:t>
            </w:r>
          </w:p>
        </w:tc>
      </w:tr>
      <w:tr w:rsidR="009C3784" w:rsidRPr="003C297B" w14:paraId="05B9F3B4" w14:textId="77777777">
        <w:trPr>
          <w:jc w:val="center"/>
        </w:trPr>
        <w:tc>
          <w:tcPr>
            <w:tcW w:w="1947" w:type="dxa"/>
            <w:tcBorders>
              <w:top w:val="nil"/>
              <w:left w:val="nil"/>
              <w:bottom w:val="nil"/>
              <w:right w:val="nil"/>
            </w:tcBorders>
          </w:tcPr>
          <w:p w14:paraId="16FEAF0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440" w:type="dxa"/>
            <w:tcBorders>
              <w:top w:val="nil"/>
              <w:left w:val="nil"/>
              <w:bottom w:val="nil"/>
              <w:right w:val="nil"/>
            </w:tcBorders>
          </w:tcPr>
          <w:p w14:paraId="438CB7C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(0.6949)</w:t>
            </w:r>
          </w:p>
        </w:tc>
        <w:tc>
          <w:tcPr>
            <w:tcW w:w="1296" w:type="dxa"/>
            <w:tcBorders>
              <w:top w:val="nil"/>
              <w:left w:val="nil"/>
              <w:bottom w:val="nil"/>
              <w:right w:val="nil"/>
            </w:tcBorders>
          </w:tcPr>
          <w:p w14:paraId="0872C47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(1.1855)</w:t>
            </w:r>
          </w:p>
        </w:tc>
        <w:tc>
          <w:tcPr>
            <w:tcW w:w="1440" w:type="dxa"/>
            <w:tcBorders>
              <w:top w:val="nil"/>
              <w:left w:val="nil"/>
              <w:bottom w:val="nil"/>
              <w:right w:val="nil"/>
            </w:tcBorders>
          </w:tcPr>
          <w:p w14:paraId="35E75F5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(0.7612)</w:t>
            </w:r>
          </w:p>
        </w:tc>
        <w:tc>
          <w:tcPr>
            <w:tcW w:w="1440" w:type="dxa"/>
            <w:tcBorders>
              <w:top w:val="nil"/>
              <w:left w:val="nil"/>
              <w:bottom w:val="nil"/>
              <w:right w:val="nil"/>
            </w:tcBorders>
          </w:tcPr>
          <w:p w14:paraId="08419E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(0.7305)</w:t>
            </w:r>
          </w:p>
        </w:tc>
        <w:tc>
          <w:tcPr>
            <w:tcW w:w="1440" w:type="dxa"/>
            <w:tcBorders>
              <w:top w:val="nil"/>
              <w:left w:val="nil"/>
              <w:bottom w:val="nil"/>
              <w:right w:val="nil"/>
            </w:tcBorders>
          </w:tcPr>
          <w:p w14:paraId="586CF43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(0.6632)</w:t>
            </w:r>
          </w:p>
        </w:tc>
        <w:tc>
          <w:tcPr>
            <w:tcW w:w="1440" w:type="dxa"/>
            <w:tcBorders>
              <w:top w:val="nil"/>
              <w:left w:val="nil"/>
              <w:bottom w:val="nil"/>
              <w:right w:val="nil"/>
            </w:tcBorders>
          </w:tcPr>
          <w:p w14:paraId="66E1F67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(0.7937)</w:t>
            </w:r>
          </w:p>
        </w:tc>
      </w:tr>
      <w:tr w:rsidR="009C3784" w:rsidRPr="003C297B" w14:paraId="5DE9DCBD" w14:textId="77777777">
        <w:trPr>
          <w:jc w:val="center"/>
        </w:trPr>
        <w:tc>
          <w:tcPr>
            <w:tcW w:w="1947" w:type="dxa"/>
            <w:tcBorders>
              <w:top w:val="nil"/>
              <w:left w:val="nil"/>
              <w:bottom w:val="nil"/>
              <w:right w:val="nil"/>
            </w:tcBorders>
          </w:tcPr>
          <w:p w14:paraId="49C6EF2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440" w:type="dxa"/>
            <w:tcBorders>
              <w:top w:val="nil"/>
              <w:left w:val="nil"/>
              <w:bottom w:val="nil"/>
              <w:right w:val="nil"/>
            </w:tcBorders>
          </w:tcPr>
          <w:p w14:paraId="6FD1457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1,743</w:t>
            </w:r>
          </w:p>
        </w:tc>
        <w:tc>
          <w:tcPr>
            <w:tcW w:w="1296" w:type="dxa"/>
            <w:tcBorders>
              <w:top w:val="nil"/>
              <w:left w:val="nil"/>
              <w:bottom w:val="nil"/>
              <w:right w:val="nil"/>
            </w:tcBorders>
          </w:tcPr>
          <w:p w14:paraId="4A62DD1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778</w:t>
            </w:r>
          </w:p>
        </w:tc>
        <w:tc>
          <w:tcPr>
            <w:tcW w:w="1440" w:type="dxa"/>
            <w:tcBorders>
              <w:top w:val="nil"/>
              <w:left w:val="nil"/>
              <w:bottom w:val="nil"/>
              <w:right w:val="nil"/>
            </w:tcBorders>
          </w:tcPr>
          <w:p w14:paraId="4DC7B25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1,246</w:t>
            </w:r>
          </w:p>
        </w:tc>
        <w:tc>
          <w:tcPr>
            <w:tcW w:w="1440" w:type="dxa"/>
            <w:tcBorders>
              <w:top w:val="nil"/>
              <w:left w:val="nil"/>
              <w:bottom w:val="nil"/>
              <w:right w:val="nil"/>
            </w:tcBorders>
          </w:tcPr>
          <w:p w14:paraId="011078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1,412</w:t>
            </w:r>
          </w:p>
        </w:tc>
        <w:tc>
          <w:tcPr>
            <w:tcW w:w="1440" w:type="dxa"/>
            <w:tcBorders>
              <w:top w:val="nil"/>
              <w:left w:val="nil"/>
              <w:bottom w:val="nil"/>
              <w:right w:val="nil"/>
            </w:tcBorders>
          </w:tcPr>
          <w:p w14:paraId="6FE91E3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1,838</w:t>
            </w:r>
          </w:p>
        </w:tc>
        <w:tc>
          <w:tcPr>
            <w:tcW w:w="1440" w:type="dxa"/>
            <w:tcBorders>
              <w:top w:val="nil"/>
              <w:left w:val="nil"/>
              <w:bottom w:val="nil"/>
              <w:right w:val="nil"/>
            </w:tcBorders>
          </w:tcPr>
          <w:p w14:paraId="5D388F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878</w:t>
            </w:r>
          </w:p>
        </w:tc>
      </w:tr>
      <w:tr w:rsidR="009C3784" w:rsidRPr="003C297B" w14:paraId="757984A8" w14:textId="77777777">
        <w:trPr>
          <w:jc w:val="center"/>
        </w:trPr>
        <w:tc>
          <w:tcPr>
            <w:tcW w:w="1947" w:type="dxa"/>
            <w:tcBorders>
              <w:top w:val="nil"/>
              <w:left w:val="nil"/>
              <w:bottom w:val="nil"/>
              <w:right w:val="nil"/>
            </w:tcBorders>
          </w:tcPr>
          <w:p w14:paraId="6FC617AC"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440" w:type="dxa"/>
            <w:tcBorders>
              <w:top w:val="nil"/>
              <w:left w:val="nil"/>
              <w:bottom w:val="nil"/>
              <w:right w:val="nil"/>
            </w:tcBorders>
          </w:tcPr>
          <w:p w14:paraId="1D8719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0.780</w:t>
            </w:r>
          </w:p>
        </w:tc>
        <w:tc>
          <w:tcPr>
            <w:tcW w:w="1296" w:type="dxa"/>
            <w:tcBorders>
              <w:top w:val="nil"/>
              <w:left w:val="nil"/>
              <w:bottom w:val="nil"/>
              <w:right w:val="nil"/>
            </w:tcBorders>
          </w:tcPr>
          <w:p w14:paraId="62EDBC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556B23B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0.787</w:t>
            </w:r>
          </w:p>
        </w:tc>
        <w:tc>
          <w:tcPr>
            <w:tcW w:w="1440" w:type="dxa"/>
            <w:tcBorders>
              <w:top w:val="nil"/>
              <w:left w:val="nil"/>
              <w:bottom w:val="nil"/>
              <w:right w:val="nil"/>
            </w:tcBorders>
          </w:tcPr>
          <w:p w14:paraId="0A46F8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0.799</w:t>
            </w:r>
          </w:p>
        </w:tc>
        <w:tc>
          <w:tcPr>
            <w:tcW w:w="1440" w:type="dxa"/>
            <w:tcBorders>
              <w:top w:val="nil"/>
              <w:left w:val="nil"/>
              <w:bottom w:val="nil"/>
              <w:right w:val="nil"/>
            </w:tcBorders>
          </w:tcPr>
          <w:p w14:paraId="5FA613B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440" w:type="dxa"/>
            <w:tcBorders>
              <w:top w:val="nil"/>
              <w:left w:val="nil"/>
              <w:bottom w:val="nil"/>
              <w:right w:val="nil"/>
            </w:tcBorders>
          </w:tcPr>
          <w:p w14:paraId="0150026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0.788</w:t>
            </w:r>
          </w:p>
        </w:tc>
      </w:tr>
      <w:tr w:rsidR="009C3784" w:rsidRPr="003C297B" w14:paraId="6A1A15B9" w14:textId="77777777">
        <w:trPr>
          <w:jc w:val="center"/>
        </w:trPr>
        <w:tc>
          <w:tcPr>
            <w:tcW w:w="1947" w:type="dxa"/>
            <w:tcBorders>
              <w:top w:val="nil"/>
              <w:left w:val="nil"/>
              <w:bottom w:val="nil"/>
              <w:right w:val="nil"/>
            </w:tcBorders>
          </w:tcPr>
          <w:p w14:paraId="51E30D4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440" w:type="dxa"/>
            <w:tcBorders>
              <w:top w:val="nil"/>
              <w:left w:val="nil"/>
              <w:bottom w:val="nil"/>
              <w:right w:val="nil"/>
            </w:tcBorders>
          </w:tcPr>
          <w:p w14:paraId="0E823A7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50A760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D5E88E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EB65BF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14F2AAA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C88E08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F02F351" w14:textId="77777777">
        <w:trPr>
          <w:jc w:val="center"/>
        </w:trPr>
        <w:tc>
          <w:tcPr>
            <w:tcW w:w="1947" w:type="dxa"/>
            <w:tcBorders>
              <w:top w:val="nil"/>
              <w:left w:val="nil"/>
              <w:bottom w:val="nil"/>
              <w:right w:val="nil"/>
            </w:tcBorders>
          </w:tcPr>
          <w:p w14:paraId="05C0380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440" w:type="dxa"/>
            <w:tcBorders>
              <w:top w:val="nil"/>
              <w:left w:val="nil"/>
              <w:bottom w:val="nil"/>
              <w:right w:val="nil"/>
            </w:tcBorders>
          </w:tcPr>
          <w:p w14:paraId="3A31DB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25B2328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0483A9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DFC370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FD8CE2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B69A5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AD1F1BC" w14:textId="77777777">
        <w:trPr>
          <w:jc w:val="center"/>
        </w:trPr>
        <w:tc>
          <w:tcPr>
            <w:tcW w:w="1947" w:type="dxa"/>
            <w:tcBorders>
              <w:top w:val="nil"/>
              <w:left w:val="nil"/>
              <w:bottom w:val="nil"/>
              <w:right w:val="nil"/>
            </w:tcBorders>
          </w:tcPr>
          <w:p w14:paraId="4F3D33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440" w:type="dxa"/>
            <w:tcBorders>
              <w:top w:val="nil"/>
              <w:left w:val="nil"/>
              <w:bottom w:val="nil"/>
              <w:right w:val="nil"/>
            </w:tcBorders>
          </w:tcPr>
          <w:p w14:paraId="79E7139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30E7DE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A61E32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285524B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56D70F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3294A02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EBC5F38" w14:textId="77777777">
        <w:trPr>
          <w:jc w:val="center"/>
        </w:trPr>
        <w:tc>
          <w:tcPr>
            <w:tcW w:w="1947" w:type="dxa"/>
            <w:tcBorders>
              <w:top w:val="nil"/>
              <w:left w:val="nil"/>
              <w:bottom w:val="nil"/>
              <w:right w:val="nil"/>
            </w:tcBorders>
          </w:tcPr>
          <w:p w14:paraId="333377C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440" w:type="dxa"/>
            <w:tcBorders>
              <w:top w:val="nil"/>
              <w:left w:val="nil"/>
              <w:bottom w:val="nil"/>
              <w:right w:val="nil"/>
            </w:tcBorders>
          </w:tcPr>
          <w:p w14:paraId="5887469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nil"/>
              <w:right w:val="nil"/>
            </w:tcBorders>
          </w:tcPr>
          <w:p w14:paraId="58ABF04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572D194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782F71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4F257B8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nil"/>
              <w:right w:val="nil"/>
            </w:tcBorders>
          </w:tcPr>
          <w:p w14:paraId="6C01DE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17E36267" w14:textId="77777777">
        <w:tblPrEx>
          <w:tblBorders>
            <w:bottom w:val="single" w:sz="6" w:space="0" w:color="auto"/>
          </w:tblBorders>
        </w:tblPrEx>
        <w:trPr>
          <w:jc w:val="center"/>
        </w:trPr>
        <w:tc>
          <w:tcPr>
            <w:tcW w:w="1947" w:type="dxa"/>
            <w:tcBorders>
              <w:top w:val="nil"/>
              <w:left w:val="nil"/>
              <w:bottom w:val="single" w:sz="6" w:space="0" w:color="auto"/>
              <w:right w:val="nil"/>
            </w:tcBorders>
          </w:tcPr>
          <w:p w14:paraId="3B9D9B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440" w:type="dxa"/>
            <w:tcBorders>
              <w:top w:val="nil"/>
              <w:left w:val="nil"/>
              <w:bottom w:val="single" w:sz="6" w:space="0" w:color="auto"/>
              <w:right w:val="nil"/>
            </w:tcBorders>
          </w:tcPr>
          <w:p w14:paraId="2854BB7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296" w:type="dxa"/>
            <w:tcBorders>
              <w:top w:val="nil"/>
              <w:left w:val="nil"/>
              <w:bottom w:val="single" w:sz="6" w:space="0" w:color="auto"/>
              <w:right w:val="nil"/>
            </w:tcBorders>
          </w:tcPr>
          <w:p w14:paraId="55A7CD5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217C928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430D8F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7A4B8D0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440" w:type="dxa"/>
            <w:tcBorders>
              <w:top w:val="nil"/>
              <w:left w:val="nil"/>
              <w:bottom w:val="single" w:sz="6" w:space="0" w:color="auto"/>
              <w:right w:val="nil"/>
            </w:tcBorders>
          </w:tcPr>
          <w:p w14:paraId="3F6EC75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0942C98F" w14:textId="77777777" w:rsidR="009C3784" w:rsidRPr="007C10D5" w:rsidRDefault="007C10D5">
      <w:pPr>
        <w:rPr>
          <w:rFonts w:ascii="Times New Roman" w:eastAsia="SimSun" w:hAnsi="Times New Roman" w:cs="Times New Roman"/>
          <w:b/>
          <w:sz w:val="22"/>
          <w:szCs w:val="24"/>
        </w:rPr>
      </w:pPr>
      <w:r w:rsidRPr="007C10D5">
        <w:rPr>
          <w:rFonts w:ascii="Times New Roman" w:eastAsia="Microsoft YaHei" w:hAnsi="Times New Roman" w:cs="Times New Roman" w:hint="eastAsia"/>
          <w:b/>
          <w:sz w:val="22"/>
          <w:szCs w:val="24"/>
        </w:rPr>
        <w:t>3</w:t>
      </w:r>
      <w:r w:rsidRPr="007C10D5">
        <w:rPr>
          <w:rFonts w:ascii="Times New Roman" w:eastAsia="Microsoft YaHei" w:hAnsi="Times New Roman" w:cs="Times New Roman"/>
          <w:b/>
          <w:sz w:val="22"/>
          <w:szCs w:val="24"/>
        </w:rPr>
        <w:t xml:space="preserve">. </w:t>
      </w:r>
      <w:r w:rsidR="00D95DA7" w:rsidRPr="007C10D5">
        <w:rPr>
          <w:rFonts w:ascii="Times New Roman" w:eastAsia="Microsoft YaHei" w:hAnsi="Times New Roman" w:cs="Times New Roman" w:hint="eastAsia"/>
          <w:b/>
          <w:sz w:val="22"/>
          <w:szCs w:val="24"/>
        </w:rPr>
        <w:t>Mechanism analysis</w:t>
      </w:r>
    </w:p>
    <w:p w14:paraId="623B3901" w14:textId="3227E76D" w:rsidR="009C3784" w:rsidRDefault="004E4AA4">
      <w:pPr>
        <w:ind w:firstLineChars="200" w:firstLine="440"/>
        <w:rPr>
          <w:rFonts w:ascii="Times New Roman" w:eastAsia="SimSun" w:hAnsi="Times New Roman" w:cs="Times New Roman"/>
          <w:sz w:val="22"/>
          <w:szCs w:val="24"/>
        </w:rPr>
      </w:pPr>
      <w:r>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 xml:space="preserve">As previously discussed,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has been strengthened in both policy and institutional arrangements compared to the pollution discharge fee system. This is evident in the law's enforcement through its mandatory and universal nature, which enhances local environmental law enforcement, increases local government attention to environmental issues, and breaks down collusion between government and enterprises. The rational design of the tax law also promotes resource reallocation among enterprises, thereby encouraging green innovation and improving environmental performance. This section empirically examines these mechanisms to test the specific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on corporate environmental performance</w:t>
      </w:r>
      <w:r>
        <w:rPr>
          <w:rFonts w:ascii="Times New Roman" w:eastAsia="Microsoft YaHei" w:hAnsi="Times New Roman" w:cs="Times New Roman"/>
          <w:sz w:val="22"/>
          <w:szCs w:val="24"/>
        </w:rPr>
        <w:t>”</w:t>
      </w:r>
      <w:r w:rsidR="00D95DA7">
        <w:rPr>
          <w:rFonts w:ascii="Times New Roman" w:eastAsia="Microsoft YaHei" w:hAnsi="Times New Roman" w:cs="Times New Roman" w:hint="eastAsia"/>
          <w:sz w:val="22"/>
          <w:szCs w:val="24"/>
        </w:rPr>
        <w:t>.</w:t>
      </w:r>
      <w:r w:rsidRPr="004E4AA4">
        <w:t xml:space="preserve"> </w:t>
      </w:r>
      <w:r w:rsidRPr="004E4AA4">
        <w:rPr>
          <w:rFonts w:ascii="Times New Roman" w:eastAsia="Microsoft YaHei" w:hAnsi="Times New Roman" w:cs="Times New Roman"/>
          <w:sz w:val="22"/>
          <w:szCs w:val="24"/>
        </w:rPr>
        <w:t>(Shi et al.2023)</w:t>
      </w:r>
    </w:p>
    <w:p w14:paraId="1374A50D" w14:textId="400D18E4" w:rsidR="003C297B"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hint="eastAsia"/>
          <w:sz w:val="22"/>
          <w:szCs w:val="24"/>
        </w:rPr>
        <w:t>(</w:t>
      </w:r>
      <w:r w:rsidRPr="007C10D5">
        <w:rPr>
          <w:rFonts w:ascii="Times New Roman" w:eastAsia="Microsoft YaHei" w:hAnsi="Times New Roman" w:cs="Times New Roman"/>
          <w:sz w:val="22"/>
          <w:szCs w:val="24"/>
        </w:rPr>
        <w:t>1)</w:t>
      </w:r>
      <w:r>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Strengthen law enforcement</w:t>
      </w:r>
      <w:r w:rsidR="003C297B">
        <w:rPr>
          <w:rFonts w:ascii="Times New Roman" w:eastAsia="Microsoft YaHei" w:hAnsi="Times New Roman" w:cs="Times New Roman"/>
          <w:sz w:val="22"/>
          <w:szCs w:val="24"/>
        </w:rPr>
        <w:t>.</w:t>
      </w:r>
      <w:bookmarkStart w:id="6" w:name="_Hlk117890416"/>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This </w:t>
      </w:r>
      <w:r w:rsidR="003C297B">
        <w:rPr>
          <w:rFonts w:ascii="Times New Roman" w:eastAsia="Microsoft YaHei" w:hAnsi="Times New Roman" w:cs="Times New Roman"/>
          <w:sz w:val="22"/>
          <w:szCs w:val="24"/>
        </w:rPr>
        <w:t>research</w:t>
      </w:r>
      <w:r w:rsidR="00D95DA7">
        <w:rPr>
          <w:rFonts w:ascii="Times New Roman" w:eastAsia="Microsoft YaHei" w:hAnsi="Times New Roman" w:cs="Times New Roman" w:hint="eastAsia"/>
          <w:sz w:val="22"/>
          <w:szCs w:val="24"/>
        </w:rPr>
        <w:t xml:space="preserve"> compiles environmental penalty cases (Law</w:t>
      </w:r>
      <w:bookmarkEnd w:id="6"/>
      <w:r w:rsidR="00D95DA7">
        <w:rPr>
          <w:rFonts w:ascii="Times New Roman" w:eastAsia="Microsoft YaHei" w:hAnsi="Times New Roman" w:cs="Times New Roman" w:hint="eastAsia"/>
          <w:sz w:val="22"/>
          <w:szCs w:val="24"/>
        </w:rPr>
        <w:t xml:space="preserve">) from various provinces, serving as a proxy for the intensity of regional environmental law enforcement. A higher Law value indicates stronger environmental law enforcement in the region. Following </w:t>
      </w:r>
      <w:r w:rsidR="00AF0A74" w:rsidRPr="0034665F">
        <w:rPr>
          <w:rFonts w:ascii="Times New Roman" w:eastAsia="Microsoft YaHei" w:cs="SimSun"/>
          <w:bCs/>
          <w:color w:val="000000"/>
          <w:kern w:val="0"/>
          <w:sz w:val="22"/>
          <w:szCs w:val="24"/>
        </w:rPr>
        <w:t>Khan</w:t>
      </w:r>
      <w:r w:rsidR="00AF0A74">
        <w:rPr>
          <w:rFonts w:ascii="Times New Roman" w:eastAsia="Microsoft YaHei" w:cs="SimSun" w:hint="eastAsia"/>
          <w:bCs/>
          <w:color w:val="000000"/>
          <w:kern w:val="0"/>
          <w:sz w:val="22"/>
          <w:szCs w:val="24"/>
        </w:rPr>
        <w:t xml:space="preserve"> (2023)</w:t>
      </w:r>
      <w:r w:rsidR="00D95DA7">
        <w:rPr>
          <w:rFonts w:ascii="Times New Roman" w:eastAsia="Microsoft YaHei" w:hAnsi="Times New Roman" w:cs="Times New Roman" w:hint="eastAsia"/>
          <w:sz w:val="22"/>
          <w:szCs w:val="24"/>
        </w:rPr>
        <w:t xml:space="preserve">, the baseline regression model includes an ET*Law interaction term and the original pre-ET difference term, using the three-way difference method for estimation. The regression results show that the coefficient of the ET*Law interaction term is significantly positive at the 1% significance level. Table 9's regression results support the mechanism by which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enhances regional environmental law enforcement, thereby compelling </w:t>
      </w:r>
      <w:r w:rsidR="00D95DA7">
        <w:rPr>
          <w:rFonts w:ascii="Times New Roman" w:eastAsia="Microsoft YaHei" w:hAnsi="Times New Roman" w:cs="Times New Roman" w:hint="eastAsia"/>
          <w:sz w:val="22"/>
          <w:szCs w:val="24"/>
        </w:rPr>
        <w:lastRenderedPageBreak/>
        <w:t>companies to improve their environmental performance.</w:t>
      </w:r>
    </w:p>
    <w:p w14:paraId="3FB8F2A8" w14:textId="61D4D3BE" w:rsidR="003C297B" w:rsidRDefault="007C10D5" w:rsidP="003C297B">
      <w:pPr>
        <w:ind w:firstLineChars="200" w:firstLine="440"/>
        <w:rPr>
          <w:rFonts w:ascii="Times New Roman" w:eastAsia="Microsoft YaHei" w:hAnsi="Times New Roman" w:cs="Times New Roman"/>
          <w:sz w:val="22"/>
          <w:szCs w:val="24"/>
        </w:rPr>
      </w:pPr>
      <w:r w:rsidRPr="007C10D5">
        <w:rPr>
          <w:rFonts w:ascii="Times New Roman" w:eastAsia="Microsoft YaHei" w:hAnsi="Times New Roman" w:cs="Times New Roman"/>
          <w:sz w:val="22"/>
          <w:szCs w:val="24"/>
        </w:rPr>
        <w:t>(2)</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Improve local government environmental concerns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Drawing on the research of </w:t>
      </w:r>
      <w:r w:rsidR="00AA289B" w:rsidRPr="00AA289B">
        <w:rPr>
          <w:rFonts w:ascii="Times New Roman" w:eastAsia="Microsoft YaHei" w:hAnsi="Times New Roman" w:cs="Times New Roman" w:hint="eastAsia"/>
          <w:sz w:val="22"/>
          <w:szCs w:val="24"/>
        </w:rPr>
        <w:t>Yan, Almandoz, and Ferraro (2021)</w:t>
      </w:r>
      <w:r w:rsidR="00D95DA7">
        <w:rPr>
          <w:rFonts w:ascii="Times New Roman" w:eastAsia="Microsoft YaHei" w:hAnsi="Times New Roman" w:cs="Times New Roman" w:hint="eastAsia"/>
          <w:sz w:val="22"/>
          <w:szCs w:val="24"/>
        </w:rPr>
        <w:t>, this paper uses the logarithm of the environmental protection term frequency ER, as reported by prefecture-level city local governments, as a proxy for environmental</w:t>
      </w:r>
      <w:bookmarkStart w:id="7" w:name="_Hlk117893703"/>
      <w:r w:rsidR="00D95DA7">
        <w:rPr>
          <w:rFonts w:ascii="Times New Roman" w:eastAsia="Microsoft YaHei" w:hAnsi="Times New Roman" w:cs="Times New Roman" w:hint="eastAsia"/>
          <w:sz w:val="22"/>
          <w:szCs w:val="24"/>
        </w:rPr>
        <w:t xml:space="preserve"> concern. The selection of environmental terms follows the approach of</w:t>
      </w:r>
      <w:bookmarkEnd w:id="7"/>
      <w:r w:rsidR="00D95DA7">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Yan</w:t>
      </w:r>
      <w:r w:rsidR="003C297B">
        <w:rPr>
          <w:rFonts w:ascii="Times New Roman" w:eastAsia="Microsoft YaHei" w:hAnsi="Times New Roman" w:cs="Times New Roman"/>
          <w:sz w:val="22"/>
          <w:szCs w:val="24"/>
        </w:rPr>
        <w:t xml:space="preserve"> et al.</w:t>
      </w:r>
      <w:r w:rsidR="00AA289B" w:rsidRPr="00AA289B">
        <w:rPr>
          <w:rFonts w:ascii="Times New Roman" w:eastAsia="Microsoft YaHei" w:hAnsi="Times New Roman" w:cs="Times New Roman" w:hint="eastAsia"/>
          <w:sz w:val="22"/>
          <w:szCs w:val="24"/>
        </w:rPr>
        <w:t xml:space="preserve"> (2021)</w:t>
      </w:r>
      <w:r w:rsidR="00D95DA7">
        <w:rPr>
          <w:rFonts w:ascii="Times New Roman" w:eastAsia="Microsoft YaHei" w:hAnsi="Times New Roman" w:cs="Times New Roman" w:hint="eastAsia"/>
          <w:sz w:val="22"/>
          <w:szCs w:val="24"/>
        </w:rPr>
        <w:t xml:space="preserve">. In line with this method, this paper introduces an Lner*Law interaction term and a double difference term ET into the baseline regression model, using the triple difference method for estimation. The regression results show that the regression coefficient of the Lner*Law interaction term is significantly positive. Table 9 further confirms empirically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can effectively enhance local government's environmental concern, encouraging them to actively fulfill their environmental supervision responsibilities, thereby promoting the improvement of corporate environmental performance.</w:t>
      </w:r>
    </w:p>
    <w:p w14:paraId="61905F10" w14:textId="1F61DE5E" w:rsidR="009C3784" w:rsidRDefault="007C10D5" w:rsidP="003C297B">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(3)</w:t>
      </w:r>
      <w:r>
        <w:rPr>
          <w:rFonts w:ascii="Microsoft YaHei" w:eastAsia="Microsoft YaHei" w:hAnsi="Microsoft YaHei" w:cs="Microsoft YaHei"/>
          <w:sz w:val="22"/>
          <w:szCs w:val="24"/>
        </w:rPr>
        <w:t xml:space="preserve"> </w:t>
      </w:r>
      <w:r w:rsidR="00D95DA7">
        <w:rPr>
          <w:rFonts w:ascii="Times New Roman" w:eastAsia="Microsoft YaHei" w:hAnsi="Times New Roman" w:cs="Times New Roman" w:hint="eastAsia"/>
          <w:sz w:val="22"/>
          <w:szCs w:val="24"/>
        </w:rPr>
        <w:t>Encourage green innovation in enterprises</w:t>
      </w:r>
      <w:r w:rsidR="003C297B">
        <w:rPr>
          <w:rFonts w:ascii="Times New Roman" w:eastAsia="Microsoft YaHei" w:hAnsi="Times New Roman" w:cs="Times New Roman"/>
          <w:sz w:val="22"/>
          <w:szCs w:val="24"/>
        </w:rPr>
        <w:t>.</w:t>
      </w:r>
      <w:r w:rsidR="00E86B17">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 xml:space="preserve">The Porter hypothesis suggests that well-designed environmental policies can provide 'innovation compensation' (Porter and Van der Linde, 1995), thereby encouraging companies to innovate. Green innovation, a key indicator of a company's green governance capabilities, reflects the company's technological innovations in using renewable energy in its production and operations, which enhances resource efficiency and, consequently, corporate environmental performance. Based on existing research, this paper measures corporate green innovation by taking the natural logarithm of the number of green patent applications. Following this approach, the paper introduces an interaction term between Lnvent and Law, adds the Lnvent term, and includes a difference-in-differences term ET, estimating the model using the triple difference method. The regression results show that the interaction term between Lnvent and Law has a significantly positive coefficient. Table 9 further confirms through empirical analysis that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effectively promotes corporate green innovation and enhances corporate environmental performance.</w:t>
      </w:r>
    </w:p>
    <w:p w14:paraId="7A9BE62A"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9 Mechanism analysis 1</w:t>
      </w:r>
    </w:p>
    <w:tbl>
      <w:tblPr>
        <w:tblW w:w="5000" w:type="pct"/>
        <w:jc w:val="center"/>
        <w:tblCellMar>
          <w:left w:w="75" w:type="dxa"/>
          <w:right w:w="75" w:type="dxa"/>
        </w:tblCellMar>
        <w:tblLook w:val="04A0" w:firstRow="1" w:lastRow="0" w:firstColumn="1" w:lastColumn="0" w:noHBand="0" w:noVBand="1"/>
      </w:tblPr>
      <w:tblGrid>
        <w:gridCol w:w="2993"/>
        <w:gridCol w:w="2215"/>
        <w:gridCol w:w="2215"/>
        <w:gridCol w:w="2215"/>
      </w:tblGrid>
      <w:tr w:rsidR="009C3784" w:rsidRPr="003C297B" w14:paraId="045BAF44" w14:textId="77777777">
        <w:trPr>
          <w:jc w:val="center"/>
        </w:trPr>
        <w:tc>
          <w:tcPr>
            <w:tcW w:w="1553" w:type="pct"/>
            <w:tcBorders>
              <w:top w:val="single" w:sz="6" w:space="0" w:color="auto"/>
              <w:left w:val="nil"/>
              <w:bottom w:val="nil"/>
              <w:right w:val="nil"/>
            </w:tcBorders>
          </w:tcPr>
          <w:p w14:paraId="49D9D5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single" w:sz="6" w:space="0" w:color="auto"/>
              <w:left w:val="nil"/>
              <w:bottom w:val="nil"/>
              <w:right w:val="nil"/>
            </w:tcBorders>
          </w:tcPr>
          <w:p w14:paraId="44CEB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149" w:type="pct"/>
            <w:tcBorders>
              <w:top w:val="single" w:sz="6" w:space="0" w:color="auto"/>
              <w:left w:val="nil"/>
              <w:bottom w:val="nil"/>
              <w:right w:val="nil"/>
            </w:tcBorders>
          </w:tcPr>
          <w:p w14:paraId="4A3C00F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c>
          <w:tcPr>
            <w:tcW w:w="1149" w:type="pct"/>
            <w:tcBorders>
              <w:top w:val="single" w:sz="6" w:space="0" w:color="auto"/>
              <w:left w:val="nil"/>
              <w:bottom w:val="nil"/>
              <w:right w:val="nil"/>
            </w:tcBorders>
          </w:tcPr>
          <w:p w14:paraId="7AFE2E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(3)</w:t>
            </w:r>
          </w:p>
        </w:tc>
      </w:tr>
      <w:tr w:rsidR="009C3784" w:rsidRPr="003C297B" w14:paraId="0985733F" w14:textId="77777777">
        <w:trPr>
          <w:jc w:val="center"/>
        </w:trPr>
        <w:tc>
          <w:tcPr>
            <w:tcW w:w="1553" w:type="pct"/>
            <w:tcBorders>
              <w:top w:val="nil"/>
              <w:left w:val="nil"/>
              <w:bottom w:val="single" w:sz="6" w:space="0" w:color="auto"/>
              <w:right w:val="nil"/>
            </w:tcBorders>
          </w:tcPr>
          <w:p w14:paraId="4C5F83C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single" w:sz="6" w:space="0" w:color="auto"/>
              <w:right w:val="nil"/>
            </w:tcBorders>
          </w:tcPr>
          <w:p w14:paraId="074EDB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74D939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149" w:type="pct"/>
            <w:tcBorders>
              <w:top w:val="nil"/>
              <w:left w:val="nil"/>
              <w:bottom w:val="single" w:sz="6" w:space="0" w:color="auto"/>
              <w:right w:val="nil"/>
            </w:tcBorders>
          </w:tcPr>
          <w:p w14:paraId="7625218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75D7DD5F" w14:textId="77777777">
        <w:trPr>
          <w:jc w:val="center"/>
        </w:trPr>
        <w:tc>
          <w:tcPr>
            <w:tcW w:w="1553" w:type="pct"/>
            <w:tcBorders>
              <w:top w:val="nil"/>
              <w:left w:val="nil"/>
              <w:bottom w:val="nil"/>
              <w:right w:val="nil"/>
            </w:tcBorders>
          </w:tcPr>
          <w:p w14:paraId="5FA2FAF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ET*Law</w:t>
            </w:r>
          </w:p>
        </w:tc>
        <w:tc>
          <w:tcPr>
            <w:tcW w:w="1149" w:type="pct"/>
            <w:tcBorders>
              <w:top w:val="nil"/>
              <w:left w:val="nil"/>
              <w:bottom w:val="nil"/>
              <w:right w:val="nil"/>
            </w:tcBorders>
          </w:tcPr>
          <w:p w14:paraId="0A82059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0.3153***</w:t>
            </w:r>
          </w:p>
        </w:tc>
        <w:tc>
          <w:tcPr>
            <w:tcW w:w="1149" w:type="pct"/>
            <w:tcBorders>
              <w:top w:val="nil"/>
              <w:left w:val="nil"/>
              <w:bottom w:val="nil"/>
              <w:right w:val="nil"/>
            </w:tcBorders>
          </w:tcPr>
          <w:p w14:paraId="391C0B27"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3E4A69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B9EA645" w14:textId="77777777">
        <w:trPr>
          <w:jc w:val="center"/>
        </w:trPr>
        <w:tc>
          <w:tcPr>
            <w:tcW w:w="1553" w:type="pct"/>
            <w:tcBorders>
              <w:top w:val="nil"/>
              <w:left w:val="nil"/>
              <w:bottom w:val="nil"/>
              <w:right w:val="nil"/>
            </w:tcBorders>
          </w:tcPr>
          <w:p w14:paraId="755482A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624B49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(0.0974)</w:t>
            </w:r>
          </w:p>
        </w:tc>
        <w:tc>
          <w:tcPr>
            <w:tcW w:w="1149" w:type="pct"/>
            <w:tcBorders>
              <w:top w:val="nil"/>
              <w:left w:val="nil"/>
              <w:bottom w:val="nil"/>
              <w:right w:val="nil"/>
            </w:tcBorders>
          </w:tcPr>
          <w:p w14:paraId="09316ED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76AB8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C80BFE0" w14:textId="77777777">
        <w:trPr>
          <w:jc w:val="center"/>
        </w:trPr>
        <w:tc>
          <w:tcPr>
            <w:tcW w:w="1553" w:type="pct"/>
            <w:tcBorders>
              <w:top w:val="nil"/>
              <w:left w:val="nil"/>
              <w:bottom w:val="nil"/>
              <w:right w:val="nil"/>
            </w:tcBorders>
          </w:tcPr>
          <w:p w14:paraId="605D6B33"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149" w:type="pct"/>
            <w:tcBorders>
              <w:top w:val="nil"/>
              <w:left w:val="nil"/>
              <w:bottom w:val="nil"/>
              <w:right w:val="nil"/>
            </w:tcBorders>
          </w:tcPr>
          <w:p w14:paraId="7AE65DF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0.5021</w:t>
            </w:r>
          </w:p>
        </w:tc>
        <w:tc>
          <w:tcPr>
            <w:tcW w:w="1149" w:type="pct"/>
            <w:tcBorders>
              <w:top w:val="nil"/>
              <w:left w:val="nil"/>
              <w:bottom w:val="nil"/>
              <w:right w:val="nil"/>
            </w:tcBorders>
          </w:tcPr>
          <w:p w14:paraId="72AFAFC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1.0315</w:t>
            </w:r>
          </w:p>
        </w:tc>
        <w:tc>
          <w:tcPr>
            <w:tcW w:w="1149" w:type="pct"/>
            <w:tcBorders>
              <w:top w:val="nil"/>
              <w:left w:val="nil"/>
              <w:bottom w:val="nil"/>
              <w:right w:val="nil"/>
            </w:tcBorders>
          </w:tcPr>
          <w:p w14:paraId="58F790F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1.3776</w:t>
            </w:r>
          </w:p>
        </w:tc>
      </w:tr>
      <w:tr w:rsidR="009C3784" w:rsidRPr="003C297B" w14:paraId="70D7BE23" w14:textId="77777777">
        <w:trPr>
          <w:jc w:val="center"/>
        </w:trPr>
        <w:tc>
          <w:tcPr>
            <w:tcW w:w="1553" w:type="pct"/>
            <w:tcBorders>
              <w:top w:val="nil"/>
              <w:left w:val="nil"/>
              <w:bottom w:val="nil"/>
              <w:right w:val="nil"/>
            </w:tcBorders>
          </w:tcPr>
          <w:p w14:paraId="624DC90B"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5D268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(2.0478)</w:t>
            </w:r>
          </w:p>
        </w:tc>
        <w:tc>
          <w:tcPr>
            <w:tcW w:w="1149" w:type="pct"/>
            <w:tcBorders>
              <w:top w:val="nil"/>
              <w:left w:val="nil"/>
              <w:bottom w:val="nil"/>
              <w:right w:val="nil"/>
            </w:tcBorders>
          </w:tcPr>
          <w:p w14:paraId="2B38869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(2.1742)</w:t>
            </w:r>
          </w:p>
        </w:tc>
        <w:tc>
          <w:tcPr>
            <w:tcW w:w="1149" w:type="pct"/>
            <w:tcBorders>
              <w:top w:val="nil"/>
              <w:left w:val="nil"/>
              <w:bottom w:val="nil"/>
              <w:right w:val="nil"/>
            </w:tcBorders>
          </w:tcPr>
          <w:p w14:paraId="32909CA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(1.6880)</w:t>
            </w:r>
          </w:p>
        </w:tc>
      </w:tr>
      <w:tr w:rsidR="009C3784" w:rsidRPr="003C297B" w14:paraId="7E37E0ED" w14:textId="77777777">
        <w:trPr>
          <w:jc w:val="center"/>
        </w:trPr>
        <w:tc>
          <w:tcPr>
            <w:tcW w:w="1553" w:type="pct"/>
            <w:tcBorders>
              <w:top w:val="nil"/>
              <w:left w:val="nil"/>
              <w:bottom w:val="nil"/>
              <w:right w:val="nil"/>
            </w:tcBorders>
          </w:tcPr>
          <w:p w14:paraId="1FA63961"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law</w:t>
            </w:r>
          </w:p>
        </w:tc>
        <w:tc>
          <w:tcPr>
            <w:tcW w:w="1149" w:type="pct"/>
            <w:tcBorders>
              <w:top w:val="nil"/>
              <w:left w:val="nil"/>
              <w:bottom w:val="nil"/>
              <w:right w:val="nil"/>
            </w:tcBorders>
          </w:tcPr>
          <w:p w14:paraId="46F4110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-0.0005</w:t>
            </w:r>
          </w:p>
        </w:tc>
        <w:tc>
          <w:tcPr>
            <w:tcW w:w="1149" w:type="pct"/>
            <w:tcBorders>
              <w:top w:val="nil"/>
              <w:left w:val="nil"/>
              <w:bottom w:val="nil"/>
              <w:right w:val="nil"/>
            </w:tcBorders>
          </w:tcPr>
          <w:p w14:paraId="1C3E5519"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E5356D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5E02B835" w14:textId="77777777">
        <w:trPr>
          <w:jc w:val="center"/>
        </w:trPr>
        <w:tc>
          <w:tcPr>
            <w:tcW w:w="1553" w:type="pct"/>
            <w:tcBorders>
              <w:top w:val="nil"/>
              <w:left w:val="nil"/>
              <w:bottom w:val="nil"/>
              <w:right w:val="nil"/>
            </w:tcBorders>
          </w:tcPr>
          <w:p w14:paraId="40BCEE5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2B105E6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(0.0047)</w:t>
            </w:r>
          </w:p>
        </w:tc>
        <w:tc>
          <w:tcPr>
            <w:tcW w:w="1149" w:type="pct"/>
            <w:tcBorders>
              <w:top w:val="nil"/>
              <w:left w:val="nil"/>
              <w:bottom w:val="nil"/>
              <w:right w:val="nil"/>
            </w:tcBorders>
          </w:tcPr>
          <w:p w14:paraId="2E01F38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E93E2B"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7D6073C6" w14:textId="77777777">
        <w:trPr>
          <w:jc w:val="center"/>
        </w:trPr>
        <w:tc>
          <w:tcPr>
            <w:tcW w:w="1553" w:type="pct"/>
            <w:tcBorders>
              <w:top w:val="nil"/>
              <w:left w:val="nil"/>
              <w:bottom w:val="nil"/>
              <w:right w:val="nil"/>
            </w:tcBorders>
          </w:tcPr>
          <w:p w14:paraId="2961B920"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ET*Lner</w:t>
            </w:r>
          </w:p>
        </w:tc>
        <w:tc>
          <w:tcPr>
            <w:tcW w:w="1149" w:type="pct"/>
            <w:tcBorders>
              <w:top w:val="nil"/>
              <w:left w:val="nil"/>
              <w:bottom w:val="nil"/>
              <w:right w:val="nil"/>
            </w:tcBorders>
          </w:tcPr>
          <w:p w14:paraId="2507BB5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4ABEE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0.6433***</w:t>
            </w:r>
          </w:p>
        </w:tc>
        <w:tc>
          <w:tcPr>
            <w:tcW w:w="1149" w:type="pct"/>
            <w:tcBorders>
              <w:top w:val="nil"/>
              <w:left w:val="nil"/>
              <w:bottom w:val="nil"/>
              <w:right w:val="nil"/>
            </w:tcBorders>
          </w:tcPr>
          <w:p w14:paraId="42EC46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245C7535" w14:textId="77777777">
        <w:trPr>
          <w:jc w:val="center"/>
        </w:trPr>
        <w:tc>
          <w:tcPr>
            <w:tcW w:w="1553" w:type="pct"/>
            <w:tcBorders>
              <w:top w:val="nil"/>
              <w:left w:val="nil"/>
              <w:bottom w:val="nil"/>
              <w:right w:val="nil"/>
            </w:tcBorders>
          </w:tcPr>
          <w:p w14:paraId="784668B7"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2C230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8478DD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(0.2176)</w:t>
            </w:r>
          </w:p>
        </w:tc>
        <w:tc>
          <w:tcPr>
            <w:tcW w:w="1149" w:type="pct"/>
            <w:tcBorders>
              <w:top w:val="nil"/>
              <w:left w:val="nil"/>
              <w:bottom w:val="nil"/>
              <w:right w:val="nil"/>
            </w:tcBorders>
          </w:tcPr>
          <w:p w14:paraId="6C195EF3"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4FBC04E" w14:textId="77777777">
        <w:trPr>
          <w:jc w:val="center"/>
        </w:trPr>
        <w:tc>
          <w:tcPr>
            <w:tcW w:w="1553" w:type="pct"/>
            <w:tcBorders>
              <w:top w:val="nil"/>
              <w:left w:val="nil"/>
              <w:bottom w:val="nil"/>
              <w:right w:val="nil"/>
            </w:tcBorders>
          </w:tcPr>
          <w:p w14:paraId="0A093F8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Lner</w:t>
            </w:r>
          </w:p>
        </w:tc>
        <w:tc>
          <w:tcPr>
            <w:tcW w:w="1149" w:type="pct"/>
            <w:tcBorders>
              <w:top w:val="nil"/>
              <w:left w:val="nil"/>
              <w:bottom w:val="nil"/>
              <w:right w:val="nil"/>
            </w:tcBorders>
          </w:tcPr>
          <w:p w14:paraId="1FD61C1F"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40186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-0.0168*</w:t>
            </w:r>
          </w:p>
        </w:tc>
        <w:tc>
          <w:tcPr>
            <w:tcW w:w="1149" w:type="pct"/>
            <w:tcBorders>
              <w:top w:val="nil"/>
              <w:left w:val="nil"/>
              <w:bottom w:val="nil"/>
              <w:right w:val="nil"/>
            </w:tcBorders>
          </w:tcPr>
          <w:p w14:paraId="7981D600"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474163E5" w14:textId="77777777">
        <w:trPr>
          <w:jc w:val="center"/>
        </w:trPr>
        <w:tc>
          <w:tcPr>
            <w:tcW w:w="1553" w:type="pct"/>
            <w:tcBorders>
              <w:top w:val="nil"/>
              <w:left w:val="nil"/>
              <w:bottom w:val="nil"/>
              <w:right w:val="nil"/>
            </w:tcBorders>
          </w:tcPr>
          <w:p w14:paraId="490D1F04"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176BBC84"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1B2BC23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(0.0096)</w:t>
            </w:r>
          </w:p>
        </w:tc>
        <w:tc>
          <w:tcPr>
            <w:tcW w:w="1149" w:type="pct"/>
            <w:tcBorders>
              <w:top w:val="nil"/>
              <w:left w:val="nil"/>
              <w:bottom w:val="nil"/>
              <w:right w:val="nil"/>
            </w:tcBorders>
          </w:tcPr>
          <w:p w14:paraId="78C561AF"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C6A0A2E" w14:textId="77777777">
        <w:trPr>
          <w:jc w:val="center"/>
        </w:trPr>
        <w:tc>
          <w:tcPr>
            <w:tcW w:w="1553" w:type="pct"/>
            <w:tcBorders>
              <w:top w:val="nil"/>
              <w:left w:val="nil"/>
              <w:bottom w:val="nil"/>
              <w:right w:val="nil"/>
            </w:tcBorders>
          </w:tcPr>
          <w:p w14:paraId="32A222A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 Lnvent</w:t>
            </w:r>
          </w:p>
        </w:tc>
        <w:tc>
          <w:tcPr>
            <w:tcW w:w="1149" w:type="pct"/>
            <w:tcBorders>
              <w:top w:val="nil"/>
              <w:left w:val="nil"/>
              <w:bottom w:val="nil"/>
              <w:right w:val="nil"/>
            </w:tcBorders>
          </w:tcPr>
          <w:p w14:paraId="11175D8C"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86C7C4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4E8A76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1.4688**</w:t>
            </w:r>
          </w:p>
        </w:tc>
      </w:tr>
      <w:tr w:rsidR="009C3784" w:rsidRPr="003C297B" w14:paraId="154CB6CB" w14:textId="77777777">
        <w:trPr>
          <w:jc w:val="center"/>
        </w:trPr>
        <w:tc>
          <w:tcPr>
            <w:tcW w:w="1553" w:type="pct"/>
            <w:tcBorders>
              <w:top w:val="nil"/>
              <w:left w:val="nil"/>
              <w:bottom w:val="nil"/>
              <w:right w:val="nil"/>
            </w:tcBorders>
          </w:tcPr>
          <w:p w14:paraId="3B156DA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401CDC6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2E40973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7EF4ED9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(0.7144)</w:t>
            </w:r>
          </w:p>
        </w:tc>
      </w:tr>
      <w:tr w:rsidR="009C3784" w:rsidRPr="003C297B" w14:paraId="61ABC450" w14:textId="77777777">
        <w:trPr>
          <w:jc w:val="center"/>
        </w:trPr>
        <w:tc>
          <w:tcPr>
            <w:tcW w:w="1553" w:type="pct"/>
            <w:tcBorders>
              <w:top w:val="nil"/>
              <w:left w:val="nil"/>
              <w:bottom w:val="nil"/>
              <w:right w:val="nil"/>
            </w:tcBorders>
          </w:tcPr>
          <w:p w14:paraId="3B0D4EE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Lnvent</w:t>
            </w:r>
          </w:p>
        </w:tc>
        <w:tc>
          <w:tcPr>
            <w:tcW w:w="1149" w:type="pct"/>
            <w:tcBorders>
              <w:top w:val="nil"/>
              <w:left w:val="nil"/>
              <w:bottom w:val="nil"/>
              <w:right w:val="nil"/>
            </w:tcBorders>
          </w:tcPr>
          <w:p w14:paraId="0898E6D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6CDD51D2"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0198E59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0.0050</w:t>
            </w:r>
          </w:p>
        </w:tc>
      </w:tr>
      <w:tr w:rsidR="009C3784" w:rsidRPr="003C297B" w14:paraId="245E80BB" w14:textId="77777777">
        <w:trPr>
          <w:jc w:val="center"/>
        </w:trPr>
        <w:tc>
          <w:tcPr>
            <w:tcW w:w="1553" w:type="pct"/>
            <w:tcBorders>
              <w:top w:val="nil"/>
              <w:left w:val="nil"/>
              <w:bottom w:val="nil"/>
              <w:right w:val="nil"/>
            </w:tcBorders>
          </w:tcPr>
          <w:p w14:paraId="15972CB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639A82B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39960026"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149" w:type="pct"/>
            <w:tcBorders>
              <w:top w:val="nil"/>
              <w:left w:val="nil"/>
              <w:bottom w:val="nil"/>
              <w:right w:val="nil"/>
            </w:tcBorders>
          </w:tcPr>
          <w:p w14:paraId="4A907ED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(0.0099)</w:t>
            </w:r>
          </w:p>
        </w:tc>
      </w:tr>
      <w:tr w:rsidR="009C3784" w:rsidRPr="003C297B" w14:paraId="37436106" w14:textId="77777777">
        <w:trPr>
          <w:jc w:val="center"/>
        </w:trPr>
        <w:tc>
          <w:tcPr>
            <w:tcW w:w="1553" w:type="pct"/>
            <w:tcBorders>
              <w:top w:val="nil"/>
              <w:left w:val="nil"/>
              <w:bottom w:val="nil"/>
              <w:right w:val="nil"/>
            </w:tcBorders>
          </w:tcPr>
          <w:p w14:paraId="587D471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149" w:type="pct"/>
            <w:tcBorders>
              <w:top w:val="nil"/>
              <w:left w:val="nil"/>
              <w:bottom w:val="nil"/>
              <w:right w:val="nil"/>
            </w:tcBorders>
          </w:tcPr>
          <w:p w14:paraId="591E4B2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2.1836***</w:t>
            </w:r>
          </w:p>
        </w:tc>
        <w:tc>
          <w:tcPr>
            <w:tcW w:w="1149" w:type="pct"/>
            <w:tcBorders>
              <w:top w:val="nil"/>
              <w:left w:val="nil"/>
              <w:bottom w:val="nil"/>
              <w:right w:val="nil"/>
            </w:tcBorders>
          </w:tcPr>
          <w:p w14:paraId="7A35D74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2.3690***</w:t>
            </w:r>
          </w:p>
        </w:tc>
        <w:tc>
          <w:tcPr>
            <w:tcW w:w="1149" w:type="pct"/>
            <w:tcBorders>
              <w:top w:val="nil"/>
              <w:left w:val="nil"/>
              <w:bottom w:val="nil"/>
              <w:right w:val="nil"/>
            </w:tcBorders>
          </w:tcPr>
          <w:p w14:paraId="7E91B7C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2.2099***</w:t>
            </w:r>
          </w:p>
        </w:tc>
      </w:tr>
      <w:tr w:rsidR="009C3784" w:rsidRPr="003C297B" w14:paraId="15C5DA18" w14:textId="77777777">
        <w:trPr>
          <w:jc w:val="center"/>
        </w:trPr>
        <w:tc>
          <w:tcPr>
            <w:tcW w:w="1553" w:type="pct"/>
            <w:tcBorders>
              <w:top w:val="nil"/>
              <w:left w:val="nil"/>
              <w:bottom w:val="nil"/>
              <w:right w:val="nil"/>
            </w:tcBorders>
          </w:tcPr>
          <w:p w14:paraId="2EEDEB0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149" w:type="pct"/>
            <w:tcBorders>
              <w:top w:val="nil"/>
              <w:left w:val="nil"/>
              <w:bottom w:val="nil"/>
              <w:right w:val="nil"/>
            </w:tcBorders>
          </w:tcPr>
          <w:p w14:paraId="785E99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(0.4964)</w:t>
            </w:r>
          </w:p>
        </w:tc>
        <w:tc>
          <w:tcPr>
            <w:tcW w:w="1149" w:type="pct"/>
            <w:tcBorders>
              <w:top w:val="nil"/>
              <w:left w:val="nil"/>
              <w:bottom w:val="nil"/>
              <w:right w:val="nil"/>
            </w:tcBorders>
          </w:tcPr>
          <w:p w14:paraId="6034A10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(0.4996)</w:t>
            </w:r>
          </w:p>
        </w:tc>
        <w:tc>
          <w:tcPr>
            <w:tcW w:w="1149" w:type="pct"/>
            <w:tcBorders>
              <w:top w:val="nil"/>
              <w:left w:val="nil"/>
              <w:bottom w:val="nil"/>
              <w:right w:val="nil"/>
            </w:tcBorders>
          </w:tcPr>
          <w:p w14:paraId="5E12E41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(0.5059)</w:t>
            </w:r>
          </w:p>
        </w:tc>
      </w:tr>
      <w:tr w:rsidR="009C3784" w:rsidRPr="003C297B" w14:paraId="0389E62D" w14:textId="77777777">
        <w:trPr>
          <w:jc w:val="center"/>
        </w:trPr>
        <w:tc>
          <w:tcPr>
            <w:tcW w:w="1553" w:type="pct"/>
            <w:tcBorders>
              <w:top w:val="nil"/>
              <w:left w:val="nil"/>
              <w:bottom w:val="nil"/>
              <w:right w:val="nil"/>
            </w:tcBorders>
          </w:tcPr>
          <w:p w14:paraId="624C8EF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149" w:type="pct"/>
            <w:tcBorders>
              <w:top w:val="nil"/>
              <w:left w:val="nil"/>
              <w:bottom w:val="nil"/>
              <w:right w:val="nil"/>
            </w:tcBorders>
          </w:tcPr>
          <w:p w14:paraId="2E15F8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149" w:type="pct"/>
            <w:tcBorders>
              <w:top w:val="nil"/>
              <w:left w:val="nil"/>
              <w:bottom w:val="nil"/>
              <w:right w:val="nil"/>
            </w:tcBorders>
          </w:tcPr>
          <w:p w14:paraId="1BF933A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2,612</w:t>
            </w:r>
          </w:p>
        </w:tc>
        <w:tc>
          <w:tcPr>
            <w:tcW w:w="1149" w:type="pct"/>
            <w:tcBorders>
              <w:top w:val="nil"/>
              <w:left w:val="nil"/>
              <w:bottom w:val="nil"/>
              <w:right w:val="nil"/>
            </w:tcBorders>
          </w:tcPr>
          <w:p w14:paraId="423EEFF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2C5E8D95" w14:textId="77777777">
        <w:trPr>
          <w:jc w:val="center"/>
        </w:trPr>
        <w:tc>
          <w:tcPr>
            <w:tcW w:w="1553" w:type="pct"/>
            <w:tcBorders>
              <w:top w:val="nil"/>
              <w:left w:val="nil"/>
              <w:bottom w:val="nil"/>
              <w:right w:val="nil"/>
            </w:tcBorders>
          </w:tcPr>
          <w:p w14:paraId="5C500C5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149" w:type="pct"/>
            <w:tcBorders>
              <w:top w:val="nil"/>
              <w:left w:val="nil"/>
              <w:bottom w:val="nil"/>
              <w:right w:val="nil"/>
            </w:tcBorders>
          </w:tcPr>
          <w:p w14:paraId="05F61DB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4DDF444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0.776</w:t>
            </w:r>
          </w:p>
        </w:tc>
        <w:tc>
          <w:tcPr>
            <w:tcW w:w="1149" w:type="pct"/>
            <w:tcBorders>
              <w:top w:val="nil"/>
              <w:left w:val="nil"/>
              <w:bottom w:val="nil"/>
              <w:right w:val="nil"/>
            </w:tcBorders>
          </w:tcPr>
          <w:p w14:paraId="094B649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0.773</w:t>
            </w:r>
          </w:p>
        </w:tc>
      </w:tr>
      <w:tr w:rsidR="009C3784" w:rsidRPr="003C297B" w14:paraId="7CC6EA18" w14:textId="77777777">
        <w:trPr>
          <w:jc w:val="center"/>
        </w:trPr>
        <w:tc>
          <w:tcPr>
            <w:tcW w:w="1553" w:type="pct"/>
            <w:tcBorders>
              <w:top w:val="nil"/>
              <w:left w:val="nil"/>
              <w:bottom w:val="nil"/>
              <w:right w:val="nil"/>
            </w:tcBorders>
          </w:tcPr>
          <w:p w14:paraId="426A64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lastRenderedPageBreak/>
              <w:t>Controls</w:t>
            </w:r>
          </w:p>
        </w:tc>
        <w:tc>
          <w:tcPr>
            <w:tcW w:w="1149" w:type="pct"/>
            <w:tcBorders>
              <w:top w:val="nil"/>
              <w:left w:val="nil"/>
              <w:bottom w:val="nil"/>
              <w:right w:val="nil"/>
            </w:tcBorders>
          </w:tcPr>
          <w:p w14:paraId="06A6CDA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482C14DF"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5E29985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62624F65" w14:textId="77777777">
        <w:trPr>
          <w:jc w:val="center"/>
        </w:trPr>
        <w:tc>
          <w:tcPr>
            <w:tcW w:w="1553" w:type="pct"/>
            <w:tcBorders>
              <w:top w:val="nil"/>
              <w:left w:val="nil"/>
              <w:bottom w:val="nil"/>
              <w:right w:val="nil"/>
            </w:tcBorders>
          </w:tcPr>
          <w:p w14:paraId="760F916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149" w:type="pct"/>
            <w:tcBorders>
              <w:top w:val="nil"/>
              <w:left w:val="nil"/>
              <w:bottom w:val="nil"/>
              <w:right w:val="nil"/>
            </w:tcBorders>
          </w:tcPr>
          <w:p w14:paraId="4E4A11D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0A9AE42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32EB85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4832DD4" w14:textId="77777777">
        <w:trPr>
          <w:jc w:val="center"/>
        </w:trPr>
        <w:tc>
          <w:tcPr>
            <w:tcW w:w="1553" w:type="pct"/>
            <w:tcBorders>
              <w:top w:val="nil"/>
              <w:left w:val="nil"/>
              <w:bottom w:val="nil"/>
              <w:right w:val="nil"/>
            </w:tcBorders>
          </w:tcPr>
          <w:p w14:paraId="708CD0A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149" w:type="pct"/>
            <w:tcBorders>
              <w:top w:val="nil"/>
              <w:left w:val="nil"/>
              <w:bottom w:val="nil"/>
              <w:right w:val="nil"/>
            </w:tcBorders>
          </w:tcPr>
          <w:p w14:paraId="652D4CE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15EC9A5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30E962E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0D5FD438" w14:textId="77777777">
        <w:trPr>
          <w:jc w:val="center"/>
        </w:trPr>
        <w:tc>
          <w:tcPr>
            <w:tcW w:w="1553" w:type="pct"/>
            <w:tcBorders>
              <w:top w:val="nil"/>
              <w:left w:val="nil"/>
              <w:bottom w:val="nil"/>
              <w:right w:val="nil"/>
            </w:tcBorders>
          </w:tcPr>
          <w:p w14:paraId="3781DA8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149" w:type="pct"/>
            <w:tcBorders>
              <w:top w:val="nil"/>
              <w:left w:val="nil"/>
              <w:bottom w:val="nil"/>
              <w:right w:val="nil"/>
            </w:tcBorders>
          </w:tcPr>
          <w:p w14:paraId="0BAA70C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24B61B9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nil"/>
              <w:right w:val="nil"/>
            </w:tcBorders>
          </w:tcPr>
          <w:p w14:paraId="794CAB9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CB4F497" w14:textId="77777777">
        <w:tblPrEx>
          <w:tblBorders>
            <w:bottom w:val="single" w:sz="6" w:space="0" w:color="auto"/>
          </w:tblBorders>
        </w:tblPrEx>
        <w:trPr>
          <w:jc w:val="center"/>
        </w:trPr>
        <w:tc>
          <w:tcPr>
            <w:tcW w:w="1553" w:type="pct"/>
            <w:tcBorders>
              <w:top w:val="nil"/>
              <w:left w:val="nil"/>
              <w:bottom w:val="single" w:sz="6" w:space="0" w:color="auto"/>
              <w:right w:val="nil"/>
            </w:tcBorders>
          </w:tcPr>
          <w:p w14:paraId="305D0E55"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149" w:type="pct"/>
            <w:tcBorders>
              <w:top w:val="nil"/>
              <w:left w:val="nil"/>
              <w:bottom w:val="single" w:sz="6" w:space="0" w:color="auto"/>
              <w:right w:val="nil"/>
            </w:tcBorders>
          </w:tcPr>
          <w:p w14:paraId="7CFBB03C"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5EA4FA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149" w:type="pct"/>
            <w:tcBorders>
              <w:top w:val="nil"/>
              <w:left w:val="nil"/>
              <w:bottom w:val="single" w:sz="6" w:space="0" w:color="auto"/>
              <w:right w:val="nil"/>
            </w:tcBorders>
          </w:tcPr>
          <w:p w14:paraId="7A28724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5054943A" w14:textId="7154F876" w:rsidR="009C3784" w:rsidRDefault="007C10D5">
      <w:pPr>
        <w:ind w:firstLineChars="200" w:firstLine="440"/>
        <w:rPr>
          <w:rFonts w:ascii="Times New Roman" w:eastAsia="SimSun" w:hAnsi="Times New Roman" w:cs="Times New Roman"/>
          <w:sz w:val="22"/>
          <w:szCs w:val="24"/>
        </w:rPr>
      </w:pPr>
      <w:r w:rsidRPr="007C10D5">
        <w:rPr>
          <w:rFonts w:ascii="Times New Roman" w:eastAsia="Microsoft YaHei" w:hAnsi="Times New Roman" w:cs="Times New Roman"/>
          <w:sz w:val="22"/>
          <w:szCs w:val="24"/>
        </w:rPr>
        <w:t xml:space="preserve">(4) </w:t>
      </w:r>
      <w:r w:rsidR="00D95DA7">
        <w:rPr>
          <w:rFonts w:ascii="Times New Roman" w:eastAsia="Microsoft YaHei" w:hAnsi="Times New Roman" w:cs="Times New Roman" w:hint="eastAsia"/>
          <w:sz w:val="22"/>
          <w:szCs w:val="24"/>
        </w:rPr>
        <w:t>Resolve collusion between government and business</w:t>
      </w:r>
      <w:r w:rsidR="003C297B">
        <w:rPr>
          <w:rFonts w:ascii="Times New Roman" w:eastAsia="Microsoft YaHei" w:hAnsi="Times New Roman" w:cs="Times New Roman"/>
          <w:sz w:val="22"/>
          <w:szCs w:val="24"/>
        </w:rPr>
        <w:t xml:space="preserve">. </w:t>
      </w:r>
      <w:r w:rsidR="00D95DA7">
        <w:rPr>
          <w:rFonts w:ascii="Times New Roman" w:eastAsia="Microsoft YaHei" w:hAnsi="Times New Roman" w:cs="Times New Roman" w:hint="eastAsia"/>
          <w:sz w:val="22"/>
          <w:szCs w:val="24"/>
        </w:rPr>
        <w:t>Drawing on the research of</w:t>
      </w:r>
      <w:r w:rsidR="0047354F">
        <w:rPr>
          <w:rFonts w:ascii="Times New Roman" w:eastAsia="Microsoft YaHei" w:hAnsi="Times New Roman" w:cs="Times New Roman" w:hint="eastAsia"/>
          <w:sz w:val="22"/>
          <w:szCs w:val="24"/>
        </w:rPr>
        <w:t xml:space="preserve"> </w:t>
      </w:r>
      <w:r w:rsidR="0047354F" w:rsidRPr="00AA289B">
        <w:rPr>
          <w:rFonts w:ascii="Times New Roman" w:eastAsia="Microsoft YaHei" w:hAnsi="Times New Roman" w:cs="Times New Roman" w:hint="eastAsia"/>
          <w:sz w:val="22"/>
          <w:szCs w:val="24"/>
        </w:rPr>
        <w:t>Porter, M. E. (2005)</w:t>
      </w:r>
      <w:r w:rsidR="00D95DA7">
        <w:rPr>
          <w:rFonts w:ascii="Times New Roman" w:eastAsia="Microsoft YaHei" w:hAnsi="Times New Roman" w:cs="Times New Roman" w:hint="eastAsia"/>
          <w:sz w:val="22"/>
          <w:szCs w:val="24"/>
        </w:rPr>
        <w:t>, this paper collects information on political connections among listed companies from their executives' resumes to construct a variable called corporate political connection (pc). The specific measurement method is consistent with that of</w:t>
      </w:r>
      <w:r w:rsidR="00AA289B">
        <w:rPr>
          <w:rFonts w:ascii="Times New Roman" w:eastAsia="Microsoft YaHei" w:hAnsi="Times New Roman" w:cs="Times New Roman" w:hint="eastAsia"/>
          <w:sz w:val="22"/>
          <w:szCs w:val="24"/>
        </w:rPr>
        <w:t xml:space="preserve"> </w:t>
      </w:r>
      <w:r w:rsidR="00AA289B" w:rsidRPr="00AA289B">
        <w:rPr>
          <w:rFonts w:ascii="Times New Roman" w:eastAsia="Microsoft YaHei" w:hAnsi="Times New Roman" w:cs="Times New Roman" w:hint="eastAsia"/>
          <w:sz w:val="22"/>
          <w:szCs w:val="24"/>
        </w:rPr>
        <w:t xml:space="preserve">Esty, D. C. </w:t>
      </w:r>
      <w:r w:rsidR="00AA289B">
        <w:rPr>
          <w:rFonts w:ascii="Times New Roman" w:eastAsia="Microsoft YaHei" w:hAnsi="Times New Roman" w:cs="Times New Roman" w:hint="eastAsia"/>
          <w:sz w:val="22"/>
          <w:szCs w:val="24"/>
        </w:rPr>
        <w:t>and</w:t>
      </w:r>
      <w:r w:rsidR="00AA289B" w:rsidRPr="00AA289B">
        <w:rPr>
          <w:rFonts w:ascii="Times New Roman" w:eastAsia="Microsoft YaHei" w:hAnsi="Times New Roman" w:cs="Times New Roman" w:hint="eastAsia"/>
          <w:sz w:val="22"/>
          <w:szCs w:val="24"/>
        </w:rPr>
        <w:t xml:space="preserve"> Porter, M. E. (2005)</w:t>
      </w:r>
      <w:r w:rsidR="00D95DA7">
        <w:rPr>
          <w:rFonts w:ascii="Times New Roman" w:eastAsia="Microsoft YaHei" w:hAnsi="Times New Roman" w:cs="Times New Roman" w:hint="eastAsia"/>
          <w:sz w:val="22"/>
          <w:szCs w:val="24"/>
        </w:rPr>
        <w:t xml:space="preserve">. Furthermore, based on the degree of political connection between listed companies and enterprises, the political connection is categorized into four levels: district and county level and below (pc_1), city level (pc_2), provincial level (pc_3), and national level (pc_4). The table presents the specific regression results. The results indicate that after incorporating the political connection control variable, the positive impact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has not significantly changed, and the significance level remains unchanged compared to the baseline regression. The regression coefficients in Table 10 have not undergone significant changes. The empirical results suggest that corporate political connection does not significantly affect the policy effect of the </w:t>
      </w:r>
      <w:r w:rsidR="00CE1A0D">
        <w:rPr>
          <w:rFonts w:ascii="Times New Roman" w:eastAsia="Microsoft YaHei" w:hAnsi="Times New Roman" w:cs="Times New Roman" w:hint="eastAsia"/>
          <w:sz w:val="22"/>
          <w:szCs w:val="24"/>
        </w:rPr>
        <w:t xml:space="preserve">EPTL </w:t>
      </w:r>
      <w:r w:rsidR="00D95DA7">
        <w:rPr>
          <w:rFonts w:ascii="Times New Roman" w:eastAsia="Microsoft YaHei" w:hAnsi="Times New Roman" w:cs="Times New Roman" w:hint="eastAsia"/>
          <w:sz w:val="22"/>
          <w:szCs w:val="24"/>
        </w:rPr>
        <w:t xml:space="preserve">on environmental performance improvement, and collusion between the government and enterprises is unlikely to influence the implementation effect of the </w:t>
      </w:r>
      <w:r w:rsidR="00595421">
        <w:rPr>
          <w:rFonts w:ascii="Times New Roman" w:eastAsia="Microsoft YaHei" w:hAnsi="Times New Roman" w:cs="Times New Roman" w:hint="eastAsia"/>
          <w:sz w:val="22"/>
          <w:szCs w:val="24"/>
        </w:rPr>
        <w:t>EPTL</w:t>
      </w:r>
      <w:r w:rsidR="00D95DA7">
        <w:rPr>
          <w:rFonts w:ascii="Times New Roman" w:eastAsia="Microsoft YaHei" w:hAnsi="Times New Roman" w:cs="Times New Roman" w:hint="eastAsia"/>
          <w:sz w:val="22"/>
          <w:szCs w:val="24"/>
        </w:rPr>
        <w:t>.</w:t>
      </w:r>
    </w:p>
    <w:p w14:paraId="57C764B6" w14:textId="77777777" w:rsidR="009C3784" w:rsidRPr="00E86B17" w:rsidRDefault="00D95DA7" w:rsidP="00E86B1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 xml:space="preserve">Table 10 Mechanism Analysis 2 </w:t>
      </w:r>
      <w:r w:rsidR="007C10D5" w:rsidRPr="00E86B17">
        <w:rPr>
          <w:rFonts w:ascii="Times New Roman" w:eastAsia="Microsoft YaHei" w:hAnsi="Times New Roman" w:cs="Times New Roman"/>
          <w:b/>
          <w:sz w:val="22"/>
          <w:szCs w:val="24"/>
        </w:rPr>
        <w:t>--</w:t>
      </w:r>
      <w:r w:rsidRPr="00E86B17">
        <w:rPr>
          <w:rFonts w:ascii="Times New Roman" w:eastAsia="Microsoft YaHei" w:hAnsi="Times New Roman" w:cs="Times New Roman" w:hint="eastAsia"/>
          <w:b/>
          <w:sz w:val="22"/>
          <w:szCs w:val="24"/>
        </w:rPr>
        <w:t>Resolve collusion between government and enterprise</w:t>
      </w:r>
    </w:p>
    <w:tbl>
      <w:tblPr>
        <w:tblW w:w="5000" w:type="pct"/>
        <w:jc w:val="center"/>
        <w:tblCellMar>
          <w:left w:w="75" w:type="dxa"/>
          <w:right w:w="75" w:type="dxa"/>
        </w:tblCellMar>
        <w:tblLook w:val="04A0" w:firstRow="1" w:lastRow="0" w:firstColumn="1" w:lastColumn="0" w:noHBand="0" w:noVBand="1"/>
      </w:tblPr>
      <w:tblGrid>
        <w:gridCol w:w="3636"/>
        <w:gridCol w:w="3001"/>
        <w:gridCol w:w="3001"/>
      </w:tblGrid>
      <w:tr w:rsidR="009C3784" w:rsidRPr="003C297B" w14:paraId="2D404A4D" w14:textId="77777777">
        <w:trPr>
          <w:jc w:val="center"/>
        </w:trPr>
        <w:tc>
          <w:tcPr>
            <w:tcW w:w="1886" w:type="pct"/>
            <w:tcBorders>
              <w:top w:val="single" w:sz="6" w:space="0" w:color="auto"/>
              <w:left w:val="nil"/>
              <w:bottom w:val="nil"/>
              <w:right w:val="nil"/>
            </w:tcBorders>
          </w:tcPr>
          <w:p w14:paraId="176F8CA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single" w:sz="6" w:space="0" w:color="auto"/>
              <w:left w:val="nil"/>
              <w:bottom w:val="nil"/>
              <w:right w:val="nil"/>
            </w:tcBorders>
          </w:tcPr>
          <w:p w14:paraId="2D74E50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(1)</w:t>
            </w:r>
          </w:p>
        </w:tc>
        <w:tc>
          <w:tcPr>
            <w:tcW w:w="1557" w:type="pct"/>
            <w:tcBorders>
              <w:top w:val="single" w:sz="6" w:space="0" w:color="auto"/>
              <w:left w:val="nil"/>
              <w:bottom w:val="nil"/>
              <w:right w:val="nil"/>
            </w:tcBorders>
          </w:tcPr>
          <w:p w14:paraId="7881F92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w:t>
            </w:r>
          </w:p>
        </w:tc>
      </w:tr>
      <w:tr w:rsidR="009C3784" w:rsidRPr="003C297B" w14:paraId="2B2AD489" w14:textId="77777777">
        <w:trPr>
          <w:jc w:val="center"/>
        </w:trPr>
        <w:tc>
          <w:tcPr>
            <w:tcW w:w="1886" w:type="pct"/>
            <w:tcBorders>
              <w:top w:val="nil"/>
              <w:left w:val="nil"/>
              <w:bottom w:val="single" w:sz="6" w:space="0" w:color="auto"/>
              <w:right w:val="nil"/>
            </w:tcBorders>
          </w:tcPr>
          <w:p w14:paraId="166F2CA3"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single" w:sz="6" w:space="0" w:color="auto"/>
              <w:right w:val="nil"/>
            </w:tcBorders>
          </w:tcPr>
          <w:p w14:paraId="421039B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c>
          <w:tcPr>
            <w:tcW w:w="1557" w:type="pct"/>
            <w:tcBorders>
              <w:top w:val="nil"/>
              <w:left w:val="nil"/>
              <w:bottom w:val="single" w:sz="6" w:space="0" w:color="auto"/>
              <w:right w:val="nil"/>
            </w:tcBorders>
          </w:tcPr>
          <w:p w14:paraId="0381F1E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EP</w:t>
            </w:r>
          </w:p>
        </w:tc>
      </w:tr>
      <w:tr w:rsidR="009C3784" w:rsidRPr="003C297B" w14:paraId="3B09214E" w14:textId="77777777">
        <w:trPr>
          <w:jc w:val="center"/>
        </w:trPr>
        <w:tc>
          <w:tcPr>
            <w:tcW w:w="1886" w:type="pct"/>
            <w:tcBorders>
              <w:top w:val="nil"/>
              <w:left w:val="nil"/>
              <w:bottom w:val="nil"/>
              <w:right w:val="nil"/>
            </w:tcBorders>
          </w:tcPr>
          <w:p w14:paraId="2528518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ET</w:t>
            </w:r>
          </w:p>
        </w:tc>
        <w:tc>
          <w:tcPr>
            <w:tcW w:w="1557" w:type="pct"/>
            <w:tcBorders>
              <w:top w:val="nil"/>
              <w:left w:val="nil"/>
              <w:bottom w:val="nil"/>
              <w:right w:val="nil"/>
            </w:tcBorders>
          </w:tcPr>
          <w:p w14:paraId="16CC8602"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0.0347**</w:t>
            </w:r>
          </w:p>
        </w:tc>
        <w:tc>
          <w:tcPr>
            <w:tcW w:w="1557" w:type="pct"/>
            <w:tcBorders>
              <w:top w:val="nil"/>
              <w:left w:val="nil"/>
              <w:bottom w:val="nil"/>
              <w:right w:val="nil"/>
            </w:tcBorders>
          </w:tcPr>
          <w:p w14:paraId="3F3DA5A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0.0352**</w:t>
            </w:r>
          </w:p>
        </w:tc>
      </w:tr>
      <w:tr w:rsidR="009C3784" w:rsidRPr="003C297B" w14:paraId="13329FD0" w14:textId="77777777">
        <w:trPr>
          <w:jc w:val="center"/>
        </w:trPr>
        <w:tc>
          <w:tcPr>
            <w:tcW w:w="1886" w:type="pct"/>
            <w:tcBorders>
              <w:top w:val="nil"/>
              <w:left w:val="nil"/>
              <w:bottom w:val="nil"/>
              <w:right w:val="nil"/>
            </w:tcBorders>
          </w:tcPr>
          <w:p w14:paraId="684F902A"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F5A8B8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(0.0157)</w:t>
            </w:r>
          </w:p>
        </w:tc>
        <w:tc>
          <w:tcPr>
            <w:tcW w:w="1557" w:type="pct"/>
            <w:tcBorders>
              <w:top w:val="nil"/>
              <w:left w:val="nil"/>
              <w:bottom w:val="nil"/>
              <w:right w:val="nil"/>
            </w:tcBorders>
          </w:tcPr>
          <w:p w14:paraId="5FA68B1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(0.0155)</w:t>
            </w:r>
          </w:p>
        </w:tc>
      </w:tr>
      <w:tr w:rsidR="009C3784" w:rsidRPr="003C297B" w14:paraId="6E0635DE" w14:textId="77777777">
        <w:trPr>
          <w:jc w:val="center"/>
        </w:trPr>
        <w:tc>
          <w:tcPr>
            <w:tcW w:w="1886" w:type="pct"/>
            <w:tcBorders>
              <w:top w:val="nil"/>
              <w:left w:val="nil"/>
              <w:bottom w:val="nil"/>
              <w:right w:val="nil"/>
            </w:tcBorders>
          </w:tcPr>
          <w:p w14:paraId="1829B9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w:t>
            </w:r>
          </w:p>
        </w:tc>
        <w:tc>
          <w:tcPr>
            <w:tcW w:w="1557" w:type="pct"/>
            <w:tcBorders>
              <w:top w:val="nil"/>
              <w:left w:val="nil"/>
              <w:bottom w:val="nil"/>
              <w:right w:val="nil"/>
            </w:tcBorders>
          </w:tcPr>
          <w:p w14:paraId="13C6827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-0.0014</w:t>
            </w:r>
          </w:p>
        </w:tc>
        <w:tc>
          <w:tcPr>
            <w:tcW w:w="1557" w:type="pct"/>
            <w:tcBorders>
              <w:top w:val="nil"/>
              <w:left w:val="nil"/>
              <w:bottom w:val="nil"/>
              <w:right w:val="nil"/>
            </w:tcBorders>
          </w:tcPr>
          <w:p w14:paraId="4186DE2D"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62FE4BB0" w14:textId="77777777">
        <w:trPr>
          <w:jc w:val="center"/>
        </w:trPr>
        <w:tc>
          <w:tcPr>
            <w:tcW w:w="1886" w:type="pct"/>
            <w:tcBorders>
              <w:top w:val="nil"/>
              <w:left w:val="nil"/>
              <w:bottom w:val="nil"/>
              <w:right w:val="nil"/>
            </w:tcBorders>
          </w:tcPr>
          <w:p w14:paraId="7F4D7776"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59ECE6C5"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(0.0133)</w:t>
            </w:r>
          </w:p>
        </w:tc>
        <w:tc>
          <w:tcPr>
            <w:tcW w:w="1557" w:type="pct"/>
            <w:tcBorders>
              <w:top w:val="nil"/>
              <w:left w:val="nil"/>
              <w:bottom w:val="nil"/>
              <w:right w:val="nil"/>
            </w:tcBorders>
          </w:tcPr>
          <w:p w14:paraId="705E0BF9" w14:textId="77777777" w:rsidR="009C3784" w:rsidRPr="003C297B" w:rsidRDefault="009C3784">
            <w:pPr>
              <w:autoSpaceDE w:val="0"/>
              <w:autoSpaceDN w:val="0"/>
              <w:adjustRightInd w:val="0"/>
              <w:jc w:val="center"/>
              <w:rPr>
                <w:rFonts w:ascii="Times New Roman" w:eastAsia="SimSun" w:hAnsi="Times New Roman" w:cs="Times New Roman"/>
                <w:kern w:val="0"/>
              </w:rPr>
            </w:pPr>
          </w:p>
        </w:tc>
      </w:tr>
      <w:tr w:rsidR="009C3784" w:rsidRPr="003C297B" w14:paraId="0CEC6086" w14:textId="77777777">
        <w:trPr>
          <w:jc w:val="center"/>
        </w:trPr>
        <w:tc>
          <w:tcPr>
            <w:tcW w:w="1886" w:type="pct"/>
            <w:tcBorders>
              <w:top w:val="nil"/>
              <w:left w:val="nil"/>
              <w:bottom w:val="nil"/>
              <w:right w:val="nil"/>
            </w:tcBorders>
          </w:tcPr>
          <w:p w14:paraId="50AA7F12"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pc_1</w:t>
            </w:r>
          </w:p>
        </w:tc>
        <w:tc>
          <w:tcPr>
            <w:tcW w:w="1557" w:type="pct"/>
            <w:tcBorders>
              <w:top w:val="nil"/>
              <w:left w:val="nil"/>
              <w:bottom w:val="nil"/>
              <w:right w:val="nil"/>
            </w:tcBorders>
          </w:tcPr>
          <w:p w14:paraId="37D9B11A"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356C0AF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0.0057</w:t>
            </w:r>
          </w:p>
        </w:tc>
      </w:tr>
      <w:tr w:rsidR="009C3784" w:rsidRPr="003C297B" w14:paraId="76D63C45" w14:textId="77777777">
        <w:trPr>
          <w:jc w:val="center"/>
        </w:trPr>
        <w:tc>
          <w:tcPr>
            <w:tcW w:w="1886" w:type="pct"/>
            <w:tcBorders>
              <w:top w:val="nil"/>
              <w:left w:val="nil"/>
              <w:bottom w:val="nil"/>
              <w:right w:val="nil"/>
            </w:tcBorders>
          </w:tcPr>
          <w:p w14:paraId="633FA528"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BAFDD61"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4CC90A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(0.0540)</w:t>
            </w:r>
          </w:p>
        </w:tc>
      </w:tr>
      <w:tr w:rsidR="009C3784" w:rsidRPr="003C297B" w14:paraId="52E0B5A7" w14:textId="77777777">
        <w:trPr>
          <w:jc w:val="center"/>
        </w:trPr>
        <w:tc>
          <w:tcPr>
            <w:tcW w:w="1886" w:type="pct"/>
            <w:tcBorders>
              <w:top w:val="nil"/>
              <w:left w:val="nil"/>
              <w:bottom w:val="nil"/>
              <w:right w:val="nil"/>
            </w:tcBorders>
          </w:tcPr>
          <w:p w14:paraId="13D3089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pc_2</w:t>
            </w:r>
          </w:p>
        </w:tc>
        <w:tc>
          <w:tcPr>
            <w:tcW w:w="1557" w:type="pct"/>
            <w:tcBorders>
              <w:top w:val="nil"/>
              <w:left w:val="nil"/>
              <w:bottom w:val="nil"/>
              <w:right w:val="nil"/>
            </w:tcBorders>
          </w:tcPr>
          <w:p w14:paraId="21FD8DD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737CDD9"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-0.0137</w:t>
            </w:r>
          </w:p>
        </w:tc>
      </w:tr>
      <w:tr w:rsidR="009C3784" w:rsidRPr="003C297B" w14:paraId="6AECA498" w14:textId="77777777">
        <w:trPr>
          <w:jc w:val="center"/>
        </w:trPr>
        <w:tc>
          <w:tcPr>
            <w:tcW w:w="1886" w:type="pct"/>
            <w:tcBorders>
              <w:top w:val="nil"/>
              <w:left w:val="nil"/>
              <w:bottom w:val="nil"/>
              <w:right w:val="nil"/>
            </w:tcBorders>
          </w:tcPr>
          <w:p w14:paraId="11A5ADE0"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1C0C149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67D95E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(0.0218)</w:t>
            </w:r>
          </w:p>
        </w:tc>
      </w:tr>
      <w:tr w:rsidR="009C3784" w:rsidRPr="003C297B" w14:paraId="5D77FF61" w14:textId="77777777">
        <w:trPr>
          <w:jc w:val="center"/>
        </w:trPr>
        <w:tc>
          <w:tcPr>
            <w:tcW w:w="1886" w:type="pct"/>
            <w:tcBorders>
              <w:top w:val="nil"/>
              <w:left w:val="nil"/>
              <w:bottom w:val="nil"/>
              <w:right w:val="nil"/>
            </w:tcBorders>
          </w:tcPr>
          <w:p w14:paraId="137347B8"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pc_3</w:t>
            </w:r>
          </w:p>
        </w:tc>
        <w:tc>
          <w:tcPr>
            <w:tcW w:w="1557" w:type="pct"/>
            <w:tcBorders>
              <w:top w:val="nil"/>
              <w:left w:val="nil"/>
              <w:bottom w:val="nil"/>
              <w:right w:val="nil"/>
            </w:tcBorders>
          </w:tcPr>
          <w:p w14:paraId="489311EB"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4D23476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0.0036</w:t>
            </w:r>
          </w:p>
        </w:tc>
      </w:tr>
      <w:tr w:rsidR="009C3784" w:rsidRPr="003C297B" w14:paraId="70825A7D" w14:textId="77777777">
        <w:trPr>
          <w:jc w:val="center"/>
        </w:trPr>
        <w:tc>
          <w:tcPr>
            <w:tcW w:w="1886" w:type="pct"/>
            <w:tcBorders>
              <w:top w:val="nil"/>
              <w:left w:val="nil"/>
              <w:bottom w:val="nil"/>
              <w:right w:val="nil"/>
            </w:tcBorders>
          </w:tcPr>
          <w:p w14:paraId="5F8D23D2"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44A42B98"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69294D2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(0.0201)</w:t>
            </w:r>
          </w:p>
        </w:tc>
      </w:tr>
      <w:tr w:rsidR="009C3784" w:rsidRPr="003C297B" w14:paraId="5AB10384" w14:textId="77777777">
        <w:trPr>
          <w:jc w:val="center"/>
        </w:trPr>
        <w:tc>
          <w:tcPr>
            <w:tcW w:w="1886" w:type="pct"/>
            <w:tcBorders>
              <w:top w:val="nil"/>
              <w:left w:val="nil"/>
              <w:bottom w:val="nil"/>
              <w:right w:val="nil"/>
            </w:tcBorders>
          </w:tcPr>
          <w:p w14:paraId="53D64E8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pc_4</w:t>
            </w:r>
          </w:p>
        </w:tc>
        <w:tc>
          <w:tcPr>
            <w:tcW w:w="1557" w:type="pct"/>
            <w:tcBorders>
              <w:top w:val="nil"/>
              <w:left w:val="nil"/>
              <w:bottom w:val="nil"/>
              <w:right w:val="nil"/>
            </w:tcBorders>
          </w:tcPr>
          <w:p w14:paraId="5F8F0760"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0D1ADD8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0.0028</w:t>
            </w:r>
          </w:p>
        </w:tc>
      </w:tr>
      <w:tr w:rsidR="009C3784" w:rsidRPr="003C297B" w14:paraId="2B714B59" w14:textId="77777777">
        <w:trPr>
          <w:jc w:val="center"/>
        </w:trPr>
        <w:tc>
          <w:tcPr>
            <w:tcW w:w="1886" w:type="pct"/>
            <w:tcBorders>
              <w:top w:val="nil"/>
              <w:left w:val="nil"/>
              <w:bottom w:val="nil"/>
              <w:right w:val="nil"/>
            </w:tcBorders>
          </w:tcPr>
          <w:p w14:paraId="53E0D4BD"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734E452D" w14:textId="77777777" w:rsidR="009C3784" w:rsidRPr="003C297B" w:rsidRDefault="009C3784">
            <w:pPr>
              <w:autoSpaceDE w:val="0"/>
              <w:autoSpaceDN w:val="0"/>
              <w:adjustRightInd w:val="0"/>
              <w:jc w:val="center"/>
              <w:rPr>
                <w:rFonts w:ascii="Times New Roman" w:eastAsia="SimSun" w:hAnsi="Times New Roman" w:cs="Times New Roman"/>
                <w:kern w:val="0"/>
              </w:rPr>
            </w:pPr>
          </w:p>
        </w:tc>
        <w:tc>
          <w:tcPr>
            <w:tcW w:w="1557" w:type="pct"/>
            <w:tcBorders>
              <w:top w:val="nil"/>
              <w:left w:val="nil"/>
              <w:bottom w:val="nil"/>
              <w:right w:val="nil"/>
            </w:tcBorders>
          </w:tcPr>
          <w:p w14:paraId="1CC0CC7B"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(0.0203)</w:t>
            </w:r>
          </w:p>
        </w:tc>
      </w:tr>
      <w:tr w:rsidR="009C3784" w:rsidRPr="003C297B" w14:paraId="67FE9E1D" w14:textId="77777777">
        <w:trPr>
          <w:jc w:val="center"/>
        </w:trPr>
        <w:tc>
          <w:tcPr>
            <w:tcW w:w="1886" w:type="pct"/>
            <w:tcBorders>
              <w:top w:val="nil"/>
              <w:left w:val="nil"/>
              <w:bottom w:val="nil"/>
              <w:right w:val="nil"/>
            </w:tcBorders>
          </w:tcPr>
          <w:p w14:paraId="346465CE"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Constant</w:t>
            </w:r>
          </w:p>
        </w:tc>
        <w:tc>
          <w:tcPr>
            <w:tcW w:w="1557" w:type="pct"/>
            <w:tcBorders>
              <w:top w:val="nil"/>
              <w:left w:val="nil"/>
              <w:bottom w:val="nil"/>
              <w:right w:val="nil"/>
            </w:tcBorders>
          </w:tcPr>
          <w:p w14:paraId="0AA26CD3"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2.1847***</w:t>
            </w:r>
          </w:p>
        </w:tc>
        <w:tc>
          <w:tcPr>
            <w:tcW w:w="1557" w:type="pct"/>
            <w:tcBorders>
              <w:top w:val="nil"/>
              <w:left w:val="nil"/>
              <w:bottom w:val="nil"/>
              <w:right w:val="nil"/>
            </w:tcBorders>
          </w:tcPr>
          <w:p w14:paraId="14359E1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2.2011***</w:t>
            </w:r>
          </w:p>
        </w:tc>
      </w:tr>
      <w:tr w:rsidR="009C3784" w:rsidRPr="003C297B" w14:paraId="1FD470A2" w14:textId="77777777">
        <w:trPr>
          <w:jc w:val="center"/>
        </w:trPr>
        <w:tc>
          <w:tcPr>
            <w:tcW w:w="1886" w:type="pct"/>
            <w:tcBorders>
              <w:top w:val="nil"/>
              <w:left w:val="nil"/>
              <w:bottom w:val="nil"/>
              <w:right w:val="nil"/>
            </w:tcBorders>
          </w:tcPr>
          <w:p w14:paraId="2E049C7F" w14:textId="77777777" w:rsidR="009C3784" w:rsidRPr="003C297B" w:rsidRDefault="009C3784">
            <w:pPr>
              <w:autoSpaceDE w:val="0"/>
              <w:autoSpaceDN w:val="0"/>
              <w:adjustRightInd w:val="0"/>
              <w:jc w:val="left"/>
              <w:rPr>
                <w:rFonts w:ascii="Times New Roman" w:eastAsia="SimSun" w:hAnsi="Times New Roman" w:cs="Times New Roman"/>
                <w:kern w:val="0"/>
              </w:rPr>
            </w:pPr>
          </w:p>
        </w:tc>
        <w:tc>
          <w:tcPr>
            <w:tcW w:w="1557" w:type="pct"/>
            <w:tcBorders>
              <w:top w:val="nil"/>
              <w:left w:val="nil"/>
              <w:bottom w:val="nil"/>
              <w:right w:val="nil"/>
            </w:tcBorders>
          </w:tcPr>
          <w:p w14:paraId="01F4857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(0.4899)</w:t>
            </w:r>
          </w:p>
        </w:tc>
        <w:tc>
          <w:tcPr>
            <w:tcW w:w="1557" w:type="pct"/>
            <w:tcBorders>
              <w:top w:val="nil"/>
              <w:left w:val="nil"/>
              <w:bottom w:val="nil"/>
              <w:right w:val="nil"/>
            </w:tcBorders>
          </w:tcPr>
          <w:p w14:paraId="1CAFD03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(0.4963)</w:t>
            </w:r>
          </w:p>
        </w:tc>
      </w:tr>
      <w:tr w:rsidR="009C3784" w:rsidRPr="003C297B" w14:paraId="3038A24D" w14:textId="77777777">
        <w:trPr>
          <w:jc w:val="center"/>
        </w:trPr>
        <w:tc>
          <w:tcPr>
            <w:tcW w:w="1886" w:type="pct"/>
            <w:tcBorders>
              <w:top w:val="nil"/>
              <w:left w:val="nil"/>
              <w:bottom w:val="nil"/>
              <w:right w:val="nil"/>
            </w:tcBorders>
          </w:tcPr>
          <w:p w14:paraId="33F1B15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Observations</w:t>
            </w:r>
          </w:p>
        </w:tc>
        <w:tc>
          <w:tcPr>
            <w:tcW w:w="1557" w:type="pct"/>
            <w:tcBorders>
              <w:top w:val="nil"/>
              <w:left w:val="nil"/>
              <w:bottom w:val="nil"/>
              <w:right w:val="nil"/>
            </w:tcBorders>
          </w:tcPr>
          <w:p w14:paraId="5A2E5E0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c>
          <w:tcPr>
            <w:tcW w:w="1557" w:type="pct"/>
            <w:tcBorders>
              <w:top w:val="nil"/>
              <w:left w:val="nil"/>
              <w:bottom w:val="nil"/>
              <w:right w:val="nil"/>
            </w:tcBorders>
          </w:tcPr>
          <w:p w14:paraId="3FDA2E8D"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2,848</w:t>
            </w:r>
          </w:p>
        </w:tc>
      </w:tr>
      <w:tr w:rsidR="009C3784" w:rsidRPr="003C297B" w14:paraId="5E149111" w14:textId="77777777">
        <w:trPr>
          <w:jc w:val="center"/>
        </w:trPr>
        <w:tc>
          <w:tcPr>
            <w:tcW w:w="1886" w:type="pct"/>
            <w:tcBorders>
              <w:top w:val="nil"/>
              <w:left w:val="nil"/>
              <w:bottom w:val="nil"/>
              <w:right w:val="nil"/>
            </w:tcBorders>
          </w:tcPr>
          <w:p w14:paraId="07B73DF7"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R-squared</w:t>
            </w:r>
          </w:p>
        </w:tc>
        <w:tc>
          <w:tcPr>
            <w:tcW w:w="1557" w:type="pct"/>
            <w:tcBorders>
              <w:top w:val="nil"/>
              <w:left w:val="nil"/>
              <w:bottom w:val="nil"/>
              <w:right w:val="nil"/>
            </w:tcBorders>
          </w:tcPr>
          <w:p w14:paraId="1BD0E5F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c>
          <w:tcPr>
            <w:tcW w:w="1557" w:type="pct"/>
            <w:tcBorders>
              <w:top w:val="nil"/>
              <w:left w:val="nil"/>
              <w:bottom w:val="nil"/>
              <w:right w:val="nil"/>
            </w:tcBorders>
          </w:tcPr>
          <w:p w14:paraId="381378F8"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0.774</w:t>
            </w:r>
          </w:p>
        </w:tc>
      </w:tr>
      <w:tr w:rsidR="009C3784" w:rsidRPr="003C297B" w14:paraId="562AC963" w14:textId="77777777">
        <w:trPr>
          <w:jc w:val="center"/>
        </w:trPr>
        <w:tc>
          <w:tcPr>
            <w:tcW w:w="1886" w:type="pct"/>
            <w:tcBorders>
              <w:top w:val="nil"/>
              <w:left w:val="nil"/>
              <w:bottom w:val="nil"/>
              <w:right w:val="nil"/>
            </w:tcBorders>
          </w:tcPr>
          <w:p w14:paraId="560E243F"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Controls</w:t>
            </w:r>
          </w:p>
        </w:tc>
        <w:tc>
          <w:tcPr>
            <w:tcW w:w="1557" w:type="pct"/>
            <w:tcBorders>
              <w:top w:val="nil"/>
              <w:left w:val="nil"/>
              <w:bottom w:val="nil"/>
              <w:right w:val="nil"/>
            </w:tcBorders>
          </w:tcPr>
          <w:p w14:paraId="7791746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22A91D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DAC2C6A" w14:textId="77777777">
        <w:trPr>
          <w:jc w:val="center"/>
        </w:trPr>
        <w:tc>
          <w:tcPr>
            <w:tcW w:w="1886" w:type="pct"/>
            <w:tcBorders>
              <w:top w:val="nil"/>
              <w:left w:val="nil"/>
              <w:bottom w:val="nil"/>
              <w:right w:val="nil"/>
            </w:tcBorders>
          </w:tcPr>
          <w:p w14:paraId="427CCFB4"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Year FE</w:t>
            </w:r>
          </w:p>
        </w:tc>
        <w:tc>
          <w:tcPr>
            <w:tcW w:w="1557" w:type="pct"/>
            <w:tcBorders>
              <w:top w:val="nil"/>
              <w:left w:val="nil"/>
              <w:bottom w:val="nil"/>
              <w:right w:val="nil"/>
            </w:tcBorders>
          </w:tcPr>
          <w:p w14:paraId="49390614"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BAB175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1F213B2" w14:textId="77777777">
        <w:trPr>
          <w:jc w:val="center"/>
        </w:trPr>
        <w:tc>
          <w:tcPr>
            <w:tcW w:w="1886" w:type="pct"/>
            <w:tcBorders>
              <w:top w:val="nil"/>
              <w:left w:val="nil"/>
              <w:bottom w:val="nil"/>
              <w:right w:val="nil"/>
            </w:tcBorders>
          </w:tcPr>
          <w:p w14:paraId="3130D259"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Id FE</w:t>
            </w:r>
          </w:p>
        </w:tc>
        <w:tc>
          <w:tcPr>
            <w:tcW w:w="1557" w:type="pct"/>
            <w:tcBorders>
              <w:top w:val="nil"/>
              <w:left w:val="nil"/>
              <w:bottom w:val="nil"/>
              <w:right w:val="nil"/>
            </w:tcBorders>
          </w:tcPr>
          <w:p w14:paraId="39027321"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2E0787D0"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7421DBAC" w14:textId="77777777">
        <w:trPr>
          <w:jc w:val="center"/>
        </w:trPr>
        <w:tc>
          <w:tcPr>
            <w:tcW w:w="1886" w:type="pct"/>
            <w:tcBorders>
              <w:top w:val="nil"/>
              <w:left w:val="nil"/>
              <w:bottom w:val="nil"/>
              <w:right w:val="nil"/>
            </w:tcBorders>
          </w:tcPr>
          <w:p w14:paraId="6EEA8B66"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Ind FE</w:t>
            </w:r>
          </w:p>
        </w:tc>
        <w:tc>
          <w:tcPr>
            <w:tcW w:w="1557" w:type="pct"/>
            <w:tcBorders>
              <w:top w:val="nil"/>
              <w:left w:val="nil"/>
              <w:bottom w:val="nil"/>
              <w:right w:val="nil"/>
            </w:tcBorders>
          </w:tcPr>
          <w:p w14:paraId="36F2AC16"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nil"/>
              <w:right w:val="nil"/>
            </w:tcBorders>
          </w:tcPr>
          <w:p w14:paraId="16C08E5A"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r w:rsidR="009C3784" w:rsidRPr="003C297B" w14:paraId="5EBAA969" w14:textId="77777777">
        <w:tblPrEx>
          <w:tblBorders>
            <w:bottom w:val="single" w:sz="6" w:space="0" w:color="auto"/>
          </w:tblBorders>
        </w:tblPrEx>
        <w:trPr>
          <w:jc w:val="center"/>
        </w:trPr>
        <w:tc>
          <w:tcPr>
            <w:tcW w:w="1886" w:type="pct"/>
            <w:tcBorders>
              <w:top w:val="nil"/>
              <w:left w:val="nil"/>
              <w:bottom w:val="single" w:sz="6" w:space="0" w:color="auto"/>
              <w:right w:val="nil"/>
            </w:tcBorders>
          </w:tcPr>
          <w:p w14:paraId="51F5528A" w14:textId="77777777" w:rsidR="009C3784" w:rsidRPr="003C297B" w:rsidRDefault="00D95DA7">
            <w:pPr>
              <w:autoSpaceDE w:val="0"/>
              <w:autoSpaceDN w:val="0"/>
              <w:adjustRightInd w:val="0"/>
              <w:jc w:val="left"/>
              <w:rPr>
                <w:rFonts w:ascii="Times New Roman" w:eastAsia="SimSun" w:hAnsi="Times New Roman" w:cs="Times New Roman"/>
                <w:kern w:val="0"/>
              </w:rPr>
            </w:pPr>
            <w:r w:rsidRPr="003C297B">
              <w:rPr>
                <w:rFonts w:ascii="Times New Roman" w:eastAsia="Microsoft YaHei" w:hAnsi="Times New Roman" w:cs="Times New Roman" w:hint="eastAsia"/>
                <w:kern w:val="0"/>
              </w:rPr>
              <w:t>Prov FE</w:t>
            </w:r>
          </w:p>
        </w:tc>
        <w:tc>
          <w:tcPr>
            <w:tcW w:w="1557" w:type="pct"/>
            <w:tcBorders>
              <w:top w:val="nil"/>
              <w:left w:val="nil"/>
              <w:bottom w:val="single" w:sz="6" w:space="0" w:color="auto"/>
              <w:right w:val="nil"/>
            </w:tcBorders>
          </w:tcPr>
          <w:p w14:paraId="4B6C581E"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c>
          <w:tcPr>
            <w:tcW w:w="1557" w:type="pct"/>
            <w:tcBorders>
              <w:top w:val="nil"/>
              <w:left w:val="nil"/>
              <w:bottom w:val="single" w:sz="6" w:space="0" w:color="auto"/>
              <w:right w:val="nil"/>
            </w:tcBorders>
          </w:tcPr>
          <w:p w14:paraId="167D4487" w14:textId="77777777" w:rsidR="009C3784" w:rsidRPr="003C297B" w:rsidRDefault="00D95DA7">
            <w:pPr>
              <w:autoSpaceDE w:val="0"/>
              <w:autoSpaceDN w:val="0"/>
              <w:adjustRightInd w:val="0"/>
              <w:jc w:val="center"/>
              <w:rPr>
                <w:rFonts w:ascii="Times New Roman" w:eastAsia="SimSun" w:hAnsi="Times New Roman" w:cs="Times New Roman"/>
                <w:kern w:val="0"/>
              </w:rPr>
            </w:pPr>
            <w:r w:rsidRPr="003C297B">
              <w:rPr>
                <w:rFonts w:ascii="Times New Roman" w:eastAsia="Microsoft YaHei" w:hAnsi="Times New Roman" w:cs="Times New Roman" w:hint="eastAsia"/>
                <w:kern w:val="0"/>
              </w:rPr>
              <w:t>YES</w:t>
            </w:r>
          </w:p>
        </w:tc>
      </w:tr>
    </w:tbl>
    <w:p w14:paraId="3A020E17" w14:textId="4CADD323" w:rsidR="009C3784" w:rsidRPr="003B563D" w:rsidRDefault="003B563D" w:rsidP="003B563D">
      <w:pPr>
        <w:keepNext/>
        <w:keepLines/>
        <w:snapToGrid w:val="0"/>
        <w:outlineLvl w:val="3"/>
        <w:rPr>
          <w:rFonts w:ascii="Times New Roman" w:eastAsia="Microsoft YaHei" w:hAnsi="Times New Roman" w:cs="Times New Roman"/>
          <w:b/>
          <w:bCs/>
          <w:szCs w:val="28"/>
        </w:rPr>
      </w:pPr>
      <w:r w:rsidRPr="003B563D">
        <w:rPr>
          <w:rFonts w:ascii="Times New Roman" w:eastAsia="Microsoft YaHei" w:hAnsi="Times New Roman" w:cs="Times New Roman" w:hint="eastAsia"/>
          <w:b/>
          <w:bCs/>
          <w:szCs w:val="28"/>
        </w:rPr>
        <w:t>4.5</w:t>
      </w:r>
      <w:r w:rsidR="00D95DA7" w:rsidRPr="003B563D">
        <w:rPr>
          <w:rFonts w:ascii="Times New Roman" w:eastAsia="Microsoft YaHei" w:hAnsi="Times New Roman" w:cs="Times New Roman" w:hint="eastAsia"/>
          <w:b/>
          <w:bCs/>
          <w:szCs w:val="28"/>
        </w:rPr>
        <w:t>.Further analysis</w:t>
      </w:r>
    </w:p>
    <w:p w14:paraId="7BE3663D" w14:textId="47F711A8"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previous analysis of the mechanism indicates that, in the face of rising production and compliance costs due to increasingly stringent environmental regulations, regulated companies may find it difficult to </w:t>
      </w:r>
      <w:r>
        <w:rPr>
          <w:rFonts w:ascii="Times New Roman" w:eastAsia="Microsoft YaHei" w:hAnsi="Times New Roman" w:cs="Times New Roman" w:hint="eastAsia"/>
          <w:sz w:val="22"/>
          <w:szCs w:val="24"/>
        </w:rPr>
        <w:lastRenderedPageBreak/>
        <w:t xml:space="preserve">continue rectification efforts if they cannot afford the continuously increasing operating costs. Instead, they might opt to evade environmental law enforcement, leading to a negative transfer phenomenon across regions. Does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lead to such a negative pollution transfer phenomenon? In other words, when faced with the environmental legitimacy pressure from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will companies choose to rectify or passively transfer their pollution?</w:t>
      </w:r>
    </w:p>
    <w:p w14:paraId="5DD622DA" w14:textId="77777777" w:rsidR="009C3784" w:rsidRPr="00E86B17" w:rsidRDefault="00D95DA7">
      <w:pPr>
        <w:ind w:firstLineChars="200" w:firstLine="440"/>
        <w:jc w:val="center"/>
        <w:rPr>
          <w:rFonts w:ascii="Times New Roman" w:eastAsia="Microsoft YaHei" w:hAnsi="Times New Roman" w:cs="Times New Roman"/>
          <w:b/>
          <w:sz w:val="22"/>
          <w:szCs w:val="24"/>
        </w:rPr>
      </w:pPr>
      <w:r w:rsidRPr="00E86B17">
        <w:rPr>
          <w:rFonts w:ascii="Times New Roman" w:eastAsia="Microsoft YaHei" w:hAnsi="Times New Roman" w:cs="Times New Roman" w:hint="eastAsia"/>
          <w:b/>
          <w:sz w:val="22"/>
          <w:szCs w:val="24"/>
        </w:rPr>
        <w:t>Table 11. Transfer or transformation analysis</w:t>
      </w:r>
    </w:p>
    <w:tbl>
      <w:tblPr>
        <w:tblW w:w="5000" w:type="pct"/>
        <w:jc w:val="center"/>
        <w:tblCellMar>
          <w:left w:w="75" w:type="dxa"/>
          <w:right w:w="75" w:type="dxa"/>
        </w:tblCellMar>
        <w:tblLook w:val="04A0" w:firstRow="1" w:lastRow="0" w:firstColumn="1" w:lastColumn="0" w:noHBand="0" w:noVBand="1"/>
      </w:tblPr>
      <w:tblGrid>
        <w:gridCol w:w="2408"/>
        <w:gridCol w:w="2410"/>
        <w:gridCol w:w="2410"/>
        <w:gridCol w:w="2410"/>
      </w:tblGrid>
      <w:tr w:rsidR="009C3784" w:rsidRPr="003C297B" w14:paraId="33B79B40" w14:textId="77777777">
        <w:trPr>
          <w:jc w:val="center"/>
        </w:trPr>
        <w:tc>
          <w:tcPr>
            <w:tcW w:w="1249" w:type="pct"/>
            <w:tcBorders>
              <w:top w:val="single" w:sz="6" w:space="0" w:color="auto"/>
              <w:left w:val="nil"/>
              <w:bottom w:val="nil"/>
              <w:right w:val="nil"/>
            </w:tcBorders>
          </w:tcPr>
          <w:p w14:paraId="7B03E639"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single" w:sz="6" w:space="0" w:color="auto"/>
              <w:left w:val="nil"/>
              <w:bottom w:val="nil"/>
              <w:right w:val="nil"/>
            </w:tcBorders>
          </w:tcPr>
          <w:p w14:paraId="5FA4218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w:t>
            </w:r>
          </w:p>
        </w:tc>
        <w:tc>
          <w:tcPr>
            <w:tcW w:w="1250" w:type="pct"/>
            <w:tcBorders>
              <w:top w:val="single" w:sz="6" w:space="0" w:color="auto"/>
              <w:left w:val="nil"/>
              <w:bottom w:val="nil"/>
              <w:right w:val="nil"/>
            </w:tcBorders>
          </w:tcPr>
          <w:p w14:paraId="36A7059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w:t>
            </w:r>
          </w:p>
        </w:tc>
        <w:tc>
          <w:tcPr>
            <w:tcW w:w="1250" w:type="pct"/>
            <w:tcBorders>
              <w:top w:val="single" w:sz="6" w:space="0" w:color="auto"/>
              <w:left w:val="nil"/>
              <w:bottom w:val="nil"/>
              <w:right w:val="nil"/>
            </w:tcBorders>
          </w:tcPr>
          <w:p w14:paraId="408E71F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w:t>
            </w:r>
          </w:p>
        </w:tc>
      </w:tr>
      <w:tr w:rsidR="009C3784" w:rsidRPr="003C297B" w14:paraId="711E9B8E" w14:textId="77777777">
        <w:trPr>
          <w:jc w:val="center"/>
        </w:trPr>
        <w:tc>
          <w:tcPr>
            <w:tcW w:w="1249" w:type="pct"/>
            <w:tcBorders>
              <w:top w:val="nil"/>
              <w:left w:val="nil"/>
              <w:bottom w:val="single" w:sz="6" w:space="0" w:color="auto"/>
              <w:right w:val="nil"/>
            </w:tcBorders>
          </w:tcPr>
          <w:p w14:paraId="25CBC3C3"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single" w:sz="6" w:space="0" w:color="auto"/>
              <w:right w:val="nil"/>
            </w:tcBorders>
          </w:tcPr>
          <w:p w14:paraId="1521DDB1"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Listed company subsidiaries</w:t>
            </w:r>
          </w:p>
        </w:tc>
        <w:tc>
          <w:tcPr>
            <w:tcW w:w="1250" w:type="pct"/>
            <w:tcBorders>
              <w:top w:val="nil"/>
              <w:left w:val="nil"/>
              <w:bottom w:val="single" w:sz="6" w:space="0" w:color="auto"/>
              <w:right w:val="nil"/>
            </w:tcBorders>
          </w:tcPr>
          <w:p w14:paraId="4F429E93"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Overseas subsidiaries of listed companies</w:t>
            </w:r>
          </w:p>
        </w:tc>
        <w:tc>
          <w:tcPr>
            <w:tcW w:w="1250" w:type="pct"/>
            <w:tcBorders>
              <w:top w:val="nil"/>
              <w:left w:val="nil"/>
              <w:bottom w:val="single" w:sz="6" w:space="0" w:color="auto"/>
              <w:right w:val="nil"/>
            </w:tcBorders>
          </w:tcPr>
          <w:p w14:paraId="49CA4DFC" w14:textId="77777777" w:rsidR="009C3784" w:rsidRPr="003C297B" w:rsidRDefault="00D95DA7">
            <w:pPr>
              <w:autoSpaceDE w:val="0"/>
              <w:autoSpaceDN w:val="0"/>
              <w:adjustRightInd w:val="0"/>
              <w:jc w:val="center"/>
              <w:rPr>
                <w:rFonts w:ascii="Times New Roman" w:hAnsi="Times New Roman" w:cs="Times New Roman"/>
                <w:kern w:val="0"/>
                <w:sz w:val="22"/>
              </w:rPr>
            </w:pPr>
            <w:r w:rsidRPr="003C297B">
              <w:rPr>
                <w:rFonts w:ascii="Times New Roman" w:eastAsia="Microsoft YaHei" w:hAnsi="Times New Roman" w:cs="Times New Roman" w:hint="eastAsia"/>
                <w:kern w:val="0"/>
                <w:sz w:val="22"/>
              </w:rPr>
              <w:t>Countries along the "Belt and Road"</w:t>
            </w:r>
          </w:p>
        </w:tc>
      </w:tr>
      <w:tr w:rsidR="009C3784" w:rsidRPr="003C297B" w14:paraId="6E443B7A" w14:textId="77777777">
        <w:trPr>
          <w:jc w:val="center"/>
        </w:trPr>
        <w:tc>
          <w:tcPr>
            <w:tcW w:w="1249" w:type="pct"/>
            <w:tcBorders>
              <w:top w:val="nil"/>
              <w:left w:val="nil"/>
              <w:bottom w:val="nil"/>
              <w:right w:val="nil"/>
            </w:tcBorders>
          </w:tcPr>
          <w:p w14:paraId="3E427CB7"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ET</w:t>
            </w:r>
          </w:p>
        </w:tc>
        <w:tc>
          <w:tcPr>
            <w:tcW w:w="1250" w:type="pct"/>
            <w:tcBorders>
              <w:top w:val="nil"/>
              <w:left w:val="nil"/>
              <w:bottom w:val="nil"/>
              <w:right w:val="nil"/>
            </w:tcBorders>
          </w:tcPr>
          <w:p w14:paraId="17B7422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-1.3129</w:t>
            </w:r>
          </w:p>
        </w:tc>
        <w:tc>
          <w:tcPr>
            <w:tcW w:w="1250" w:type="pct"/>
            <w:tcBorders>
              <w:top w:val="nil"/>
              <w:left w:val="nil"/>
              <w:bottom w:val="nil"/>
              <w:right w:val="nil"/>
            </w:tcBorders>
          </w:tcPr>
          <w:p w14:paraId="6C71016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-0.1744</w:t>
            </w:r>
          </w:p>
        </w:tc>
        <w:tc>
          <w:tcPr>
            <w:tcW w:w="1250" w:type="pct"/>
            <w:tcBorders>
              <w:top w:val="nil"/>
              <w:left w:val="nil"/>
              <w:bottom w:val="nil"/>
              <w:right w:val="nil"/>
            </w:tcBorders>
          </w:tcPr>
          <w:p w14:paraId="464F60E0"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-0.0415</w:t>
            </w:r>
          </w:p>
        </w:tc>
      </w:tr>
      <w:tr w:rsidR="009C3784" w:rsidRPr="003C297B" w14:paraId="4C511892" w14:textId="77777777">
        <w:trPr>
          <w:jc w:val="center"/>
        </w:trPr>
        <w:tc>
          <w:tcPr>
            <w:tcW w:w="1249" w:type="pct"/>
            <w:tcBorders>
              <w:top w:val="nil"/>
              <w:left w:val="nil"/>
              <w:bottom w:val="nil"/>
              <w:right w:val="nil"/>
            </w:tcBorders>
          </w:tcPr>
          <w:p w14:paraId="4AAAA9CF"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10415905"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(1.2934)</w:t>
            </w:r>
          </w:p>
        </w:tc>
        <w:tc>
          <w:tcPr>
            <w:tcW w:w="1250" w:type="pct"/>
            <w:tcBorders>
              <w:top w:val="nil"/>
              <w:left w:val="nil"/>
              <w:bottom w:val="nil"/>
              <w:right w:val="nil"/>
            </w:tcBorders>
          </w:tcPr>
          <w:p w14:paraId="3600E11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(0.2682)</w:t>
            </w:r>
          </w:p>
        </w:tc>
        <w:tc>
          <w:tcPr>
            <w:tcW w:w="1250" w:type="pct"/>
            <w:tcBorders>
              <w:top w:val="nil"/>
              <w:left w:val="nil"/>
              <w:bottom w:val="nil"/>
              <w:right w:val="nil"/>
            </w:tcBorders>
          </w:tcPr>
          <w:p w14:paraId="5AC82C1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(0.0629)</w:t>
            </w:r>
          </w:p>
        </w:tc>
      </w:tr>
      <w:tr w:rsidR="009C3784" w:rsidRPr="003C297B" w14:paraId="3B94561B" w14:textId="77777777">
        <w:trPr>
          <w:jc w:val="center"/>
        </w:trPr>
        <w:tc>
          <w:tcPr>
            <w:tcW w:w="1249" w:type="pct"/>
            <w:tcBorders>
              <w:top w:val="nil"/>
              <w:left w:val="nil"/>
              <w:bottom w:val="nil"/>
              <w:right w:val="nil"/>
            </w:tcBorders>
          </w:tcPr>
          <w:p w14:paraId="5E28702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Constant</w:t>
            </w:r>
          </w:p>
        </w:tc>
        <w:tc>
          <w:tcPr>
            <w:tcW w:w="1250" w:type="pct"/>
            <w:tcBorders>
              <w:top w:val="nil"/>
              <w:left w:val="nil"/>
              <w:bottom w:val="nil"/>
              <w:right w:val="nil"/>
            </w:tcBorders>
          </w:tcPr>
          <w:p w14:paraId="5064781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-338.2465**</w:t>
            </w:r>
          </w:p>
        </w:tc>
        <w:tc>
          <w:tcPr>
            <w:tcW w:w="1250" w:type="pct"/>
            <w:tcBorders>
              <w:top w:val="nil"/>
              <w:left w:val="nil"/>
              <w:bottom w:val="nil"/>
              <w:right w:val="nil"/>
            </w:tcBorders>
          </w:tcPr>
          <w:p w14:paraId="395EF87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-111.0276</w:t>
            </w:r>
          </w:p>
        </w:tc>
        <w:tc>
          <w:tcPr>
            <w:tcW w:w="1250" w:type="pct"/>
            <w:tcBorders>
              <w:top w:val="nil"/>
              <w:left w:val="nil"/>
              <w:bottom w:val="nil"/>
              <w:right w:val="nil"/>
            </w:tcBorders>
          </w:tcPr>
          <w:p w14:paraId="0B6EFAB3"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-18.9933***</w:t>
            </w:r>
          </w:p>
        </w:tc>
      </w:tr>
      <w:tr w:rsidR="009C3784" w:rsidRPr="003C297B" w14:paraId="52964380" w14:textId="77777777">
        <w:trPr>
          <w:jc w:val="center"/>
        </w:trPr>
        <w:tc>
          <w:tcPr>
            <w:tcW w:w="1249" w:type="pct"/>
            <w:tcBorders>
              <w:top w:val="nil"/>
              <w:left w:val="nil"/>
              <w:bottom w:val="nil"/>
              <w:right w:val="nil"/>
            </w:tcBorders>
          </w:tcPr>
          <w:p w14:paraId="44B822AC" w14:textId="77777777" w:rsidR="009C3784" w:rsidRPr="003C297B" w:rsidRDefault="009C3784">
            <w:pPr>
              <w:autoSpaceDE w:val="0"/>
              <w:autoSpaceDN w:val="0"/>
              <w:adjustRightInd w:val="0"/>
              <w:jc w:val="left"/>
              <w:rPr>
                <w:rFonts w:ascii="Times New Roman" w:hAnsi="Times New Roman" w:cs="Times New Roman"/>
                <w:kern w:val="0"/>
                <w:sz w:val="22"/>
                <w:szCs w:val="24"/>
              </w:rPr>
            </w:pPr>
          </w:p>
        </w:tc>
        <w:tc>
          <w:tcPr>
            <w:tcW w:w="1250" w:type="pct"/>
            <w:tcBorders>
              <w:top w:val="nil"/>
              <w:left w:val="nil"/>
              <w:bottom w:val="nil"/>
              <w:right w:val="nil"/>
            </w:tcBorders>
          </w:tcPr>
          <w:p w14:paraId="67170AA8"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(135.3622)</w:t>
            </w:r>
          </w:p>
        </w:tc>
        <w:tc>
          <w:tcPr>
            <w:tcW w:w="1250" w:type="pct"/>
            <w:tcBorders>
              <w:top w:val="nil"/>
              <w:left w:val="nil"/>
              <w:bottom w:val="nil"/>
              <w:right w:val="nil"/>
            </w:tcBorders>
          </w:tcPr>
          <w:p w14:paraId="7A00B7A1"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(71.4622)</w:t>
            </w:r>
          </w:p>
        </w:tc>
        <w:tc>
          <w:tcPr>
            <w:tcW w:w="1250" w:type="pct"/>
            <w:tcBorders>
              <w:top w:val="nil"/>
              <w:left w:val="nil"/>
              <w:bottom w:val="nil"/>
              <w:right w:val="nil"/>
            </w:tcBorders>
          </w:tcPr>
          <w:p w14:paraId="08918B3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(6.0323)</w:t>
            </w:r>
          </w:p>
        </w:tc>
      </w:tr>
      <w:tr w:rsidR="009C3784" w:rsidRPr="003C297B" w14:paraId="42112D88" w14:textId="77777777">
        <w:trPr>
          <w:jc w:val="center"/>
        </w:trPr>
        <w:tc>
          <w:tcPr>
            <w:tcW w:w="1249" w:type="pct"/>
            <w:tcBorders>
              <w:top w:val="nil"/>
              <w:left w:val="nil"/>
              <w:bottom w:val="nil"/>
              <w:right w:val="nil"/>
            </w:tcBorders>
          </w:tcPr>
          <w:p w14:paraId="69A857C5"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Observations</w:t>
            </w:r>
          </w:p>
        </w:tc>
        <w:tc>
          <w:tcPr>
            <w:tcW w:w="1250" w:type="pct"/>
            <w:tcBorders>
              <w:top w:val="nil"/>
              <w:left w:val="nil"/>
              <w:bottom w:val="nil"/>
              <w:right w:val="nil"/>
            </w:tcBorders>
          </w:tcPr>
          <w:p w14:paraId="7A3C0B56"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6C8BDC3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c>
          <w:tcPr>
            <w:tcW w:w="1250" w:type="pct"/>
            <w:tcBorders>
              <w:top w:val="nil"/>
              <w:left w:val="nil"/>
              <w:bottom w:val="nil"/>
              <w:right w:val="nil"/>
            </w:tcBorders>
          </w:tcPr>
          <w:p w14:paraId="4C8C6BD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2,787</w:t>
            </w:r>
          </w:p>
        </w:tc>
      </w:tr>
      <w:tr w:rsidR="009C3784" w:rsidRPr="003C297B" w14:paraId="599C211F" w14:textId="77777777">
        <w:trPr>
          <w:jc w:val="center"/>
        </w:trPr>
        <w:tc>
          <w:tcPr>
            <w:tcW w:w="1249" w:type="pct"/>
            <w:tcBorders>
              <w:top w:val="nil"/>
              <w:left w:val="nil"/>
              <w:bottom w:val="nil"/>
              <w:right w:val="nil"/>
            </w:tcBorders>
          </w:tcPr>
          <w:p w14:paraId="280C96DF"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R-squared</w:t>
            </w:r>
          </w:p>
        </w:tc>
        <w:tc>
          <w:tcPr>
            <w:tcW w:w="1250" w:type="pct"/>
            <w:tcBorders>
              <w:top w:val="nil"/>
              <w:left w:val="nil"/>
              <w:bottom w:val="nil"/>
              <w:right w:val="nil"/>
            </w:tcBorders>
          </w:tcPr>
          <w:p w14:paraId="0604A20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0.918</w:t>
            </w:r>
          </w:p>
        </w:tc>
        <w:tc>
          <w:tcPr>
            <w:tcW w:w="1250" w:type="pct"/>
            <w:tcBorders>
              <w:top w:val="nil"/>
              <w:left w:val="nil"/>
              <w:bottom w:val="nil"/>
              <w:right w:val="nil"/>
            </w:tcBorders>
          </w:tcPr>
          <w:p w14:paraId="7AC8EF8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0.869</w:t>
            </w:r>
          </w:p>
        </w:tc>
        <w:tc>
          <w:tcPr>
            <w:tcW w:w="1250" w:type="pct"/>
            <w:tcBorders>
              <w:top w:val="nil"/>
              <w:left w:val="nil"/>
              <w:bottom w:val="nil"/>
              <w:right w:val="nil"/>
            </w:tcBorders>
          </w:tcPr>
          <w:p w14:paraId="09994FE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0.913</w:t>
            </w:r>
          </w:p>
        </w:tc>
      </w:tr>
      <w:tr w:rsidR="009C3784" w:rsidRPr="003C297B" w14:paraId="78B056FB" w14:textId="77777777">
        <w:trPr>
          <w:jc w:val="center"/>
        </w:trPr>
        <w:tc>
          <w:tcPr>
            <w:tcW w:w="1249" w:type="pct"/>
            <w:tcBorders>
              <w:top w:val="nil"/>
              <w:left w:val="nil"/>
              <w:bottom w:val="nil"/>
              <w:right w:val="nil"/>
            </w:tcBorders>
          </w:tcPr>
          <w:p w14:paraId="55AF7CED"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Controls</w:t>
            </w:r>
          </w:p>
        </w:tc>
        <w:tc>
          <w:tcPr>
            <w:tcW w:w="1250" w:type="pct"/>
            <w:tcBorders>
              <w:top w:val="nil"/>
              <w:left w:val="nil"/>
              <w:bottom w:val="nil"/>
              <w:right w:val="nil"/>
            </w:tcBorders>
          </w:tcPr>
          <w:p w14:paraId="485861B2"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1A8BC1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41446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0467E76" w14:textId="77777777">
        <w:trPr>
          <w:jc w:val="center"/>
        </w:trPr>
        <w:tc>
          <w:tcPr>
            <w:tcW w:w="1249" w:type="pct"/>
            <w:tcBorders>
              <w:top w:val="nil"/>
              <w:left w:val="nil"/>
              <w:bottom w:val="nil"/>
              <w:right w:val="nil"/>
            </w:tcBorders>
          </w:tcPr>
          <w:p w14:paraId="2005DC83"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Year FE</w:t>
            </w:r>
          </w:p>
        </w:tc>
        <w:tc>
          <w:tcPr>
            <w:tcW w:w="1250" w:type="pct"/>
            <w:tcBorders>
              <w:top w:val="nil"/>
              <w:left w:val="nil"/>
              <w:bottom w:val="nil"/>
              <w:right w:val="nil"/>
            </w:tcBorders>
          </w:tcPr>
          <w:p w14:paraId="1BE954D9"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6168D8B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E4E635C"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1BA552F3" w14:textId="77777777">
        <w:trPr>
          <w:jc w:val="center"/>
        </w:trPr>
        <w:tc>
          <w:tcPr>
            <w:tcW w:w="1249" w:type="pct"/>
            <w:tcBorders>
              <w:top w:val="nil"/>
              <w:left w:val="nil"/>
              <w:bottom w:val="nil"/>
              <w:right w:val="nil"/>
            </w:tcBorders>
          </w:tcPr>
          <w:p w14:paraId="5B6E5DFE"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Id FE</w:t>
            </w:r>
          </w:p>
        </w:tc>
        <w:tc>
          <w:tcPr>
            <w:tcW w:w="1250" w:type="pct"/>
            <w:tcBorders>
              <w:top w:val="nil"/>
              <w:left w:val="nil"/>
              <w:bottom w:val="nil"/>
              <w:right w:val="nil"/>
            </w:tcBorders>
          </w:tcPr>
          <w:p w14:paraId="3418AD1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1B63B8E"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37178064"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33C111D6" w14:textId="77777777">
        <w:trPr>
          <w:jc w:val="center"/>
        </w:trPr>
        <w:tc>
          <w:tcPr>
            <w:tcW w:w="1249" w:type="pct"/>
            <w:tcBorders>
              <w:top w:val="nil"/>
              <w:left w:val="nil"/>
              <w:bottom w:val="nil"/>
              <w:right w:val="nil"/>
            </w:tcBorders>
          </w:tcPr>
          <w:p w14:paraId="306BE6DB"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Ind FE</w:t>
            </w:r>
          </w:p>
        </w:tc>
        <w:tc>
          <w:tcPr>
            <w:tcW w:w="1250" w:type="pct"/>
            <w:tcBorders>
              <w:top w:val="nil"/>
              <w:left w:val="nil"/>
              <w:bottom w:val="nil"/>
              <w:right w:val="nil"/>
            </w:tcBorders>
          </w:tcPr>
          <w:p w14:paraId="36842A57"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075909BA"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nil"/>
              <w:right w:val="nil"/>
            </w:tcBorders>
          </w:tcPr>
          <w:p w14:paraId="7DD6C7E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r w:rsidR="009C3784" w:rsidRPr="003C297B" w14:paraId="7BC7630A" w14:textId="77777777">
        <w:tblPrEx>
          <w:tblBorders>
            <w:bottom w:val="single" w:sz="6" w:space="0" w:color="auto"/>
          </w:tblBorders>
        </w:tblPrEx>
        <w:trPr>
          <w:jc w:val="center"/>
        </w:trPr>
        <w:tc>
          <w:tcPr>
            <w:tcW w:w="1249" w:type="pct"/>
            <w:tcBorders>
              <w:top w:val="nil"/>
              <w:left w:val="nil"/>
              <w:bottom w:val="single" w:sz="6" w:space="0" w:color="auto"/>
              <w:right w:val="nil"/>
            </w:tcBorders>
          </w:tcPr>
          <w:p w14:paraId="10D61BE2" w14:textId="77777777" w:rsidR="009C3784" w:rsidRPr="003C297B" w:rsidRDefault="00D95DA7">
            <w:pPr>
              <w:autoSpaceDE w:val="0"/>
              <w:autoSpaceDN w:val="0"/>
              <w:adjustRightInd w:val="0"/>
              <w:jc w:val="left"/>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Prov FE</w:t>
            </w:r>
          </w:p>
        </w:tc>
        <w:tc>
          <w:tcPr>
            <w:tcW w:w="1250" w:type="pct"/>
            <w:tcBorders>
              <w:top w:val="nil"/>
              <w:left w:val="nil"/>
              <w:bottom w:val="single" w:sz="6" w:space="0" w:color="auto"/>
              <w:right w:val="nil"/>
            </w:tcBorders>
          </w:tcPr>
          <w:p w14:paraId="00F8581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52590E0D"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c>
          <w:tcPr>
            <w:tcW w:w="1250" w:type="pct"/>
            <w:tcBorders>
              <w:top w:val="nil"/>
              <w:left w:val="nil"/>
              <w:bottom w:val="single" w:sz="6" w:space="0" w:color="auto"/>
              <w:right w:val="nil"/>
            </w:tcBorders>
          </w:tcPr>
          <w:p w14:paraId="3D7CE76F" w14:textId="77777777" w:rsidR="009C3784" w:rsidRPr="003C297B" w:rsidRDefault="00D95DA7">
            <w:pPr>
              <w:autoSpaceDE w:val="0"/>
              <w:autoSpaceDN w:val="0"/>
              <w:adjustRightInd w:val="0"/>
              <w:jc w:val="center"/>
              <w:rPr>
                <w:rFonts w:ascii="Times New Roman" w:hAnsi="Times New Roman" w:cs="Times New Roman"/>
                <w:kern w:val="0"/>
                <w:sz w:val="22"/>
                <w:szCs w:val="24"/>
              </w:rPr>
            </w:pPr>
            <w:r w:rsidRPr="003C297B">
              <w:rPr>
                <w:rFonts w:ascii="Times New Roman" w:eastAsia="Microsoft YaHei" w:hAnsi="Times New Roman" w:cs="Times New Roman" w:hint="eastAsia"/>
                <w:kern w:val="0"/>
                <w:sz w:val="22"/>
                <w:szCs w:val="24"/>
              </w:rPr>
              <w:t>YES</w:t>
            </w:r>
          </w:p>
        </w:tc>
      </w:tr>
    </w:tbl>
    <w:p w14:paraId="2B2F6F0B" w14:textId="361AF049"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Based on the above analysis, this paper manually collected data on the number of subsidiaries of listed companies, the number of overseas subsidiaries of listed companies, and the number of subsidiaries established by listed companies in Belt and Road countries. This data was used to test the mechanism analysis presented earlier. The empirical results show that the regression coefficients for the core explanatory variables are negative but not significant, indicating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has not significantly led to pollution transfer through the establishment of subsidiaries or the setting up of overseas subsidiaries in Belt and Road countries. The regression results in Table 11 suggest that the rationality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's design reflects that its mandatory penalty mechanism has not severely impacted the operating costs of enterprises, nor has it resulted in negative cross-regional pollution transfer. Instead, it primarily promotes heavy polluting enterprises to voluntarily rectify their operations, control pollution, fulfill environmental social responsibilities, and engage in green governance through its internal incentive mechanisms.</w:t>
      </w:r>
    </w:p>
    <w:p w14:paraId="55C3CEF0" w14:textId="5D922AB6" w:rsidR="009C3784" w:rsidRDefault="003B563D">
      <w:pPr>
        <w:pStyle w:val="Heading1"/>
        <w:spacing w:line="300" w:lineRule="auto"/>
        <w:rPr>
          <w:rFonts w:ascii="Times New Roman" w:eastAsia="SimSun" w:hAnsi="Times New Roman" w:cs="Times New Roman"/>
          <w:sz w:val="24"/>
          <w:szCs w:val="24"/>
        </w:rPr>
      </w:pPr>
      <w:r w:rsidRPr="00C059E3">
        <w:rPr>
          <w:rFonts w:ascii="Times New Roman" w:eastAsia="Microsoft YaHei" w:hAnsi="Times New Roman" w:cs="Times New Roman" w:hint="eastAsia"/>
          <w:sz w:val="24"/>
          <w:szCs w:val="24"/>
          <w:highlight w:val="yellow"/>
        </w:rPr>
        <w:t>5</w:t>
      </w:r>
      <w:r w:rsidR="00D95DA7" w:rsidRPr="00C059E3">
        <w:rPr>
          <w:rFonts w:ascii="Times New Roman" w:eastAsia="Microsoft YaHei" w:hAnsi="Times New Roman" w:cs="Times New Roman" w:hint="eastAsia"/>
          <w:sz w:val="24"/>
          <w:szCs w:val="24"/>
          <w:highlight w:val="yellow"/>
        </w:rPr>
        <w:t>. Conclusions and policy recommendations</w:t>
      </w:r>
    </w:p>
    <w:p w14:paraId="53E6B423" w14:textId="6859755E"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 xml:space="preserve">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marks the formal introduction of China's first standalone tax law centered on green taxation, reflecting the comprehensive greening of China's tax system. This paper uses the exogenous policy shock of the transition from a pollution discharge fee system to a tax system and the official implementation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as a quasi-natural experiment to examine the impact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on corporate environmental performance. Based on the internal policy logic of the tax law, Porter's hypothesis, and the pollution haven hypothesis, the paper analyzes the mechanisms. The study finds: First,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significantly and robustly promotes the improvement of corporate environmental performance. Second, the heterogeneity analysis reveals that the effect of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in promoting corporate environmental performance is more pronounced in companies with stronger financing constraints and higher internal transparency. Moreover, state-owned enterprises show a stronger improvement in environmental performance, indicating that they can set an example in response to the exogenous shock of the </w:t>
      </w:r>
      <w:r w:rsidR="00595421">
        <w:rPr>
          <w:rFonts w:ascii="Times New Roman" w:eastAsia="Microsoft YaHei" w:hAnsi="Times New Roman" w:cs="Times New Roman" w:hint="eastAsia"/>
          <w:sz w:val="22"/>
          <w:szCs w:val="24"/>
        </w:rPr>
        <w:t>EPTL</w:t>
      </w:r>
      <w:r>
        <w:rPr>
          <w:rFonts w:ascii="Times New Roman" w:eastAsia="Microsoft YaHei" w:hAnsi="Times New Roman" w:cs="Times New Roman" w:hint="eastAsia"/>
          <w:sz w:val="22"/>
          <w:szCs w:val="24"/>
        </w:rPr>
        <w:t xml:space="preserve">. Additionally, the heterogeneity in corporate governance indicates that the background of senior executives is a significant factor influencing </w:t>
      </w:r>
      <w:r>
        <w:rPr>
          <w:rFonts w:ascii="Times New Roman" w:eastAsia="Microsoft YaHei" w:hAnsi="Times New Roman" w:cs="Times New Roman" w:hint="eastAsia"/>
          <w:sz w:val="22"/>
          <w:szCs w:val="24"/>
        </w:rPr>
        <w:lastRenderedPageBreak/>
        <w:t xml:space="preserve">the improvement of environmental performance. Third, the mechanism analysis shows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 xml:space="preserve">primarily enhances corporate environmental performance by strengthening local government enforcement, increasing local government attention to environmental issues, promoting corporate green innovation, and resolving collusion between government and enterprises. Fourth, further analysis based on the empirical results of this study indicates that the </w:t>
      </w:r>
      <w:r w:rsidR="00CE1A0D">
        <w:rPr>
          <w:rFonts w:ascii="Times New Roman" w:eastAsia="Microsoft YaHei" w:hAnsi="Times New Roman" w:cs="Times New Roman" w:hint="eastAsia"/>
          <w:sz w:val="22"/>
          <w:szCs w:val="24"/>
        </w:rPr>
        <w:t xml:space="preserve">EPTL </w:t>
      </w:r>
      <w:r>
        <w:rPr>
          <w:rFonts w:ascii="Times New Roman" w:eastAsia="Microsoft YaHei" w:hAnsi="Times New Roman" w:cs="Times New Roman" w:hint="eastAsia"/>
          <w:sz w:val="22"/>
          <w:szCs w:val="24"/>
        </w:rPr>
        <w:t>has not led to negative cross-regional pollution transfer among heavily polluting enterprises.</w:t>
      </w:r>
    </w:p>
    <w:p w14:paraId="54999295"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Based on the above research results, this paper obtains the following four policy implications:</w:t>
      </w:r>
    </w:p>
    <w:p w14:paraId="22993F3D"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First, relevant departments need to provide guidance and education to managers based on the actual operation of regulated enterprises, guide the management of enterprises to actively undertake environmental governance obligations, shape the internal environmental supervision mechanism of enterprises, establish the ecological environment damage responsibility system for senior executives of enterprises, so as to promote the win-win of economic benefits and environmental benefits of enterprises.</w:t>
      </w:r>
    </w:p>
    <w:p w14:paraId="6C1BCA38"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Second, local governments should gradually improve the laws and regulations governing market entry and operations for heavily polluting enterprises. This ensures fair competition in the market while further encouraging these enterprises to optimize their product structures and promote cleaner production. Additionally, local governments should firmly adhere to the ecological protection red line, reasonably and orderly absorb some heavily polluting enterprises based on their own development needs, prevent industrial development models that harm the environment, practice the concept of green development, and promote sustainable growth.</w:t>
      </w:r>
    </w:p>
    <w:p w14:paraId="0129B5FE" w14:textId="77777777" w:rsidR="009C3784" w:rsidRDefault="00D95DA7">
      <w:pPr>
        <w:ind w:firstLineChars="200" w:firstLine="440"/>
        <w:rPr>
          <w:rFonts w:ascii="Times New Roman" w:eastAsia="SimSun" w:hAnsi="Times New Roman" w:cs="Times New Roman"/>
          <w:sz w:val="22"/>
          <w:szCs w:val="24"/>
        </w:rPr>
      </w:pPr>
      <w:r>
        <w:rPr>
          <w:rFonts w:ascii="Times New Roman" w:eastAsia="Microsoft YaHei" w:hAnsi="Times New Roman" w:cs="Times New Roman" w:hint="eastAsia"/>
          <w:sz w:val="22"/>
          <w:szCs w:val="24"/>
        </w:rPr>
        <w:t>Third, tax regulatory departments and local law enforcement departments should actively carry out cooperation, strengthen the overall coordination of various environmental policies, promote the coordinated, orderly and efficient implementation of policies, so that all policies can play their maximum role.</w:t>
      </w:r>
    </w:p>
    <w:p w14:paraId="38377743" w14:textId="77777777" w:rsidR="009C3784" w:rsidRDefault="00D95DA7">
      <w:pPr>
        <w:ind w:firstLineChars="200" w:firstLine="440"/>
        <w:rPr>
          <w:rFonts w:ascii="Times New Roman" w:eastAsia="Microsoft YaHei" w:hAnsi="Times New Roman" w:cs="Times New Roman"/>
          <w:sz w:val="22"/>
          <w:szCs w:val="24"/>
        </w:rPr>
      </w:pPr>
      <w:r>
        <w:rPr>
          <w:rFonts w:ascii="Times New Roman" w:eastAsia="Microsoft YaHei" w:hAnsi="Times New Roman" w:cs="Times New Roman" w:hint="eastAsia"/>
          <w:sz w:val="22"/>
          <w:szCs w:val="24"/>
        </w:rPr>
        <w:t>Fourth, the government should give full play to the role of external governance mechanisms such as media supervision and public participation supervision, strengthen the rectification of heavy polluting enterprises through the construction of external supervision mechanism, establish an external mechanism to prevent collusion between government and enterprises, and effectively promote the improvement of environmental protection of enterprises.</w:t>
      </w:r>
    </w:p>
    <w:p w14:paraId="5B72EE19" w14:textId="77777777" w:rsidR="007301E9" w:rsidRDefault="007301E9">
      <w:pPr>
        <w:ind w:firstLineChars="200" w:firstLine="440"/>
        <w:rPr>
          <w:rFonts w:ascii="Times New Roman" w:eastAsia="Microsoft YaHei" w:hAnsi="Times New Roman" w:cs="Times New Roman"/>
          <w:sz w:val="22"/>
          <w:szCs w:val="24"/>
        </w:rPr>
      </w:pPr>
    </w:p>
    <w:p w14:paraId="700B4BEB" w14:textId="77777777" w:rsidR="007301E9" w:rsidRPr="00191740" w:rsidRDefault="007301E9" w:rsidP="007301E9">
      <w:pPr>
        <w:widowControl/>
        <w:jc w:val="center"/>
        <w:rPr>
          <w:rFonts w:ascii="Times New Roman" w:eastAsia="SimSun" w:hAnsi="Times New Roman" w:cs="Times New Roman"/>
          <w:b/>
          <w:bCs/>
          <w:sz w:val="32"/>
          <w:szCs w:val="40"/>
        </w:rPr>
      </w:pPr>
      <w:r w:rsidRPr="00191740">
        <w:rPr>
          <w:rFonts w:ascii="Times New Roman" w:eastAsia="SimSun" w:hAnsi="Times New Roman" w:cs="Times New Roman" w:hint="eastAsia"/>
          <w:b/>
          <w:bCs/>
          <w:sz w:val="32"/>
          <w:szCs w:val="40"/>
        </w:rPr>
        <w:t>Declaration</w:t>
      </w:r>
    </w:p>
    <w:p w14:paraId="7C6C670F" w14:textId="61110E24" w:rsidR="007301E9" w:rsidRDefault="007301E9" w:rsidP="007301E9">
      <w:pPr>
        <w:widowControl/>
        <w:rPr>
          <w:rFonts w:ascii="Times New Roman" w:eastAsia="Times New Roman" w:hAnsi="Times New Roman" w:cs="Times New Roman"/>
        </w:rPr>
      </w:pPr>
      <w:r w:rsidRPr="00191740">
        <w:rPr>
          <w:rFonts w:ascii="Times New Roman" w:eastAsia="Times New Roman" w:hAnsi="Times New Roman" w:cs="Times New Roman"/>
        </w:rPr>
        <w:t>We confirm that this manuscript has not been published elsewhere and is not under consideration by another journal. All authors have approved the manuscript and agree with submission to</w:t>
      </w:r>
      <w:r>
        <w:rPr>
          <w:rFonts w:ascii="Times New Roman" w:hAnsi="Times New Roman" w:cs="Times New Roman" w:hint="eastAsia"/>
        </w:rPr>
        <w:t xml:space="preserve"> </w:t>
      </w:r>
      <w:r w:rsidRPr="006A44FE">
        <w:rPr>
          <w:rFonts w:ascii="Times New Roman" w:eastAsia="Times New Roman" w:hAnsi="Times New Roman" w:cs="Times New Roman" w:hint="eastAsia"/>
          <w:b/>
          <w:bCs/>
          <w:i/>
          <w:iCs/>
        </w:rPr>
        <w:t>Asian Journal of Economics, Business and Accounting</w:t>
      </w:r>
      <w:r w:rsidRPr="00191740">
        <w:rPr>
          <w:rFonts w:ascii="Times New Roman" w:eastAsia="Times New Roman" w:hAnsi="Times New Roman" w:cs="Times New Roman"/>
        </w:rPr>
        <w:t>. The authors have no conflicts of interest to declare.</w:t>
      </w:r>
    </w:p>
    <w:p w14:paraId="124D01BC" w14:textId="77777777" w:rsidR="00682982" w:rsidRDefault="00682982" w:rsidP="00A21441">
      <w:pPr>
        <w:widowControl/>
        <w:rPr>
          <w:rFonts w:ascii="Times New Roman" w:eastAsia="Times New Roman" w:hAnsi="Times New Roman" w:cs="Times New Roman"/>
          <w:highlight w:val="yellow"/>
        </w:rPr>
      </w:pPr>
    </w:p>
    <w:p w14:paraId="2F4831E9" w14:textId="77777777" w:rsidR="00682982" w:rsidRDefault="00682982" w:rsidP="00682982">
      <w:r>
        <w:t>Disclaimer (Artificial intelligence)</w:t>
      </w:r>
    </w:p>
    <w:p w14:paraId="3FC27F10" w14:textId="0C541F9A" w:rsidR="00A21441" w:rsidRPr="00A21441" w:rsidRDefault="00A21441" w:rsidP="00A21441">
      <w:pPr>
        <w:widowControl/>
        <w:rPr>
          <w:rFonts w:ascii="Times New Roman" w:eastAsia="Times New Roman" w:hAnsi="Times New Roman" w:cs="Times New Roman"/>
          <w:highlight w:val="yellow"/>
        </w:rPr>
      </w:pPr>
      <w:r w:rsidRPr="00A21441">
        <w:rPr>
          <w:rFonts w:ascii="Times New Roman" w:eastAsia="Times New Roman" w:hAnsi="Times New Roman" w:cs="Times New Roman"/>
          <w:highlight w:val="yellow"/>
        </w:rPr>
        <w:t>Author(s) hereby declare that generative AI technologies have been used during the writing or editing of this manuscript. Details of the AI usage are given below:</w:t>
      </w:r>
    </w:p>
    <w:p w14:paraId="23915BC3" w14:textId="77777777" w:rsidR="00A21441" w:rsidRPr="00A21441" w:rsidRDefault="00A21441" w:rsidP="00A21441">
      <w:pPr>
        <w:widowControl/>
        <w:numPr>
          <w:ilvl w:val="0"/>
          <w:numId w:val="6"/>
        </w:numPr>
        <w:rPr>
          <w:rFonts w:ascii="Times New Roman" w:eastAsia="Times New Roman" w:hAnsi="Times New Roman" w:cs="Times New Roman"/>
          <w:highlight w:val="yellow"/>
        </w:rPr>
      </w:pPr>
      <w:r w:rsidRPr="00A21441">
        <w:rPr>
          <w:rFonts w:ascii="Times New Roman" w:eastAsia="Times New Roman" w:hAnsi="Times New Roman" w:cs="Times New Roman"/>
          <w:b/>
          <w:bCs/>
          <w:highlight w:val="yellow"/>
        </w:rPr>
        <w:t>Tool</w:t>
      </w:r>
      <w:r w:rsidRPr="00A21441">
        <w:rPr>
          <w:rFonts w:ascii="Times New Roman" w:eastAsia="Times New Roman" w:hAnsi="Times New Roman" w:cs="Times New Roman"/>
          <w:highlight w:val="yellow"/>
        </w:rPr>
        <w:t>: DeepSeek (Large Language Model)</w:t>
      </w:r>
    </w:p>
    <w:p w14:paraId="1A79FE3E" w14:textId="77777777" w:rsidR="00A21441" w:rsidRPr="00A21441" w:rsidRDefault="00A21441" w:rsidP="00A21441">
      <w:pPr>
        <w:widowControl/>
        <w:numPr>
          <w:ilvl w:val="0"/>
          <w:numId w:val="6"/>
        </w:numPr>
        <w:rPr>
          <w:rFonts w:ascii="Times New Roman" w:eastAsia="Times New Roman" w:hAnsi="Times New Roman" w:cs="Times New Roman"/>
          <w:highlight w:val="yellow"/>
        </w:rPr>
      </w:pPr>
      <w:r w:rsidRPr="00A21441">
        <w:rPr>
          <w:rFonts w:ascii="Times New Roman" w:eastAsia="Times New Roman" w:hAnsi="Times New Roman" w:cs="Times New Roman"/>
          <w:b/>
          <w:bCs/>
          <w:highlight w:val="yellow"/>
        </w:rPr>
        <w:t>Version</w:t>
      </w:r>
      <w:r w:rsidRPr="00A21441">
        <w:rPr>
          <w:rFonts w:ascii="Times New Roman" w:eastAsia="Times New Roman" w:hAnsi="Times New Roman" w:cs="Times New Roman"/>
          <w:highlight w:val="yellow"/>
        </w:rPr>
        <w:t>: DeepSeek-R1</w:t>
      </w:r>
    </w:p>
    <w:p w14:paraId="551B3F0E" w14:textId="77777777" w:rsidR="00A21441" w:rsidRPr="00A21441" w:rsidRDefault="00A21441" w:rsidP="00A21441">
      <w:pPr>
        <w:widowControl/>
        <w:numPr>
          <w:ilvl w:val="0"/>
          <w:numId w:val="6"/>
        </w:numPr>
        <w:rPr>
          <w:rFonts w:ascii="Times New Roman" w:eastAsia="Times New Roman" w:hAnsi="Times New Roman" w:cs="Times New Roman"/>
          <w:highlight w:val="yellow"/>
        </w:rPr>
      </w:pPr>
      <w:r w:rsidRPr="00A21441">
        <w:rPr>
          <w:rFonts w:ascii="Times New Roman" w:eastAsia="Times New Roman" w:hAnsi="Times New Roman" w:cs="Times New Roman"/>
          <w:b/>
          <w:bCs/>
          <w:highlight w:val="yellow"/>
        </w:rPr>
        <w:t>Source</w:t>
      </w:r>
      <w:r w:rsidRPr="00A21441">
        <w:rPr>
          <w:rFonts w:ascii="Times New Roman" w:eastAsia="Times New Roman" w:hAnsi="Times New Roman" w:cs="Times New Roman"/>
          <w:highlight w:val="yellow"/>
        </w:rPr>
        <w:t>: </w:t>
      </w:r>
      <w:hyperlink r:id="rId10" w:tgtFrame="_blank" w:history="1">
        <w:r w:rsidRPr="00A21441">
          <w:rPr>
            <w:rStyle w:val="Hyperlink"/>
            <w:rFonts w:ascii="Times New Roman" w:eastAsia="Times New Roman" w:hAnsi="Times New Roman" w:cs="Times New Roman"/>
            <w:highlight w:val="yellow"/>
          </w:rPr>
          <w:t>https://www.deepseek.com</w:t>
        </w:r>
      </w:hyperlink>
    </w:p>
    <w:p w14:paraId="114ECE36" w14:textId="77777777" w:rsidR="00A21441" w:rsidRPr="00A21441" w:rsidRDefault="00A21441" w:rsidP="00A21441">
      <w:pPr>
        <w:widowControl/>
        <w:numPr>
          <w:ilvl w:val="0"/>
          <w:numId w:val="6"/>
        </w:numPr>
        <w:rPr>
          <w:rFonts w:ascii="Times New Roman" w:eastAsia="Times New Roman" w:hAnsi="Times New Roman" w:cs="Times New Roman"/>
          <w:highlight w:val="yellow"/>
        </w:rPr>
      </w:pPr>
      <w:r w:rsidRPr="00A21441">
        <w:rPr>
          <w:rFonts w:ascii="Times New Roman" w:eastAsia="Times New Roman" w:hAnsi="Times New Roman" w:cs="Times New Roman"/>
          <w:b/>
          <w:bCs/>
          <w:highlight w:val="yellow"/>
        </w:rPr>
        <w:t>Purpose</w:t>
      </w:r>
      <w:r w:rsidRPr="00A21441">
        <w:rPr>
          <w:rFonts w:ascii="Times New Roman" w:eastAsia="Times New Roman" w:hAnsi="Times New Roman" w:cs="Times New Roman"/>
          <w:highlight w:val="yellow"/>
        </w:rPr>
        <w:t>:</w:t>
      </w:r>
    </w:p>
    <w:p w14:paraId="1749A418" w14:textId="77777777" w:rsidR="00A21441" w:rsidRPr="00A21441" w:rsidRDefault="00A21441" w:rsidP="00A21441">
      <w:pPr>
        <w:widowControl/>
        <w:numPr>
          <w:ilvl w:val="1"/>
          <w:numId w:val="6"/>
        </w:numPr>
        <w:rPr>
          <w:rFonts w:ascii="Times New Roman" w:eastAsia="Times New Roman" w:hAnsi="Times New Roman" w:cs="Times New Roman"/>
          <w:highlight w:val="yellow"/>
        </w:rPr>
      </w:pPr>
      <w:r w:rsidRPr="00A21441">
        <w:rPr>
          <w:rFonts w:ascii="Times New Roman" w:eastAsia="Times New Roman" w:hAnsi="Times New Roman" w:cs="Times New Roman"/>
          <w:highlight w:val="yellow"/>
        </w:rPr>
        <w:t>Assisted in refining academic expressions during manuscript revision</w:t>
      </w:r>
    </w:p>
    <w:p w14:paraId="7F28E237" w14:textId="77777777" w:rsidR="00A21441" w:rsidRPr="00A21441" w:rsidRDefault="00A21441" w:rsidP="00A21441">
      <w:pPr>
        <w:widowControl/>
        <w:numPr>
          <w:ilvl w:val="1"/>
          <w:numId w:val="6"/>
        </w:numPr>
        <w:rPr>
          <w:rFonts w:ascii="Times New Roman" w:eastAsia="Times New Roman" w:hAnsi="Times New Roman" w:cs="Times New Roman"/>
          <w:highlight w:val="yellow"/>
        </w:rPr>
      </w:pPr>
      <w:r w:rsidRPr="00A21441">
        <w:rPr>
          <w:rFonts w:ascii="Times New Roman" w:eastAsia="Times New Roman" w:hAnsi="Times New Roman" w:cs="Times New Roman"/>
          <w:highlight w:val="yellow"/>
        </w:rPr>
        <w:t>Generated initial drafts of non-technical correspondence (e.g., response letters)</w:t>
      </w:r>
    </w:p>
    <w:p w14:paraId="5E7B4C58" w14:textId="77777777" w:rsidR="00A21441" w:rsidRPr="00A21441" w:rsidRDefault="00A21441" w:rsidP="00A21441">
      <w:pPr>
        <w:widowControl/>
        <w:numPr>
          <w:ilvl w:val="1"/>
          <w:numId w:val="6"/>
        </w:numPr>
        <w:rPr>
          <w:rFonts w:ascii="Times New Roman" w:eastAsia="Times New Roman" w:hAnsi="Times New Roman" w:cs="Times New Roman"/>
          <w:highlight w:val="yellow"/>
        </w:rPr>
      </w:pPr>
      <w:r w:rsidRPr="00A21441">
        <w:rPr>
          <w:rFonts w:ascii="Times New Roman" w:eastAsia="Times New Roman" w:hAnsi="Times New Roman" w:cs="Times New Roman"/>
          <w:highlight w:val="yellow"/>
        </w:rPr>
        <w:t>Polished language clarity in response to reviewer comments</w:t>
      </w:r>
    </w:p>
    <w:p w14:paraId="3B2CA941" w14:textId="77777777" w:rsidR="00A21441" w:rsidRPr="00A21441" w:rsidRDefault="00A21441" w:rsidP="00A21441">
      <w:pPr>
        <w:widowControl/>
        <w:numPr>
          <w:ilvl w:val="0"/>
          <w:numId w:val="6"/>
        </w:numPr>
        <w:rPr>
          <w:rFonts w:ascii="Times New Roman" w:eastAsia="Times New Roman" w:hAnsi="Times New Roman" w:cs="Times New Roman"/>
          <w:highlight w:val="yellow"/>
        </w:rPr>
      </w:pPr>
      <w:r w:rsidRPr="00A21441">
        <w:rPr>
          <w:rFonts w:ascii="Times New Roman" w:eastAsia="Times New Roman" w:hAnsi="Times New Roman" w:cs="Times New Roman"/>
          <w:b/>
          <w:bCs/>
          <w:highlight w:val="yellow"/>
        </w:rPr>
        <w:lastRenderedPageBreak/>
        <w:t>Human Oversight</w:t>
      </w:r>
      <w:r w:rsidRPr="00A21441">
        <w:rPr>
          <w:rFonts w:ascii="Times New Roman" w:eastAsia="Times New Roman" w:hAnsi="Times New Roman" w:cs="Times New Roman"/>
          <w:highlight w:val="yellow"/>
        </w:rPr>
        <w:t>: All AI-generated content was rigorously verified, edited, and substantively enhanced by the authors. Core research content (data analysis, methodology, conclusions) remains exclusively human-authored.</w:t>
      </w:r>
    </w:p>
    <w:p w14:paraId="1ED72FA0" w14:textId="77777777" w:rsidR="007301E9" w:rsidRDefault="007301E9" w:rsidP="00A21441">
      <w:pPr>
        <w:rPr>
          <w:rFonts w:ascii="Times New Roman" w:eastAsia="SimSun" w:hAnsi="Times New Roman" w:cs="Times New Roman"/>
          <w:sz w:val="22"/>
          <w:szCs w:val="24"/>
        </w:rPr>
      </w:pPr>
    </w:p>
    <w:p w14:paraId="382B1EC5" w14:textId="184AD3B8" w:rsidR="009C3784" w:rsidRDefault="003B7E33" w:rsidP="003B7E33">
      <w:pPr>
        <w:autoSpaceDE w:val="0"/>
        <w:autoSpaceDN w:val="0"/>
        <w:adjustRightInd w:val="0"/>
        <w:spacing w:before="160" w:after="160"/>
        <w:rPr>
          <w:rFonts w:ascii="Times New Roman" w:eastAsia="Microsoft YaHei" w:cs="SimSun"/>
          <w:b/>
          <w:bCs/>
          <w:color w:val="000000"/>
          <w:kern w:val="0"/>
          <w:sz w:val="24"/>
          <w:szCs w:val="24"/>
        </w:rPr>
      </w:pPr>
      <w:r>
        <w:rPr>
          <w:rFonts w:ascii="Times New Roman" w:eastAsia="Microsoft YaHei" w:cs="SimSun"/>
          <w:b/>
          <w:bCs/>
          <w:color w:val="000000"/>
          <w:kern w:val="0"/>
          <w:sz w:val="24"/>
          <w:szCs w:val="24"/>
        </w:rPr>
        <w:t>R</w:t>
      </w:r>
      <w:r>
        <w:rPr>
          <w:rFonts w:ascii="Times New Roman" w:eastAsia="Microsoft YaHei" w:cs="SimSun" w:hint="eastAsia"/>
          <w:b/>
          <w:bCs/>
          <w:color w:val="000000"/>
          <w:kern w:val="0"/>
          <w:sz w:val="24"/>
          <w:szCs w:val="24"/>
        </w:rPr>
        <w:t>eference</w:t>
      </w:r>
      <w:r>
        <w:rPr>
          <w:rFonts w:ascii="Times New Roman" w:eastAsia="Microsoft YaHei" w:cs="SimSun"/>
          <w:b/>
          <w:bCs/>
          <w:color w:val="000000"/>
          <w:kern w:val="0"/>
          <w:sz w:val="24"/>
          <w:szCs w:val="24"/>
        </w:rPr>
        <w:t>s</w:t>
      </w:r>
    </w:p>
    <w:p w14:paraId="617292D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Acemoglu, D., Aghion, P., &amp; Bursztyn, L. (2012). The environment and directed technical change.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American Economic Review, 102</w:t>
      </w:r>
      <w:r w:rsidRPr="0034665F">
        <w:rPr>
          <w:rFonts w:ascii="Times New Roman" w:eastAsia="Microsoft YaHei" w:cs="SimSun"/>
          <w:bCs/>
          <w:color w:val="000000"/>
          <w:kern w:val="0"/>
          <w:sz w:val="22"/>
          <w:szCs w:val="24"/>
        </w:rPr>
        <w:t>(1), 131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166.</w:t>
      </w:r>
    </w:p>
    <w:p w14:paraId="03771F9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Ali, M., Raza, A., Soomro, M. A., Zameer, R., &amp; Perveen, A. (2025). Green taxation and economic competitiveness: A cross-country comparative analysis of environmental policy impacts on industrial growth and trade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Advance Journal of Econometrics and Finance, 3</w:t>
      </w:r>
      <w:r w:rsidRPr="0034665F">
        <w:rPr>
          <w:rFonts w:ascii="Times New Roman" w:eastAsia="Microsoft YaHei" w:cs="SimSun"/>
          <w:bCs/>
          <w:color w:val="000000"/>
          <w:kern w:val="0"/>
          <w:sz w:val="22"/>
          <w:szCs w:val="24"/>
        </w:rPr>
        <w:t>(2), 126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137.</w:t>
      </w:r>
    </w:p>
    <w:p w14:paraId="0C03982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Ameer, F., &amp; Khan, N. R. (2023). Green entrepreneurial orientation and corporate environmental performance: A systematic literature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Management Journal, 41</w:t>
      </w:r>
      <w:r w:rsidRPr="0034665F">
        <w:rPr>
          <w:rFonts w:ascii="Times New Roman" w:eastAsia="Microsoft YaHei" w:cs="SimSun"/>
          <w:bCs/>
          <w:color w:val="000000"/>
          <w:kern w:val="0"/>
          <w:sz w:val="22"/>
          <w:szCs w:val="24"/>
        </w:rPr>
        <w:t>(5), 755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778.</w:t>
      </w:r>
    </w:p>
    <w:p w14:paraId="39D1AC6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Awawdeh, A. E., Ananzeh, M., El-khateeb, A. I., &amp; Aljumah, A. (2021). Role of green financing and corporate social responsibility (CSR) in technological innovation and corporate environmental performance: A COVID-19 perspective.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China Finance Review International, 12</w:t>
      </w:r>
      <w:r w:rsidRPr="0034665F">
        <w:rPr>
          <w:rFonts w:ascii="Times New Roman" w:eastAsia="Microsoft YaHei" w:cs="SimSun"/>
          <w:bCs/>
          <w:color w:val="000000"/>
          <w:kern w:val="0"/>
          <w:sz w:val="22"/>
          <w:szCs w:val="24"/>
        </w:rPr>
        <w:t>(2), 297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316.</w:t>
      </w:r>
      <w:r w:rsidRPr="0034665F">
        <w:rPr>
          <w:rFonts w:ascii="Times New Roman" w:eastAsia="Microsoft YaHei" w:cs="SimSun"/>
          <w:bCs/>
          <w:color w:val="000000"/>
          <w:kern w:val="0"/>
          <w:sz w:val="22"/>
          <w:szCs w:val="24"/>
        </w:rPr>
        <w:t> </w:t>
      </w:r>
      <w:hyperlink r:id="rId11" w:tgtFrame="_blank" w:history="1">
        <w:r w:rsidRPr="0034665F">
          <w:rPr>
            <w:rStyle w:val="Hyperlink"/>
            <w:rFonts w:ascii="Times New Roman" w:eastAsia="Microsoft YaHei" w:cs="SimSun"/>
            <w:bCs/>
            <w:kern w:val="0"/>
            <w:sz w:val="22"/>
            <w:szCs w:val="24"/>
          </w:rPr>
          <w:t>https://doi.org/10.1108/CFRI-09-2020-0141</w:t>
        </w:r>
      </w:hyperlink>
    </w:p>
    <w:p w14:paraId="3BD00A7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w:t>
      </w:r>
      <w:r w:rsidRPr="0034665F">
        <w:rPr>
          <w:rFonts w:ascii="Cambria" w:eastAsia="Microsoft YaHei" w:hAnsi="Cambria" w:cs="Cambria"/>
          <w:bCs/>
          <w:color w:val="000000"/>
          <w:kern w:val="0"/>
          <w:sz w:val="22"/>
          <w:szCs w:val="24"/>
        </w:rPr>
        <w:t>ă</w:t>
      </w:r>
      <w:r w:rsidRPr="0034665F">
        <w:rPr>
          <w:rFonts w:ascii="Times New Roman" w:eastAsia="Microsoft YaHei" w:cs="SimSun"/>
          <w:bCs/>
          <w:color w:val="000000"/>
          <w:kern w:val="0"/>
          <w:sz w:val="22"/>
          <w:szCs w:val="24"/>
        </w:rPr>
        <w:t>d</w:t>
      </w:r>
      <w:r w:rsidRPr="0034665F">
        <w:rPr>
          <w:rFonts w:ascii="Times New Roman" w:eastAsia="Microsoft YaHei" w:cs="SimSun"/>
          <w:bCs/>
          <w:color w:val="000000"/>
          <w:kern w:val="0"/>
          <w:sz w:val="22"/>
          <w:szCs w:val="24"/>
        </w:rPr>
        <w:t>î</w:t>
      </w:r>
      <w:r w:rsidRPr="0034665F">
        <w:rPr>
          <w:rFonts w:ascii="Times New Roman" w:eastAsia="Microsoft YaHei" w:cs="SimSun"/>
          <w:bCs/>
          <w:color w:val="000000"/>
          <w:kern w:val="0"/>
          <w:sz w:val="22"/>
          <w:szCs w:val="24"/>
        </w:rPr>
        <w:t>rcea, R. M., Florea, N. M., Manta, A. G., Puiu, S., &amp; Doran, M. D. (2020). Comparison between Romania and Sweden based on three dimensions: Environmental performance, green taxation and economic growth.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12</w:t>
      </w:r>
      <w:r w:rsidRPr="0034665F">
        <w:rPr>
          <w:rFonts w:ascii="Times New Roman" w:eastAsia="Microsoft YaHei" w:cs="SimSun"/>
          <w:bCs/>
          <w:color w:val="000000"/>
          <w:kern w:val="0"/>
          <w:sz w:val="22"/>
          <w:szCs w:val="24"/>
        </w:rPr>
        <w:t>(9), 3817.</w:t>
      </w:r>
      <w:r w:rsidRPr="0034665F">
        <w:rPr>
          <w:rFonts w:ascii="Times New Roman" w:eastAsia="Microsoft YaHei" w:cs="SimSun"/>
          <w:bCs/>
          <w:color w:val="000000"/>
          <w:kern w:val="0"/>
          <w:sz w:val="22"/>
          <w:szCs w:val="24"/>
        </w:rPr>
        <w:t> </w:t>
      </w:r>
      <w:hyperlink r:id="rId12" w:tgtFrame="_blank" w:history="1">
        <w:r w:rsidRPr="0034665F">
          <w:rPr>
            <w:rStyle w:val="Hyperlink"/>
            <w:rFonts w:ascii="Times New Roman" w:eastAsia="Microsoft YaHei" w:cs="SimSun"/>
            <w:bCs/>
            <w:kern w:val="0"/>
            <w:sz w:val="22"/>
            <w:szCs w:val="24"/>
          </w:rPr>
          <w:t>https://doi.org/10.3390/su12093817</w:t>
        </w:r>
      </w:hyperlink>
    </w:p>
    <w:p w14:paraId="372F5A9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Boubaker, S., Cheng, F., Liao, J., &amp; Yue, S. (2024). Environmental tax incentives and corporate environmental behaviour: An unintended consequence from a natural experiment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European Financial Management, 30</w:t>
      </w:r>
      <w:r w:rsidRPr="0034665F">
        <w:rPr>
          <w:rFonts w:ascii="Times New Roman" w:eastAsia="Microsoft YaHei" w:cs="SimSun"/>
          <w:bCs/>
          <w:color w:val="000000"/>
          <w:kern w:val="0"/>
          <w:sz w:val="22"/>
          <w:szCs w:val="24"/>
        </w:rPr>
        <w:t>(2), 800</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838.</w:t>
      </w:r>
      <w:r w:rsidRPr="0034665F">
        <w:rPr>
          <w:rFonts w:ascii="Times New Roman" w:eastAsia="Microsoft YaHei" w:cs="SimSun"/>
          <w:bCs/>
          <w:color w:val="000000"/>
          <w:kern w:val="0"/>
          <w:sz w:val="22"/>
          <w:szCs w:val="24"/>
        </w:rPr>
        <w:t> </w:t>
      </w:r>
      <w:hyperlink r:id="rId13" w:tgtFrame="_blank" w:history="1">
        <w:r w:rsidRPr="0034665F">
          <w:rPr>
            <w:rStyle w:val="Hyperlink"/>
            <w:rFonts w:ascii="Times New Roman" w:eastAsia="Microsoft YaHei" w:cs="SimSun"/>
            <w:bCs/>
            <w:kern w:val="0"/>
            <w:sz w:val="22"/>
            <w:szCs w:val="24"/>
          </w:rPr>
          <w:t>https://doi.org/10.1111/eufm.12425</w:t>
        </w:r>
      </w:hyperlink>
    </w:p>
    <w:p w14:paraId="6BB72F8E"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Chen, Q., Maung, M., &amp; Shi, Y. (2014). Foreign direct investment concessions and environmental levies in China.</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International Review of Financial Analysis, 36</w:t>
      </w:r>
      <w:r w:rsidRPr="0034665F">
        <w:rPr>
          <w:rFonts w:ascii="Times New Roman" w:eastAsia="Microsoft YaHei" w:cs="SimSun"/>
          <w:bCs/>
          <w:color w:val="000000"/>
          <w:kern w:val="0"/>
          <w:sz w:val="22"/>
          <w:szCs w:val="24"/>
        </w:rPr>
        <w:t>, 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250.</w:t>
      </w:r>
    </w:p>
    <w:p w14:paraId="6DA8401C" w14:textId="77777777" w:rsidR="0034665F" w:rsidRDefault="0034665F" w:rsidP="0034665F">
      <w:pPr>
        <w:autoSpaceDE w:val="0"/>
        <w:autoSpaceDN w:val="0"/>
        <w:adjustRightInd w:val="0"/>
        <w:ind w:left="440" w:hangingChars="200" w:hanging="440"/>
      </w:pPr>
      <w:r w:rsidRPr="0034665F">
        <w:rPr>
          <w:rFonts w:ascii="Times New Roman" w:eastAsia="Microsoft YaHei" w:cs="SimSun"/>
          <w:bCs/>
          <w:color w:val="000000"/>
          <w:kern w:val="0"/>
          <w:sz w:val="22"/>
          <w:szCs w:val="24"/>
        </w:rPr>
        <w:t>Clarkson, P. M., Li, Y., &amp; Richardson, G. D. (2008). Revisiting the relation between environmental performance and environmental disclosure: An empirical analysis.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Organizations and Society, 33</w:t>
      </w:r>
      <w:r w:rsidRPr="0034665F">
        <w:rPr>
          <w:rFonts w:ascii="Times New Roman" w:eastAsia="Microsoft YaHei" w:cs="SimSun"/>
          <w:bCs/>
          <w:color w:val="000000"/>
          <w:kern w:val="0"/>
          <w:sz w:val="22"/>
          <w:szCs w:val="24"/>
        </w:rPr>
        <w:t>(4</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 303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327.</w:t>
      </w:r>
      <w:r w:rsidRPr="0034665F">
        <w:rPr>
          <w:rFonts w:ascii="Times New Roman" w:eastAsia="Microsoft YaHei" w:cs="SimSun"/>
          <w:bCs/>
          <w:color w:val="000000"/>
          <w:kern w:val="0"/>
          <w:sz w:val="22"/>
          <w:szCs w:val="24"/>
        </w:rPr>
        <w:t> </w:t>
      </w:r>
      <w:hyperlink r:id="rId14" w:tgtFrame="_blank" w:history="1">
        <w:r w:rsidRPr="0034665F">
          <w:rPr>
            <w:rStyle w:val="Hyperlink"/>
            <w:rFonts w:ascii="Times New Roman" w:eastAsia="Microsoft YaHei" w:cs="SimSun"/>
            <w:bCs/>
            <w:kern w:val="0"/>
            <w:sz w:val="22"/>
            <w:szCs w:val="24"/>
          </w:rPr>
          <w:t>https://doi.org/10.1016/j.aos.2007.05.003</w:t>
        </w:r>
      </w:hyperlink>
    </w:p>
    <w:p w14:paraId="42DC1D93" w14:textId="4C6AA20B" w:rsidR="00B44A73" w:rsidRPr="0034665F" w:rsidRDefault="00B44A73" w:rsidP="0034665F">
      <w:pPr>
        <w:autoSpaceDE w:val="0"/>
        <w:autoSpaceDN w:val="0"/>
        <w:adjustRightInd w:val="0"/>
        <w:ind w:left="440" w:hangingChars="200" w:hanging="440"/>
        <w:rPr>
          <w:rFonts w:ascii="Times New Roman" w:eastAsia="Microsoft YaHei" w:cs="SimSun"/>
          <w:bCs/>
          <w:color w:val="000000"/>
          <w:kern w:val="0"/>
          <w:sz w:val="22"/>
          <w:szCs w:val="24"/>
        </w:rPr>
      </w:pPr>
      <w:r w:rsidRPr="00B44A73">
        <w:rPr>
          <w:rFonts w:ascii="Times New Roman" w:eastAsia="Microsoft YaHei" w:cs="SimSun"/>
          <w:bCs/>
          <w:color w:val="000000"/>
          <w:kern w:val="0"/>
          <w:sz w:val="22"/>
          <w:szCs w:val="24"/>
        </w:rPr>
        <w:t>Darnall, N., Henriques, I., &amp; Sadorsky, P. (2020).</w:t>
      </w:r>
      <w:r w:rsidRPr="00B44A73">
        <w:rPr>
          <w:rFonts w:ascii="Times New Roman" w:eastAsia="Microsoft YaHei" w:cs="SimSun"/>
          <w:bCs/>
          <w:color w:val="000000"/>
          <w:kern w:val="0"/>
          <w:sz w:val="22"/>
          <w:szCs w:val="24"/>
        </w:rPr>
        <w:t> </w:t>
      </w:r>
      <w:r w:rsidRPr="00B44A73">
        <w:rPr>
          <w:rFonts w:ascii="Times New Roman" w:eastAsia="Microsoft YaHei" w:cs="SimSun"/>
          <w:bCs/>
          <w:i/>
          <w:iCs/>
          <w:color w:val="000000"/>
          <w:kern w:val="0"/>
          <w:sz w:val="22"/>
          <w:szCs w:val="24"/>
        </w:rPr>
        <w:t>Adopting proactive environmental strategy: The influence of stakeholders and firm size</w:t>
      </w:r>
      <w:r w:rsidRPr="00B44A73">
        <w:rPr>
          <w:rFonts w:ascii="Times New Roman" w:eastAsia="Microsoft YaHei" w:cs="SimSun"/>
          <w:bCs/>
          <w:color w:val="000000"/>
          <w:kern w:val="0"/>
          <w:sz w:val="22"/>
          <w:szCs w:val="24"/>
        </w:rPr>
        <w:t>. Journal of Management Studies, 57(6), 1072-1096.</w:t>
      </w:r>
      <w:r w:rsidRPr="00B44A73">
        <w:rPr>
          <w:rFonts w:ascii="Times New Roman" w:eastAsia="Microsoft YaHei" w:cs="SimSun"/>
          <w:bCs/>
          <w:color w:val="000000"/>
          <w:kern w:val="0"/>
          <w:sz w:val="22"/>
          <w:szCs w:val="24"/>
        </w:rPr>
        <w:t> </w:t>
      </w:r>
      <w:hyperlink r:id="rId15" w:tgtFrame="_blank" w:history="1">
        <w:r w:rsidRPr="00B44A73">
          <w:rPr>
            <w:rStyle w:val="Hyperlink"/>
            <w:rFonts w:ascii="Times New Roman" w:eastAsia="Microsoft YaHei" w:cs="SimSun"/>
            <w:bCs/>
            <w:kern w:val="0"/>
            <w:sz w:val="22"/>
            <w:szCs w:val="24"/>
          </w:rPr>
          <w:t>https://doi.org/10.1111/joms.12555</w:t>
        </w:r>
      </w:hyperlink>
    </w:p>
    <w:p w14:paraId="6AB0772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Dechow, P. M., Sloan, R. G., &amp; Sweeney, A. P. (1995). Detecting earnings management.</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Accounting Review, 70</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225.</w:t>
      </w:r>
    </w:p>
    <w:p w14:paraId="0ED89659"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Esty, D. C., &amp; Porter, M. E. (2005). National environmental performance: An empirical analysis of policy results and determinants.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Environment and Development Economics, 10</w:t>
      </w:r>
      <w:r w:rsidRPr="0034665F">
        <w:rPr>
          <w:rFonts w:ascii="Times New Roman" w:eastAsia="Microsoft YaHei" w:cs="SimSun"/>
          <w:bCs/>
          <w:color w:val="000000"/>
          <w:kern w:val="0"/>
          <w:sz w:val="22"/>
          <w:szCs w:val="24"/>
        </w:rPr>
        <w:t>(4), 391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434.</w:t>
      </w:r>
    </w:p>
    <w:p w14:paraId="260C9320"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Farooq, U., Subhani, B. H., Shafiq, M. N., &amp; Gillani, S. (2023). Assessing the environmental impacts of environmental tax rate and corporate statutory tax rate: Empirical evidence from industry-intensive economies.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9</w:t>
      </w:r>
      <w:r w:rsidRPr="0034665F">
        <w:rPr>
          <w:rFonts w:ascii="Times New Roman" w:eastAsia="Microsoft YaHei" w:cs="SimSun"/>
          <w:bCs/>
          <w:color w:val="000000"/>
          <w:kern w:val="0"/>
          <w:sz w:val="22"/>
          <w:szCs w:val="24"/>
        </w:rPr>
        <w:t>, 6241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6250.</w:t>
      </w:r>
      <w:r w:rsidRPr="0034665F">
        <w:rPr>
          <w:rFonts w:ascii="Times New Roman" w:eastAsia="Microsoft YaHei" w:cs="SimSun"/>
          <w:bCs/>
          <w:color w:val="000000"/>
          <w:kern w:val="0"/>
          <w:sz w:val="22"/>
          <w:szCs w:val="24"/>
        </w:rPr>
        <w:t> </w:t>
      </w:r>
      <w:hyperlink r:id="rId16" w:tgtFrame="_blank" w:history="1">
        <w:r w:rsidRPr="0034665F">
          <w:rPr>
            <w:rStyle w:val="Hyperlink"/>
            <w:rFonts w:ascii="Times New Roman" w:eastAsia="Microsoft YaHei" w:cs="SimSun"/>
            <w:bCs/>
            <w:kern w:val="0"/>
            <w:sz w:val="22"/>
            <w:szCs w:val="24"/>
          </w:rPr>
          <w:t>https://doi.org/10.1016/j.egyr.2023.05.270</w:t>
        </w:r>
      </w:hyperlink>
    </w:p>
    <w:p w14:paraId="4B74EE58"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Fel</w:t>
      </w:r>
      <w:r w:rsidRPr="0034665F">
        <w:rPr>
          <w:rFonts w:ascii="Times New Roman" w:eastAsia="Microsoft YaHei" w:cs="SimSun"/>
          <w:bCs/>
          <w:color w:val="000000"/>
          <w:kern w:val="0"/>
          <w:sz w:val="22"/>
          <w:szCs w:val="24"/>
        </w:rPr>
        <w:t>í</w:t>
      </w:r>
      <w:r w:rsidRPr="0034665F">
        <w:rPr>
          <w:rFonts w:ascii="Times New Roman" w:eastAsia="Microsoft YaHei" w:cs="SimSun"/>
          <w:bCs/>
          <w:color w:val="000000"/>
          <w:kern w:val="0"/>
          <w:sz w:val="22"/>
          <w:szCs w:val="24"/>
        </w:rPr>
        <w:t>cio, J. A., Rodrigues, R., &amp; Caldeirinha, V. (2021). Green shipping effect on sustainable economy and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Sustainability, 13</w:t>
      </w:r>
      <w:r w:rsidRPr="0034665F">
        <w:rPr>
          <w:rFonts w:ascii="Times New Roman" w:eastAsia="Microsoft YaHei" w:cs="SimSun"/>
          <w:bCs/>
          <w:color w:val="000000"/>
          <w:kern w:val="0"/>
          <w:sz w:val="22"/>
          <w:szCs w:val="24"/>
        </w:rPr>
        <w:t>(8), 4256.</w:t>
      </w:r>
      <w:r w:rsidRPr="0034665F">
        <w:rPr>
          <w:rFonts w:ascii="Times New Roman" w:eastAsia="Microsoft YaHei" w:cs="SimSun"/>
          <w:bCs/>
          <w:color w:val="000000"/>
          <w:kern w:val="0"/>
          <w:sz w:val="22"/>
          <w:szCs w:val="24"/>
        </w:rPr>
        <w:t> </w:t>
      </w:r>
      <w:hyperlink r:id="rId17" w:tgtFrame="_blank" w:history="1">
        <w:r w:rsidRPr="0034665F">
          <w:rPr>
            <w:rStyle w:val="Hyperlink"/>
            <w:rFonts w:ascii="Times New Roman" w:eastAsia="Microsoft YaHei" w:cs="SimSun"/>
            <w:bCs/>
            <w:kern w:val="0"/>
            <w:sz w:val="22"/>
            <w:szCs w:val="24"/>
          </w:rPr>
          <w:t>https://doi.org/10.3390/su13084256</w:t>
        </w:r>
      </w:hyperlink>
    </w:p>
    <w:p w14:paraId="5FE876E4"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Galeotti, M., Salini, S., &amp; Verdolini, E. (2020). Measuring environmental policy stringency: Approaches, validity, and impact on environmental innovation and energy efficiency.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Policy, 136</w:t>
      </w:r>
      <w:r w:rsidRPr="0034665F">
        <w:rPr>
          <w:rFonts w:ascii="Times New Roman" w:eastAsia="Microsoft YaHei" w:cs="SimSun"/>
          <w:bCs/>
          <w:color w:val="000000"/>
          <w:kern w:val="0"/>
          <w:sz w:val="22"/>
          <w:szCs w:val="24"/>
        </w:rPr>
        <w:t>, 111052.</w:t>
      </w:r>
      <w:r w:rsidRPr="0034665F">
        <w:rPr>
          <w:rFonts w:ascii="Times New Roman" w:eastAsia="Microsoft YaHei" w:cs="SimSun"/>
          <w:bCs/>
          <w:color w:val="000000"/>
          <w:kern w:val="0"/>
          <w:sz w:val="22"/>
          <w:szCs w:val="24"/>
        </w:rPr>
        <w:t> </w:t>
      </w:r>
      <w:hyperlink r:id="rId18" w:tgtFrame="_blank" w:history="1">
        <w:r w:rsidRPr="0034665F">
          <w:rPr>
            <w:rStyle w:val="Hyperlink"/>
            <w:rFonts w:ascii="Times New Roman" w:eastAsia="Microsoft YaHei" w:cs="SimSun"/>
            <w:bCs/>
            <w:kern w:val="0"/>
            <w:sz w:val="22"/>
            <w:szCs w:val="24"/>
          </w:rPr>
          <w:t>https://doi.org/10.1016/j.enpol.2019.111052</w:t>
        </w:r>
      </w:hyperlink>
    </w:p>
    <w:p w14:paraId="7425E942" w14:textId="77777777" w:rsidR="0034665F" w:rsidRDefault="0034665F" w:rsidP="0034665F">
      <w:pPr>
        <w:autoSpaceDE w:val="0"/>
        <w:autoSpaceDN w:val="0"/>
        <w:adjustRightInd w:val="0"/>
        <w:ind w:left="440" w:hangingChars="200" w:hanging="440"/>
      </w:pPr>
      <w:r w:rsidRPr="0034665F">
        <w:rPr>
          <w:rFonts w:ascii="Times New Roman" w:eastAsia="Microsoft YaHei" w:cs="SimSun"/>
          <w:bCs/>
          <w:color w:val="000000"/>
          <w:kern w:val="0"/>
          <w:sz w:val="22"/>
          <w:szCs w:val="24"/>
        </w:rPr>
        <w:t>Gunningham, N. (2009). Shaping corporate environmental performance: A review.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 xml:space="preserve">Environmental Policy and </w:t>
      </w:r>
      <w:r w:rsidRPr="0034665F">
        <w:rPr>
          <w:rFonts w:ascii="Times New Roman" w:eastAsia="Microsoft YaHei" w:cs="SimSun"/>
          <w:bCs/>
          <w:i/>
          <w:iCs/>
          <w:color w:val="000000"/>
          <w:kern w:val="0"/>
          <w:sz w:val="22"/>
          <w:szCs w:val="24"/>
        </w:rPr>
        <w:lastRenderedPageBreak/>
        <w:t>Governance, 19</w:t>
      </w:r>
      <w:r w:rsidRPr="0034665F">
        <w:rPr>
          <w:rFonts w:ascii="Times New Roman" w:eastAsia="Microsoft YaHei" w:cs="SimSun"/>
          <w:bCs/>
          <w:color w:val="000000"/>
          <w:kern w:val="0"/>
          <w:sz w:val="22"/>
          <w:szCs w:val="24"/>
        </w:rPr>
        <w:t>(4), 215</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w:t>
      </w:r>
      <w:r w:rsidRPr="0034665F">
        <w:rPr>
          <w:rFonts w:ascii="Times New Roman" w:eastAsia="Microsoft YaHei" w:cs="SimSun"/>
          <w:bCs/>
          <w:color w:val="000000"/>
          <w:kern w:val="0"/>
          <w:sz w:val="22"/>
          <w:szCs w:val="24"/>
        </w:rPr>
        <w:t> </w:t>
      </w:r>
      <w:hyperlink r:id="rId19" w:tgtFrame="_blank" w:history="1">
        <w:r w:rsidRPr="0034665F">
          <w:rPr>
            <w:rStyle w:val="Hyperlink"/>
            <w:rFonts w:ascii="Times New Roman" w:eastAsia="Microsoft YaHei" w:cs="SimSun"/>
            <w:bCs/>
            <w:kern w:val="0"/>
            <w:sz w:val="22"/>
            <w:szCs w:val="24"/>
          </w:rPr>
          <w:t>https://doi.org/10.1002/eet.507</w:t>
        </w:r>
      </w:hyperlink>
    </w:p>
    <w:p w14:paraId="3CD0D046" w14:textId="256ED3FF" w:rsidR="0047354F" w:rsidRDefault="0047354F" w:rsidP="0034665F">
      <w:pPr>
        <w:autoSpaceDE w:val="0"/>
        <w:autoSpaceDN w:val="0"/>
        <w:adjustRightInd w:val="0"/>
        <w:ind w:left="440" w:hangingChars="200" w:hanging="440"/>
        <w:rPr>
          <w:rFonts w:ascii="Times New Roman" w:eastAsia="Microsoft YaHei" w:cs="SimSun"/>
          <w:bCs/>
          <w:color w:val="000000"/>
          <w:kern w:val="0"/>
          <w:sz w:val="22"/>
          <w:szCs w:val="24"/>
        </w:rPr>
      </w:pPr>
      <w:r w:rsidRPr="0047354F">
        <w:rPr>
          <w:rFonts w:ascii="Times New Roman" w:eastAsia="Microsoft YaHei" w:cs="SimSun" w:hint="eastAsia"/>
          <w:bCs/>
          <w:color w:val="000000"/>
          <w:kern w:val="0"/>
          <w:sz w:val="22"/>
          <w:szCs w:val="24"/>
        </w:rPr>
        <w:t xml:space="preserve">Greenstone, M. (2003). Estimating regulation-induced substitution: The effect of the Clean Air Act on water and ground pollution. American Economic Review, 93(2), 442-448. </w:t>
      </w:r>
      <w:hyperlink r:id="rId20" w:history="1">
        <w:r w:rsidRPr="008F5DCA">
          <w:rPr>
            <w:rStyle w:val="Hyperlink"/>
            <w:rFonts w:ascii="Times New Roman" w:eastAsia="Microsoft YaHei" w:cs="SimSun" w:hint="eastAsia"/>
            <w:bCs/>
            <w:kern w:val="0"/>
            <w:sz w:val="22"/>
            <w:szCs w:val="24"/>
          </w:rPr>
          <w:t>https://doi.org/10.1257/000282803321947425</w:t>
        </w:r>
      </w:hyperlink>
    </w:p>
    <w:p w14:paraId="1D5CF278" w14:textId="10957C3A" w:rsidR="00AF0A74" w:rsidRDefault="0034665F" w:rsidP="00AF0A74">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Hambrick, D. C., &amp; Mason, P. A. (1984). Upper echelons: The organization as a reflection of its top managers.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Academy of Management Review, 9</w:t>
      </w:r>
      <w:r w:rsidRPr="0034665F">
        <w:rPr>
          <w:rFonts w:ascii="Times New Roman" w:eastAsia="Microsoft YaHei" w:cs="SimSun"/>
          <w:bCs/>
          <w:color w:val="000000"/>
          <w:kern w:val="0"/>
          <w:sz w:val="22"/>
          <w:szCs w:val="24"/>
        </w:rPr>
        <w:t>(2), 193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206.</w:t>
      </w:r>
    </w:p>
    <w:p w14:paraId="0589B273" w14:textId="45BC664A" w:rsidR="00AF0A74" w:rsidRDefault="00AF0A74" w:rsidP="00AF0A74">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Hanna, R., &amp; Oliva, P. (2015). The effect of pollution on labor supply: Evidence from a natural experiment in Mexico City. Journal of Public Economics, </w:t>
      </w:r>
      <w:r w:rsidRPr="00AF0A74">
        <w:rPr>
          <w:rFonts w:ascii="Times New Roman" w:eastAsia="Microsoft YaHei" w:cs="SimSun" w:hint="eastAsia"/>
          <w:bCs/>
          <w:i/>
          <w:iCs/>
          <w:color w:val="000000"/>
          <w:kern w:val="0"/>
          <w:sz w:val="22"/>
          <w:szCs w:val="24"/>
        </w:rPr>
        <w:t>122</w:t>
      </w:r>
      <w:r w:rsidRPr="00AF0A74">
        <w:rPr>
          <w:rFonts w:ascii="Times New Roman" w:eastAsia="Microsoft YaHei" w:cs="SimSun" w:hint="eastAsia"/>
          <w:bCs/>
          <w:color w:val="000000"/>
          <w:kern w:val="0"/>
          <w:sz w:val="22"/>
          <w:szCs w:val="24"/>
        </w:rPr>
        <w:t>, 68</w:t>
      </w:r>
      <w:r w:rsidRPr="00AF0A74">
        <w:rPr>
          <w:rFonts w:ascii="Times New Roman" w:eastAsia="Microsoft YaHei" w:cs="SimSun" w:hint="eastAsia"/>
          <w:bCs/>
          <w:color w:val="000000"/>
          <w:kern w:val="0"/>
          <w:sz w:val="22"/>
          <w:szCs w:val="24"/>
        </w:rPr>
        <w:t>–</w:t>
      </w:r>
      <w:r w:rsidRPr="00AF0A74">
        <w:rPr>
          <w:rFonts w:ascii="Times New Roman" w:eastAsia="Microsoft YaHei" w:cs="SimSun" w:hint="eastAsia"/>
          <w:bCs/>
          <w:color w:val="000000"/>
          <w:kern w:val="0"/>
          <w:sz w:val="22"/>
          <w:szCs w:val="24"/>
        </w:rPr>
        <w:t xml:space="preserve">79. </w:t>
      </w:r>
      <w:hyperlink r:id="rId21" w:history="1">
        <w:r w:rsidRPr="008F5DCA">
          <w:rPr>
            <w:rStyle w:val="Hyperlink"/>
            <w:rFonts w:ascii="Times New Roman" w:eastAsia="Microsoft YaHei" w:cs="SimSun" w:hint="eastAsia"/>
            <w:bCs/>
            <w:kern w:val="0"/>
            <w:sz w:val="22"/>
            <w:szCs w:val="24"/>
          </w:rPr>
          <w:t>https://doi.org/10.1016/j.jpubeco.2014.10.004</w:t>
        </w:r>
      </w:hyperlink>
    </w:p>
    <w:p w14:paraId="5CB52AAA"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Hanif, S., Ahmed, A., &amp; Younas, N. (2023). Examining the impact of environmental management accounting practices and green transformational leadership on corporate environmental performance: The mediating role of green process innovation.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414</w:t>
      </w:r>
      <w:r w:rsidRPr="0034665F">
        <w:rPr>
          <w:rFonts w:ascii="Times New Roman" w:eastAsia="Microsoft YaHei" w:cs="SimSun"/>
          <w:bCs/>
          <w:color w:val="000000"/>
          <w:kern w:val="0"/>
          <w:sz w:val="22"/>
          <w:szCs w:val="24"/>
        </w:rPr>
        <w:t>, 137584.</w:t>
      </w:r>
      <w:r w:rsidRPr="0034665F">
        <w:rPr>
          <w:rFonts w:ascii="Times New Roman" w:eastAsia="Microsoft YaHei" w:cs="SimSun"/>
          <w:bCs/>
          <w:color w:val="000000"/>
          <w:kern w:val="0"/>
          <w:sz w:val="22"/>
          <w:szCs w:val="24"/>
        </w:rPr>
        <w:t> </w:t>
      </w:r>
      <w:hyperlink r:id="rId22" w:tgtFrame="_blank" w:history="1">
        <w:r w:rsidRPr="0034665F">
          <w:rPr>
            <w:rStyle w:val="Hyperlink"/>
            <w:rFonts w:ascii="Times New Roman" w:eastAsia="Microsoft YaHei" w:cs="SimSun"/>
            <w:bCs/>
            <w:kern w:val="0"/>
            <w:sz w:val="22"/>
            <w:szCs w:val="24"/>
          </w:rPr>
          <w:t>https://doi.org/10.1016/j.jclepro.2023.137584</w:t>
        </w:r>
      </w:hyperlink>
    </w:p>
    <w:p w14:paraId="2D32929A" w14:textId="77777777" w:rsidR="0034665F" w:rsidRDefault="0034665F" w:rsidP="0034665F">
      <w:pPr>
        <w:autoSpaceDE w:val="0"/>
        <w:autoSpaceDN w:val="0"/>
        <w:adjustRightInd w:val="0"/>
        <w:ind w:left="440" w:hangingChars="200" w:hanging="440"/>
      </w:pPr>
      <w:r w:rsidRPr="0034665F">
        <w:rPr>
          <w:rFonts w:ascii="Cambria" w:eastAsia="Microsoft YaHei" w:hAnsi="Cambria" w:cs="Cambria"/>
          <w:bCs/>
          <w:color w:val="000000"/>
          <w:kern w:val="0"/>
          <w:sz w:val="22"/>
          <w:szCs w:val="24"/>
        </w:rPr>
        <w:t>İ</w:t>
      </w:r>
      <w:r w:rsidRPr="0034665F">
        <w:rPr>
          <w:rFonts w:ascii="Times New Roman" w:eastAsia="Microsoft YaHei" w:cs="SimSun"/>
          <w:bCs/>
          <w:color w:val="000000"/>
          <w:kern w:val="0"/>
          <w:sz w:val="22"/>
          <w:szCs w:val="24"/>
        </w:rPr>
        <w:t xml:space="preserve">nceiplik, G. K., &amp; </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im</w:t>
      </w:r>
      <w:r w:rsidRPr="0034665F">
        <w:rPr>
          <w:rFonts w:ascii="Times New Roman" w:eastAsia="Microsoft YaHei" w:cs="SimSun"/>
          <w:bCs/>
          <w:color w:val="000000"/>
          <w:kern w:val="0"/>
          <w:sz w:val="22"/>
          <w:szCs w:val="24"/>
        </w:rPr>
        <w:t>ş</w:t>
      </w:r>
      <w:r w:rsidRPr="0034665F">
        <w:rPr>
          <w:rFonts w:ascii="Times New Roman" w:eastAsia="Microsoft YaHei" w:cs="SimSun"/>
          <w:bCs/>
          <w:color w:val="000000"/>
          <w:kern w:val="0"/>
          <w:sz w:val="22"/>
          <w:szCs w:val="24"/>
        </w:rPr>
        <w:t>ek, O. (2024). Role of green taxes on economic growth goals of sustainable development directly and through environmental performance: A system GMM approach.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Economy Culture and Society, 69</w:t>
      </w:r>
      <w:r w:rsidRPr="0034665F">
        <w:rPr>
          <w:rFonts w:ascii="Times New Roman" w:eastAsia="Microsoft YaHei" w:cs="SimSun"/>
          <w:bCs/>
          <w:color w:val="000000"/>
          <w:kern w:val="0"/>
          <w:sz w:val="22"/>
          <w:szCs w:val="24"/>
        </w:rPr>
        <w:t>, 56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65.</w:t>
      </w:r>
      <w:r w:rsidRPr="0034665F">
        <w:rPr>
          <w:rFonts w:ascii="Times New Roman" w:eastAsia="Microsoft YaHei" w:cs="SimSun"/>
          <w:bCs/>
          <w:color w:val="000000"/>
          <w:kern w:val="0"/>
          <w:sz w:val="22"/>
          <w:szCs w:val="24"/>
        </w:rPr>
        <w:t> </w:t>
      </w:r>
      <w:hyperlink r:id="rId23" w:tgtFrame="_blank" w:history="1">
        <w:r w:rsidRPr="0034665F">
          <w:rPr>
            <w:rStyle w:val="Hyperlink"/>
            <w:rFonts w:ascii="Times New Roman" w:eastAsia="Microsoft YaHei" w:cs="SimSun"/>
            <w:bCs/>
            <w:kern w:val="0"/>
            <w:sz w:val="22"/>
            <w:szCs w:val="24"/>
          </w:rPr>
          <w:t>https://doi.org/10.26650/JECS2023-1278968</w:t>
        </w:r>
      </w:hyperlink>
    </w:p>
    <w:p w14:paraId="7C31376E" w14:textId="1A141B44" w:rsidR="00AF0A74" w:rsidRDefault="00AF0A74" w:rsidP="0034665F">
      <w:pPr>
        <w:autoSpaceDE w:val="0"/>
        <w:autoSpaceDN w:val="0"/>
        <w:adjustRightInd w:val="0"/>
        <w:ind w:left="440" w:hangingChars="200" w:hanging="440"/>
        <w:rPr>
          <w:rFonts w:ascii="Times New Roman" w:eastAsia="Microsoft YaHei" w:cs="SimSun"/>
          <w:bCs/>
          <w:color w:val="000000"/>
          <w:kern w:val="0"/>
          <w:sz w:val="22"/>
          <w:szCs w:val="24"/>
        </w:rPr>
      </w:pPr>
      <w:r w:rsidRPr="00AF0A74">
        <w:rPr>
          <w:rFonts w:ascii="Times New Roman" w:eastAsia="Microsoft YaHei" w:cs="SimSun" w:hint="eastAsia"/>
          <w:bCs/>
          <w:color w:val="000000"/>
          <w:kern w:val="0"/>
          <w:sz w:val="22"/>
          <w:szCs w:val="24"/>
        </w:rPr>
        <w:t xml:space="preserve">Kahn, M. E., Li, P., &amp; Zhao, D. (2022). Water pollution progress at borders: The role of changes in China's political promotion incentives. Journal of Financial Economics, </w:t>
      </w:r>
      <w:r w:rsidRPr="00AF0A74">
        <w:rPr>
          <w:rFonts w:ascii="Times New Roman" w:eastAsia="Microsoft YaHei" w:cs="SimSun" w:hint="eastAsia"/>
          <w:bCs/>
          <w:i/>
          <w:iCs/>
          <w:color w:val="000000"/>
          <w:kern w:val="0"/>
          <w:sz w:val="22"/>
          <w:szCs w:val="24"/>
        </w:rPr>
        <w:t>143</w:t>
      </w:r>
      <w:r w:rsidRPr="00AF0A74">
        <w:rPr>
          <w:rFonts w:ascii="Times New Roman" w:eastAsia="Microsoft YaHei" w:cs="SimSun" w:hint="eastAsia"/>
          <w:bCs/>
          <w:color w:val="000000"/>
          <w:kern w:val="0"/>
          <w:sz w:val="22"/>
          <w:szCs w:val="24"/>
        </w:rPr>
        <w:t xml:space="preserve">(1), 275-299. </w:t>
      </w:r>
      <w:hyperlink r:id="rId24" w:history="1">
        <w:r w:rsidRPr="008F5DCA">
          <w:rPr>
            <w:rStyle w:val="Hyperlink"/>
            <w:rFonts w:ascii="Times New Roman" w:eastAsia="Microsoft YaHei" w:cs="SimSun" w:hint="eastAsia"/>
            <w:bCs/>
            <w:kern w:val="0"/>
            <w:sz w:val="22"/>
            <w:szCs w:val="24"/>
          </w:rPr>
          <w:t>https://doi.org/10.1016/j.jfineco.2021.07.022</w:t>
        </w:r>
      </w:hyperlink>
    </w:p>
    <w:p w14:paraId="082EE56E" w14:textId="10060DF6"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Khan, S. A. R., Sheikh, A. A., &amp; Ahmad, Z. (2023). Developing the interconnection between green employee behavior, tax avoidance, green capability, and sustainable performance of SMEs through corporate social responsibility.</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Cleaner Production, 419</w:t>
      </w:r>
      <w:r w:rsidRPr="0034665F">
        <w:rPr>
          <w:rFonts w:ascii="Times New Roman" w:eastAsia="Microsoft YaHei" w:cs="SimSun"/>
          <w:bCs/>
          <w:color w:val="000000"/>
          <w:kern w:val="0"/>
          <w:sz w:val="22"/>
          <w:szCs w:val="24"/>
        </w:rPr>
        <w:t>, 138236.</w:t>
      </w:r>
      <w:r w:rsidRPr="0034665F">
        <w:rPr>
          <w:rFonts w:ascii="Times New Roman" w:eastAsia="Microsoft YaHei" w:cs="SimSun"/>
          <w:bCs/>
          <w:color w:val="000000"/>
          <w:kern w:val="0"/>
          <w:sz w:val="22"/>
          <w:szCs w:val="24"/>
        </w:rPr>
        <w:t> </w:t>
      </w:r>
      <w:hyperlink r:id="rId25" w:history="1">
        <w:r w:rsidRPr="00891566">
          <w:rPr>
            <w:rStyle w:val="Hyperlink"/>
            <w:rFonts w:ascii="Times New Roman" w:eastAsia="Microsoft YaHei" w:cs="SimSun"/>
            <w:bCs/>
            <w:kern w:val="0"/>
            <w:sz w:val="22"/>
            <w:szCs w:val="24"/>
          </w:rPr>
          <w:t>https://doi.org/10.1016/j.jclepro.2023.138236</w:t>
        </w:r>
      </w:hyperlink>
    </w:p>
    <w:p w14:paraId="0A246B61"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 Y., &amp; Hua, Z. (2024). Environmental protection tax law and corporate ESG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Finance Research Letters, 64</w:t>
      </w:r>
      <w:r w:rsidRPr="0034665F">
        <w:rPr>
          <w:rFonts w:ascii="Times New Roman" w:eastAsia="Microsoft YaHei" w:cs="SimSun"/>
          <w:bCs/>
          <w:color w:val="000000"/>
          <w:kern w:val="0"/>
          <w:sz w:val="22"/>
          <w:szCs w:val="24"/>
        </w:rPr>
        <w:t>, 105423.</w:t>
      </w:r>
      <w:r w:rsidRPr="0034665F">
        <w:rPr>
          <w:rFonts w:ascii="Times New Roman" w:eastAsia="Microsoft YaHei" w:cs="SimSun"/>
          <w:bCs/>
          <w:color w:val="000000"/>
          <w:kern w:val="0"/>
          <w:sz w:val="22"/>
          <w:szCs w:val="24"/>
        </w:rPr>
        <w:t> </w:t>
      </w:r>
      <w:hyperlink r:id="rId26" w:tgtFrame="_blank" w:history="1">
        <w:r w:rsidRPr="0034665F">
          <w:rPr>
            <w:rStyle w:val="Hyperlink"/>
            <w:rFonts w:ascii="Times New Roman" w:eastAsia="Microsoft YaHei" w:cs="SimSun"/>
            <w:bCs/>
            <w:kern w:val="0"/>
            <w:sz w:val="22"/>
            <w:szCs w:val="24"/>
          </w:rPr>
          <w:t>https://doi.org/10.1016/j.frl.2024.105423</w:t>
        </w:r>
      </w:hyperlink>
    </w:p>
    <w:p w14:paraId="3238277B"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Liu, G., Yang, Z., Zhang, F., &amp; Zhang, N. (2022). Environmental tax reform and environmental investment: A quasi-natural experiment based on China's Environmental Protection Tax Law.</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Economics, 109</w:t>
      </w:r>
      <w:r w:rsidRPr="0034665F">
        <w:rPr>
          <w:rFonts w:ascii="Times New Roman" w:eastAsia="Microsoft YaHei" w:cs="SimSun"/>
          <w:bCs/>
          <w:color w:val="000000"/>
          <w:kern w:val="0"/>
          <w:sz w:val="22"/>
          <w:szCs w:val="24"/>
        </w:rPr>
        <w:t>, 106000.</w:t>
      </w:r>
      <w:r w:rsidRPr="0034665F">
        <w:rPr>
          <w:rFonts w:ascii="Times New Roman" w:eastAsia="Microsoft YaHei" w:cs="SimSun"/>
          <w:bCs/>
          <w:color w:val="000000"/>
          <w:kern w:val="0"/>
          <w:sz w:val="22"/>
          <w:szCs w:val="24"/>
        </w:rPr>
        <w:t> </w:t>
      </w:r>
      <w:hyperlink r:id="rId27" w:tgtFrame="_blank" w:history="1">
        <w:r w:rsidRPr="0034665F">
          <w:rPr>
            <w:rStyle w:val="Hyperlink"/>
            <w:rFonts w:ascii="Times New Roman" w:eastAsia="Microsoft YaHei" w:cs="SimSun"/>
            <w:bCs/>
            <w:kern w:val="0"/>
            <w:sz w:val="22"/>
            <w:szCs w:val="24"/>
          </w:rPr>
          <w:t>https://doi.org/10.1016/j.eneco.2022.106000</w:t>
        </w:r>
      </w:hyperlink>
    </w:p>
    <w:p w14:paraId="12105B65"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Nyilasy, G., Gangadharbatla, H., &amp; Paladino, A. (2014). Perceived greenwashing: The interactive effects of green advertising and corporate environmental performance on consumer reactions.</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Journal of Business Ethics, 125</w:t>
      </w:r>
      <w:r w:rsidRPr="0034665F">
        <w:rPr>
          <w:rFonts w:ascii="Times New Roman" w:eastAsia="Microsoft YaHei" w:cs="SimSun"/>
          <w:bCs/>
          <w:color w:val="000000"/>
          <w:kern w:val="0"/>
          <w:sz w:val="22"/>
          <w:szCs w:val="24"/>
        </w:rPr>
        <w:t>, 693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707.</w:t>
      </w:r>
      <w:r w:rsidRPr="0034665F">
        <w:rPr>
          <w:rFonts w:ascii="Times New Roman" w:eastAsia="Microsoft YaHei" w:cs="SimSun"/>
          <w:bCs/>
          <w:color w:val="000000"/>
          <w:kern w:val="0"/>
          <w:sz w:val="22"/>
          <w:szCs w:val="24"/>
        </w:rPr>
        <w:t> </w:t>
      </w:r>
      <w:hyperlink r:id="rId28" w:tgtFrame="_blank" w:history="1">
        <w:r w:rsidRPr="0034665F">
          <w:rPr>
            <w:rStyle w:val="Hyperlink"/>
            <w:rFonts w:ascii="Times New Roman" w:eastAsia="Microsoft YaHei" w:cs="SimSun"/>
            <w:bCs/>
            <w:kern w:val="0"/>
            <w:sz w:val="22"/>
            <w:szCs w:val="24"/>
          </w:rPr>
          <w:t>https://doi.org/10.1007/s10551-013-1944-3</w:t>
        </w:r>
      </w:hyperlink>
    </w:p>
    <w:p w14:paraId="188EEE03"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Omran, M. S., Zaid, M. A., &amp; Dwekat, A. (2021). The relationship between integrated reporting and corporate environmental performance: A green trial.</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Corporate Social Responsibility and Environmental Management, 28</w:t>
      </w:r>
      <w:r w:rsidRPr="0034665F">
        <w:rPr>
          <w:rFonts w:ascii="Times New Roman" w:eastAsia="Microsoft YaHei" w:cs="SimSun"/>
          <w:bCs/>
          <w:color w:val="000000"/>
          <w:kern w:val="0"/>
          <w:sz w:val="22"/>
          <w:szCs w:val="24"/>
        </w:rPr>
        <w:t>(1), 427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445.</w:t>
      </w:r>
      <w:r w:rsidRPr="0034665F">
        <w:rPr>
          <w:rFonts w:ascii="Times New Roman" w:eastAsia="Microsoft YaHei" w:cs="SimSun"/>
          <w:bCs/>
          <w:color w:val="000000"/>
          <w:kern w:val="0"/>
          <w:sz w:val="22"/>
          <w:szCs w:val="24"/>
        </w:rPr>
        <w:t> </w:t>
      </w:r>
      <w:hyperlink r:id="rId29" w:tgtFrame="_blank" w:history="1">
        <w:r w:rsidRPr="0034665F">
          <w:rPr>
            <w:rStyle w:val="Hyperlink"/>
            <w:rFonts w:ascii="Times New Roman" w:eastAsia="Microsoft YaHei" w:cs="SimSun"/>
            <w:bCs/>
            <w:kern w:val="0"/>
            <w:sz w:val="22"/>
            <w:szCs w:val="24"/>
          </w:rPr>
          <w:t>https://doi.org/10.1002/csr.2068</w:t>
        </w:r>
      </w:hyperlink>
    </w:p>
    <w:p w14:paraId="3E4DA508" w14:textId="471EF791"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Pham, T. N. D., Le, T. D., &amp; Tran, T. K. (2024). Environmental tax policy and enterprise performance: Analysis in Vietnam. In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International Conference on Economics, Law and Government (ELG 2024)</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(p. 158).</w:t>
      </w:r>
    </w:p>
    <w:p w14:paraId="5F9F455D" w14:textId="77777777" w:rsidR="0034665F" w:rsidRDefault="0034665F" w:rsidP="0034665F">
      <w:pPr>
        <w:autoSpaceDE w:val="0"/>
        <w:autoSpaceDN w:val="0"/>
        <w:adjustRightInd w:val="0"/>
        <w:ind w:left="440" w:hangingChars="200" w:hanging="440"/>
      </w:pPr>
      <w:r w:rsidRPr="0034665F">
        <w:rPr>
          <w:rFonts w:ascii="Times New Roman" w:eastAsia="Microsoft YaHei" w:cs="SimSun"/>
          <w:bCs/>
          <w:color w:val="000000"/>
          <w:kern w:val="0"/>
          <w:sz w:val="22"/>
          <w:szCs w:val="24"/>
        </w:rPr>
        <w:t>Sahoo, S., Kumar, A., &amp; Upadhyay, A. (2023). How do green knowledge management and green technology innovation impact corporate environmental performance? Understanding the role of green knowledge acquisition.</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Business Strategy and the Environment, 32</w:t>
      </w:r>
      <w:r w:rsidRPr="0034665F">
        <w:rPr>
          <w:rFonts w:ascii="Times New Roman" w:eastAsia="Microsoft YaHei" w:cs="SimSun"/>
          <w:bCs/>
          <w:color w:val="000000"/>
          <w:kern w:val="0"/>
          <w:sz w:val="22"/>
          <w:szCs w:val="24"/>
        </w:rPr>
        <w:t>(1), 551</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569.</w:t>
      </w:r>
      <w:r w:rsidRPr="0034665F">
        <w:rPr>
          <w:rFonts w:ascii="Times New Roman" w:eastAsia="Microsoft YaHei" w:cs="SimSun"/>
          <w:bCs/>
          <w:color w:val="000000"/>
          <w:kern w:val="0"/>
          <w:sz w:val="22"/>
          <w:szCs w:val="24"/>
        </w:rPr>
        <w:t> </w:t>
      </w:r>
      <w:hyperlink r:id="rId30" w:tgtFrame="_blank" w:history="1">
        <w:r w:rsidRPr="0034665F">
          <w:rPr>
            <w:rStyle w:val="Hyperlink"/>
            <w:rFonts w:ascii="Times New Roman" w:eastAsia="Microsoft YaHei" w:cs="SimSun"/>
            <w:bCs/>
            <w:kern w:val="0"/>
            <w:sz w:val="22"/>
            <w:szCs w:val="24"/>
          </w:rPr>
          <w:t>https://doi.org/10.1002/bse.3160</w:t>
        </w:r>
      </w:hyperlink>
    </w:p>
    <w:p w14:paraId="15CCB2B0" w14:textId="21B7874A" w:rsidR="00B44A73" w:rsidRPr="0034665F" w:rsidRDefault="00B44A73" w:rsidP="0034665F">
      <w:pPr>
        <w:autoSpaceDE w:val="0"/>
        <w:autoSpaceDN w:val="0"/>
        <w:adjustRightInd w:val="0"/>
        <w:ind w:left="440" w:hangingChars="200" w:hanging="440"/>
        <w:rPr>
          <w:rFonts w:ascii="Times New Roman" w:eastAsia="Microsoft YaHei" w:cs="SimSun"/>
          <w:bCs/>
          <w:color w:val="000000"/>
          <w:kern w:val="0"/>
          <w:sz w:val="22"/>
          <w:szCs w:val="24"/>
        </w:rPr>
      </w:pPr>
      <w:r w:rsidRPr="00B44A73">
        <w:rPr>
          <w:rFonts w:ascii="Times New Roman" w:eastAsia="Microsoft YaHei" w:cs="SimSun"/>
          <w:bCs/>
          <w:color w:val="000000"/>
          <w:kern w:val="0"/>
          <w:sz w:val="22"/>
          <w:szCs w:val="24"/>
        </w:rPr>
        <w:t>Testa, F., Boiral, O., &amp; Iraldo, F. (2021).</w:t>
      </w:r>
      <w:r w:rsidRPr="00B44A73">
        <w:rPr>
          <w:rFonts w:ascii="Times New Roman" w:eastAsia="Microsoft YaHei" w:cs="SimSun"/>
          <w:bCs/>
          <w:color w:val="000000"/>
          <w:kern w:val="0"/>
          <w:sz w:val="22"/>
          <w:szCs w:val="24"/>
        </w:rPr>
        <w:t> </w:t>
      </w:r>
      <w:r w:rsidRPr="00B44A73">
        <w:rPr>
          <w:rFonts w:ascii="Times New Roman" w:eastAsia="Microsoft YaHei" w:cs="SimSun"/>
          <w:bCs/>
          <w:i/>
          <w:iCs/>
          <w:color w:val="000000"/>
          <w:kern w:val="0"/>
          <w:sz w:val="22"/>
          <w:szCs w:val="24"/>
        </w:rPr>
        <w:t>Corporate environmental performance: Accounting for the governance gap</w:t>
      </w:r>
      <w:r w:rsidRPr="00B44A73">
        <w:rPr>
          <w:rFonts w:ascii="Times New Roman" w:eastAsia="Microsoft YaHei" w:cs="SimSun"/>
          <w:bCs/>
          <w:color w:val="000000"/>
          <w:kern w:val="0"/>
          <w:sz w:val="22"/>
          <w:szCs w:val="24"/>
        </w:rPr>
        <w:t>. Ecological Economics, 188, 107116.</w:t>
      </w:r>
      <w:r w:rsidRPr="00B44A73">
        <w:rPr>
          <w:rFonts w:ascii="Times New Roman" w:eastAsia="Microsoft YaHei" w:cs="SimSun"/>
          <w:bCs/>
          <w:color w:val="000000"/>
          <w:kern w:val="0"/>
          <w:sz w:val="22"/>
          <w:szCs w:val="24"/>
        </w:rPr>
        <w:t> </w:t>
      </w:r>
      <w:hyperlink r:id="rId31" w:tgtFrame="_blank" w:history="1">
        <w:r w:rsidRPr="00B44A73">
          <w:rPr>
            <w:rStyle w:val="Hyperlink"/>
            <w:rFonts w:ascii="Times New Roman" w:eastAsia="Microsoft YaHei" w:cs="SimSun"/>
            <w:bCs/>
            <w:kern w:val="0"/>
            <w:sz w:val="22"/>
            <w:szCs w:val="24"/>
          </w:rPr>
          <w:t>https://doi.org/10.1016/j.ecolecon.2021.107116</w:t>
        </w:r>
      </w:hyperlink>
    </w:p>
    <w:p w14:paraId="7C34F957"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Tobey, J. A. (2001).</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The effects of domestic environmental policies on patterns of world trade: An empirical test</w:t>
      </w:r>
      <w:r w:rsidRPr="0034665F">
        <w:rPr>
          <w:rFonts w:ascii="Times New Roman" w:eastAsia="Microsoft YaHei" w:cs="SimSun"/>
          <w:bCs/>
          <w:color w:val="000000"/>
          <w:kern w:val="0"/>
          <w:sz w:val="22"/>
          <w:szCs w:val="24"/>
        </w:rPr>
        <w:t> </w:t>
      </w:r>
      <w:r w:rsidRPr="0034665F">
        <w:rPr>
          <w:rFonts w:ascii="Times New Roman" w:eastAsia="Microsoft YaHei" w:cs="SimSun"/>
          <w:bCs/>
          <w:color w:val="000000"/>
          <w:kern w:val="0"/>
          <w:sz w:val="22"/>
          <w:szCs w:val="24"/>
        </w:rPr>
        <w:t>[Unpublished manuscript].</w:t>
      </w:r>
    </w:p>
    <w:p w14:paraId="174E88C7" w14:textId="6E81C2B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lastRenderedPageBreak/>
        <w:t>Uddin, K. M. K., Rahman, M. M., &amp; Saha, S. (2023). The impact of green tax and energy efficiency on sustainability: Evidence from Bangladesh.</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Energy Reports, 10</w:t>
      </w:r>
      <w:r w:rsidRPr="0034665F">
        <w:rPr>
          <w:rFonts w:ascii="Times New Roman" w:eastAsia="Microsoft YaHei" w:cs="SimSun"/>
          <w:bCs/>
          <w:color w:val="000000"/>
          <w:kern w:val="0"/>
          <w:sz w:val="22"/>
          <w:szCs w:val="24"/>
        </w:rPr>
        <w:t>, 2306</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2318.</w:t>
      </w:r>
      <w:r w:rsidRPr="0034665F">
        <w:rPr>
          <w:rFonts w:ascii="Times New Roman" w:eastAsia="Microsoft YaHei" w:cs="SimSun"/>
          <w:bCs/>
          <w:color w:val="000000"/>
          <w:kern w:val="0"/>
          <w:sz w:val="22"/>
          <w:szCs w:val="24"/>
        </w:rPr>
        <w:t> </w:t>
      </w:r>
      <w:hyperlink r:id="rId32" w:history="1">
        <w:r w:rsidRPr="00891566">
          <w:rPr>
            <w:rStyle w:val="Hyperlink"/>
            <w:rFonts w:ascii="Times New Roman" w:eastAsia="Microsoft YaHei" w:cs="SimSun"/>
            <w:bCs/>
            <w:kern w:val="0"/>
            <w:sz w:val="22"/>
            <w:szCs w:val="24"/>
          </w:rPr>
          <w:t>https://doi.org/10.1016/j.egyr.2023.08.055</w:t>
        </w:r>
      </w:hyperlink>
    </w:p>
    <w:p w14:paraId="3AE1EBAC"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Verbeke, A., &amp; Coeck, C. (1997). Environmental taxation: A green stick or a green carrot for corporate social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Managerial and Decision Economics, 18</w:t>
      </w:r>
      <w:r w:rsidRPr="0034665F">
        <w:rPr>
          <w:rFonts w:ascii="Times New Roman" w:eastAsia="Microsoft YaHei" w:cs="SimSun"/>
          <w:bCs/>
          <w:color w:val="000000"/>
          <w:kern w:val="0"/>
          <w:sz w:val="22"/>
          <w:szCs w:val="24"/>
        </w:rPr>
        <w:t>(6), 507</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516.</w:t>
      </w:r>
    </w:p>
    <w:p w14:paraId="081AF3DD" w14:textId="77777777" w:rsidR="0034665F" w:rsidRPr="0034665F" w:rsidRDefault="0034665F" w:rsidP="0034665F">
      <w:pPr>
        <w:autoSpaceDE w:val="0"/>
        <w:autoSpaceDN w:val="0"/>
        <w:adjustRightInd w:val="0"/>
        <w:ind w:left="440" w:hangingChars="200" w:hanging="440"/>
        <w:rPr>
          <w:rFonts w:ascii="Times New Roman" w:eastAsia="Microsoft YaHei" w:cs="SimSun"/>
          <w:bCs/>
          <w:color w:val="000000"/>
          <w:kern w:val="0"/>
          <w:sz w:val="22"/>
          <w:szCs w:val="24"/>
        </w:rPr>
      </w:pPr>
      <w:r w:rsidRPr="0034665F">
        <w:rPr>
          <w:rFonts w:ascii="Times New Roman" w:eastAsia="Microsoft YaHei" w:cs="SimSun"/>
          <w:bCs/>
          <w:color w:val="000000"/>
          <w:kern w:val="0"/>
          <w:sz w:val="22"/>
          <w:szCs w:val="24"/>
        </w:rPr>
        <w:t>Yan, S., Almandoz, J., &amp; Ferraro, F. (2021). The impact of logic (in)compatibility: Green investing, state policy, and corporate environmental performance.</w:t>
      </w:r>
      <w:r w:rsidRPr="0034665F">
        <w:rPr>
          <w:rFonts w:ascii="Times New Roman" w:eastAsia="Microsoft YaHei" w:cs="SimSun"/>
          <w:bCs/>
          <w:color w:val="000000"/>
          <w:kern w:val="0"/>
          <w:sz w:val="22"/>
          <w:szCs w:val="24"/>
        </w:rPr>
        <w:t> </w:t>
      </w:r>
      <w:r w:rsidRPr="0034665F">
        <w:rPr>
          <w:rFonts w:ascii="Times New Roman" w:eastAsia="Microsoft YaHei" w:cs="SimSun"/>
          <w:bCs/>
          <w:i/>
          <w:iCs/>
          <w:color w:val="000000"/>
          <w:kern w:val="0"/>
          <w:sz w:val="22"/>
          <w:szCs w:val="24"/>
        </w:rPr>
        <w:t>Administrative Science Quarterly, 66</w:t>
      </w:r>
      <w:r w:rsidRPr="0034665F">
        <w:rPr>
          <w:rFonts w:ascii="Times New Roman" w:eastAsia="Microsoft YaHei" w:cs="SimSun"/>
          <w:bCs/>
          <w:color w:val="000000"/>
          <w:kern w:val="0"/>
          <w:sz w:val="22"/>
          <w:szCs w:val="24"/>
        </w:rPr>
        <w:t>(4), 903</w:t>
      </w:r>
      <w:r w:rsidRPr="0034665F">
        <w:rPr>
          <w:rFonts w:ascii="Times New Roman" w:eastAsia="Microsoft YaHei" w:cs="SimSun"/>
          <w:bCs/>
          <w:color w:val="000000"/>
          <w:kern w:val="0"/>
          <w:sz w:val="22"/>
          <w:szCs w:val="24"/>
        </w:rPr>
        <w:t>–</w:t>
      </w:r>
      <w:r w:rsidRPr="0034665F">
        <w:rPr>
          <w:rFonts w:ascii="Times New Roman" w:eastAsia="Microsoft YaHei" w:cs="SimSun"/>
          <w:bCs/>
          <w:color w:val="000000"/>
          <w:kern w:val="0"/>
          <w:sz w:val="22"/>
          <w:szCs w:val="24"/>
        </w:rPr>
        <w:t>944.</w:t>
      </w:r>
      <w:r w:rsidRPr="0034665F">
        <w:rPr>
          <w:rFonts w:ascii="Times New Roman" w:eastAsia="Microsoft YaHei" w:cs="SimSun"/>
          <w:bCs/>
          <w:color w:val="000000"/>
          <w:kern w:val="0"/>
          <w:sz w:val="22"/>
          <w:szCs w:val="24"/>
        </w:rPr>
        <w:t> </w:t>
      </w:r>
      <w:hyperlink r:id="rId33" w:tgtFrame="_blank" w:history="1">
        <w:r w:rsidRPr="0034665F">
          <w:rPr>
            <w:rStyle w:val="Hyperlink"/>
            <w:rFonts w:ascii="Times New Roman" w:eastAsia="Microsoft YaHei" w:cs="SimSun"/>
            <w:bCs/>
            <w:kern w:val="0"/>
            <w:sz w:val="22"/>
            <w:szCs w:val="24"/>
          </w:rPr>
          <w:t>https://doi.org/10.1177/00018392211024555</w:t>
        </w:r>
      </w:hyperlink>
    </w:p>
    <w:p w14:paraId="254F9A40" w14:textId="49F0FF0B" w:rsidR="00CF17D2" w:rsidRDefault="00CF17D2" w:rsidP="0034665F">
      <w:pPr>
        <w:autoSpaceDE w:val="0"/>
        <w:autoSpaceDN w:val="0"/>
        <w:adjustRightInd w:val="0"/>
        <w:rPr>
          <w:rFonts w:ascii="Times New Roman" w:eastAsia="SimSun" w:hAnsi="Times New Roman" w:cs="Times New Roman"/>
          <w:kern w:val="0"/>
          <w:sz w:val="20"/>
          <w:szCs w:val="20"/>
        </w:rPr>
      </w:pPr>
    </w:p>
    <w:p w14:paraId="2991CB81" w14:textId="016AC083" w:rsidR="001A5231" w:rsidRDefault="001A5231" w:rsidP="0034665F">
      <w:pPr>
        <w:autoSpaceDE w:val="0"/>
        <w:autoSpaceDN w:val="0"/>
        <w:adjustRightInd w:val="0"/>
        <w:rPr>
          <w:rFonts w:ascii="Arial" w:hAnsi="Arial" w:cs="Arial"/>
          <w:color w:val="222222"/>
          <w:sz w:val="20"/>
          <w:szCs w:val="20"/>
          <w:shd w:val="clear" w:color="auto" w:fill="FFFFFF"/>
        </w:rPr>
      </w:pPr>
      <w:r>
        <w:rPr>
          <w:rFonts w:ascii="Arial" w:hAnsi="Arial" w:cs="Arial"/>
          <w:color w:val="222222"/>
          <w:sz w:val="20"/>
          <w:szCs w:val="20"/>
          <w:shd w:val="clear" w:color="auto" w:fill="FFFFFF"/>
        </w:rPr>
        <w:t>Shi, X., Jiang, Z., Bai, D., Fahad, S., &amp; Irfan, M. (2023). Assessing the impact of green tax reforms on corporate environmental performance and economic growth: do green reforms promote the environmental performance in heavily polluted enterprises?. </w:t>
      </w:r>
      <w:r>
        <w:rPr>
          <w:rFonts w:ascii="Arial" w:hAnsi="Arial" w:cs="Arial"/>
          <w:i/>
          <w:iCs/>
          <w:color w:val="222222"/>
          <w:sz w:val="20"/>
          <w:szCs w:val="20"/>
          <w:shd w:val="clear" w:color="auto" w:fill="FFFFFF"/>
        </w:rPr>
        <w:t>Environmental Science and Pollution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(19), 56054-56072.</w:t>
      </w:r>
    </w:p>
    <w:sectPr w:rsidR="001A5231">
      <w:headerReference w:type="even" r:id="rId34"/>
      <w:headerReference w:type="default" r:id="rId35"/>
      <w:headerReference w:type="first" r:id="rId36"/>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7ED6" w14:textId="77777777" w:rsidR="00851F5E" w:rsidRDefault="00851F5E">
      <w:r>
        <w:separator/>
      </w:r>
    </w:p>
  </w:endnote>
  <w:endnote w:type="continuationSeparator" w:id="0">
    <w:p w14:paraId="34EA090C" w14:textId="77777777" w:rsidR="00851F5E" w:rsidRDefault="0085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D51CD" w14:textId="77777777" w:rsidR="00851F5E" w:rsidRDefault="00851F5E">
      <w:r>
        <w:separator/>
      </w:r>
    </w:p>
  </w:footnote>
  <w:footnote w:type="continuationSeparator" w:id="0">
    <w:p w14:paraId="1FFCC06C" w14:textId="77777777" w:rsidR="00851F5E" w:rsidRDefault="0085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59AE" w14:textId="439735A8" w:rsidR="00DF1611" w:rsidRDefault="004E4AA4">
    <w:pPr>
      <w:pStyle w:val="Header"/>
    </w:pPr>
    <w:r>
      <w:rPr>
        <w:noProof/>
      </w:rPr>
      <w:pict w14:anchorId="6CDBB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7" o:spid="_x0000_s2050" type="#_x0000_t136" style="position:absolute;left:0;text-align:left;margin-left:0;margin-top:0;width:611.4pt;height:67.9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E7E5" w14:textId="16E6862A" w:rsidR="00DF1611" w:rsidRDefault="004E4AA4">
    <w:pPr>
      <w:pStyle w:val="Header"/>
    </w:pPr>
    <w:r>
      <w:rPr>
        <w:noProof/>
      </w:rPr>
      <w:pict w14:anchorId="50924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8" o:spid="_x0000_s2051" type="#_x0000_t136" style="position:absolute;left:0;text-align:left;margin-left:0;margin-top:0;width:611.4pt;height:67.9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2418" w14:textId="75FE988A" w:rsidR="00DF1611" w:rsidRDefault="004E4AA4">
    <w:pPr>
      <w:pStyle w:val="Header"/>
    </w:pPr>
    <w:r>
      <w:rPr>
        <w:noProof/>
      </w:rPr>
      <w:pict w14:anchorId="46E5B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16156" o:spid="_x0000_s2049" type="#_x0000_t136" style="position:absolute;left:0;text-align:left;margin-left:0;margin-top:0;width:611.4pt;height:67.9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7F6"/>
    <w:multiLevelType w:val="multilevel"/>
    <w:tmpl w:val="8ADA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B49F6"/>
    <w:multiLevelType w:val="multilevel"/>
    <w:tmpl w:val="6662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A47DE"/>
    <w:multiLevelType w:val="multilevel"/>
    <w:tmpl w:val="C804E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F4084"/>
    <w:multiLevelType w:val="hybridMultilevel"/>
    <w:tmpl w:val="6318EA82"/>
    <w:lvl w:ilvl="0" w:tplc="D0EEC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6000817"/>
    <w:multiLevelType w:val="hybridMultilevel"/>
    <w:tmpl w:val="F3466C98"/>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9E66F54"/>
    <w:multiLevelType w:val="hybridMultilevel"/>
    <w:tmpl w:val="83B085DA"/>
    <w:lvl w:ilvl="0" w:tplc="F28A40F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7851239">
    <w:abstractNumId w:val="0"/>
  </w:num>
  <w:num w:numId="2" w16cid:durableId="319845592">
    <w:abstractNumId w:val="4"/>
  </w:num>
  <w:num w:numId="3" w16cid:durableId="613949805">
    <w:abstractNumId w:val="5"/>
  </w:num>
  <w:num w:numId="4" w16cid:durableId="1958566545">
    <w:abstractNumId w:val="3"/>
  </w:num>
  <w:num w:numId="5" w16cid:durableId="254678674">
    <w:abstractNumId w:val="1"/>
  </w:num>
  <w:num w:numId="6" w16cid:durableId="427695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Ref{04134231-CF32-4F39-BDFE-ACB3AC1BFEA4}" w:val=" ADDIN NE.Ref.{04134231-CF32-4F39-BDFE-ACB3AC1BFEA4}&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Group&gt;&lt;References&gt;&lt;Item&gt;&lt;ID&gt;585&lt;/ID&gt;&lt;UID&gt;{52F7BD45-2817-409B-9ADF-FE270EDE1008}&lt;/UID&gt;&lt;Title&gt;Foreign direct investment concessions and environmental levies in China&lt;/Title&gt;&lt;Template&gt;Journal Article&lt;/Template&gt;&lt;Star&gt;0&lt;/Star&gt;&lt;Tag&gt;0&lt;/Tag&gt;&lt;Author&gt;Chen, Qiu; Maung, Min; Shi, Yulin; Wilson, Craig&lt;/Author&gt;&lt;Year&gt;2014&lt;/Year&gt;&lt;Details&gt;&lt;_alternate_title&gt;International Review of Financial Analysis&lt;/_alternate_title&gt;&lt;_date_display&gt;2014&lt;/_date_display&gt;&lt;_date&gt;2014-01-01&lt;/_date&gt;&lt;_isbn&gt;1057-5219&lt;/_isbn&gt;&lt;_journal&gt;International Review of Financial Analysis&lt;/_journal&gt;&lt;_ori_publication&gt;Elsevier&lt;/_ori_publication&gt;&lt;_pages&gt;241-250&lt;/_pages&gt;&lt;_volume&gt;36&lt;/_volume&gt;&lt;_created&gt;64606441&lt;/_created&gt;&lt;_modified&gt;64606441&lt;/_modified&gt;&lt;_impact_factor&gt;   8.235&lt;/_impact_factor&gt;&lt;_social_category&gt;经济学(3)&lt;/_social_category&gt;&lt;_collection_scope&gt;SSCI&lt;/_collection_scope&gt;&lt;/Details&gt;&lt;Extra&gt;&lt;DBUID&gt;{F96A950B-833F-4880-A151-76DA2D6A2879}&lt;/DBUID&gt;&lt;/Extra&gt;&lt;/Item&gt;&lt;/References&gt;&lt;/Group&gt;&lt;/Citation&gt;_x000a_"/>
    <w:docVar w:name="NE.Ref{07B1A156-42BA-4FB2-9A30-35FF5095E5BC}" w:val=" ADDIN NE.Ref.{07B1A156-42BA-4FB2-9A30-35FF5095E5BC}&lt;Citation&gt;&lt;Group&gt;&lt;References&gt;&lt;Item&gt;&lt;ID&gt;533&lt;/ID&gt;&lt;UID&gt;{359D4448-0118-4AAE-83C3-D099505C43CC}&lt;/UID&gt;&lt;Title&gt;进口竞争如何影响企业环境绩效——来自中国加入WTO的准自然实验&lt;/Title&gt;&lt;Template&gt;Journal Article&lt;/Template&gt;&lt;Star&gt;0&lt;/Star&gt;&lt;Tag&gt;0&lt;/Tag&gt;&lt;Author&gt;邵朝对&lt;/Author&gt;&lt;Year&gt;2021&lt;/Year&gt;&lt;Details&gt;&lt;_author_adr&gt;南开大学跨国公司研究中心;南开大学经济学院;&lt;/_author_adr&gt;&lt;_db_provider&gt;CNKI&lt;/_db_provider&gt;&lt;_doi&gt;10.13821/j.cnki.ceq.2021.05.06&lt;/_doi&gt;&lt;_isbn&gt;2095-1086&lt;/_isbn&gt;&lt;_issue&gt;05&lt;/_issue&gt;&lt;_journal&gt;经济学(季刊)&lt;/_journal&gt;&lt;_keywords&gt;进口竞争;企业污染排放强度;倍差法&lt;/_keywords&gt;&lt;_pages&gt;1615-1638&lt;/_pages&gt;&lt;_volume&gt;21&lt;/_volume&gt;&lt;_created&gt;64605545&lt;/_created&gt;&lt;_modified&gt;64605545&lt;/_modified&gt;&lt;_collection_scope&gt;CSSCI;PKU&lt;/_collection_scope&gt;&lt;_translated_author&gt;Shao, Chao dui&lt;/_translated_author&gt;&lt;/Details&gt;&lt;Extra&gt;&lt;DBUID&gt;{F96A950B-833F-4880-A151-76DA2D6A2879}&lt;/DBUID&gt;&lt;/Extra&gt;&lt;/Item&gt;&lt;/References&gt;&lt;/Group&gt;&lt;/Citation&gt;_x000a_"/>
    <w:docVar w:name="NE.Ref{0971F426-C603-42CD-9117-471759A66E89}" w:val=" ADDIN NE.Ref.{0971F426-C603-42CD-9117-471759A66E89}&lt;Citation&gt;&lt;Group&gt;&lt;References&gt;&lt;Item&gt;&lt;ID&gt;529&lt;/ID&gt;&lt;UID&gt;{D43EB7FE-5EC3-44D5-A8EC-04AFF2EC49AA}&lt;/UID&gt;&lt;Title&gt;市场型环境规制政策有效性检验——来自碳排放权交易政策视角的经验证据&lt;/Title&gt;&lt;Template&gt;Journal Article&lt;/Template&gt;&lt;Star&gt;0&lt;/Star&gt;&lt;Tag&gt;0&lt;/Tag&gt;&lt;Author&gt;董直庆; 王辉&lt;/Author&gt;&lt;Year&gt;2021&lt;/Year&gt;&lt;Details&gt;&lt;_author_adr&gt;华东师范大学经济与管理学部;湖南大学经济与贸易学院;&lt;/_author_adr&gt;&lt;_db_provider&gt;CNKI&lt;/_db_provider&gt;&lt;_doi&gt;10.19343/j.cnki.11-1302/c.2021.10.005&lt;/_doi&gt;&lt;_isbn&gt;1002-4565&lt;/_isbn&gt;&lt;_issue&gt;10&lt;/_issue&gt;&lt;_journal&gt;统计研究&lt;/_journal&gt;&lt;_keywords&gt;碳排放权交易政策;碳排放;能源结构;绿色技术进步程度&lt;/_keywords&gt;&lt;_pages&gt;48-61&lt;/_pages&gt;&lt;_url&gt;https://kns.cnki.net/kcms/detail/11.1302.C.20211109.1424.004.html&lt;/_url&gt;&lt;_volume&gt;38&lt;/_volume&gt;&lt;_created&gt;64605545&lt;/_created&gt;&lt;_modified&gt;64605545&lt;/_modified&gt;&lt;_collection_scope&gt;CSSCI;PKU&lt;/_collection_scope&gt;&lt;_translated_author&gt;Dong, Zhi qing;Wang, Hui&lt;/_translated_author&gt;&lt;/Details&gt;&lt;Extra&gt;&lt;DBUID&gt;{F96A950B-833F-4880-A151-76DA2D6A2879}&lt;/DBUID&gt;&lt;/Extra&gt;&lt;/Item&gt;&lt;/References&gt;&lt;/Group&gt;&lt;/Citation&gt;_x000a_"/>
    <w:docVar w:name="NE.Ref{0A6F514A-D064-49B4-A1F4-FC6C1F9874BE}" w:val=" ADDIN NE.Ref.{0A6F514A-D064-49B4-A1F4-FC6C1F9874BE}&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0B86CBB3-9846-444A-8F9A-79BDD646CB1B}" w:val=" ADDIN NE.Ref.{0B86CBB3-9846-444A-8F9A-79BDD646CB1B}&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Ref{122BDEA2-4456-42F6-92DC-BB06D0F6AC1C}" w:val=" ADDIN NE.Ref.{122BDEA2-4456-42F6-92DC-BB06D0F6AC1C}&lt;Citation&gt;&lt;Group&gt;&lt;References&gt;&lt;Item&gt;&lt;ID&gt;572&lt;/ID&gt;&lt;UID&gt;{E8306624-AE6B-4C1F-8A19-DF52A100FF5D}&lt;/UID&gt;&lt;Title&gt;The environment and directed technical change&lt;/Title&gt;&lt;Template&gt;Journal Article&lt;/Template&gt;&lt;Star&gt;0&lt;/Star&gt;&lt;Tag&gt;0&lt;/Tag&gt;&lt;Author&gt;Acemoglu, Daron; Aghion, Philippe; Bursztyn, Leonardo; Hemous, David&lt;/Author&gt;&lt;Year&gt;2012&lt;/Year&gt;&lt;Details&gt;&lt;_alternate_title&gt;American economic review&lt;/_alternate_title&gt;&lt;_date_display&gt;2012&lt;/_date_display&gt;&lt;_date&gt;2012-01-01&lt;/_date&gt;&lt;_isbn&gt;0002-8282&lt;/_isbn&gt;&lt;_issue&gt;1&lt;/_issue&gt;&lt;_journal&gt;American economic review&lt;/_journal&gt;&lt;_pages&gt;131-66&lt;/_pages&gt;&lt;_volume&gt;102&lt;/_volume&gt;&lt;_created&gt;64605565&lt;/_created&gt;&lt;_modified&gt;64605565&lt;/_modified&gt;&lt;_impact_factor&gt;  11.490&lt;/_impact_factor&gt;&lt;_social_category&gt;经济学(1)&lt;/_social_category&gt;&lt;_collection_scope&gt;SSCI&lt;/_collection_scope&gt;&lt;/Details&gt;&lt;Extra&gt;&lt;DBUID&gt;{F96A950B-833F-4880-A151-76DA2D6A2879}&lt;/DBUID&gt;&lt;/Extra&gt;&lt;/Item&gt;&lt;/References&gt;&lt;/Group&gt;&lt;Group&gt;&lt;References&gt;&lt;Item&gt;&lt;ID&gt;519&lt;/ID&gt;&lt;UID&gt;{EB526958-6CB9-4603-8FDE-91823BB290D1}&lt;/UID&gt;&lt;Title&gt;环境规制与企业产品结构优化策略——来自多产品出口企业的经验证据&lt;/Title&gt;&lt;Template&gt;Journal Article&lt;/Template&gt;&lt;Star&gt;0&lt;/Star&gt;&lt;Tag&gt;0&lt;/Tag&gt;&lt;Author&gt;周沂; 郭琪; 邹冬寒&lt;/Author&gt;&lt;Year&gt;2022&lt;/Year&gt;&lt;Details&gt;&lt;_author_adr&gt;四川大学经济学院;华东师范大学城市与区域科学学院;&lt;/_author_adr&gt;&lt;_db_provider&gt;CNKI&lt;/_db_provider&gt;&lt;_doi&gt;10.19581/j.cnki.ciejournal.2022.06.005&lt;/_doi&gt;&lt;_isbn&gt;1006-480X&lt;/_isbn&gt;&lt;_issue&gt;06&lt;/_issue&gt;&lt;_journal&gt;中国工业经济&lt;/_journal&gt;&lt;_keywords&gt;多产品出口企业;环境规制;产品结构;资源配置;清洁生产标准&lt;/_keywords&gt;&lt;_pages&gt;117-135&lt;/_pages&gt;&lt;_url&gt;https://kns.cnki.net/kcms/detail/11.3536.F.20220705.1630.010.html&lt;/_url&gt;&lt;_created&gt;64605545&lt;/_created&gt;&lt;_modified&gt;64605545&lt;/_modified&gt;&lt;_collection_scope&gt;CSSCI;PKU&lt;/_collection_scope&gt;&lt;_translated_author&gt;Zhou, Yi;Guo, Qi;Zou, Dong han&lt;/_translated_author&gt;&lt;/Details&gt;&lt;Extra&gt;&lt;DBUID&gt;{F96A950B-833F-4880-A151-76DA2D6A2879}&lt;/DBUID&gt;&lt;/Extra&gt;&lt;/Item&gt;&lt;/References&gt;&lt;/Group&gt;&lt;/Citation&gt;_x000a_"/>
    <w:docVar w:name="NE.Ref{1509093B-D36E-44A8-9D8A-E344AA585ABB}" w:val=" ADDIN NE.Ref.{1509093B-D36E-44A8-9D8A-E344AA585ABB}&lt;Citation&gt;&lt;Group&gt;&lt;References&gt;&lt;Item&gt;&lt;ID&gt;539&lt;/ID&gt;&lt;UID&gt;{7BD31F03-259B-40A8-A20A-085D620CCCB5}&lt;/UID&gt;&lt;Title&gt;建设人与自然和谐共生的现代化&lt;/Title&gt;&lt;Template&gt;Journal Article&lt;/Template&gt;&lt;Star&gt;0&lt;/Star&gt;&lt;Tag&gt;0&lt;/Tag&gt;&lt;Author&gt;孙金龙; 黄润秋&lt;/Author&gt;&lt;Year&gt;2021&lt;/Year&gt;&lt;Details&gt;&lt;_author_adr&gt;生态环境部;&lt;/_author_adr&gt;&lt;_db_provider&gt;CNKI&lt;/_db_provider&gt;&lt;_isbn&gt;2095-6177&lt;/_isbn&gt;&lt;_issue&gt;02&lt;/_issue&gt;&lt;_journal&gt;中国生态文明&lt;/_journal&gt;&lt;_keywords&gt;生态环境保护;攻坚战;污染防治;支撑保障;人与自然和谐共生;&lt;/_keywords&gt;&lt;_pages&gt;8-9&lt;/_pages&gt;&lt;_created&gt;64605545&lt;/_created&gt;&lt;_modified&gt;64605545&lt;/_modified&gt;&lt;_translated_author&gt;Sun, Jin long;Huang, Run qiu&lt;/_translated_author&gt;&lt;/Details&gt;&lt;Extra&gt;&lt;DBUID&gt;{F96A950B-833F-4880-A151-76DA2D6A2879}&lt;/DBUID&gt;&lt;/Extra&gt;&lt;/Item&gt;&lt;/References&gt;&lt;/Group&gt;&lt;/Citation&gt;_x000a_"/>
    <w:docVar w:name="NE.Ref{16277D74-5BF1-4B70-B367-2AEBE655860C}" w:val=" ADDIN NE.Ref.{16277D74-5BF1-4B70-B367-2AEBE655860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18A699C6-C307-4D18-8943-D4EC95EF8441}" w:val=" ADDIN NE.Ref.{18A699C6-C307-4D18-8943-D4EC95EF8441}&lt;Citation&gt;&lt;Group&gt;&lt;References&gt;&lt;Item&gt;&lt;ID&gt;532&lt;/ID&gt;&lt;UID&gt;{77C58C84-A7F0-4AAC-8C31-21D0D7BA8CDC}&lt;/UID&gt;&lt;Title&gt;国际化董事会与企业环境绩效&lt;/Title&gt;&lt;Template&gt;Journal Article&lt;/Template&gt;&lt;Star&gt;0&lt;/Star&gt;&lt;Tag&gt;0&lt;/Tag&gt;&lt;Author&gt;杜兴强; 殷敬伟; 张颖; 杜颖洁&lt;/Author&gt;&lt;Year&gt;2021&lt;/Year&gt;&lt;Details&gt;&lt;_author_adr&gt;厦门大学会计发展研究中心/管理学院;中南大学商学院;上海大学管理学院;&lt;/_author_adr&gt;&lt;_db_provider&gt;CNKI&lt;/_db_provider&gt;&lt;_isbn&gt;1003-2886&lt;/_isbn&gt;&lt;_issue&gt;10&lt;/_issue&gt;&lt;_journal&gt;会计研究&lt;/_journal&gt;&lt;_keywords&gt;国际化董事会;地区绿色发展水平;董事会治理;监督和咨询职能;企业环境绩效&lt;/_keywords&gt;&lt;_pages&gt;84-96&lt;/_pages&gt;&lt;_created&gt;64605545&lt;/_created&gt;&lt;_modified&gt;64605545&lt;/_modified&gt;&lt;_collection_scope&gt;CSSCI;PKU&lt;/_collection_scope&gt;&lt;_translated_author&gt;Du, Xing qiang;Yin, Jing wei;Zhang, Ying;Du, Ying jie&lt;/_translated_author&gt;&lt;/Details&gt;&lt;Extra&gt;&lt;DBUID&gt;{F96A950B-833F-4880-A151-76DA2D6A2879}&lt;/DBUID&gt;&lt;/Extra&gt;&lt;/Item&gt;&lt;/References&gt;&lt;/Group&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19C1E214-177D-4548-946F-8536255584C2}" w:val=" ADDIN NE.Ref.{19C1E214-177D-4548-946F-8536255584C2}&lt;Citation&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2AF904AE-7717-4FC3-BAAD-E6105178E843}" w:val=" ADDIN NE.Ref.{2AF904AE-7717-4FC3-BAAD-E6105178E843}&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2D01AD5B-457A-4E49-804F-64C66C9D1B00}" w:val=" ADDIN NE.Ref.{2D01AD5B-457A-4E49-804F-64C66C9D1B00}&lt;Citation&gt;&lt;Group&gt;&lt;References&gt;&lt;Item&gt;&lt;ID&gt;35&lt;/ID&gt;&lt;UID&gt;{4624EAD9-06A3-4A0B-953C-8714C2AF3ABA}&lt;/UID&gt;&lt;Title&gt;高管团队海外背景对企业创新绩效的影响研究&lt;/Title&gt;&lt;Template&gt;Journal Article&lt;/Template&gt;&lt;Star&gt;0&lt;/Star&gt;&lt;Tag&gt;0&lt;/Tag&gt;&lt;Author&gt;刘凤朝; 默佳鑫; 马荣康&lt;/Author&gt;&lt;Year&gt;2017&lt;/Year&gt;&lt;Details&gt;&lt;_author_adr&gt;大连理工大学管理与经济学部;&lt;/_author_adr&gt;&lt;_collection_scope&gt;CSSCI-C;PKU&lt;/_collection_scope&gt;&lt;_created&gt;64385829&lt;/_created&gt;&lt;_db_provider&gt;CNKI&lt;/_db_provider&gt;&lt;_doi&gt;10.14120/j.cnki.cn11-5057/f.2017.06.009&lt;/_doi&gt;&lt;_isbn&gt;1003-1952&lt;/_isbn&gt;&lt;_issue&gt;07&lt;/_issue&gt;&lt;_journal&gt;管理评论&lt;/_journal&gt;&lt;_keywords&gt;高管团队;海外背景;创新绩效;影响&lt;/_keywords&gt;&lt;_modified&gt;64385829&lt;/_modified&gt;&lt;_pages&gt;135-147&lt;/_pages&gt;&lt;_url&gt;https://kns.cnki.net/kcms/detail/11.5057.F.20170428.1248.022.html&lt;/_url&gt;&lt;_volume&gt;29&lt;/_volume&gt;&lt;_translated_author&gt;Liu, Fengchao;Mo, Jiaxin;Ma, Rongkang&lt;/_translated_author&gt;&lt;/Details&gt;&lt;Extra&gt;&lt;DBUID&gt;{CB3432AD-8324-41DF-9574-982C5C2A1FCD}&lt;/DBUID&gt;&lt;/Extra&gt;&lt;/Item&gt;&lt;/References&gt;&lt;/Group&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Item&gt;&lt;/References&gt;&lt;/Group&gt;&lt;/Citation&gt;_x000a_"/>
    <w:docVar w:name="NE.Ref{2E95C3B4-1950-4DCC-A4AA-1F3C96C65E82}" w:val=" ADDIN NE.Ref.{2E95C3B4-1950-4DCC-A4AA-1F3C96C65E82}&lt;Citation&gt;&lt;Group&gt;&lt;References&gt;&lt;Item&gt;&lt;ID&gt;541&lt;/ID&gt;&lt;UID&gt;{0E7608AD-BB0A-4E73-8FAB-451BE609A23B}&lt;/UID&gt;&lt;Title&gt;“环保费改税”会影响企业绩效吗?&lt;/Title&gt;&lt;Template&gt;Journal Article&lt;/Template&gt;&lt;Star&gt;0&lt;/Star&gt;&lt;Tag&gt;0&lt;/Tag&gt;&lt;Author&gt;金友良; 谷钧仁; 曾辉祥&lt;/Author&gt;&lt;Year&gt;2020&lt;/Year&gt;&lt;Details&gt;&lt;_author_adr&gt;中南大学商学院;&lt;/_author_adr&gt;&lt;_db_provider&gt;CNKI&lt;/_db_provider&gt;&lt;_isbn&gt;1003-2886&lt;/_isbn&gt;&lt;_issue&gt;05&lt;/_issue&gt;&lt;_journal&gt;会计研究&lt;/_journal&gt;&lt;_keywords&gt;环保费改税;企业绩效;税负标准;双重差分法&lt;/_keywords&gt;&lt;_pages&gt;117-133&lt;/_pages&gt;&lt;_created&gt;64605545&lt;/_created&gt;&lt;_modified&gt;64605545&lt;/_modified&gt;&lt;_collection_scope&gt;CSSCI;PKU&lt;/_collection_scope&gt;&lt;_translated_author&gt;Jin, You liang;Gu, Jun ren;Ceng, Hui xiang&lt;/_translated_author&gt;&lt;/Details&gt;&lt;Extra&gt;&lt;DBUID&gt;{F96A950B-833F-4880-A151-76DA2D6A2879}&lt;/DBUID&gt;&lt;/Extra&gt;&lt;/Item&gt;&lt;/References&gt;&lt;/Group&gt;&lt;/Citation&gt;_x000a_"/>
    <w:docVar w:name="NE.Ref{2FD61701-9BAC-4809-8568-850DE8E0466E}" w:val=" ADDIN NE.Ref.{2FD61701-9BAC-4809-8568-850DE8E0466E}&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31404B1B-F783-4AF5-A639-432438BC4403}" w:val=" ADDIN NE.Ref.{31404B1B-F783-4AF5-A639-432438BC4403}&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3CE7B68E-76C6-47ED-8AFD-56AE96FD3502}" w:val=" ADDIN NE.Ref.{3CE7B68E-76C6-47ED-8AFD-56AE96FD3502}&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Item&gt;&lt;/References&gt;&lt;/Group&gt;&lt;/Citation&gt;_x000a_"/>
    <w:docVar w:name="NE.Ref{3D589BAA-D321-46AD-8BE9-2264E9F06B15}" w:val=" ADDIN NE.Ref.{3D589BAA-D321-46AD-8BE9-2264E9F06B15}&lt;Citation&gt;&lt;Group&gt;&lt;References&gt;&lt;Item&gt;&lt;ID&gt;580&lt;/ID&gt;&lt;UID&gt;{0099388E-3E1D-4DE4-8A61-808BEE63FDE4}&lt;/UID&gt;&lt;Title&gt;Sample selection bias as a specification error&lt;/Title&gt;&lt;Template&gt;Journal Article&lt;/Template&gt;&lt;Star&gt;0&lt;/Star&gt;&lt;Tag&gt;0&lt;/Tag&gt;&lt;Author&gt;Heckman, James J&lt;/Author&gt;&lt;Year&gt;1979&lt;/Year&gt;&lt;Details&gt;&lt;_alternate_title&gt;Econometrica: Journal of the econometric society&lt;/_alternate_title&gt;&lt;_date_display&gt;1979&lt;/_date_display&gt;&lt;_date&gt;1979-01-01&lt;/_date&gt;&lt;_isbn&gt;0012-9682&lt;/_isbn&gt;&lt;_journal&gt;Econometrica: Journal of the econometric society&lt;/_journal&gt;&lt;_ori_publication&gt;JSTOR&lt;/_ori_publication&gt;&lt;_pages&gt;153-161&lt;/_pages&gt;&lt;_created&gt;64605594&lt;/_created&gt;&lt;_modified&gt;64605594&lt;/_modified&gt;&lt;_impact_factor&gt;   6.383&lt;/_impact_factor&gt;&lt;_social_category&gt;经济学(1)&lt;/_social_category&gt;&lt;/Details&gt;&lt;Extra&gt;&lt;DBUID&gt;{F96A950B-833F-4880-A151-76DA2D6A2879}&lt;/DBUID&gt;&lt;/Extra&gt;&lt;/Item&gt;&lt;/References&gt;&lt;/Group&gt;&lt;/Citation&gt;_x000a_"/>
    <w:docVar w:name="NE.Ref{45C205A7-4558-45F4-9C7A-783D0F18AB93}" w:val=" ADDIN NE.Ref.{45C205A7-4558-45F4-9C7A-783D0F18AB93}&lt;Citation&gt;&lt;Group&gt;&lt;References&gt;&lt;Item&gt;&lt;ID&gt;524&lt;/ID&gt;&lt;UID&gt;{CDEAF819-20F6-4E73-86C8-9A2E2BA2871D}&lt;/UID&gt;&lt;Title&gt;税收征管数字化与企业内部薪酬差距&lt;/Title&gt;&lt;Template&gt;Journal Article&lt;/Template&gt;&lt;Star&gt;0&lt;/Star&gt;&lt;Tag&gt;0&lt;/Tag&gt;&lt;Author&gt;魏志华; 王孝华; 蔡伟毅&lt;/Author&gt;&lt;Year&gt;2022&lt;/Year&gt;&lt;Details&gt;&lt;_author_adr&gt;厦门大学经济学院;&lt;/_author_adr&gt;&lt;_db_provider&gt;CNKI&lt;/_db_provider&gt;&lt;_doi&gt;10.19581/j.cnki.ciejournal.2022.03.008&lt;/_doi&gt;&lt;_isbn&gt;1006-480X&lt;/_isbn&gt;&lt;_issue&gt;03&lt;/_issue&gt;&lt;_journal&gt;中国工业经济&lt;/_journal&gt;&lt;_keywords&gt;税收征管数字化;薪酬差距;公司治理;超额薪酬&lt;/_keywords&gt;&lt;_pages&gt;152-170&lt;/_pages&gt;&lt;_created&gt;64605545&lt;/_created&gt;&lt;_modified&gt;64605545&lt;/_modified&gt;&lt;_collection_scope&gt;CSSCI;PKU&lt;/_collection_scope&gt;&lt;_translated_author&gt;Wei, Zhi hua;Wang, Xiao hua;Cai, Wei yi&lt;/_translated_author&gt;&lt;/Details&gt;&lt;Extra&gt;&lt;DBUID&gt;{F96A950B-833F-4880-A151-76DA2D6A2879}&lt;/DBUID&gt;&lt;/Extra&gt;&lt;/Item&gt;&lt;/References&gt;&lt;/Group&gt;&lt;/Citation&gt;_x000a_"/>
    <w:docVar w:name="NE.Ref{47C11D96-431C-419D-922B-20AF306E173F}" w:val=" ADDIN NE.Ref.{47C11D96-431C-419D-922B-20AF306E173F}&lt;Citation&gt;&lt;Group&gt;&lt;References&gt;&lt;Item&gt;&lt;ID&gt;62&lt;/ID&gt;&lt;UID&gt;{FDA4BCD0-AF12-443F-AC2C-54170EBCFAF2}&lt;/UID&gt;&lt;Title&gt;UPPER ECHELONS - THE ORGANIZATION AS A REFLECTION OF ITS TOP MANAGERS&lt;/Title&gt;&lt;Template&gt;Journal Article&lt;/Template&gt;&lt;Star&gt;0&lt;/Star&gt;&lt;Tag&gt;0&lt;/Tag&gt;&lt;Author&gt;HAMBRICK, D C; MASON, P A&lt;/Author&gt;&lt;Year&gt;1984&lt;/Year&gt;&lt;Details&gt;&lt;_alternate_title&gt;ACADEMY OF MANAGEMENT REVIEW&lt;/_alternate_title&gt;&lt;_collection_scope&gt;SSCI&lt;/_collection_scope&gt;&lt;_created&gt;64385967&lt;/_created&gt;&lt;_date&gt;1984-01-01&lt;/_date&gt;&lt;_date_display&gt;1984&lt;/_date_display&gt;&lt;_doi&gt;10.2307/258434&lt;/_doi&gt;&lt;_impact_factor&gt;  12.638&lt;/_impact_factor&gt;&lt;_isbn&gt;0363-7425&lt;/_isbn&gt;&lt;_issue&gt;2&lt;/_issue&gt;&lt;_journal&gt;ACADEMY OF MANAGEMENT REVIEW&lt;/_journal&gt;&lt;_modified&gt;64385967&lt;/_modified&gt;&lt;_pages&gt;193-206&lt;/_pages&gt;&lt;_volume&gt;9&lt;/_volume&gt;&lt;/Details&gt;&lt;Extra&gt;&lt;DBUID&gt;{CB3432AD-8324-41DF-9574-982C5C2A1FCD}&lt;/DBUID&gt;&lt;/Extra&gt;&lt;/Item&gt;&lt;/References&gt;&lt;/Group&gt;&lt;Group&gt;&lt;References&gt;&lt;Item&gt;&lt;ID&gt;582&lt;/ID&gt;&lt;UID&gt;{08FFF348-724B-4830-8A7D-7B50254E31ED}&lt;/UID&gt;&lt;Title&gt;Upper echelons: The organization as a reflection of its top managers&lt;/Title&gt;&lt;Template&gt;Journal Article&lt;/Template&gt;&lt;Star&gt;0&lt;/Star&gt;&lt;Tag&gt;0&lt;/Tag&gt;&lt;Author&gt;Hambrick, Donald C; Mason, Phyllis A&lt;/Author&gt;&lt;Year&gt;1984&lt;/Year&gt;&lt;Details&gt;&lt;_alternate_title&gt;Academy of management review&lt;/_alternate_title&gt;&lt;_date_display&gt;1984&lt;/_date_display&gt;&lt;_date&gt;1984-01-01&lt;/_date&gt;&lt;_isbn&gt;0363-7425&lt;/_isbn&gt;&lt;_issue&gt;2&lt;/_issue&gt;&lt;_journal&gt;Academy of management review&lt;/_journal&gt;&lt;_ori_publication&gt;Academy of Management Briarcliff Manor, NY 10510&lt;/_ori_publication&gt;&lt;_pages&gt;193-206&lt;/_pages&gt;&lt;_volume&gt;9&lt;/_volume&gt;&lt;_created&gt;64605598&lt;/_created&gt;&lt;_modified&gt;64605598&lt;/_modified&gt;&lt;_impact_factor&gt;  13.865&lt;/_impact_factor&gt;&lt;_social_category&gt;管理学(1)&lt;/_social_category&gt;&lt;_collection_scope&gt;SSCI&lt;/_collection_scope&gt;&lt;/Details&gt;&lt;Extra&gt;&lt;DBUID&gt;{F96A950B-833F-4880-A151-76DA2D6A2879}&lt;/DBUID&gt;&lt;/Extra&gt;&lt;/Item&gt;&lt;/References&gt;&lt;/Group&gt;&lt;/Citation&gt;_x000a_"/>
    <w:docVar w:name="NE.Ref{550B2A7B-9745-48BD-8CCA-2B15C5B439F7}" w:val=" ADDIN NE.Ref.{550B2A7B-9745-48BD-8CCA-2B15C5B439F7}&lt;Citation&gt;&lt;Group&gt;&lt;References&gt;&lt;Item&gt;&lt;ID&gt;555&lt;/ID&gt;&lt;UID&gt;{9924FE85-36C3-457F-B41F-25CDA4DCEBA8}&lt;/UID&gt;&lt;Title&gt;高管海外背景与企业社会责任&lt;/Title&gt;&lt;Template&gt;Journal Article&lt;/Template&gt;&lt;Star&gt;0&lt;/Star&gt;&lt;Tag&gt;0&lt;/Tag&gt;&lt;Author&gt;文雯; 宋建波&lt;/Author&gt;&lt;Year&gt;2017&lt;/Year&gt;&lt;Details&gt;&lt;_author_adr&gt;中国人民大学商学院;&lt;/_author_adr&gt;&lt;_db_provider&gt;CNKI&lt;/_db_provider&gt;&lt;_isbn&gt;1672-0334&lt;/_isbn&gt;&lt;_issue&gt;02&lt;/_issue&gt;&lt;_journal&gt;管理科学&lt;/_journal&gt;&lt;_keywords&gt;海外背景;企业社会责任;高阶梯队理论;信息不对称;利益相关者&lt;/_keywords&gt;&lt;_pages&gt;119-131&lt;/_pages&gt;&lt;_volume&gt;30&lt;/_volume&gt;&lt;_created&gt;64605545&lt;/_created&gt;&lt;_modified&gt;64605545&lt;/_modified&gt;&lt;_collection_scope&gt;CSSCI;PKU&lt;/_collection_scope&gt;&lt;_translated_author&gt;Wen, Wen;Song, Jian bo&lt;/_translated_author&gt;&lt;/Details&gt;&lt;Extra&gt;&lt;DBUID&gt;{F96A950B-833F-4880-A151-76DA2D6A2879}&lt;/DBUID&gt;&lt;/Extra&gt;&lt;/Item&gt;&lt;/References&gt;&lt;/Group&gt;&lt;/Citation&gt;_x000a_"/>
    <w:docVar w:name="NE.Ref{55C55F2A-9092-4E81-B751-C73D3238222C}" w:val=" ADDIN NE.Ref.{55C55F2A-9092-4E81-B751-C73D3238222C}&lt;Citation&gt;&lt;Group&gt;&lt;References&gt;&lt;Item&gt;&lt;ID&gt;571&lt;/ID&gt;&lt;UID&gt;{AE042F88-A641-4D7D-869B-358852A8B1C9}&lt;/UID&gt;&lt;Title&gt;Polluting thy neighbor: Unintended consequences of China׳ s pollution reduction mandates&lt;/Title&gt;&lt;Template&gt;Journal Article&lt;/Template&gt;&lt;Star&gt;0&lt;/Star&gt;&lt;Tag&gt;0&lt;/Tag&gt;&lt;Author&gt;Cai, Hongbin; Chen, Yuyu; Gong, Qing&lt;/Author&gt;&lt;Year&gt;2016&lt;/Year&gt;&lt;Details&gt;&lt;_alternate_title&gt;Journal of Environmental Economics and Management&lt;/_alternate_title&gt;&lt;_date_display&gt;2016&lt;/_date_display&gt;&lt;_date&gt;2016-01-01&lt;/_date&gt;&lt;_isbn&gt;0095-0696&lt;/_isbn&gt;&lt;_journal&gt;Journal of Environmental Economics and Management&lt;/_journal&gt;&lt;_ori_publication&gt;Elsevier&lt;/_ori_publication&gt;&lt;_pages&gt;86-104&lt;/_pages&gt;&lt;_volume&gt;76&lt;/_volume&gt;&lt;_created&gt;64605562&lt;/_created&gt;&lt;_modified&gt;64605562&lt;/_modified&gt;&lt;_impact_factor&gt;   5.840&lt;/_impact_factor&gt;&lt;_social_category&gt;经济学(2)&lt;/_social_category&gt;&lt;_collection_scope&gt;SSCI;EI&lt;/_collection_scope&gt;&lt;/Details&gt;&lt;Extra&gt;&lt;DBUID&gt;{F96A950B-833F-4880-A151-76DA2D6A2879}&lt;/DBUID&gt;&lt;/Extra&gt;&lt;/Item&gt;&lt;/References&gt;&lt;/Group&gt;&lt;Group&gt;&lt;References&gt;&lt;Item&gt;&lt;ID&gt;531&lt;/ID&gt;&lt;UID&gt;{AAC24540-928C-4161-8478-00C2A59D7EC0}&lt;/UID&gt;&lt;Title&gt;交通基础设施升级与污染型企业选址&lt;/Title&gt;&lt;Template&gt;Journal Article&lt;/Template&gt;&lt;Star&gt;0&lt;/Star&gt;&lt;Tag&gt;0&lt;/Tag&gt;&lt;Author&gt;蔡宏波; 钟超; 韩金镕&lt;/Author&gt;&lt;Year&gt;2021&lt;/Year&gt;&lt;Details&gt;&lt;_author_adr&gt;北京师范大学经济与工商管理学院;&lt;/_author_adr&gt;&lt;_db_provider&gt;CNKI&lt;/_db_provider&gt;&lt;_doi&gt;10.19581/j.cnki.ciejournal.2021.10.007&lt;/_doi&gt;&lt;_isbn&gt;1006-480X&lt;/_isbn&gt;&lt;_issue&gt;10&lt;/_issue&gt;&lt;_journal&gt;中国工业经济&lt;/_journal&gt;&lt;_keywords&gt;交通基础设施;高铁;污染型企业;区位选择&lt;/_keywords&gt;&lt;_pages&gt;136-155&lt;/_pages&gt;&lt;_url&gt;https://kns.cnki.net/kcms/detail/11.3536.f.20211022.1352.014.html&lt;/_url&gt;&lt;_created&gt;64605545&lt;/_created&gt;&lt;_modified&gt;64605545&lt;/_modified&gt;&lt;_collection_scope&gt;CSSCI;PKU&lt;/_collection_scope&gt;&lt;_translated_author&gt;Cai, Hong bo;Zhong, Chao;Han, Jin rong&lt;/_translated_author&gt;&lt;/Details&gt;&lt;Extra&gt;&lt;DBUID&gt;{F96A950B-833F-4880-A151-76DA2D6A2879}&lt;/DBUID&gt;&lt;/Extra&gt;&lt;/Item&gt;&lt;/References&gt;&lt;/Group&gt;&lt;/Citation&gt;_x000a_"/>
    <w:docVar w:name="NE.Ref{56C40035-0F18-49D8-AFC2-5112E0F2DFA1}" w:val=" ADDIN NE.Ref.{56C40035-0F18-49D8-AFC2-5112E0F2DFA1}&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591A6402-E969-4D33-9388-556D3012346F}" w:val=" ADDIN NE.Ref.{591A6402-E969-4D33-9388-556D3012346F}&lt;Citation&gt;&lt;Group&gt;&lt;References&gt;&lt;Item&gt;&lt;ID&gt;516&lt;/ID&gt;&lt;UID&gt;{E47437BD-E2E2-46F7-8E0E-6A10C1F62770}&lt;/UID&gt;&lt;Title&gt;“环保费改税”提高了重污染企业全要素生产率吗?&lt;/Title&gt;&lt;Template&gt;Journal Article&lt;/Template&gt;&lt;Star&gt;0&lt;/Star&gt;&lt;Tag&gt;0&lt;/Tag&gt;&lt;Author&gt;曹越; 唐奕可; 辛红霞&lt;/Author&gt;&lt;Year&gt;2022&lt;/Year&gt;&lt;Details&gt;&lt;_author_adr&gt;湖南大学工商管理学院;&lt;/_author_adr&gt;&lt;_db_provider&gt;CNKI&lt;/_db_provider&gt;&lt;_isbn&gt;1004-4833&lt;/_isbn&gt;&lt;_journal&gt;审计与经济研究&lt;/_journal&gt;&lt;_keywords&gt;排污费;环境保护税;全要素生产率;波特假说;费改税;资源配置效率&lt;/_keywords&gt;&lt;_pages&gt;1-12&lt;/_pages&gt;&lt;_url&gt;https://kns.cnki.net/kcms/detail/32.1317.f.20221017.0917.012.html&lt;/_url&gt;&lt;_created&gt;64605545&lt;/_created&gt;&lt;_modified&gt;64605545&lt;/_modified&gt;&lt;_collection_scope&gt;CSSCI;PKU&lt;/_collection_scope&gt;&lt;_accessed&gt;64605545&lt;/_accessed&gt;&lt;_translated_author&gt;Cao, Yue;Tang, Yi ke;Xin, Hong xia&lt;/_translated_author&gt;&lt;/Details&gt;&lt;Extra&gt;&lt;DBUID&gt;{F96A950B-833F-4880-A151-76DA2D6A2879}&lt;/DBUID&gt;&lt;/Extra&gt;&lt;/Item&gt;&lt;/References&gt;&lt;/Group&gt;&lt;/Citation&gt;_x000a_"/>
    <w:docVar w:name="NE.Ref{6CEA912F-92B0-420B-B1FA-AC782F81D3EF}" w:val=" ADDIN NE.Ref.{6CEA912F-92B0-420B-B1FA-AC782F81D3EF}&lt;Citation&gt;&lt;Group&gt;&lt;References&gt;&lt;Item&gt;&lt;ID&gt;560&lt;/ID&gt;&lt;UID&gt;{0CF86000-F116-41D5-9997-F29206783488}&lt;/UID&gt;&lt;Title&gt;监督还是掏空:大股东持股比例与股价崩盘风险&lt;/Title&gt;&lt;Template&gt;Journal Article&lt;/Template&gt;&lt;Star&gt;0&lt;/Star&gt;&lt;Tag&gt;0&lt;/Tag&gt;&lt;Author&gt;王化成; 曹丰; 叶康涛&lt;/Author&gt;&lt;Year&gt;2015&lt;/Year&gt;&lt;Details&gt;&lt;_author_adr&gt;中国人民大学商学院;&lt;/_author_adr&gt;&lt;_db_provider&gt;CNKI&lt;/_db_provider&gt;&lt;_doi&gt;10.19744/j.cnki.11-1235/f.2015.02.005&lt;/_doi&gt;&lt;_isbn&gt;1002-5502&lt;/_isbn&gt;&lt;_issue&gt;02&lt;/_issue&gt;&lt;_journal&gt;管理世界&lt;/_journal&gt;&lt;_keywords&gt;股价崩盘风险;大股东;股权制衡;机构投资者;管理层权力&lt;/_keywords&gt;&lt;_pages&gt;45-57+187&lt;/_pages&gt;&lt;_created&gt;64605545&lt;/_created&gt;&lt;_modified&gt;64605545&lt;/_modified&gt;&lt;_collection_scope&gt;CSSCI;PKU&lt;/_collection_scope&gt;&lt;_translated_author&gt;Wang, Hua cheng;Cao, Feng;Ye, Kang tao&lt;/_translated_author&gt;&lt;/Details&gt;&lt;Extra&gt;&lt;DBUID&gt;{F96A950B-833F-4880-A151-76DA2D6A2879}&lt;/DBUID&gt;&lt;/Extra&gt;&lt;/Item&gt;&lt;/References&gt;&lt;/Group&gt;&lt;/Citation&gt;_x000a_"/>
    <w:docVar w:name="NE.Ref{6DC819FE-A6C2-4457-A11C-9823BE229CEC}" w:val=" ADDIN NE.Ref.{6DC819FE-A6C2-4457-A11C-9823BE229CEC}&lt;Citation&gt;&lt;Group&gt;&lt;References&gt;&lt;Item&gt;&lt;ID&gt;517&lt;/ID&gt;&lt;UID&gt;{904CA60A-8272-4193-BA2B-7FDD6B6BCF65}&lt;/UID&gt;&lt;Title&gt;税制绿色化与企业ESG表现——基于《环境保护税法》的准自然实验&lt;/Title&gt;&lt;Template&gt;Journal Article&lt;/Template&gt;&lt;Star&gt;0&lt;/Star&gt;&lt;Tag&gt;0&lt;/Tag&gt;&lt;Author&gt;王禹; 王浩宇; 薛爽&lt;/Author&gt;&lt;Year&gt;2022&lt;/Year&gt;&lt;Details&gt;&lt;_author_adr&gt;上海财经大学会计学院;上海财经大学会计与财务研究院;&lt;/_author_adr&gt;&lt;_db_provider&gt;CNKI&lt;/_db_provider&gt;&lt;_doi&gt;10.16538/j.cnki.jfe.20220621.101&lt;/_doi&gt;&lt;_isbn&gt;1001-9952&lt;/_isbn&gt;&lt;_issue&gt;09&lt;/_issue&gt;&lt;_journal&gt;财经研究&lt;/_journal&gt;&lt;_keywords&gt;《环境保护税法》;ESG;可持续发展;环保投入;绿色专利&lt;/_keywords&gt;&lt;_pages&gt;47-62&lt;/_pages&gt;&lt;_url&gt;https://kns.cnki.net/kcms/detail/31.1012.F.20220718.0926.002.html&lt;/_url&gt;&lt;_volume&gt;48&lt;/_volume&gt;&lt;_created&gt;64605545&lt;/_created&gt;&lt;_modified&gt;64605545&lt;/_modified&gt;&lt;_collection_scope&gt;CSSCI;PKU&lt;/_collection_scope&gt;&lt;_translated_author&gt;Wang, Yu;Wang, Hao yu;Xue, Shuang&lt;/_translated_author&gt;&lt;/Details&gt;&lt;Extra&gt;&lt;DBUID&gt;{F96A950B-833F-4880-A151-76DA2D6A2879}&lt;/DBUID&gt;&lt;/Extra&gt;&lt;/Item&gt;&lt;/References&gt;&lt;/Group&gt;&lt;/Citation&gt;_x000a_"/>
    <w:docVar w:name="NE.Ref{735C9796-FF4B-4FF7-9A33-80F77D7106B3}" w:val=" ADDIN NE.Ref.{735C9796-FF4B-4FF7-9A33-80F77D7106B3}&lt;Citation&gt;&lt;Group&gt;&lt;References&gt;&lt;Item&gt;&lt;ID&gt;520&lt;/ID&gt;&lt;UID&gt;{E6813AB2-0D2F-47AF-8029-ECB38C71B4C3}&lt;/UID&gt;&lt;Title&gt;环境保护税税额地方确定权的实施现状与制度完善&lt;/Title&gt;&lt;Template&gt;Journal Article&lt;/Template&gt;&lt;Star&gt;0&lt;/Star&gt;&lt;Tag&gt;0&lt;/Tag&gt;&lt;Author&gt;邓伟&lt;/Author&gt;&lt;Year&gt;2022&lt;/Year&gt;&lt;Details&gt;&lt;_author_adr&gt;中山大学法学院;&lt;/_author_adr&gt;&lt;_db_provider&gt;CNKI&lt;/_db_provider&gt;&lt;_doi&gt;10.19376/j.cnki.cn11-1011/f.2022.06.021&lt;/_doi&gt;&lt;_isbn&gt;1003-448X&lt;/_isbn&gt;&lt;_issue&gt;06&lt;/_issue&gt;&lt;_journal&gt;税务研究&lt;/_journal&gt;&lt;_keywords&gt;环境保护税;税额;地方确定权&lt;/_keywords&gt;&lt;_pages&gt;33-39&lt;/_pages&gt;&lt;_created&gt;64605545&lt;/_created&gt;&lt;_modified&gt;64605545&lt;/_modified&gt;&lt;_collection_scope&gt;CSSCI;PKU&lt;/_collection_scope&gt;&lt;_translated_author&gt;Deng, Wei&lt;/_translated_author&gt;&lt;/Details&gt;&lt;Extra&gt;&lt;DBUID&gt;{F96A950B-833F-4880-A151-76DA2D6A2879}&lt;/DBUID&gt;&lt;/Extra&gt;&lt;/Item&gt;&lt;/References&gt;&lt;/Group&gt;&lt;/Citation&gt;_x000a_"/>
    <w:docVar w:name="NE.Ref{749655EF-B36F-4C82-BCD5-D7D8C12DD20B}" w:val=" ADDIN NE.Ref.{749655EF-B36F-4C82-BCD5-D7D8C12DD20B}&lt;Citation&gt;&lt;Group&gt;&lt;References&gt;&lt;Item&gt;&lt;ID&gt;554&lt;/ID&gt;&lt;UID&gt;{4D9AB5C8-57F2-45EE-B628-2A8CBB3B199F}&lt;/UID&gt;&lt;Title&gt;环境规制引起了污染就近转移吗?&lt;/Title&gt;&lt;Template&gt;Journal Article&lt;/Template&gt;&lt;Star&gt;0&lt;/Star&gt;&lt;Tag&gt;0&lt;/Tag&gt;&lt;Author&gt;沈坤荣; 金刚; 方娴&lt;/Author&gt;&lt;Year&gt;2017&lt;/Year&gt;&lt;Details&gt;&lt;_author_adr&gt;南京大学商学院;南京大学经济学院;复旦大学经济学院;&lt;/_author_adr&gt;&lt;_db_provider&gt;CNKI&lt;/_db_provider&gt;&lt;_isbn&gt;0577-9154&lt;/_isbn&gt;&lt;_issue&gt;05&lt;/_issue&gt;&lt;_journal&gt;经济研究&lt;/_journal&gt;&lt;_keywords&gt;环境规制;污染就近转移;产业结构污染化;空间自滞后模型&lt;/_keywords&gt;&lt;_pages&gt;44-59&lt;/_pages&gt;&lt;_volume&gt;52&lt;/_volume&gt;&lt;_created&gt;64605545&lt;/_created&gt;&lt;_modified&gt;64605545&lt;/_modified&gt;&lt;_collection_scope&gt;CSSCI;PKU&lt;/_collection_scope&gt;&lt;_translated_author&gt;Shen, Kun rong;Jin, Gang;Fang, Xian&lt;/_translated_author&gt;&lt;/Details&gt;&lt;Extra&gt;&lt;DBUID&gt;{F96A950B-833F-4880-A151-76DA2D6A2879}&lt;/DBUID&gt;&lt;/Extra&gt;&lt;/Item&gt;&lt;/References&gt;&lt;/Group&gt;&lt;/Citation&gt;_x000a_"/>
    <w:docVar w:name="NE.Ref{7ABF4582-1A19-4C3D-9251-73251D71A6D7}" w:val=" ADDIN NE.Ref.{7ABF4582-1A19-4C3D-9251-73251D71A6D7}&lt;Citation&gt;&lt;Group&gt;&lt;References&gt;&lt;Item&gt;&lt;ID&gt;566&lt;/ID&gt;&lt;UID&gt;{1B3C2E39-A5C9-4A28-9F82-0065158A54AD}&lt;/UID&gt;&lt;Title&gt;地方环境监管困境解释——政治激励与财政约束假说&lt;/Title&gt;&lt;Template&gt;Journal Article&lt;/Template&gt;&lt;Star&gt;0&lt;/Star&gt;&lt;Tag&gt;0&lt;/Tag&gt;&lt;Author&gt;张凌云; 齐晔&lt;/Author&gt;&lt;Year&gt;2010&lt;/Year&gt;&lt;Details&gt;&lt;_author_adr&gt;清华大学公共管理学院;&lt;/_author_adr&gt;&lt;_db_provider&gt;CNKI&lt;/_db_provider&gt;&lt;_isbn&gt;1006-0863&lt;/_isbn&gt;&lt;_issue&gt;03&lt;/_issue&gt;&lt;_journal&gt;中国行政管理&lt;/_journal&gt;&lt;_keywords&gt;地方政府;理性人;政治激励;财政约束;环境监管&lt;/_keywords&gt;&lt;_pages&gt;93-97&lt;/_pages&gt;&lt;_created&gt;64605545&lt;/_created&gt;&lt;_modified&gt;64605545&lt;/_modified&gt;&lt;_collection_scope&gt;CSSCI;PKU&lt;/_collection_scope&gt;&lt;_translated_author&gt;Zhang, Ling yun;Qi, Ye&lt;/_translated_author&gt;&lt;/Details&gt;&lt;Extra&gt;&lt;DBUID&gt;{F96A950B-833F-4880-A151-76DA2D6A2879}&lt;/DBUID&gt;&lt;/Extra&gt;&lt;/Item&gt;&lt;/References&gt;&lt;/Group&gt;&lt;/Citation&gt;_x000a_"/>
    <w:docVar w:name="NE.Ref{7B62865C-3DE4-42FA-BD8C-87DD5A8908AE}" w:val=" ADDIN NE.Ref.{7B62865C-3DE4-42FA-BD8C-87DD5A8908AE}&lt;Citation&gt;&lt;Group&gt;&lt;References&gt;&lt;Item&gt;&lt;ID&gt;567&lt;/ID&gt;&lt;UID&gt;{C95586E0-026E-4D5B-8434-7D5E99F59EE4}&lt;/UID&gt;&lt;Title&gt;行政协作法律机制研究&lt;/Title&gt;&lt;Template&gt;Journal Article&lt;/Template&gt;&lt;Star&gt;0&lt;/Star&gt;&lt;Tag&gt;0&lt;/Tag&gt;&lt;Author&gt;金国坤&lt;/Author&gt;&lt;Year&gt;2008&lt;/Year&gt;&lt;Details&gt;&lt;_author_adr&gt;武汉大学法学院 湖北武汉430072&lt;/_author_adr&gt;&lt;_db_provider&gt;CNKI&lt;/_db_provider&gt;&lt;_doi&gt;10.16494/j.cnki.1002-3933.2008.01.007&lt;/_doi&gt;&lt;_isbn&gt;1002-3933&lt;/_isbn&gt;&lt;_issue&gt;01&lt;/_issue&gt;&lt;_journal&gt;河北法学&lt;/_journal&gt;&lt;_keywords&gt;行政协作;依法行政;行政程序&lt;/_keywords&gt;&lt;_pages&gt;54-58&lt;/_pages&gt;&lt;_created&gt;64605545&lt;/_created&gt;&lt;_modified&gt;64605545&lt;/_modified&gt;&lt;_collection_scope&gt;CSSCI;PKU&lt;/_collection_scope&gt;&lt;_translated_author&gt;Jin, Guo kun&lt;/_translated_author&gt;&lt;/Details&gt;&lt;Extra&gt;&lt;DBUID&gt;{F96A950B-833F-4880-A151-76DA2D6A2879}&lt;/DBUID&gt;&lt;/Extra&gt;&lt;/Item&gt;&lt;/References&gt;&lt;/Group&gt;&lt;/Citation&gt;_x000a_"/>
    <w:docVar w:name="NE.Ref{87DC7ACE-DEEE-4201-9892-558CBBD21C51}" w:val=" ADDIN NE.Ref.{87DC7ACE-DEEE-4201-9892-558CBBD21C51}&lt;Citation&gt;&lt;Group&gt;&lt;References&gt;&lt;Item&gt;&lt;ID&gt;543&lt;/ID&gt;&lt;UID&gt;{8521FCA5-FB86-4D9E-A0FE-24A02EEFA2A2}&lt;/UID&gt;&lt;Title&gt;政治关联与企业环境违规处罚:庇护还是监督——来自IPE数据库的证据&lt;/Title&gt;&lt;Template&gt;Journal Article&lt;/Template&gt;&lt;Star&gt;0&lt;/Star&gt;&lt;Tag&gt;0&lt;/Tag&gt;&lt;Author&gt;罗喜英; 刘伟&lt;/Author&gt;&lt;Year&gt;2019&lt;/Year&gt;&lt;Details&gt;&lt;_author_adr&gt;湖南科技大学商学院;暨南大学管理学院;&lt;/_author_adr&gt;&lt;_db_provider&gt;CNKI&lt;/_db_provider&gt;&lt;_doi&gt;10.13781/j.cnki.1007-9556.2019.10.007&lt;/_doi&gt;&lt;_isbn&gt;1007-9556&lt;/_isbn&gt;&lt;_issue&gt;10&lt;/_issue&gt;&lt;_journal&gt;山西财经大学学报&lt;/_journal&gt;&lt;_keywords&gt;政治关联;环境违规处罚;庇护效应;监督效应;公众环境研究中心(IPE)&lt;/_keywords&gt;&lt;_pages&gt;85-99&lt;/_pages&gt;&lt;_url&gt;https://kns.cnki.net/kcms/detail/14.1221.F.20190723.1523.007.html&lt;/_url&gt;&lt;_volume&gt;41&lt;/_volume&gt;&lt;_created&gt;64605545&lt;/_created&gt;&lt;_modified&gt;64605545&lt;/_modified&gt;&lt;_collection_scope&gt;CSSCI;PKU&lt;/_collection_scope&gt;&lt;_translated_author&gt;Luo, Xi ying;Liu, Wei&lt;/_translated_author&gt;&lt;/Details&gt;&lt;Extra&gt;&lt;DBUID&gt;{F96A950B-833F-4880-A151-76DA2D6A2879}&lt;/DBUID&gt;&lt;/Extra&gt;&lt;/Item&gt;&lt;/References&gt;&lt;/Group&gt;&lt;/Citation&gt;_x000a_"/>
    <w:docVar w:name="NE.Ref{8BEBCCCF-BCE4-456B-B4C7-A2647224A036}" w:val=" ADDIN NE.Ref.{8BEBCCCF-BCE4-456B-B4C7-A2647224A036}&lt;Citation&gt;&lt;Group&gt;&lt;References&gt;&lt;Item&gt;&lt;ID&gt;540&lt;/ID&gt;&lt;UID&gt;{AECC8CFE-EF8F-4B0B-8110-22394EB92E55}&lt;/UID&gt;&lt;Title&gt;环境分权、环保约谈与环境污染&lt;/Title&gt;&lt;Template&gt;Journal Article&lt;/Template&gt;&lt;Star&gt;0&lt;/Star&gt;&lt;Tag&gt;0&lt;/Tag&gt;&lt;Author&gt;李强; 王琰&lt;/Author&gt;&lt;Year&gt;2020&lt;/Year&gt;&lt;Details&gt;&lt;_author_adr&gt;安徽财经大学经济学院;&lt;/_author_adr&gt;&lt;_db_provider&gt;CNKI&lt;/_db_provider&gt;&lt;_doi&gt;10.19343/j.cnki.11-1302/c.2020.06.006&lt;/_doi&gt;&lt;_isbn&gt;1002-4565&lt;/_isbn&gt;&lt;_issue&gt;06&lt;/_issue&gt;&lt;_journal&gt;统计研究&lt;/_journal&gt;&lt;_keywords&gt;环境分权;河长制;环保约谈;双重差分&lt;/_keywords&gt;&lt;_pages&gt;66-78&lt;/_pages&gt;&lt;_volume&gt;37&lt;/_volume&gt;&lt;_created&gt;64605545&lt;/_created&gt;&lt;_modified&gt;64605545&lt;/_modified&gt;&lt;_collection_scope&gt;CSSCI;PKU&lt;/_collection_scope&gt;&lt;_translated_author&gt;Li, Qiang;Wang, Yan&lt;/_translated_author&gt;&lt;/Details&gt;&lt;Extra&gt;&lt;DBUID&gt;{F96A950B-833F-4880-A151-76DA2D6A2879}&lt;/DBUID&gt;&lt;/Extra&gt;&lt;/Item&gt;&lt;/References&gt;&lt;/Group&gt;&lt;/Citation&gt;_x000a_"/>
    <w:docVar w:name="NE.Ref{8CF19FB2-2415-4E58-9571-714E18F562ED}" w:val=" ADDIN NE.Ref.{8CF19FB2-2415-4E58-9571-714E18F562ED}&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8DFA54E4-17D0-4205-BE69-18925A469C31}" w:val=" ADDIN NE.Ref.{8DFA54E4-17D0-4205-BE69-18925A469C31}&lt;Citation&gt;&lt;Group&gt;&lt;References&gt;&lt;Item&gt;&lt;ID&gt;521&lt;/ID&gt;&lt;UID&gt;{C203BEFF-2001-47FF-9D77-D86E0C9845B5}&lt;/UID&gt;&lt;Title&gt;绿色信贷政策能够改善企业环境社会责任吗——基于外部约束和内部关注的视角&lt;/Title&gt;&lt;Template&gt;Journal Article&lt;/Template&gt;&lt;Star&gt;0&lt;/Star&gt;&lt;Tag&gt;0&lt;/Tag&gt;&lt;Author&gt;斯丽娟; 曹昊煜&lt;/Author&gt;&lt;Year&gt;2022&lt;/Year&gt;&lt;Details&gt;&lt;_author_adr&gt;兰州大学经济学院、绿色金融研究院;兰州大学经济学院;&lt;/_author_adr&gt;&lt;_db_provider&gt;CNKI&lt;/_db_provider&gt;&lt;_doi&gt;10.19581/j.cnki.ciejournal.2022.04.009&lt;/_doi&gt;&lt;_isbn&gt;1006-480X&lt;/_isbn&gt;&lt;_issue&gt;04&lt;/_issue&gt;&lt;_journal&gt;中国工业经济&lt;/_journal&gt;&lt;_keywords&gt;绿色信贷政策;企业环境社会责任;资金成本;融资渠道;企业环境关注度&lt;/_keywords&gt;&lt;_pages&gt;137-155&lt;/_pages&gt;&lt;_url&gt;https://kns.cnki.net/kcms/detail/11.3536.F.20220506.1500.018.html&lt;/_url&gt;&lt;_created&gt;64605545&lt;/_created&gt;&lt;_modified&gt;64605545&lt;/_modified&gt;&lt;_collection_scope&gt;CSSCI;PKU&lt;/_collection_scope&gt;&lt;_translated_author&gt;Si, Li juan;Cao, Hao yu&lt;/_translated_author&gt;&lt;/Details&gt;&lt;Extra&gt;&lt;DBUID&gt;{F96A950B-833F-4880-A151-76DA2D6A2879}&lt;/DBUID&gt;&lt;/Extra&gt;&lt;/Item&gt;&lt;/References&gt;&lt;/Group&gt;&lt;/Citation&gt;_x000a_"/>
    <w:docVar w:name="NE.Ref{90E671A2-85E3-4682-B8B5-953BEB3EE767}" w:val=" ADDIN NE.Ref.{90E671A2-85E3-4682-B8B5-953BEB3EE767}&lt;Citation&gt;&lt;Group&gt;&lt;References&gt;&lt;Item&gt;&lt;ID&gt;581&lt;/ID&gt;&lt;UID&gt;{0BC98B49-8814-47E7-8E4F-2910A9C8C78F}&lt;/UID&gt;&lt;Title&gt;Detecting earnings management&lt;/Title&gt;&lt;Template&gt;Journal Article&lt;/Template&gt;&lt;Star&gt;0&lt;/Star&gt;&lt;Tag&gt;0&lt;/Tag&gt;&lt;Author&gt;Dechow, Patricia M; Sloan, Richard G; Sweeney, Amy P&lt;/Author&gt;&lt;Year&gt;1995&lt;/Year&gt;&lt;Details&gt;&lt;_alternate_title&gt;Accounting review&lt;/_alternate_title&gt;&lt;_date_display&gt;1995&lt;/_date_display&gt;&lt;_date&gt;1995-01-01&lt;/_date&gt;&lt;_isbn&gt;0001-4826&lt;/_isbn&gt;&lt;_journal&gt;Accounting review&lt;/_journal&gt;&lt;_ori_publication&gt;JSTOR&lt;/_ori_publication&gt;&lt;_pages&gt;193-225&lt;/_pages&gt;&lt;_created&gt;64605598&lt;/_created&gt;&lt;_modified&gt;64605598&lt;/_modified&gt;&lt;_impact_factor&gt;   5.182&lt;/_impact_factor&gt;&lt;_social_category&gt;管理学(2)&lt;/_social_category&gt;&lt;_collection_scope&gt;SSCI&lt;/_collection_scope&gt;&lt;/Details&gt;&lt;Extra&gt;&lt;DBUID&gt;{F96A950B-833F-4880-A151-76DA2D6A2879}&lt;/DBUID&gt;&lt;/Extra&gt;&lt;/Item&gt;&lt;/References&gt;&lt;/Group&gt;&lt;/Citation&gt;_x000a_"/>
    <w:docVar w:name="NE.Ref{9349DB45-61DE-4044-BA15-C26CC04F4E7C}" w:val=" ADDIN NE.Ref.{9349DB45-61DE-4044-BA15-C26CC04F4E7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34F42D0-48AC-4EFE-B71F-12C7AD9348E5}" w:val=" ADDIN NE.Ref.{934F42D0-48AC-4EFE-B71F-12C7AD9348E5}&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9910E187-A493-48AF-AEA4-78BC75BD79B6}" w:val=" ADDIN NE.Ref.{9910E187-A493-48AF-AEA4-78BC75BD79B6}&lt;Citation&gt;&lt;Group&gt;&lt;References&gt;&lt;Item&gt;&lt;ID&gt;564&lt;/ID&gt;&lt;UID&gt;{E319C380-E940-44DE-9ED0-958D41C3AB94}&lt;/UID&gt;&lt;Title&gt;金融生态环境、银行关联与债务融资——基于我国民营企业的实证研究&lt;/Title&gt;&lt;Template&gt;Journal Article&lt;/Template&gt;&lt;Star&gt;0&lt;/Star&gt;&lt;Tag&gt;0&lt;/Tag&gt;&lt;Author&gt;邓建平; 曾勇&lt;/Author&gt;&lt;Year&gt;2011&lt;/Year&gt;&lt;Details&gt;&lt;_author_adr&gt;厦门国家会计学院;电子科技大学经济与管理学院;&lt;/_author_adr&gt;&lt;_db_provider&gt;CNKI&lt;/_db_provider&gt;&lt;_isbn&gt;1003-2886&lt;/_isbn&gt;&lt;_issue&gt;12&lt;/_issue&gt;&lt;_journal&gt;会计研究&lt;/_journal&gt;&lt;_keywords&gt;银行关联;金融生态环境;债务融资&lt;/_keywords&gt;&lt;_pages&gt;33-40+96-97&lt;/_pages&gt;&lt;_created&gt;64605545&lt;/_created&gt;&lt;_modified&gt;64605545&lt;/_modified&gt;&lt;_collection_scope&gt;CSSCI;PKU&lt;/_collection_scope&gt;&lt;_translated_author&gt;Deng, Jian ping;Ceng, Yong&lt;/_translated_author&gt;&lt;/Details&gt;&lt;Extra&gt;&lt;DBUID&gt;{F96A950B-833F-4880-A151-76DA2D6A2879}&lt;/DBUID&gt;&lt;/Extra&gt;&lt;/Item&gt;&lt;/References&gt;&lt;/Group&gt;&lt;/Citation&gt;_x000a_"/>
    <w:docVar w:name="NE.Ref{9EB6BFDE-DDD8-45F4-97C0-7CE2A5AD19CC}" w:val=" ADDIN NE.Ref.{9EB6BFDE-DDD8-45F4-97C0-7CE2A5AD19CC}&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Group&gt;&lt;References&gt;&lt;Item&gt;&lt;ID&gt;584&lt;/ID&gt;&lt;UID&gt;{212B0E09-7EBF-4445-B9FD-A1EBA99E26EA}&lt;/UID&gt;&lt;Title&gt;边际减排成本与中国环境税改革&lt;/Title&gt;&lt;Template&gt;Journal Article&lt;/Template&gt;&lt;Star&gt;0&lt;/Star&gt;&lt;Tag&gt;0&lt;/Tag&gt;&lt;Author&gt;陈诗一&lt;/Author&gt;&lt;Year&gt;2011&lt;/Year&gt;&lt;Details&gt;&lt;_author_adr&gt;复旦大学中国社会主义市场经济研究中心;&lt;/_author_adr&gt;&lt;_db_provider&gt;CNKI&lt;/_db_provider&gt;&lt;_isbn&gt;1002-4921&lt;/_isbn&gt;&lt;_issue&gt;03&lt;/_issue&gt;&lt;_journal&gt;中国社会科学&lt;/_journal&gt;&lt;_keywords&gt;环境税改革;工业碳税;边际减排成本&lt;/_keywords&gt;&lt;_pages&gt;85-100+222&lt;/_pages&gt;&lt;_created&gt;64606414&lt;/_created&gt;&lt;_modified&gt;64606414&lt;/_modified&gt;&lt;_collection_scope&gt;CSSCI;PKU&lt;/_collection_scope&gt;&lt;_translated_author&gt;Chen, Shi yi&lt;/_translated_author&gt;&lt;/Details&gt;&lt;Extra&gt;&lt;DBUID&gt;{F96A950B-833F-4880-A151-76DA2D6A2879}&lt;/DBUID&gt;&lt;/Extra&gt;&lt;/Item&gt;&lt;/References&gt;&lt;/Group&gt;&lt;/Citation&gt;_x000a_"/>
    <w:docVar w:name="NE.Ref{9F3B3154-F236-4AFF-8637-6407F7B52C93}" w:val=" ADDIN NE.Ref.{9F3B3154-F236-4AFF-8637-6407F7B52C93}&lt;Citation&gt;&lt;Group&gt;&lt;References&gt;&lt;Item&gt;&lt;ID&gt;528&lt;/ID&gt;&lt;UID&gt;{084D9C15-AE2F-48C5-BBBC-C8E46BD3D6E4}&lt;/UID&gt;&lt;Title&gt;CEO多职业背景对企业技术资本积累的影响——基于沪深A股上市公司数据的研究&lt;/Title&gt;&lt;Template&gt;Journal Article&lt;/Template&gt;&lt;Star&gt;0&lt;/Star&gt;&lt;Tag&gt;0&lt;/Tag&gt;&lt;Author&gt;汤倩; 罗福凯; 刘源; 王斌&lt;/Author&gt;&lt;Year&gt;2021&lt;/Year&gt;&lt;Details&gt;&lt;_author_adr&gt;齐鲁师范学院经济与管理学院;中国海洋大学管理学院;山东财经大学会计学院;&lt;/_author_adr&gt;&lt;_db_provider&gt;CNKI&lt;/_db_provider&gt;&lt;_isbn&gt;1003-2886&lt;/_isbn&gt;&lt;_issue&gt;11&lt;/_issue&gt;&lt;_journal&gt;会计研究&lt;/_journal&gt;&lt;_keywords&gt;CEO多职业背景;企业技术资本积累;职业数量;技术创新&lt;/_keywords&gt;&lt;_pages&gt;88-101&lt;/_pages&gt;&lt;_created&gt;64605545&lt;/_created&gt;&lt;_modified&gt;64605545&lt;/_modified&gt;&lt;_collection_scope&gt;CSSCI;PKU&lt;/_collection_scope&gt;&lt;_translated_author&gt;Tang, Qian;Luo, Fu kai;Liu, Yuan;Wang, Bin&lt;/_translated_author&gt;&lt;/Details&gt;&lt;Extra&gt;&lt;DBUID&gt;{F96A950B-833F-4880-A151-76DA2D6A2879}&lt;/DBUID&gt;&lt;/Extra&gt;&lt;/Item&gt;&lt;/References&gt;&lt;/Group&gt;&lt;/Citation&gt;_x000a_"/>
    <w:docVar w:name="NE.Ref{A418F7AB-8C2D-4CBE-AB7D-AFA725A1F7FD}" w:val=" ADDIN NE.Ref.{A418F7AB-8C2D-4CBE-AB7D-AFA725A1F7FD}&lt;Citation&gt;&lt;Group&gt;&lt;References&gt;&lt;Item&gt;&lt;ID&gt;542&lt;/ID&gt;&lt;UID&gt;{1AE4ADF3-5633-4A47-AFE8-3E06169CFBF3}&lt;/UID&gt;&lt;Title&gt;环境规制对企业环境治理行为的影响——基于新《环保法》的准自然实验&lt;/Title&gt;&lt;Template&gt;Journal Article&lt;/Template&gt;&lt;Star&gt;0&lt;/Star&gt;&lt;Tag&gt;0&lt;/Tag&gt;&lt;Author&gt;崔广慧; 姜英兵&lt;/Author&gt;&lt;Year&gt;2019&lt;/Year&gt;&lt;Details&gt;&lt;_author_adr&gt;东北财经大学会计学院/中国内部控制研究中心;&lt;/_author_adr&gt;&lt;_db_provider&gt;CNKI&lt;/_db_provider&gt;&lt;_doi&gt;10.19616/j.cnki.bmj.2019.10.004&lt;/_doi&gt;&lt;_isbn&gt;1002-5766&lt;/_isbn&gt;&lt;_issue&gt;10&lt;/_issue&gt;&lt;_journal&gt;经济管理&lt;/_journal&gt;&lt;_keywords&gt;环境规制;环境治理;新《环保法》;绿色发展&lt;/_keywords&gt;&lt;_pages&gt;54-72&lt;/_pages&gt;&lt;_url&gt;https://kns.cnki.net/kcms/detail/11.1047.F.20190929.1556.006.html&lt;/_url&gt;&lt;_volume&gt;41&lt;/_volume&gt;&lt;_created&gt;64605545&lt;/_created&gt;&lt;_modified&gt;64605545&lt;/_modified&gt;&lt;_collection_scope&gt;CSSCI;PKU&lt;/_collection_scope&gt;&lt;_translated_author&gt;Cui, Guang hui;Jiang, Ying bing&lt;/_translated_author&gt;&lt;/Details&gt;&lt;Extra&gt;&lt;DBUID&gt;{F96A950B-833F-4880-A151-76DA2D6A2879}&lt;/DBUID&gt;&lt;/Extra&gt;&lt;/Item&gt;&lt;/References&gt;&lt;/Group&gt;&lt;/Citation&gt;_x000a_"/>
    <w:docVar w:name="NE.Ref{A4E91E3A-D761-42F2-AB53-719503430A61}" w:val=" ADDIN NE.Ref.{A4E91E3A-D761-42F2-AB53-719503430A61}&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A909F0CE-5328-42BB-A4EE-672ADD74AB1C}" w:val=" ADDIN NE.Ref.{A909F0CE-5328-42BB-A4EE-672ADD74AB1C}&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Group&gt;&lt;References&gt;&lt;Item&gt;&lt;ID&gt;537&lt;/ID&gt;&lt;UID&gt;{9D006372-3A2C-4CBA-B48A-37B9AA9730CE}&lt;/UID&gt;&lt;Title&gt;他山之石或可攻玉：税制绿色化对企业创新的溢出效应&lt;/Title&gt;&lt;Template&gt;Journal Article&lt;/Template&gt;&lt;Star&gt;0&lt;/Star&gt;&lt;Tag&gt;0&lt;/Tag&gt;&lt;Author&gt;程博; 熊婷; 殷俊明&lt;/Author&gt;&lt;Year&gt;2021&lt;/Year&gt;&lt;Details&gt;&lt;_author_adr&gt;南京审计大学会计学院;&lt;/_author_adr&gt;&lt;_db_provider&gt;CNKI&lt;/_db_provider&gt;&lt;_isbn&gt;1003-2886&lt;/_isbn&gt;&lt;_issue&gt;06&lt;/_issue&gt;&lt;_journal&gt;会计研究&lt;/_journal&gt;&lt;_keywords&gt;税制绿色化;企业创新;溢出效应;《环境保护税法》&lt;/_keywords&gt;&lt;_pages&gt;176-188&lt;/_pages&gt;&lt;_created&gt;64605545&lt;/_created&gt;&lt;_modified&gt;64605545&lt;/_modified&gt;&lt;_collection_scope&gt;CSSCI;PKU&lt;/_collection_scope&gt;&lt;_translated_author&gt;Cheng, Bo;Xiong, Ting;Yin, Jun ming&lt;/_translated_author&gt;&lt;/Details&gt;&lt;Extra&gt;&lt;DBUID&gt;{F96A950B-833F-4880-A151-76DA2D6A2879}&lt;/DBUID&gt;&lt;/Extra&gt;&lt;/Item&gt;&lt;/References&gt;&lt;/Group&gt;&lt;/Citation&gt;_x000a_"/>
    <w:docVar w:name="NE.Ref{ADF35E0E-7FBB-45C0-A142-DEC8AC73CF9A}" w:val=" ADDIN NE.Ref.{ADF35E0E-7FBB-45C0-A142-DEC8AC73CF9A}&lt;Citation&gt;&lt;Group&gt;&lt;References&gt;&lt;Item&gt;&lt;ID&gt;522&lt;/ID&gt;&lt;UID&gt;{725279A1-9F83-4DDB-96A1-FCAB15F2A205}&lt;/UID&gt;&lt;Title&gt;环境保护税费改革与企业环保投资——基于《环境保护税法》实施的准自然实验&lt;/Title&gt;&lt;Template&gt;Journal Article&lt;/Template&gt;&lt;Star&gt;0&lt;/Star&gt;&lt;Tag&gt;0&lt;/Tag&gt;&lt;Author&gt;田利辉; 关欣; 李政; 李鑫&lt;/Author&gt;&lt;Year&gt;2022&lt;/Year&gt;&lt;Details&gt;&lt;_author_adr&gt;南开大学金融发展研究院;广西大学经济学院;&lt;/_author_adr&gt;&lt;_db_provider&gt;CNKI&lt;/_db_provider&gt;&lt;_doi&gt;10.16538/j.cnki.jfe.20220317.102&lt;/_doi&gt;&lt;_isbn&gt;1001-9952&lt;/_isbn&gt;&lt;_issue&gt;09&lt;/_issue&gt;&lt;_journal&gt;财经研究&lt;/_journal&gt;&lt;_keywords&gt;排污费;环保税;税费改革;环保投资&lt;/_keywords&gt;&lt;_pages&gt;32-46+62&lt;/_pages&gt;&lt;_url&gt;https://kns.cnki.net/kcms/detail/31.1012.F.20220331.1516.001.html&lt;/_url&gt;&lt;_volume&gt;48&lt;/_volume&gt;&lt;_created&gt;64605545&lt;/_created&gt;&lt;_modified&gt;64605545&lt;/_modified&gt;&lt;_collection_scope&gt;CSSCI;PKU&lt;/_collection_scope&gt;&lt;_translated_author&gt;Tian, Li hui;Guan, Xin;Li, Zheng;Li, Xin&lt;/_translated_author&gt;&lt;/Details&gt;&lt;Extra&gt;&lt;DBUID&gt;{F96A950B-833F-4880-A151-76DA2D6A2879}&lt;/DBUID&gt;&lt;/Extra&gt;&lt;/Item&gt;&lt;/References&gt;&lt;/Group&gt;&lt;/Citation&gt;_x000a_"/>
    <w:docVar w:name="NE.Ref{B7134763-59E6-4AD2-8931-F5140543F61C}" w:val=" ADDIN NE.Ref.{B7134763-59E6-4AD2-8931-F5140543F61C}&lt;Citation&gt;&lt;Group&gt;&lt;References&gt;&lt;Item&gt;&lt;ID&gt;518&lt;/ID&gt;&lt;UID&gt;{A0DADC3E-A3FF-4FC6-89A6-F902D5CFB7E6}&lt;/UID&gt;&lt;Title&gt;企业社会责任与环境绩效:“真心”还是“掩饰”?&lt;/Title&gt;&lt;Template&gt;Journal Article&lt;/Template&gt;&lt;Star&gt;0&lt;/Star&gt;&lt;Tag&gt;0&lt;/Tag&gt;&lt;Author&gt;伊力奇; 李涛; 丹二丽; 张婷&lt;/Author&gt;&lt;Year&gt;2023&lt;/Year&gt;&lt;Details&gt;&lt;_author_adr&gt;华北电力大学经济与管理学院;&lt;/_author_adr&gt;&lt;_db_provider&gt;CNKI&lt;/_db_provider&gt;&lt;_doi&gt;10.13587/j.cnki.jieem.2023.02.001&lt;/_doi&gt;&lt;_isbn&gt;1004-6062&lt;/_isbn&gt;&lt;_journal&gt;管理工程学报&lt;/_journal&gt;&lt;_keywords&gt;企业社会责任;环境绩效;内部动机;监管压力;信息披露&lt;/_keywords&gt;&lt;_pages&gt;1-10&lt;/_pages&gt;&lt;_url&gt;https://kns.cnki.net/kcms/detail/33.1136.N.20220708.1733.009.html&lt;/_url&gt;&lt;_created&gt;64605545&lt;/_created&gt;&lt;_modified&gt;64605545&lt;/_modified&gt;&lt;_collection_scope&gt;CSSCI;PKU;CSCD&lt;/_collection_scope&gt;&lt;_accessed&gt;64605545&lt;/_accessed&gt;&lt;_translated_author&gt;Yi, Li qi;Li, Tao;Dan, Er li;Zhang, Ting&lt;/_translated_author&gt;&lt;/Details&gt;&lt;Extra&gt;&lt;DBUID&gt;{F96A950B-833F-4880-A151-76DA2D6A2879}&lt;/DBUID&gt;&lt;/Extra&gt;&lt;/Item&gt;&lt;/References&gt;&lt;/Group&gt;&lt;/Citation&gt;_x000a_"/>
    <w:docVar w:name="NE.Ref{B927F7FB-7BD0-4DBC-B630-99DE61B34BBA}" w:val=" ADDIN NE.Ref.{B927F7FB-7BD0-4DBC-B630-99DE61B34BBA}&lt;Citation&gt;&lt;Group&gt;&lt;References&gt;&lt;Item&gt;&lt;ID&gt;578&lt;/ID&gt;&lt;UID&gt;{BEF3227B-837E-4683-9AA7-439736AEE705}&lt;/UID&gt;&lt;Title&gt;Does stringent environmental regulation lead to a carbon haven effect? Evidence from carbon-intensive industries in China&lt;/Title&gt;&lt;Template&gt;Journal Article&lt;/Template&gt;&lt;Star&gt;0&lt;/Star&gt;&lt;Tag&gt;0&lt;/Tag&gt;&lt;Author&gt;Zhao, Xiaomeng; Liu, Chuanjiang; Sun, Chuanwang; Yang, Mian&lt;/Author&gt;&lt;Year&gt;2020&lt;/Year&gt;&lt;Details&gt;&lt;_alternate_title&gt;Energy Economics&lt;/_alternate_title&gt;&lt;_date_display&gt;2020&lt;/_date_display&gt;&lt;_date&gt;2020-01-01&lt;/_date&gt;&lt;_isbn&gt;0140-9883&lt;/_isbn&gt;&lt;_journal&gt;Energy Economics&lt;/_journal&gt;&lt;_ori_publication&gt;Elsevier&lt;/_ori_publication&gt;&lt;_pages&gt;104631&lt;/_pages&gt;&lt;_volume&gt;86&lt;/_volume&gt;&lt;_created&gt;64605583&lt;/_created&gt;&lt;_modified&gt;64605583&lt;/_modified&gt;&lt;_impact_factor&gt;   9.252&lt;/_impact_factor&gt;&lt;_social_category&gt;经济学(2)&lt;/_social_category&gt;&lt;_collection_scope&gt;SSCI;EI&lt;/_collection_scope&gt;&lt;/Details&gt;&lt;Extra&gt;&lt;DBUID&gt;{F96A950B-833F-4880-A151-76DA2D6A2879}&lt;/DBUID&gt;&lt;/Extra&gt;&lt;/Item&gt;&lt;/References&gt;&lt;/Group&gt;&lt;/Citation&gt;_x000a_"/>
    <w:docVar w:name="NE.Ref{C1F89114-607B-49D4-BC43-59EC7B840801}" w:val=" ADDIN NE.Ref.{C1F89114-607B-49D4-BC43-59EC7B840801}&lt;Citation&gt;&lt;Group&gt;&lt;References&gt;&lt;Item&gt;&lt;ID&gt;530&lt;/ID&gt;&lt;UID&gt;{B0805A47-122F-4330-9A64-05A201284F59}&lt;/UID&gt;&lt;Title&gt;企业集团内部是否存在“污染避难所”&lt;/Title&gt;&lt;Template&gt;Journal Article&lt;/Template&gt;&lt;Star&gt;0&lt;/Star&gt;&lt;Tag&gt;0&lt;/Tag&gt;&lt;Author&gt;宋德勇; 朱文博; 王班班; 丁海&lt;/Author&gt;&lt;Year&gt;2021&lt;/Year&gt;&lt;Details&gt;&lt;_author_adr&gt;华中科技大学经济学院;&lt;/_author_adr&gt;&lt;_db_provider&gt;CNKI&lt;/_db_provider&gt;&lt;_doi&gt;10.19581/j.cnki.ciejournal.2021.10.008&lt;/_doi&gt;&lt;_isbn&gt;1006-480X&lt;/_isbn&gt;&lt;_issue&gt;10&lt;/_issue&gt;&lt;_journal&gt;中国工业经济&lt;/_journal&gt;&lt;_keywords&gt;污染转移;环境规制;企业集团;排污费改革&lt;/_keywords&gt;&lt;_pages&gt;156-174&lt;/_pages&gt;&lt;_url&gt;https://kns.cnki.net/kcms/detail/11.3536.F.20211022.1352.016.html&lt;/_url&gt;&lt;_created&gt;64605545&lt;/_created&gt;&lt;_modified&gt;64605545&lt;/_modified&gt;&lt;_collection_scope&gt;CSSCI;PKU&lt;/_collection_scope&gt;&lt;_translated_author&gt;Song, De yong;Zhu, Wen bo;Wang, Ban ban;Ding, Hai&lt;/_translated_author&gt;&lt;/Details&gt;&lt;Extra&gt;&lt;DBUID&gt;{F96A950B-833F-4880-A151-76DA2D6A2879}&lt;/DBUID&gt;&lt;/Extra&gt;&lt;/Item&gt;&lt;/References&gt;&lt;/Group&gt;&lt;/Citation&gt;_x000a_"/>
    <w:docVar w:name="NE.Ref{C864D87B-8C4C-40FA-AB96-DE6238D3AB4A}" w:val=" ADDIN NE.Ref.{C864D87B-8C4C-40FA-AB96-DE6238D3AB4A}&lt;Citation&gt;&lt;Group&gt;&lt;References&gt;&lt;Item&gt;&lt;ID&gt;575&lt;/ID&gt;&lt;UID&gt;{DC6DD42D-D564-44F3-82D1-83B3C08D21D7}&lt;/UID&gt;&lt;Title&gt;Toward a new conception of the environment-competitiveness relationship&lt;/Title&gt;&lt;Template&gt;Journal Article&lt;/Template&gt;&lt;Star&gt;0&lt;/Star&gt;&lt;Tag&gt;0&lt;/Tag&gt;&lt;Author&gt;Porter, Michael E; Van der Linde, Claas&lt;/Author&gt;&lt;Year&gt;1995&lt;/Year&gt;&lt;Details&gt;&lt;_alternate_title&gt;Journal of economic perspectives&lt;/_alternate_title&gt;&lt;_date_display&gt;1995&lt;/_date_display&gt;&lt;_date&gt;1995-01-01&lt;/_date&gt;&lt;_isbn&gt;0895-3309&lt;/_isbn&gt;&lt;_issue&gt;4&lt;/_issue&gt;&lt;_journal&gt;Journal of economic perspectives&lt;/_journal&gt;&lt;_pages&gt;97-118&lt;/_pages&gt;&lt;_volume&gt;9&lt;/_volume&gt;&lt;_created&gt;64605573&lt;/_created&gt;&lt;_modified&gt;64605573&lt;/_modified&gt;&lt;_impact_factor&gt;   9.944&lt;/_impact_factor&gt;&lt;_social_category&gt;经济学(1)&lt;/_social_category&gt;&lt;_collection_scope&gt;SSCI&lt;/_collection_scope&gt;&lt;/Details&gt;&lt;Extra&gt;&lt;DBUID&gt;{F96A950B-833F-4880-A151-76DA2D6A2879}&lt;/DBUID&gt;&lt;/Extra&gt;&lt;/Item&gt;&lt;/References&gt;&lt;/Group&gt;&lt;/Citation&gt;_x000a_"/>
    <w:docVar w:name="NE.Ref{CBD19BC9-E5DA-4991-9DCC-493B1E1EF913}" w:val=" ADDIN NE.Ref.{CBD19BC9-E5DA-4991-9DCC-493B1E1EF913}&lt;Citation&gt;&lt;Group&gt;&lt;References&gt;&lt;Item&gt;&lt;ID&gt;573&lt;/ID&gt;&lt;UID&gt;{07D5F9E1-D1ED-4EB5-ACEC-AB62F21F78DB}&lt;/UID&gt;&lt;Title&gt;Revisiting the relation between environmental performance and environmental disclosure: An empirical analysis&lt;/Title&gt;&lt;Template&gt;Journal Article&lt;/Template&gt;&lt;Star&gt;0&lt;/Star&gt;&lt;Tag&gt;0&lt;/Tag&gt;&lt;Author&gt;Clarkson, Peter M; Li, Yue; Richardson, Gordon D; Vasvari, Florin P&lt;/Author&gt;&lt;Year&gt;2008&lt;/Year&gt;&lt;Details&gt;&lt;_alternate_title&gt;Accounting, organizations and society&lt;/_alternate_title&gt;&lt;_date_display&gt;2008&lt;/_date_display&gt;&lt;_date&gt;2008-01-01&lt;/_date&gt;&lt;_isbn&gt;0361-3682&lt;/_isbn&gt;&lt;_issue&gt;4-5&lt;/_issue&gt;&lt;_journal&gt;Accounting, organizations and society&lt;/_journal&gt;&lt;_ori_publication&gt;Elsevier&lt;/_ori_publication&gt;&lt;_pages&gt;303-327&lt;/_pages&gt;&lt;_volume&gt;33&lt;/_volume&gt;&lt;_created&gt;64605569&lt;/_created&gt;&lt;_modified&gt;64605569&lt;/_modified&gt;&lt;_impact_factor&gt;   4.114&lt;/_impact_factor&gt;&lt;_social_category&gt;管理学(3)&lt;/_social_category&gt;&lt;/Details&gt;&lt;Extra&gt;&lt;DBUID&gt;{F96A950B-833F-4880-A151-76DA2D6A2879}&lt;/DBUID&gt;&lt;/Extra&gt;&lt;/Item&gt;&lt;/References&gt;&lt;/Group&gt;&lt;/Citation&gt;_x000a_"/>
    <w:docVar w:name="NE.Ref{D07DC256-FB18-4640-91D2-62267EBEFD56}" w:val=" ADDIN NE.Ref.{D07DC256-FB18-4640-91D2-62267EBEFD56}&lt;Citation&gt;&lt;Group&gt;&lt;References&gt;&lt;Item&gt;&lt;ID&gt;558&lt;/ID&gt;&lt;UID&gt;{60C77781-A04D-4AE1-9720-106C900518DC}&lt;/UID&gt;&lt;Title&gt;中国有关环境税费的污染减排效应实证研究&lt;/Title&gt;&lt;Template&gt;Journal Article&lt;/Template&gt;&lt;Star&gt;0&lt;/Star&gt;&lt;Tag&gt;0&lt;/Tag&gt;&lt;Author&gt;李建军; 刘元生&lt;/Author&gt;&lt;Year&gt;2015&lt;/Year&gt;&lt;Details&gt;&lt;_author_adr&gt;西南财经大学财政税务学院;&lt;/_author_adr&gt;&lt;_db_provider&gt;CNKI&lt;/_db_provider&gt;&lt;_isbn&gt;1002-2104&lt;/_isbn&gt;&lt;_issue&gt;08&lt;/_issue&gt;&lt;_journal&gt;中国人口·资源与环境&lt;/_journal&gt;&lt;_keywords&gt;环境税收;排污费;工业“三废”;“双重红利”&lt;/_keywords&gt;&lt;_pages&gt;84-91&lt;/_pages&gt;&lt;_url&gt;https://kns.cnki.net/kcms/detail/37.1196.n.20150803.1110.022.html&lt;/_url&gt;&lt;_volume&gt;25&lt;/_volume&gt;&lt;_created&gt;64605545&lt;/_created&gt;&lt;_modified&gt;64605545&lt;/_modified&gt;&lt;_collection_scope&gt;CSSCI;PKU;CSCD&lt;/_collection_scope&gt;&lt;_translated_author&gt;Li, Jian jun;Liu, Yuan sheng&lt;/_translated_author&gt;&lt;/Details&gt;&lt;Extra&gt;&lt;DBUID&gt;{F96A950B-833F-4880-A151-76DA2D6A2879}&lt;/DBUID&gt;&lt;/Extra&gt;&lt;/Item&gt;&lt;/References&gt;&lt;/Group&gt;&lt;/Citation&gt;_x000a_"/>
    <w:docVar w:name="NE.Ref{D36150DA-DF52-47B5-B395-6D1A86E50DD9}" w:val=" ADDIN NE.Ref.{D36150DA-DF52-47B5-B395-6D1A86E50DD9}&lt;Citation&gt;&lt;Group&gt;&lt;References&gt;&lt;Item&gt;&lt;ID&gt;579&lt;/ID&gt;&lt;UID&gt;{DF4E4B8A-6DFC-40C7-AEAE-73009AB78ED8}&lt;/UID&gt;&lt;Title&gt;重污染企业投资与地方官员晋升——基于地级市1999-2010年数据的经验证据&lt;/Title&gt;&lt;Template&gt;Journal Article&lt;/Template&gt;&lt;Star&gt;0&lt;/Star&gt;&lt;Tag&gt;0&lt;/Tag&gt;&lt;Author&gt;罗党论; 赖再洪&lt;/Author&gt;&lt;Year&gt;2016&lt;/Year&gt;&lt;Details&gt;&lt;_author_adr&gt;中山大学岭南学院;中国人民大学;&lt;/_author_adr&gt;&lt;_db_provider&gt;CNKI&lt;/_db_provider&gt;&lt;_isbn&gt;1003-2886&lt;/_isbn&gt;&lt;_issue&gt;04&lt;/_issue&gt;&lt;_journal&gt;会计研究&lt;/_journal&gt;&lt;_keywords&gt;重污染企业投资;环境绩效;经济绩效;地方官员;政治晋升&lt;/_keywords&gt;&lt;_pages&gt;42-48+95&lt;/_pages&gt;&lt;_created&gt;64605590&lt;/_created&gt;&lt;_modified&gt;64605590&lt;/_modified&gt;&lt;_collection_scope&gt;CSSCI;PKU&lt;/_collection_scope&gt;&lt;_translated_author&gt;Luo, Dang lun;Lai, Zai hong&lt;/_translated_author&gt;&lt;/Details&gt;&lt;Extra&gt;&lt;DBUID&gt;{F96A950B-833F-4880-A151-76DA2D6A2879}&lt;/DBUID&gt;&lt;/Extra&gt;&lt;/Item&gt;&lt;/References&gt;&lt;/Group&gt;&lt;/Citation&gt;_x000a_"/>
    <w:docVar w:name="NE.Ref{D59A798A-6DFE-4981-9DDF-61EC88F997E2}" w:val=" ADDIN NE.Ref.{D59A798A-6DFE-4981-9DDF-61EC88F997E2}&lt;Citation&gt;&lt;Group&gt;&lt;References&gt;&lt;Item&gt;&lt;ID&gt;553&lt;/ID&gt;&lt;UID&gt;{0161AC8B-8A9B-46B0-821B-4C3D921AB586}&lt;/UID&gt;&lt;Title&gt;环境执法监督与企业环境绩效:来自环保约谈的准自然实验证据&lt;/Title&gt;&lt;Template&gt;Journal Article&lt;/Template&gt;&lt;Star&gt;0&lt;/Star&gt;&lt;Tag&gt;0&lt;/Tag&gt;&lt;Author&gt;沈洪涛; 周艳坤&lt;/Author&gt;&lt;Year&gt;2017&lt;/Year&gt;&lt;Details&gt;&lt;_author_adr&gt;暨南大学管理学院;中国人民大学商学院;&lt;/_author_adr&gt;&lt;_db_provider&gt;CNKI&lt;/_db_provider&gt;&lt;_isbn&gt;1008-3448&lt;/_isbn&gt;&lt;_issue&gt;06&lt;/_issue&gt;&lt;_journal&gt;南开管理评论&lt;/_journal&gt;&lt;_keywords&gt;执法监督;环保约谈;企业环境绩效;环境治理&lt;/_keywords&gt;&lt;_pages&gt;73-82&lt;/_pages&gt;&lt;_volume&gt;20&lt;/_volume&gt;&lt;_created&gt;64605545&lt;/_created&gt;&lt;_modified&gt;64605545&lt;/_modified&gt;&lt;_collection_scope&gt;CSSCI;PKU&lt;/_collection_scope&gt;&lt;_translated_author&gt;Shen, Hong tao;Zhou, Yan kun&lt;/_translated_author&gt;&lt;/Details&gt;&lt;Extra&gt;&lt;DBUID&gt;{F96A950B-833F-4880-A151-76DA2D6A2879}&lt;/DBUID&gt;&lt;/Extra&gt;&lt;/Item&gt;&lt;/References&gt;&lt;/Group&gt;&lt;/Citation&gt;_x000a_"/>
    <w:docVar w:name="NE.Ref{D7640524-7EBD-45CD-B4DE-2C7C52385AAF}" w:val=" ADDIN NE.Ref.{D7640524-7EBD-45CD-B4DE-2C7C52385AAF}&lt;Citation&gt;&lt;Group&gt;&lt;References&gt;&lt;Item&gt;&lt;ID&gt;563&lt;/ID&gt;&lt;UID&gt;{AC606280-72C5-4AFB-A43A-51824B0997D4}&lt;/UID&gt;&lt;Title&gt;信息透明度、公司治理与中小股东参与&lt;/Title&gt;&lt;Template&gt;Journal Article&lt;/Template&gt;&lt;Star&gt;0&lt;/Star&gt;&lt;Tag&gt;0&lt;/Tag&gt;&lt;Author&gt;黎文靖; 孔东民&lt;/Author&gt;&lt;Year&gt;2013&lt;/Year&gt;&lt;Details&gt;&lt;_author_adr&gt;暨南大学管理学院;华中科技大学经济学院;&lt;/_author_adr&gt;&lt;_db_provider&gt;CNKI&lt;/_db_provider&gt;&lt;_isbn&gt;1003-2886&lt;/_isbn&gt;&lt;_issue&gt;01&lt;/_issue&gt;&lt;_journal&gt;会计研究&lt;/_journal&gt;&lt;_keywords&gt;信息透明度;中小股东;公司治理;网络投票&lt;/_keywords&gt;&lt;_pages&gt;42-49+95&lt;/_pages&gt;&lt;_created&gt;64605545&lt;/_created&gt;&lt;_modified&gt;64605545&lt;/_modified&gt;&lt;_collection_scope&gt;CSSCI;PKU&lt;/_collection_scope&gt;&lt;_translated_author&gt;Li, Wen jing;Kong, Dong min&lt;/_translated_author&gt;&lt;/Details&gt;&lt;Extra&gt;&lt;DBUID&gt;{F96A950B-833F-4880-A151-76DA2D6A2879}&lt;/DBUID&gt;&lt;/Extra&gt;&lt;/Item&gt;&lt;/References&gt;&lt;/Group&gt;&lt;/Citation&gt;_x000a_"/>
    <w:docVar w:name="NE.Ref{D80B2553-9955-49F6-87B3-107FBDC2587D}" w:val=" ADDIN NE.Ref.{D80B2553-9955-49F6-87B3-107FBDC2587D}&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Group&gt;&lt;References&gt;&lt;Item&gt;&lt;ID&gt;569&lt;/ID&gt;&lt;UID&gt;{7C7BA322-FA2D-489C-93C1-C0CABEBBD043}&lt;/UID&gt;&lt;Title&gt;中国地方官员的晋升锦标赛模式研究&lt;/Title&gt;&lt;Template&gt;Journal Article&lt;/Template&gt;&lt;Star&gt;0&lt;/Star&gt;&lt;Tag&gt;0&lt;/Tag&gt;&lt;Author&gt;周黎安&lt;/Author&gt;&lt;Year&gt;2007&lt;/Year&gt;&lt;Details&gt;&lt;_author_adr&gt;北京大学光华管理学院,&lt;/_author_adr&gt;&lt;_db_provider&gt;CNKI&lt;/_db_provider&gt;&lt;_isbn&gt;0577-9154&lt;/_isbn&gt;&lt;_issue&gt;07&lt;/_issue&gt;&lt;_journal&gt;经济研究&lt;/_journal&gt;&lt;_keywords&gt;晋升锦标赛;地方官员的激励;中国经济增长&lt;/_keywords&gt;&lt;_pages&gt;36-50&lt;/_pages&gt;&lt;_created&gt;64605545&lt;/_created&gt;&lt;_modified&gt;64605545&lt;/_modified&gt;&lt;_collection_scope&gt;CSSCI;PKU&lt;/_collection_scope&gt;&lt;_translated_author&gt;Zhou, Li&amp;apos;an&lt;/_translated_author&gt;&lt;/Details&gt;&lt;Extra&gt;&lt;DBUID&gt;{F96A950B-833F-4880-A151-76DA2D6A2879}&lt;/DBUID&gt;&lt;/Extra&gt;&lt;/Item&gt;&lt;/References&gt;&lt;/Group&gt;&lt;/Citation&gt;_x000a_"/>
    <w:docVar w:name="NE.Ref{D9AE592F-A091-4C0C-B2DD-83F27D7601AE}" w:val=" ADDIN NE.Ref.{D9AE592F-A091-4C0C-B2DD-83F27D7601AE}&lt;Citation&gt;&lt;Group&gt;&lt;References&gt;&lt;Item&gt;&lt;ID&gt;583&lt;/ID&gt;&lt;UID&gt;{5F624357-0EB0-434F-B9BD-CE4F6F8F0B45}&lt;/UID&gt;&lt;Title&gt;绿色金融促进了中国出口贸易发展吗?&lt;/Title&gt;&lt;Template&gt;Journal Article&lt;/Template&gt;&lt;Star&gt;0&lt;/Star&gt;&lt;Tag&gt;0&lt;/Tag&gt;&lt;Author&gt;金祥义; 张文菲; 施炳展&lt;/Author&gt;&lt;Year&gt;2022&lt;/Year&gt;&lt;Details&gt;&lt;_author_adr&gt;兰州大学经济学院;南开大学经济学院;&lt;/_author_adr&gt;&lt;_db_provider&gt;CNKI&lt;/_db_provider&gt;&lt;_isbn&gt;1002-7246&lt;/_isbn&gt;&lt;_issue&gt;05&lt;/_issue&gt;&lt;_journal&gt;金融研究&lt;/_journal&gt;&lt;_keywords&gt;绿色金融;出口贸易;绿色信贷指引;融资约束;双重差分法&lt;/_keywords&gt;&lt;_pages&gt;38-56&lt;/_pages&gt;&lt;_created&gt;64605601&lt;/_created&gt;&lt;_modified&gt;64605601&lt;/_modified&gt;&lt;_collection_scope&gt;CSSCI;PKU&lt;/_collection_scope&gt;&lt;_translated_author&gt;Jin, Xiang yi;Zhang, Wen fei;Shi, Bing zhan&lt;/_translated_author&gt;&lt;/Details&gt;&lt;Extra&gt;&lt;DBUID&gt;{F96A950B-833F-4880-A151-76DA2D6A2879}&lt;/DBUID&gt;&lt;/Extra&gt;&lt;/Item&gt;&lt;/References&gt;&lt;/Group&gt;&lt;/Citation&gt;_x000a_"/>
    <w:docVar w:name="NE.Ref{DCDB9ABB-5595-402B-8A68-90C47E2E86E0}" w:val=" ADDIN NE.Ref.{DCDB9ABB-5595-402B-8A68-90C47E2E86E0}&lt;Citation&gt;&lt;Group&gt;&lt;References&gt;&lt;Item&gt;&lt;ID&gt;570&lt;/ID&gt;&lt;UID&gt;{D7BA2A4A-88A4-4B88-906D-DE324E7FD9B9}&lt;/UID&gt;&lt;Title&gt;我国排污费制度的局限性及其改革&lt;/Title&gt;&lt;Template&gt;Journal Article&lt;/Template&gt;&lt;Star&gt;0&lt;/Star&gt;&lt;Tag&gt;0&lt;/Tag&gt;&lt;Author&gt;王萌&lt;/Author&gt;&lt;Year&gt;2009&lt;/Year&gt;&lt;Details&gt;&lt;_author_adr&gt;中南财经政法大学财政税务学院;浙江商业职业技术学院;&lt;/_author_adr&gt;&lt;_db_provider&gt;CNKI&lt;/_db_provider&gt;&lt;_doi&gt;10.19376/j.cnki.cn11-1011/f.2009.07.007&lt;/_doi&gt;&lt;_isbn&gt;1003-448X&lt;/_isbn&gt;&lt;_issue&gt;07&lt;/_issue&gt;&lt;_journal&gt;税务研究&lt;/_journal&gt;&lt;_keywords&gt;排污收费制度;命令—控制工具;外部性;庇古税&lt;/_keywords&gt;&lt;_pages&gt;28-31&lt;/_pages&gt;&lt;_created&gt;64605549&lt;/_created&gt;&lt;_modified&gt;64605549&lt;/_modified&gt;&lt;_collection_scope&gt;CSSCI;PKU&lt;/_collection_scope&gt;&lt;_translated_author&gt;Wang, Meng&lt;/_translated_author&gt;&lt;/Details&gt;&lt;Extra&gt;&lt;DBUID&gt;{F96A950B-833F-4880-A151-76DA2D6A2879}&lt;/DBUID&gt;&lt;/Extra&gt;&lt;/Item&gt;&lt;/References&gt;&lt;/Group&gt;&lt;/Citation&gt;_x000a_"/>
    <w:docVar w:name="NE.Ref{E36470E0-94A3-4B49-AEB8-033F747A042F}" w:val=" ADDIN NE.Ref.{E36470E0-94A3-4B49-AEB8-033F747A042F}&lt;Citation&gt;&lt;Group&gt;&lt;References&gt;&lt;Item&gt;&lt;ID&gt;546&lt;/ID&gt;&lt;UID&gt;{872DDCD7-31FF-4E04-BF14-3D8E92E007CB}&lt;/UID&gt;&lt;Title&gt;《环境保护法》、制度环境与企业环境绩效&lt;/Title&gt;&lt;Template&gt;Journal Article&lt;/Template&gt;&lt;Star&gt;0&lt;/Star&gt;&lt;Tag&gt;0&lt;/Tag&gt;&lt;Author&gt;潘红波; 饶晓琼&lt;/Author&gt;&lt;Year&gt;2019&lt;/Year&gt;&lt;Details&gt;&lt;_author_adr&gt;武汉大学经济与管理学院;&lt;/_author_adr&gt;&lt;_db_provider&gt;CNKI&lt;/_db_provider&gt;&lt;_doi&gt;10.13781/j.cnki.1007-9556.2019.03.006&lt;/_doi&gt;&lt;_isbn&gt;1007-9556&lt;/_isbn&gt;&lt;_issue&gt;03&lt;/_issue&gt;&lt;_journal&gt;山西财经大学学报&lt;/_journal&gt;&lt;_keywords&gt;《环境保护法》;企业环境绩效;区域制度环境;区域环境质量;污染治理投资&lt;/_keywords&gt;&lt;_pages&gt;71-86&lt;/_pages&gt;&lt;_volume&gt;41&lt;/_volume&gt;&lt;_created&gt;64605545&lt;/_created&gt;&lt;_modified&gt;64605545&lt;/_modified&gt;&lt;_collection_scope&gt;CSSCI;PKU&lt;/_collection_scope&gt;&lt;_translated_author&gt;Pan, Hong bo;Rao, Xiao qiong&lt;/_translated_author&gt;&lt;/Details&gt;&lt;Extra&gt;&lt;DBUID&gt;{F96A950B-833F-4880-A151-76DA2D6A2879}&lt;/DBUID&gt;&lt;/Extra&gt;&lt;/Item&gt;&lt;/References&gt;&lt;/Group&gt;&lt;/Citation&gt;_x000a_"/>
    <w:docVar w:name="NE.Ref{E4C47796-3466-439E-92D5-99E7196E6F46}" w:val=" ADDIN NE.Ref.{E4C47796-3466-439E-92D5-99E7196E6F46}&lt;Citation&gt;&lt;Group&gt;&lt;References&gt;&lt;Item&gt;&lt;ID&gt;545&lt;/ID&gt;&lt;UID&gt;{7DD6FE1F-F74A-490C-BD27-E8CA44D0E985}&lt;/UID&gt;&lt;Title&gt;环境税会倒逼企业绿色创新吗?&lt;/Title&gt;&lt;Template&gt;Journal Article&lt;/Template&gt;&lt;Star&gt;0&lt;/Star&gt;&lt;Tag&gt;0&lt;/Tag&gt;&lt;Author&gt;于连超; 张卫国; 毕茜&lt;/Author&gt;&lt;Year&gt;2019&lt;/Year&gt;&lt;Details&gt;&lt;_author_adr&gt;西南大学经济管理学院;&lt;/_author_adr&gt;&lt;_db_provider&gt;CNKI&lt;/_db_provider&gt;&lt;_isbn&gt;1004-4833&lt;/_isbn&gt;&lt;_issue&gt;02&lt;/_issue&gt;&lt;_journal&gt;审计与经济研究&lt;/_journal&gt;&lt;_keywords&gt;环境税;企业绿色创新;产权性质;企业规模;融资约束;环境规制;环境会计&lt;/_keywords&gt;&lt;_pages&gt;79-90&lt;/_pages&gt;&lt;_url&gt;https://kns.cnki.net/kcms/detail/32.1317.F.20190321.1104.006.html&lt;/_url&gt;&lt;_volume&gt;34&lt;/_volume&gt;&lt;_created&gt;64605545&lt;/_created&gt;&lt;_modified&gt;64605545&lt;/_modified&gt;&lt;_collection_scope&gt;CSSCI;PKU&lt;/_collection_scope&gt;&lt;_translated_author&gt;Yu, Lian chao;Zhang, Wei guo;Bi, Qian&lt;/_translated_author&gt;&lt;/Details&gt;&lt;Extra&gt;&lt;DBUID&gt;{F96A950B-833F-4880-A151-76DA2D6A2879}&lt;/DBUID&gt;&lt;/Extra&gt;&lt;/Item&gt;&lt;/References&gt;&lt;/Group&gt;&lt;/Citation&gt;_x000a_"/>
    <w:docVar w:name="NE.Ref{ECC18C58-46C4-4D18-A3F3-27813A5025C1}" w:val=" ADDIN NE.Ref.{ECC18C58-46C4-4D18-A3F3-27813A5025C1}&lt;Citation&gt;&lt;Group&gt;&lt;References&gt;&lt;Item&gt;&lt;ID&gt;552&lt;/ID&gt;&lt;UID&gt;{77309E84-EDAF-41BD-8719-4EE20B42FF3B}&lt;/UID&gt;&lt;Title&gt;环境保护税的减排效应及区域差异性分析——基于我国排污费调整的实证研究&lt;/Title&gt;&lt;Template&gt;Journal Article&lt;/Template&gt;&lt;Star&gt;0&lt;/Star&gt;&lt;Tag&gt;0&lt;/Tag&gt;&lt;Author&gt;刘晔; 张训常&lt;/Author&gt;&lt;Year&gt;2018&lt;/Year&gt;&lt;Details&gt;&lt;_author_adr&gt;厦门大学经济学院;&lt;/_author_adr&gt;&lt;_db_provider&gt;CNKI&lt;/_db_provider&gt;&lt;_doi&gt;10.19376/j.cnki.cn11-1011/f.2018.02.008&lt;/_doi&gt;&lt;_isbn&gt;1003-448X&lt;/_isbn&gt;&lt;_issue&gt;02&lt;/_issue&gt;&lt;_journal&gt;税务研究&lt;/_journal&gt;&lt;_keywords&gt;环境保护税;排污费;减排效应;区域差异&lt;/_keywords&gt;&lt;_pages&gt;41-47&lt;/_pages&gt;&lt;_created&gt;64605545&lt;/_created&gt;&lt;_modified&gt;64605545&lt;/_modified&gt;&lt;_collection_scope&gt;CSSCI;PKU&lt;/_collection_scope&gt;&lt;_translated_author&gt;Liu, Ye;Zhang, Xun chang&lt;/_translated_author&gt;&lt;/Details&gt;&lt;Extra&gt;&lt;DBUID&gt;{F96A950B-833F-4880-A151-76DA2D6A2879}&lt;/DBUID&gt;&lt;/Extra&gt;&lt;/Item&gt;&lt;/References&gt;&lt;/Group&gt;&lt;/Citation&gt;_x000a_"/>
    <w:docVar w:name="NE.Ref{EDFEED9E-E88A-420D-84F6-B8ACF40D03CE}" w:val=" ADDIN NE.Ref.{EDFEED9E-E88A-420D-84F6-B8ACF40D03CE}&lt;Citation&gt;&lt;Group&gt;&lt;References&gt;&lt;Item&gt;&lt;ID&gt;523&lt;/ID&gt;&lt;UID&gt;{C81C8F11-B13F-4F27-889B-D82060E298DC}&lt;/UID&gt;&lt;Title&gt;负责任的国际投资：ESG与中国OFDI&lt;/Title&gt;&lt;Template&gt;Journal Article&lt;/Template&gt;&lt;Star&gt;0&lt;/Star&gt;&lt;Tag&gt;0&lt;/Tag&gt;&lt;Author&gt;谢红军; 吕雪&lt;/Author&gt;&lt;Year&gt;2022&lt;/Year&gt;&lt;Details&gt;&lt;_author_adr&gt;对外经济贸易大学国际经济贸易学院;&lt;/_author_adr&gt;&lt;_db_provider&gt;CNKI&lt;/_db_provider&gt;&lt;_isbn&gt;0577-9154&lt;/_isbn&gt;&lt;_issue&gt;03&lt;/_issue&gt;&lt;_journal&gt;经济研究&lt;/_journal&gt;&lt;_keywords&gt;对外直接投资;可持续发展;ESG;资本成本;融资约束;外来者劣势&lt;/_keywords&gt;&lt;_pages&gt;83-99&lt;/_pages&gt;&lt;_volume&gt;57&lt;/_volume&gt;&lt;_created&gt;64605545&lt;/_created&gt;&lt;_modified&gt;64605545&lt;/_modified&gt;&lt;_collection_scope&gt;CSSCI;PKU&lt;/_collection_scope&gt;&lt;_translated_author&gt;Xie, Hong jun;Lu, Xue&lt;/_translated_author&gt;&lt;/Details&gt;&lt;Extra&gt;&lt;DBUID&gt;{F96A950B-833F-4880-A151-76DA2D6A2879}&lt;/DBUID&gt;&lt;/Extra&gt;&lt;/Item&gt;&lt;/References&gt;&lt;/Group&gt;&lt;/Citation&gt;_x000a_"/>
    <w:docVar w:name="NE.Ref{F06C3DC1-A5B3-4F0A-9DDD-B08A57325DA2}" w:val=" ADDIN NE.Ref.{F06C3DC1-A5B3-4F0A-9DDD-B08A57325DA2}&lt;Citation&gt;&lt;Group&gt;&lt;References&gt;&lt;Item&gt;&lt;ID&gt;534&lt;/ID&gt;&lt;UID&gt;{69D30758-92D9-4B72-B1EA-4EA687A7419E}&lt;/UID&gt;&lt;Title&gt;自由贸易试验区建设与中国出口行为&lt;/Title&gt;&lt;Template&gt;Journal Article&lt;/Template&gt;&lt;Star&gt;0&lt;/Star&gt;&lt;Tag&gt;0&lt;/Tag&gt;&lt;Author&gt;蒋灵多; 陆毅; 张国峰&lt;/Author&gt;&lt;Year&gt;2021&lt;/Year&gt;&lt;Details&gt;&lt;_author_adr&gt;对外经济贸易大学国际经济贸易学院;清华大学经济管理学院;&lt;/_author_adr&gt;&lt;_db_provider&gt;CNKI&lt;/_db_provider&gt;&lt;_doi&gt;10.19581/j.cnki.ciejournal.2021.08.005&lt;/_doi&gt;&lt;_isbn&gt;1006-480X&lt;/_isbn&gt;&lt;_issue&gt;08&lt;/_issue&gt;&lt;_journal&gt;中国工业经济&lt;/_journal&gt;&lt;_keywords&gt;自由贸易试验区建设;出口增长;出口结构;联动效应&lt;/_keywords&gt;&lt;_pages&gt;75-93&lt;/_pages&gt;&lt;_url&gt;https://kns.cnki.net/kcms/detail/11.3536.f.20210824.1731.010.html&lt;/_url&gt;&lt;_created&gt;64605545&lt;/_created&gt;&lt;_modified&gt;64605545&lt;/_modified&gt;&lt;_collection_scope&gt;CSSCI;PKU&lt;/_collection_scope&gt;&lt;_translated_author&gt;Jiang, Ling duo;Lu, Yi;Zhang, Guo feng&lt;/_translated_author&gt;&lt;/Details&gt;&lt;Extra&gt;&lt;DBUID&gt;{F96A950B-833F-4880-A151-76DA2D6A2879}&lt;/DBUID&gt;&lt;/Extra&gt;&lt;/Item&gt;&lt;/References&gt;&lt;/Group&gt;&lt;/Citation&gt;_x000a_"/>
    <w:docVar w:name="NE.Ref{F09994C2-A2F2-4D8A-852D-189BCD47F0C5}" w:val=" ADDIN NE.Ref.{F09994C2-A2F2-4D8A-852D-189BCD47F0C5}&lt;Citation&gt;&lt;Group&gt;&lt;References&gt;&lt;Item&gt;&lt;ID&gt;526&lt;/ID&gt;&lt;UID&gt;{F0FA2E08-A25B-4A8A-BDA9-69E332B1D291}&lt;/UID&gt;&lt;Title&gt;中国环境保护税与绿色创新：杠杆效应还是挤出效应?&lt;/Title&gt;&lt;Template&gt;Journal Article&lt;/Template&gt;&lt;Star&gt;0&lt;/Star&gt;&lt;Tag&gt;0&lt;/Tag&gt;&lt;Author&gt;刘金科; 肖翊阳&lt;/Author&gt;&lt;Year&gt;2022&lt;/Year&gt;&lt;Details&gt;&lt;_author_adr&gt;中央财经大学财税学院;复旦大学经济学院;&lt;/_author_adr&gt;&lt;_db_provider&gt;CNKI&lt;/_db_provider&gt;&lt;_isbn&gt;0577-9154&lt;/_isbn&gt;&lt;_issue&gt;01&lt;/_issue&gt;&lt;_journal&gt;经济研究&lt;/_journal&gt;&lt;_keywords&gt;波特假说;环境保护税;绿色创新;策略行为&lt;/_keywords&gt;&lt;_pages&gt;72-88&lt;/_pages&gt;&lt;_volume&gt;57&lt;/_volume&gt;&lt;_created&gt;64605545&lt;/_created&gt;&lt;_modified&gt;64605545&lt;/_modified&gt;&lt;_collection_scope&gt;CSSCI;PKU&lt;/_collection_scope&gt;&lt;_translated_author&gt;Liu, Jin ke;Xiao, Yi yang&lt;/_translated_author&gt;&lt;/Details&gt;&lt;Extra&gt;&lt;DBUID&gt;{F96A950B-833F-4880-A151-76DA2D6A2879}&lt;/DBUID&gt;&lt;/Extra&gt;&lt;/Item&gt;&lt;/References&gt;&lt;/Group&gt;&lt;/Citation&gt;_x000a_"/>
    <w:docVar w:name="NE.Ref{F94A1DEE-8E5A-4B54-AFB3-A9C07D07C32E}" w:val=" ADDIN NE.Ref.{F94A1DEE-8E5A-4B54-AFB3-A9C07D07C32E}&lt;Citation&gt;&lt;Group&gt;&lt;References&gt;&lt;Item&gt;&lt;ID&gt;576&lt;/ID&gt;&lt;UID&gt;{E33C911C-998F-4580-80D2-13F7F7DC5980}&lt;/UID&gt;&lt;Title&gt;Measuring environmental policy stringency: Approaches, validity, and impact on environmental innovation and energy efficiency&lt;/Title&gt;&lt;Template&gt;Journal Article&lt;/Template&gt;&lt;Star&gt;0&lt;/Star&gt;&lt;Tag&gt;0&lt;/Tag&gt;&lt;Author&gt;Galeotti, Marzio; Salini, Silvia; Verdolini, Elena&lt;/Author&gt;&lt;Year&gt;2020&lt;/Year&gt;&lt;Details&gt;&lt;_alternate_title&gt;Energy Policy&lt;/_alternate_title&gt;&lt;_date_display&gt;2020&lt;/_date_display&gt;&lt;_date&gt;2020-01-01&lt;/_date&gt;&lt;_isbn&gt;0301-4215&lt;/_isbn&gt;&lt;_journal&gt;Energy Policy&lt;/_journal&gt;&lt;_ori_publication&gt;Elsevier&lt;/_ori_publication&gt;&lt;_pages&gt;111052&lt;/_pages&gt;&lt;_volume&gt;136&lt;/_volume&gt;&lt;_created&gt;64605575&lt;/_created&gt;&lt;_modified&gt;64605575&lt;/_modified&gt;&lt;_impact_factor&gt;   7.576&lt;/_impact_factor&gt;&lt;_social_category&gt;经济学(2)&lt;/_social_category&gt;&lt;_collection_scope&gt;SCIE;SSCI;EI&lt;/_collection_scope&gt;&lt;/Details&gt;&lt;Extra&gt;&lt;DBUID&gt;{F96A950B-833F-4880-A151-76DA2D6A2879}&lt;/DBUID&gt;&lt;/Extra&gt;&lt;/Item&gt;&lt;/References&gt;&lt;/Group&gt;&lt;Group&gt;&lt;References&gt;&lt;Item&gt;&lt;ID&gt;577&lt;/ID&gt;&lt;UID&gt;{C15D96EA-5326-4E5D-A069-BA01BC5BDEE8}&lt;/UID&gt;&lt;Title&gt;The effects of domestic environmental policies on patterns of world trade: an empirical test&lt;/Title&gt;&lt;Template&gt;Book Section&lt;/Template&gt;&lt;Star&gt;0&lt;/Star&gt;&lt;Tag&gt;0&lt;/Tag&gt;&lt;Author&gt;Tobey, James A&lt;/Author&gt;&lt;Year&gt;2001&lt;/Year&gt;&lt;Details&gt;&lt;_isbn&gt;0429144121&lt;/_isbn&gt;&lt;_ori_publication&gt;CRC Press&lt;/_ori_publication&gt;&lt;_pages&gt;205-216&lt;/_pages&gt;&lt;_publisher&gt;CRC Press&lt;/_publisher&gt;&lt;_short_title&gt;The Economics of International Trade and the Environment&lt;/_short_title&gt;&lt;_created&gt;64605582&lt;/_created&gt;&lt;_modified&gt;64605582&lt;/_modified&gt;&lt;/Details&gt;&lt;Extra&gt;&lt;DBUID&gt;{F96A950B-833F-4880-A151-76DA2D6A2879}&lt;/DBUID&gt;&lt;/Extra&gt;&lt;/Item&gt;&lt;/References&gt;&lt;/Group&gt;&lt;/Citation&gt;_x000a_"/>
    <w:docVar w:name="NE.Ref{FD095D27-C2B9-47D0-AB66-1F75FA36C3E5}" w:val=" ADDIN NE.Ref.{FD095D27-C2B9-47D0-AB66-1F75FA36C3E5}&lt;Citation&gt;&lt;Group&gt;&lt;References&gt;&lt;Item&gt;&lt;ID&gt;538&lt;/ID&gt;&lt;UID&gt;{B2888529-9A36-4915-8913-44FFD83D369F}&lt;/UID&gt;&lt;Title&gt;环境保护费改税促进了重污染企业绿色转型吗?——来自《环境保护税法》实施的准自然实验证据&lt;/Title&gt;&lt;Template&gt;Journal Article&lt;/Template&gt;&lt;Star&gt;0&lt;/Star&gt;&lt;Tag&gt;0&lt;/Tag&gt;&lt;Author&gt;于连超; 张卫国; 毕茜&lt;/Author&gt;&lt;Year&gt;2021&lt;/Year&gt;&lt;Details&gt;&lt;_author_adr&gt;兰州大学管理学院;西南大学经济管理学院;&lt;/_author_adr&gt;&lt;_db_provider&gt;CNKI&lt;/_db_provider&gt;&lt;_isbn&gt;1002-2104&lt;/_isbn&gt;&lt;_issue&gt;05&lt;/_issue&gt;&lt;_journal&gt;中国人口·资源与环境&lt;/_journal&gt;&lt;_keywords&gt;排污费;环境税;环境保护税;绿色转型;绿色创新;绿色发展;环境合法性&lt;/_keywords&gt;&lt;_pages&gt;109-118&lt;/_pages&gt;&lt;_volume&gt;31&lt;/_volume&gt;&lt;_created&gt;64605545&lt;/_created&gt;&lt;_modified&gt;64605545&lt;/_modified&gt;&lt;_collection_scope&gt;CSSCI;PKU;CSCD&lt;/_collection_scope&gt;&lt;_translated_author&gt;Yu, Lian chao;Zhang, Wei guo;Bi, Qian&lt;/_translated_author&gt;&lt;/Details&gt;&lt;Extra&gt;&lt;DBUID&gt;{F96A950B-833F-4880-A151-76DA2D6A2879}&lt;/DBUID&gt;&lt;/Extra&gt;&lt;/Item&gt;&lt;/References&gt;&lt;/Group&gt;&lt;/Citation&gt;_x000a_"/>
    <w:docVar w:name="NE.Ref{FF0EDFE3-9E2F-4E0A-B9E2-8158EAD38997}" w:val=" ADDIN NE.Ref.{FF0EDFE3-9E2F-4E0A-B9E2-8158EAD38997}&lt;Citation&gt;&lt;Group&gt;&lt;References&gt;&lt;Item&gt;&lt;ID&gt;551&lt;/ID&gt;&lt;UID&gt;{B383C0B2-9110-4BE5-BB65-26CDEC17CBEF}&lt;/UID&gt;&lt;Title&gt;雾霾污染、政府治理与经济高质量发展&lt;/Title&gt;&lt;Template&gt;Journal Article&lt;/Template&gt;&lt;Star&gt;0&lt;/Star&gt;&lt;Tag&gt;0&lt;/Tag&gt;&lt;Author&gt;陈诗一; 陈登科&lt;/Author&gt;&lt;Year&gt;2018&lt;/Year&gt;&lt;Details&gt;&lt;_author_adr&gt;复旦大学经济学院;&lt;/_author_adr&gt;&lt;_db_provider&gt;CNKI&lt;/_db_provider&gt;&lt;_isbn&gt;0577-9154&lt;/_isbn&gt;&lt;_issue&gt;02&lt;/_issue&gt;&lt;_journal&gt;经济研究&lt;/_journal&gt;&lt;_keywords&gt;雾霾污染;经济发展质量;政府治理;地级市PM2.5浓度&lt;/_keywords&gt;&lt;_pages&gt;20-34&lt;/_pages&gt;&lt;_volume&gt;53&lt;/_volume&gt;&lt;_created&gt;64605545&lt;/_created&gt;&lt;_modified&gt;64605545&lt;/_modified&gt;&lt;_collection_scope&gt;CSSCI;PKU&lt;/_collection_scope&gt;&lt;_translated_author&gt;Chen, Shi yi;Chen, Deng ke&lt;/_translated_author&gt;&lt;/Details&gt;&lt;Extra&gt;&lt;DBUID&gt;{F96A950B-833F-4880-A151-76DA2D6A2879}&lt;/DBUID&gt;&lt;/Extra&gt;&lt;/Item&gt;&lt;/References&gt;&lt;/Group&gt;&lt;/Citation&gt;_x000a_"/>
    <w:docVar w:name="ne_docsoft" w:val="MSWord"/>
    <w:docVar w:name="ne_docversion" w:val="NoteExpress 2.0"/>
    <w:docVar w:name="ne_insertmode" w:val="0"/>
    <w:docVar w:name="ne_stylename" w:val="中国工业经济"/>
  </w:docVars>
  <w:rsids>
    <w:rsidRoot w:val="00EB441B"/>
    <w:rsid w:val="00001092"/>
    <w:rsid w:val="000026D8"/>
    <w:rsid w:val="0000302E"/>
    <w:rsid w:val="00003DC0"/>
    <w:rsid w:val="00004417"/>
    <w:rsid w:val="00004BC2"/>
    <w:rsid w:val="00005A5D"/>
    <w:rsid w:val="000074F0"/>
    <w:rsid w:val="000075CE"/>
    <w:rsid w:val="00010F9E"/>
    <w:rsid w:val="000118D9"/>
    <w:rsid w:val="00013F82"/>
    <w:rsid w:val="000175F5"/>
    <w:rsid w:val="00021EAC"/>
    <w:rsid w:val="000225E3"/>
    <w:rsid w:val="0002502E"/>
    <w:rsid w:val="000260D1"/>
    <w:rsid w:val="000327F4"/>
    <w:rsid w:val="0003539B"/>
    <w:rsid w:val="000359EA"/>
    <w:rsid w:val="00037229"/>
    <w:rsid w:val="00037D9A"/>
    <w:rsid w:val="00037F0C"/>
    <w:rsid w:val="00040003"/>
    <w:rsid w:val="00041EA3"/>
    <w:rsid w:val="00044366"/>
    <w:rsid w:val="00044A90"/>
    <w:rsid w:val="00044BBF"/>
    <w:rsid w:val="00045D23"/>
    <w:rsid w:val="00046CD9"/>
    <w:rsid w:val="00047EBB"/>
    <w:rsid w:val="00052B27"/>
    <w:rsid w:val="000555CB"/>
    <w:rsid w:val="00055C49"/>
    <w:rsid w:val="00056CB3"/>
    <w:rsid w:val="00057AEC"/>
    <w:rsid w:val="00062508"/>
    <w:rsid w:val="00064509"/>
    <w:rsid w:val="00065953"/>
    <w:rsid w:val="000702E2"/>
    <w:rsid w:val="0007068A"/>
    <w:rsid w:val="00073458"/>
    <w:rsid w:val="000744D8"/>
    <w:rsid w:val="00074C4C"/>
    <w:rsid w:val="0007695B"/>
    <w:rsid w:val="00077231"/>
    <w:rsid w:val="000773D2"/>
    <w:rsid w:val="00083F9C"/>
    <w:rsid w:val="00084DC8"/>
    <w:rsid w:val="0008516D"/>
    <w:rsid w:val="00085FC4"/>
    <w:rsid w:val="000872F8"/>
    <w:rsid w:val="00087765"/>
    <w:rsid w:val="0008784B"/>
    <w:rsid w:val="00091023"/>
    <w:rsid w:val="0009322A"/>
    <w:rsid w:val="000944DE"/>
    <w:rsid w:val="00094940"/>
    <w:rsid w:val="0009728A"/>
    <w:rsid w:val="00097C58"/>
    <w:rsid w:val="000A1787"/>
    <w:rsid w:val="000A4A43"/>
    <w:rsid w:val="000A5298"/>
    <w:rsid w:val="000A5A34"/>
    <w:rsid w:val="000A5D2A"/>
    <w:rsid w:val="000A69EE"/>
    <w:rsid w:val="000A6B42"/>
    <w:rsid w:val="000A6DF2"/>
    <w:rsid w:val="000B08AC"/>
    <w:rsid w:val="000B0C20"/>
    <w:rsid w:val="000B20AA"/>
    <w:rsid w:val="000B369A"/>
    <w:rsid w:val="000B45C2"/>
    <w:rsid w:val="000C0273"/>
    <w:rsid w:val="000C4983"/>
    <w:rsid w:val="000C66D8"/>
    <w:rsid w:val="000C6B6C"/>
    <w:rsid w:val="000C71F0"/>
    <w:rsid w:val="000C7343"/>
    <w:rsid w:val="000C7403"/>
    <w:rsid w:val="000C7BB8"/>
    <w:rsid w:val="000D043A"/>
    <w:rsid w:val="000D4315"/>
    <w:rsid w:val="000D5ADA"/>
    <w:rsid w:val="000D5BB2"/>
    <w:rsid w:val="000E0714"/>
    <w:rsid w:val="000E15B1"/>
    <w:rsid w:val="000E298B"/>
    <w:rsid w:val="000E4B5E"/>
    <w:rsid w:val="000E4BD4"/>
    <w:rsid w:val="000E596A"/>
    <w:rsid w:val="000E5A25"/>
    <w:rsid w:val="000E7C8A"/>
    <w:rsid w:val="000F1A87"/>
    <w:rsid w:val="000F2D1D"/>
    <w:rsid w:val="000F3F39"/>
    <w:rsid w:val="000F628C"/>
    <w:rsid w:val="00100914"/>
    <w:rsid w:val="00106065"/>
    <w:rsid w:val="00110454"/>
    <w:rsid w:val="001125BE"/>
    <w:rsid w:val="0011564F"/>
    <w:rsid w:val="001205BB"/>
    <w:rsid w:val="00126CF5"/>
    <w:rsid w:val="00126FC5"/>
    <w:rsid w:val="001271B2"/>
    <w:rsid w:val="00127C27"/>
    <w:rsid w:val="0013314E"/>
    <w:rsid w:val="0013782B"/>
    <w:rsid w:val="00140D33"/>
    <w:rsid w:val="0014173E"/>
    <w:rsid w:val="00145793"/>
    <w:rsid w:val="00147CF2"/>
    <w:rsid w:val="00150BE8"/>
    <w:rsid w:val="001528C9"/>
    <w:rsid w:val="00152F9E"/>
    <w:rsid w:val="00156AB1"/>
    <w:rsid w:val="00156F15"/>
    <w:rsid w:val="00161F98"/>
    <w:rsid w:val="00162214"/>
    <w:rsid w:val="00162A44"/>
    <w:rsid w:val="0016514D"/>
    <w:rsid w:val="001652D4"/>
    <w:rsid w:val="0017640C"/>
    <w:rsid w:val="00182DE1"/>
    <w:rsid w:val="00183C27"/>
    <w:rsid w:val="0018610E"/>
    <w:rsid w:val="00186A30"/>
    <w:rsid w:val="00187614"/>
    <w:rsid w:val="0019169A"/>
    <w:rsid w:val="00192D48"/>
    <w:rsid w:val="00194505"/>
    <w:rsid w:val="001945AE"/>
    <w:rsid w:val="0019507A"/>
    <w:rsid w:val="001976E5"/>
    <w:rsid w:val="001A00BC"/>
    <w:rsid w:val="001A4B96"/>
    <w:rsid w:val="001A5231"/>
    <w:rsid w:val="001B04D3"/>
    <w:rsid w:val="001B13B8"/>
    <w:rsid w:val="001C0331"/>
    <w:rsid w:val="001C0965"/>
    <w:rsid w:val="001C2765"/>
    <w:rsid w:val="001C4045"/>
    <w:rsid w:val="001C5505"/>
    <w:rsid w:val="001C5872"/>
    <w:rsid w:val="001D1F1C"/>
    <w:rsid w:val="001D7FAD"/>
    <w:rsid w:val="001E0889"/>
    <w:rsid w:val="001E16B3"/>
    <w:rsid w:val="001E1BA0"/>
    <w:rsid w:val="001E1BA5"/>
    <w:rsid w:val="001E24B2"/>
    <w:rsid w:val="001E2D38"/>
    <w:rsid w:val="001E770E"/>
    <w:rsid w:val="001E7F28"/>
    <w:rsid w:val="001F0475"/>
    <w:rsid w:val="001F0CB8"/>
    <w:rsid w:val="001F21DC"/>
    <w:rsid w:val="001F3564"/>
    <w:rsid w:val="001F76BA"/>
    <w:rsid w:val="00200B10"/>
    <w:rsid w:val="00200BDD"/>
    <w:rsid w:val="00205E70"/>
    <w:rsid w:val="00206DA9"/>
    <w:rsid w:val="00211038"/>
    <w:rsid w:val="002118F8"/>
    <w:rsid w:val="00211FF5"/>
    <w:rsid w:val="00213C77"/>
    <w:rsid w:val="00213F64"/>
    <w:rsid w:val="00215BA1"/>
    <w:rsid w:val="0021660C"/>
    <w:rsid w:val="00217BD0"/>
    <w:rsid w:val="00217D24"/>
    <w:rsid w:val="002210E2"/>
    <w:rsid w:val="002224D3"/>
    <w:rsid w:val="00222733"/>
    <w:rsid w:val="00223CA0"/>
    <w:rsid w:val="002326D4"/>
    <w:rsid w:val="00232B0D"/>
    <w:rsid w:val="00234516"/>
    <w:rsid w:val="00234F61"/>
    <w:rsid w:val="00235440"/>
    <w:rsid w:val="00235A3D"/>
    <w:rsid w:val="0023638D"/>
    <w:rsid w:val="00241513"/>
    <w:rsid w:val="0024354C"/>
    <w:rsid w:val="0024370B"/>
    <w:rsid w:val="002442CB"/>
    <w:rsid w:val="002524C8"/>
    <w:rsid w:val="00254B35"/>
    <w:rsid w:val="0025504C"/>
    <w:rsid w:val="00255BF6"/>
    <w:rsid w:val="002600E3"/>
    <w:rsid w:val="002629AA"/>
    <w:rsid w:val="00262F7C"/>
    <w:rsid w:val="002630D1"/>
    <w:rsid w:val="00266D54"/>
    <w:rsid w:val="0027068A"/>
    <w:rsid w:val="00271AAE"/>
    <w:rsid w:val="002726A4"/>
    <w:rsid w:val="00280219"/>
    <w:rsid w:val="00280C2E"/>
    <w:rsid w:val="00281ECA"/>
    <w:rsid w:val="00282A0F"/>
    <w:rsid w:val="002856F4"/>
    <w:rsid w:val="0028579C"/>
    <w:rsid w:val="002868AC"/>
    <w:rsid w:val="00294D35"/>
    <w:rsid w:val="002952D0"/>
    <w:rsid w:val="0029650E"/>
    <w:rsid w:val="002A2613"/>
    <w:rsid w:val="002A3563"/>
    <w:rsid w:val="002A3A13"/>
    <w:rsid w:val="002A6F8E"/>
    <w:rsid w:val="002B036C"/>
    <w:rsid w:val="002B1AEB"/>
    <w:rsid w:val="002B562A"/>
    <w:rsid w:val="002B6FE5"/>
    <w:rsid w:val="002C1D94"/>
    <w:rsid w:val="002C36F6"/>
    <w:rsid w:val="002C4CC7"/>
    <w:rsid w:val="002C66AC"/>
    <w:rsid w:val="002C6ECF"/>
    <w:rsid w:val="002C707A"/>
    <w:rsid w:val="002D325A"/>
    <w:rsid w:val="002D6792"/>
    <w:rsid w:val="002D77EC"/>
    <w:rsid w:val="002D7F3A"/>
    <w:rsid w:val="002E1B18"/>
    <w:rsid w:val="002E351C"/>
    <w:rsid w:val="002E460D"/>
    <w:rsid w:val="002E73A0"/>
    <w:rsid w:val="002E76E3"/>
    <w:rsid w:val="002E7A25"/>
    <w:rsid w:val="002E7D34"/>
    <w:rsid w:val="002F31BB"/>
    <w:rsid w:val="002F592A"/>
    <w:rsid w:val="003003F3"/>
    <w:rsid w:val="0030393E"/>
    <w:rsid w:val="00311A68"/>
    <w:rsid w:val="0031254D"/>
    <w:rsid w:val="003170B1"/>
    <w:rsid w:val="00320AD8"/>
    <w:rsid w:val="00321411"/>
    <w:rsid w:val="00321BC7"/>
    <w:rsid w:val="00324541"/>
    <w:rsid w:val="0032708C"/>
    <w:rsid w:val="003276D3"/>
    <w:rsid w:val="003302E2"/>
    <w:rsid w:val="003326D0"/>
    <w:rsid w:val="00332F27"/>
    <w:rsid w:val="0033446D"/>
    <w:rsid w:val="0033621D"/>
    <w:rsid w:val="003400F1"/>
    <w:rsid w:val="0034296D"/>
    <w:rsid w:val="00344B28"/>
    <w:rsid w:val="00345DE3"/>
    <w:rsid w:val="0034665F"/>
    <w:rsid w:val="00346FFD"/>
    <w:rsid w:val="003473F1"/>
    <w:rsid w:val="00352A36"/>
    <w:rsid w:val="0035638E"/>
    <w:rsid w:val="003609FD"/>
    <w:rsid w:val="00363CE6"/>
    <w:rsid w:val="003702D8"/>
    <w:rsid w:val="0037376E"/>
    <w:rsid w:val="0038161D"/>
    <w:rsid w:val="0038213E"/>
    <w:rsid w:val="00383DCC"/>
    <w:rsid w:val="003903AC"/>
    <w:rsid w:val="00390AD7"/>
    <w:rsid w:val="00391919"/>
    <w:rsid w:val="00392FE8"/>
    <w:rsid w:val="00396D6E"/>
    <w:rsid w:val="003A0D12"/>
    <w:rsid w:val="003A1E6C"/>
    <w:rsid w:val="003A3884"/>
    <w:rsid w:val="003A4EC5"/>
    <w:rsid w:val="003A710F"/>
    <w:rsid w:val="003B1CD6"/>
    <w:rsid w:val="003B2569"/>
    <w:rsid w:val="003B349B"/>
    <w:rsid w:val="003B4254"/>
    <w:rsid w:val="003B487E"/>
    <w:rsid w:val="003B563D"/>
    <w:rsid w:val="003B69E6"/>
    <w:rsid w:val="003B6F06"/>
    <w:rsid w:val="003B7E33"/>
    <w:rsid w:val="003C07B1"/>
    <w:rsid w:val="003C0ED2"/>
    <w:rsid w:val="003C248A"/>
    <w:rsid w:val="003C297B"/>
    <w:rsid w:val="003D04BA"/>
    <w:rsid w:val="003D1B49"/>
    <w:rsid w:val="003D3D30"/>
    <w:rsid w:val="003D58B9"/>
    <w:rsid w:val="003D7C44"/>
    <w:rsid w:val="003E0530"/>
    <w:rsid w:val="003E1577"/>
    <w:rsid w:val="003E3110"/>
    <w:rsid w:val="003E720C"/>
    <w:rsid w:val="003F08C1"/>
    <w:rsid w:val="003F24F5"/>
    <w:rsid w:val="003F2B0B"/>
    <w:rsid w:val="003F4D68"/>
    <w:rsid w:val="003F4EA3"/>
    <w:rsid w:val="003F7181"/>
    <w:rsid w:val="0040059E"/>
    <w:rsid w:val="00403AAD"/>
    <w:rsid w:val="00404127"/>
    <w:rsid w:val="00404EFD"/>
    <w:rsid w:val="0040560C"/>
    <w:rsid w:val="00405E88"/>
    <w:rsid w:val="0040606C"/>
    <w:rsid w:val="00407C8A"/>
    <w:rsid w:val="0041418E"/>
    <w:rsid w:val="00414B9E"/>
    <w:rsid w:val="00415D65"/>
    <w:rsid w:val="0041696C"/>
    <w:rsid w:val="004215DC"/>
    <w:rsid w:val="00425506"/>
    <w:rsid w:val="00425C52"/>
    <w:rsid w:val="004260A9"/>
    <w:rsid w:val="0042730B"/>
    <w:rsid w:val="004314D4"/>
    <w:rsid w:val="004314EE"/>
    <w:rsid w:val="004341C1"/>
    <w:rsid w:val="004416A3"/>
    <w:rsid w:val="00442C65"/>
    <w:rsid w:val="004457D8"/>
    <w:rsid w:val="00450730"/>
    <w:rsid w:val="0045156E"/>
    <w:rsid w:val="004516F0"/>
    <w:rsid w:val="00456A0D"/>
    <w:rsid w:val="00456AAC"/>
    <w:rsid w:val="00457A02"/>
    <w:rsid w:val="0046234B"/>
    <w:rsid w:val="00463930"/>
    <w:rsid w:val="00463D88"/>
    <w:rsid w:val="004640DC"/>
    <w:rsid w:val="0046474D"/>
    <w:rsid w:val="0046529B"/>
    <w:rsid w:val="00467D14"/>
    <w:rsid w:val="00467FA4"/>
    <w:rsid w:val="00471188"/>
    <w:rsid w:val="00471893"/>
    <w:rsid w:val="0047354F"/>
    <w:rsid w:val="0048057E"/>
    <w:rsid w:val="00487520"/>
    <w:rsid w:val="00494B5E"/>
    <w:rsid w:val="00495322"/>
    <w:rsid w:val="0049660F"/>
    <w:rsid w:val="004A058B"/>
    <w:rsid w:val="004A2146"/>
    <w:rsid w:val="004A29DD"/>
    <w:rsid w:val="004A2DA6"/>
    <w:rsid w:val="004A6395"/>
    <w:rsid w:val="004B1537"/>
    <w:rsid w:val="004B386F"/>
    <w:rsid w:val="004B64A9"/>
    <w:rsid w:val="004B7CB4"/>
    <w:rsid w:val="004C1B9F"/>
    <w:rsid w:val="004C21E7"/>
    <w:rsid w:val="004C2EFE"/>
    <w:rsid w:val="004C383B"/>
    <w:rsid w:val="004C3A18"/>
    <w:rsid w:val="004C48AB"/>
    <w:rsid w:val="004C6B08"/>
    <w:rsid w:val="004C7855"/>
    <w:rsid w:val="004D0FD8"/>
    <w:rsid w:val="004D374D"/>
    <w:rsid w:val="004D3AE8"/>
    <w:rsid w:val="004D5528"/>
    <w:rsid w:val="004E0D68"/>
    <w:rsid w:val="004E398C"/>
    <w:rsid w:val="004E3F31"/>
    <w:rsid w:val="004E4AA4"/>
    <w:rsid w:val="004E516E"/>
    <w:rsid w:val="004E58DC"/>
    <w:rsid w:val="004F1C01"/>
    <w:rsid w:val="004F2FB8"/>
    <w:rsid w:val="004F44D4"/>
    <w:rsid w:val="004F5383"/>
    <w:rsid w:val="00501704"/>
    <w:rsid w:val="00501BC8"/>
    <w:rsid w:val="00505009"/>
    <w:rsid w:val="0050514C"/>
    <w:rsid w:val="00505715"/>
    <w:rsid w:val="0051185D"/>
    <w:rsid w:val="00512F62"/>
    <w:rsid w:val="005134AE"/>
    <w:rsid w:val="005136D3"/>
    <w:rsid w:val="00521BE2"/>
    <w:rsid w:val="00522014"/>
    <w:rsid w:val="00522C58"/>
    <w:rsid w:val="00523D9D"/>
    <w:rsid w:val="00524B1F"/>
    <w:rsid w:val="00525412"/>
    <w:rsid w:val="00525FD5"/>
    <w:rsid w:val="00532DEA"/>
    <w:rsid w:val="00533CEF"/>
    <w:rsid w:val="005359E7"/>
    <w:rsid w:val="0053763A"/>
    <w:rsid w:val="00537E88"/>
    <w:rsid w:val="005417EF"/>
    <w:rsid w:val="005432DE"/>
    <w:rsid w:val="005438EC"/>
    <w:rsid w:val="00552D50"/>
    <w:rsid w:val="00556B52"/>
    <w:rsid w:val="0055717E"/>
    <w:rsid w:val="005577E1"/>
    <w:rsid w:val="00564B48"/>
    <w:rsid w:val="005668E2"/>
    <w:rsid w:val="00574020"/>
    <w:rsid w:val="00582467"/>
    <w:rsid w:val="00584526"/>
    <w:rsid w:val="00584AFA"/>
    <w:rsid w:val="005871E8"/>
    <w:rsid w:val="00587D57"/>
    <w:rsid w:val="00590C90"/>
    <w:rsid w:val="00591BF9"/>
    <w:rsid w:val="005928DC"/>
    <w:rsid w:val="005941C1"/>
    <w:rsid w:val="0059439D"/>
    <w:rsid w:val="00595421"/>
    <w:rsid w:val="00595B74"/>
    <w:rsid w:val="00597626"/>
    <w:rsid w:val="005976F4"/>
    <w:rsid w:val="005A012B"/>
    <w:rsid w:val="005A31D6"/>
    <w:rsid w:val="005A3792"/>
    <w:rsid w:val="005A5008"/>
    <w:rsid w:val="005A7D8E"/>
    <w:rsid w:val="005B2619"/>
    <w:rsid w:val="005B5F92"/>
    <w:rsid w:val="005B64CD"/>
    <w:rsid w:val="005C31A9"/>
    <w:rsid w:val="005C53FC"/>
    <w:rsid w:val="005C542F"/>
    <w:rsid w:val="005C739E"/>
    <w:rsid w:val="005C7BC0"/>
    <w:rsid w:val="005D1BD8"/>
    <w:rsid w:val="005D1DD4"/>
    <w:rsid w:val="005D2333"/>
    <w:rsid w:val="005D41AA"/>
    <w:rsid w:val="005D682E"/>
    <w:rsid w:val="005E2696"/>
    <w:rsid w:val="005E2DE8"/>
    <w:rsid w:val="005E3371"/>
    <w:rsid w:val="005E45E2"/>
    <w:rsid w:val="005F0430"/>
    <w:rsid w:val="005F2B3C"/>
    <w:rsid w:val="006002E7"/>
    <w:rsid w:val="006007D2"/>
    <w:rsid w:val="00600A33"/>
    <w:rsid w:val="006040C7"/>
    <w:rsid w:val="0060415D"/>
    <w:rsid w:val="00605425"/>
    <w:rsid w:val="006163B6"/>
    <w:rsid w:val="006163C5"/>
    <w:rsid w:val="006168D8"/>
    <w:rsid w:val="00617508"/>
    <w:rsid w:val="00625971"/>
    <w:rsid w:val="006263A6"/>
    <w:rsid w:val="006277DA"/>
    <w:rsid w:val="006414F2"/>
    <w:rsid w:val="00641608"/>
    <w:rsid w:val="006434A5"/>
    <w:rsid w:val="00644DB5"/>
    <w:rsid w:val="006473D3"/>
    <w:rsid w:val="00647A24"/>
    <w:rsid w:val="00647F3B"/>
    <w:rsid w:val="00647FBF"/>
    <w:rsid w:val="006508EF"/>
    <w:rsid w:val="00660CD5"/>
    <w:rsid w:val="00660E49"/>
    <w:rsid w:val="00663331"/>
    <w:rsid w:val="006634F3"/>
    <w:rsid w:val="0066494A"/>
    <w:rsid w:val="00671AC3"/>
    <w:rsid w:val="00671BDF"/>
    <w:rsid w:val="00675D61"/>
    <w:rsid w:val="00676555"/>
    <w:rsid w:val="006775CB"/>
    <w:rsid w:val="00682982"/>
    <w:rsid w:val="006835C6"/>
    <w:rsid w:val="00684AA8"/>
    <w:rsid w:val="0068505C"/>
    <w:rsid w:val="00687B7A"/>
    <w:rsid w:val="0069309A"/>
    <w:rsid w:val="00695A07"/>
    <w:rsid w:val="006A1383"/>
    <w:rsid w:val="006A2ACF"/>
    <w:rsid w:val="006A5CB9"/>
    <w:rsid w:val="006A7DD0"/>
    <w:rsid w:val="006B0738"/>
    <w:rsid w:val="006B1312"/>
    <w:rsid w:val="006B182A"/>
    <w:rsid w:val="006B1F65"/>
    <w:rsid w:val="006B2066"/>
    <w:rsid w:val="006B2491"/>
    <w:rsid w:val="006B483F"/>
    <w:rsid w:val="006B4D0C"/>
    <w:rsid w:val="006C0EDC"/>
    <w:rsid w:val="006C2168"/>
    <w:rsid w:val="006C2662"/>
    <w:rsid w:val="006C3A61"/>
    <w:rsid w:val="006C4336"/>
    <w:rsid w:val="006D103D"/>
    <w:rsid w:val="006E7670"/>
    <w:rsid w:val="006F1453"/>
    <w:rsid w:val="007017DC"/>
    <w:rsid w:val="00701EB5"/>
    <w:rsid w:val="00707F54"/>
    <w:rsid w:val="00713791"/>
    <w:rsid w:val="00716B82"/>
    <w:rsid w:val="00717840"/>
    <w:rsid w:val="007179D8"/>
    <w:rsid w:val="00720675"/>
    <w:rsid w:val="00720B73"/>
    <w:rsid w:val="00721CA5"/>
    <w:rsid w:val="0072229C"/>
    <w:rsid w:val="00722ECF"/>
    <w:rsid w:val="007301E9"/>
    <w:rsid w:val="0073310F"/>
    <w:rsid w:val="00734829"/>
    <w:rsid w:val="00734E15"/>
    <w:rsid w:val="007357A0"/>
    <w:rsid w:val="00740EA2"/>
    <w:rsid w:val="00741538"/>
    <w:rsid w:val="00742597"/>
    <w:rsid w:val="0074271C"/>
    <w:rsid w:val="00743D23"/>
    <w:rsid w:val="00744992"/>
    <w:rsid w:val="00746B19"/>
    <w:rsid w:val="00746D3F"/>
    <w:rsid w:val="00750FB8"/>
    <w:rsid w:val="00752C55"/>
    <w:rsid w:val="00753177"/>
    <w:rsid w:val="0075377E"/>
    <w:rsid w:val="00760090"/>
    <w:rsid w:val="00762913"/>
    <w:rsid w:val="00763142"/>
    <w:rsid w:val="00765320"/>
    <w:rsid w:val="007664FB"/>
    <w:rsid w:val="00766CDB"/>
    <w:rsid w:val="00767214"/>
    <w:rsid w:val="00772E81"/>
    <w:rsid w:val="00776AA3"/>
    <w:rsid w:val="00777144"/>
    <w:rsid w:val="0077760F"/>
    <w:rsid w:val="00777EFA"/>
    <w:rsid w:val="0078028D"/>
    <w:rsid w:val="007810B3"/>
    <w:rsid w:val="007817AD"/>
    <w:rsid w:val="0078367F"/>
    <w:rsid w:val="007841D1"/>
    <w:rsid w:val="007857F9"/>
    <w:rsid w:val="00786A61"/>
    <w:rsid w:val="007870F9"/>
    <w:rsid w:val="00787697"/>
    <w:rsid w:val="007907BE"/>
    <w:rsid w:val="007938EE"/>
    <w:rsid w:val="0079460D"/>
    <w:rsid w:val="00795E5A"/>
    <w:rsid w:val="00797116"/>
    <w:rsid w:val="007A03FB"/>
    <w:rsid w:val="007A2BA8"/>
    <w:rsid w:val="007A2D1B"/>
    <w:rsid w:val="007A6E83"/>
    <w:rsid w:val="007B3161"/>
    <w:rsid w:val="007B5964"/>
    <w:rsid w:val="007B6049"/>
    <w:rsid w:val="007C10D5"/>
    <w:rsid w:val="007C1E1C"/>
    <w:rsid w:val="007C21D2"/>
    <w:rsid w:val="007C2AC2"/>
    <w:rsid w:val="007C2D3F"/>
    <w:rsid w:val="007C3C1E"/>
    <w:rsid w:val="007C45A2"/>
    <w:rsid w:val="007C4ACF"/>
    <w:rsid w:val="007C547E"/>
    <w:rsid w:val="007D0C67"/>
    <w:rsid w:val="007D3E51"/>
    <w:rsid w:val="007D6858"/>
    <w:rsid w:val="007D7351"/>
    <w:rsid w:val="00803040"/>
    <w:rsid w:val="00807C30"/>
    <w:rsid w:val="0081009A"/>
    <w:rsid w:val="008104D0"/>
    <w:rsid w:val="00811965"/>
    <w:rsid w:val="00811CB8"/>
    <w:rsid w:val="00814F7B"/>
    <w:rsid w:val="008156DE"/>
    <w:rsid w:val="00817049"/>
    <w:rsid w:val="008174BB"/>
    <w:rsid w:val="00820CE5"/>
    <w:rsid w:val="008213F6"/>
    <w:rsid w:val="00827564"/>
    <w:rsid w:val="00827889"/>
    <w:rsid w:val="0083383D"/>
    <w:rsid w:val="00833E7A"/>
    <w:rsid w:val="00834C5A"/>
    <w:rsid w:val="00836DF3"/>
    <w:rsid w:val="008450F8"/>
    <w:rsid w:val="00845BAE"/>
    <w:rsid w:val="008463B2"/>
    <w:rsid w:val="00846867"/>
    <w:rsid w:val="00847950"/>
    <w:rsid w:val="00851F5E"/>
    <w:rsid w:val="00852B7A"/>
    <w:rsid w:val="00855C4A"/>
    <w:rsid w:val="0085707F"/>
    <w:rsid w:val="00861F76"/>
    <w:rsid w:val="008654E8"/>
    <w:rsid w:val="008673F5"/>
    <w:rsid w:val="00870878"/>
    <w:rsid w:val="00872584"/>
    <w:rsid w:val="00873046"/>
    <w:rsid w:val="008779E4"/>
    <w:rsid w:val="008816E5"/>
    <w:rsid w:val="00884248"/>
    <w:rsid w:val="00884896"/>
    <w:rsid w:val="00884EDA"/>
    <w:rsid w:val="0088502B"/>
    <w:rsid w:val="008910CB"/>
    <w:rsid w:val="0089111D"/>
    <w:rsid w:val="008925E2"/>
    <w:rsid w:val="00893411"/>
    <w:rsid w:val="00894F3F"/>
    <w:rsid w:val="008A0374"/>
    <w:rsid w:val="008A0F12"/>
    <w:rsid w:val="008A21E3"/>
    <w:rsid w:val="008A3011"/>
    <w:rsid w:val="008A31B0"/>
    <w:rsid w:val="008A34E4"/>
    <w:rsid w:val="008A468B"/>
    <w:rsid w:val="008A5817"/>
    <w:rsid w:val="008A5D84"/>
    <w:rsid w:val="008B5B7F"/>
    <w:rsid w:val="008C2A09"/>
    <w:rsid w:val="008C6407"/>
    <w:rsid w:val="008C7D2C"/>
    <w:rsid w:val="008D158A"/>
    <w:rsid w:val="008D3040"/>
    <w:rsid w:val="008D431B"/>
    <w:rsid w:val="008D7348"/>
    <w:rsid w:val="008D7FD5"/>
    <w:rsid w:val="008E072C"/>
    <w:rsid w:val="008E10C1"/>
    <w:rsid w:val="008E4052"/>
    <w:rsid w:val="008E787E"/>
    <w:rsid w:val="008E7E70"/>
    <w:rsid w:val="008F2788"/>
    <w:rsid w:val="008F2EE3"/>
    <w:rsid w:val="008F526A"/>
    <w:rsid w:val="008F6236"/>
    <w:rsid w:val="008F71C2"/>
    <w:rsid w:val="008F7507"/>
    <w:rsid w:val="00902F23"/>
    <w:rsid w:val="009037FD"/>
    <w:rsid w:val="0090595A"/>
    <w:rsid w:val="00906205"/>
    <w:rsid w:val="00906341"/>
    <w:rsid w:val="00906716"/>
    <w:rsid w:val="00906F09"/>
    <w:rsid w:val="00907889"/>
    <w:rsid w:val="00911149"/>
    <w:rsid w:val="00911E24"/>
    <w:rsid w:val="00913118"/>
    <w:rsid w:val="00913E29"/>
    <w:rsid w:val="00916CD4"/>
    <w:rsid w:val="00920D2F"/>
    <w:rsid w:val="0092110C"/>
    <w:rsid w:val="00921D0C"/>
    <w:rsid w:val="009244C3"/>
    <w:rsid w:val="00926D30"/>
    <w:rsid w:val="009275A4"/>
    <w:rsid w:val="00927D8C"/>
    <w:rsid w:val="00927FEE"/>
    <w:rsid w:val="0093168C"/>
    <w:rsid w:val="009323E2"/>
    <w:rsid w:val="009324D5"/>
    <w:rsid w:val="00934AA4"/>
    <w:rsid w:val="00936350"/>
    <w:rsid w:val="0094085A"/>
    <w:rsid w:val="0094420B"/>
    <w:rsid w:val="00946CE0"/>
    <w:rsid w:val="00954471"/>
    <w:rsid w:val="00960DF2"/>
    <w:rsid w:val="00961707"/>
    <w:rsid w:val="00961E14"/>
    <w:rsid w:val="0096222F"/>
    <w:rsid w:val="00964EF6"/>
    <w:rsid w:val="00970729"/>
    <w:rsid w:val="00970F44"/>
    <w:rsid w:val="0097278E"/>
    <w:rsid w:val="00973011"/>
    <w:rsid w:val="00973034"/>
    <w:rsid w:val="0097305C"/>
    <w:rsid w:val="00973C72"/>
    <w:rsid w:val="00974814"/>
    <w:rsid w:val="00974E85"/>
    <w:rsid w:val="00977C1D"/>
    <w:rsid w:val="00982D8A"/>
    <w:rsid w:val="00992045"/>
    <w:rsid w:val="00992AEC"/>
    <w:rsid w:val="00995876"/>
    <w:rsid w:val="009A0F23"/>
    <w:rsid w:val="009A4504"/>
    <w:rsid w:val="009A5180"/>
    <w:rsid w:val="009A56C9"/>
    <w:rsid w:val="009A5980"/>
    <w:rsid w:val="009B14C7"/>
    <w:rsid w:val="009B158C"/>
    <w:rsid w:val="009B3436"/>
    <w:rsid w:val="009B7C6F"/>
    <w:rsid w:val="009C0473"/>
    <w:rsid w:val="009C1AE4"/>
    <w:rsid w:val="009C360E"/>
    <w:rsid w:val="009C3784"/>
    <w:rsid w:val="009C4DB3"/>
    <w:rsid w:val="009C7537"/>
    <w:rsid w:val="009C7624"/>
    <w:rsid w:val="009D4535"/>
    <w:rsid w:val="009D4754"/>
    <w:rsid w:val="009D475B"/>
    <w:rsid w:val="009E1027"/>
    <w:rsid w:val="009E11CC"/>
    <w:rsid w:val="009E16B1"/>
    <w:rsid w:val="009E2FDC"/>
    <w:rsid w:val="009E3B73"/>
    <w:rsid w:val="009E47BE"/>
    <w:rsid w:val="009E79B6"/>
    <w:rsid w:val="009F2A04"/>
    <w:rsid w:val="009F3B65"/>
    <w:rsid w:val="009F4DD3"/>
    <w:rsid w:val="009F69B9"/>
    <w:rsid w:val="009F6BE4"/>
    <w:rsid w:val="00A00316"/>
    <w:rsid w:val="00A00A7E"/>
    <w:rsid w:val="00A016A9"/>
    <w:rsid w:val="00A01BC7"/>
    <w:rsid w:val="00A01C4A"/>
    <w:rsid w:val="00A02CA0"/>
    <w:rsid w:val="00A06199"/>
    <w:rsid w:val="00A0719C"/>
    <w:rsid w:val="00A11233"/>
    <w:rsid w:val="00A124B5"/>
    <w:rsid w:val="00A13F12"/>
    <w:rsid w:val="00A1404E"/>
    <w:rsid w:val="00A14842"/>
    <w:rsid w:val="00A16157"/>
    <w:rsid w:val="00A20809"/>
    <w:rsid w:val="00A21441"/>
    <w:rsid w:val="00A21BFD"/>
    <w:rsid w:val="00A2365E"/>
    <w:rsid w:val="00A23A30"/>
    <w:rsid w:val="00A31416"/>
    <w:rsid w:val="00A33A53"/>
    <w:rsid w:val="00A35EBF"/>
    <w:rsid w:val="00A36041"/>
    <w:rsid w:val="00A3690E"/>
    <w:rsid w:val="00A42349"/>
    <w:rsid w:val="00A42353"/>
    <w:rsid w:val="00A43C40"/>
    <w:rsid w:val="00A43FF4"/>
    <w:rsid w:val="00A448F2"/>
    <w:rsid w:val="00A45AD6"/>
    <w:rsid w:val="00A46761"/>
    <w:rsid w:val="00A477C7"/>
    <w:rsid w:val="00A47DA1"/>
    <w:rsid w:val="00A53509"/>
    <w:rsid w:val="00A553EA"/>
    <w:rsid w:val="00A60821"/>
    <w:rsid w:val="00A647BA"/>
    <w:rsid w:val="00A65AB8"/>
    <w:rsid w:val="00A7023D"/>
    <w:rsid w:val="00A708FB"/>
    <w:rsid w:val="00A7267C"/>
    <w:rsid w:val="00A72733"/>
    <w:rsid w:val="00A7281C"/>
    <w:rsid w:val="00A72EF3"/>
    <w:rsid w:val="00A74030"/>
    <w:rsid w:val="00A76BF7"/>
    <w:rsid w:val="00A77DCD"/>
    <w:rsid w:val="00A811B1"/>
    <w:rsid w:val="00A81DFE"/>
    <w:rsid w:val="00A8202E"/>
    <w:rsid w:val="00A842C1"/>
    <w:rsid w:val="00A8673E"/>
    <w:rsid w:val="00A86E4A"/>
    <w:rsid w:val="00A87257"/>
    <w:rsid w:val="00A87D2C"/>
    <w:rsid w:val="00A92736"/>
    <w:rsid w:val="00A93022"/>
    <w:rsid w:val="00A94F28"/>
    <w:rsid w:val="00A95AEF"/>
    <w:rsid w:val="00AA289B"/>
    <w:rsid w:val="00AA3843"/>
    <w:rsid w:val="00AA41E9"/>
    <w:rsid w:val="00AA57C9"/>
    <w:rsid w:val="00AB162E"/>
    <w:rsid w:val="00AB1C26"/>
    <w:rsid w:val="00AB2951"/>
    <w:rsid w:val="00AB6874"/>
    <w:rsid w:val="00AC04E1"/>
    <w:rsid w:val="00AC1D47"/>
    <w:rsid w:val="00AC2FB0"/>
    <w:rsid w:val="00AC45D2"/>
    <w:rsid w:val="00AC7EE4"/>
    <w:rsid w:val="00AD0B8B"/>
    <w:rsid w:val="00AD0D31"/>
    <w:rsid w:val="00AD132B"/>
    <w:rsid w:val="00AD2E5B"/>
    <w:rsid w:val="00AD614E"/>
    <w:rsid w:val="00AD6CA7"/>
    <w:rsid w:val="00AE2DC1"/>
    <w:rsid w:val="00AE3F0B"/>
    <w:rsid w:val="00AE4ED3"/>
    <w:rsid w:val="00AE79D5"/>
    <w:rsid w:val="00AF0A74"/>
    <w:rsid w:val="00AF0EBB"/>
    <w:rsid w:val="00AF3F71"/>
    <w:rsid w:val="00B03CC9"/>
    <w:rsid w:val="00B05B9E"/>
    <w:rsid w:val="00B1235F"/>
    <w:rsid w:val="00B12D20"/>
    <w:rsid w:val="00B1324D"/>
    <w:rsid w:val="00B167E1"/>
    <w:rsid w:val="00B16B01"/>
    <w:rsid w:val="00B22688"/>
    <w:rsid w:val="00B226B1"/>
    <w:rsid w:val="00B33F0D"/>
    <w:rsid w:val="00B41467"/>
    <w:rsid w:val="00B4201F"/>
    <w:rsid w:val="00B42BDE"/>
    <w:rsid w:val="00B42C0F"/>
    <w:rsid w:val="00B4351E"/>
    <w:rsid w:val="00B43E1A"/>
    <w:rsid w:val="00B44A73"/>
    <w:rsid w:val="00B45777"/>
    <w:rsid w:val="00B4721C"/>
    <w:rsid w:val="00B50C8B"/>
    <w:rsid w:val="00B53C62"/>
    <w:rsid w:val="00B55D66"/>
    <w:rsid w:val="00B57D67"/>
    <w:rsid w:val="00B6257A"/>
    <w:rsid w:val="00B66A81"/>
    <w:rsid w:val="00B67328"/>
    <w:rsid w:val="00B67E28"/>
    <w:rsid w:val="00B72365"/>
    <w:rsid w:val="00B72BEB"/>
    <w:rsid w:val="00B75653"/>
    <w:rsid w:val="00B77B06"/>
    <w:rsid w:val="00B77BE0"/>
    <w:rsid w:val="00B85FFD"/>
    <w:rsid w:val="00B8654F"/>
    <w:rsid w:val="00B873E8"/>
    <w:rsid w:val="00B87A57"/>
    <w:rsid w:val="00B90AD6"/>
    <w:rsid w:val="00B962F7"/>
    <w:rsid w:val="00BA0E5D"/>
    <w:rsid w:val="00BA1478"/>
    <w:rsid w:val="00BA1A99"/>
    <w:rsid w:val="00BA1D90"/>
    <w:rsid w:val="00BA1E4C"/>
    <w:rsid w:val="00BA2A58"/>
    <w:rsid w:val="00BA4CBF"/>
    <w:rsid w:val="00BB17C7"/>
    <w:rsid w:val="00BB3584"/>
    <w:rsid w:val="00BB714D"/>
    <w:rsid w:val="00BC049A"/>
    <w:rsid w:val="00BC22D9"/>
    <w:rsid w:val="00BC2FBE"/>
    <w:rsid w:val="00BC3526"/>
    <w:rsid w:val="00BC4D2D"/>
    <w:rsid w:val="00BC7536"/>
    <w:rsid w:val="00BC7F2F"/>
    <w:rsid w:val="00BD0FE7"/>
    <w:rsid w:val="00BD29CF"/>
    <w:rsid w:val="00BD417A"/>
    <w:rsid w:val="00BD4275"/>
    <w:rsid w:val="00BD671C"/>
    <w:rsid w:val="00BD6C8D"/>
    <w:rsid w:val="00BE0850"/>
    <w:rsid w:val="00BE3009"/>
    <w:rsid w:val="00BE73A5"/>
    <w:rsid w:val="00BF132C"/>
    <w:rsid w:val="00BF171C"/>
    <w:rsid w:val="00BF274A"/>
    <w:rsid w:val="00BF3D4A"/>
    <w:rsid w:val="00C00871"/>
    <w:rsid w:val="00C01E5F"/>
    <w:rsid w:val="00C02027"/>
    <w:rsid w:val="00C023D5"/>
    <w:rsid w:val="00C03FC0"/>
    <w:rsid w:val="00C04093"/>
    <w:rsid w:val="00C05240"/>
    <w:rsid w:val="00C059E3"/>
    <w:rsid w:val="00C07111"/>
    <w:rsid w:val="00C103CA"/>
    <w:rsid w:val="00C11D09"/>
    <w:rsid w:val="00C13532"/>
    <w:rsid w:val="00C14EBA"/>
    <w:rsid w:val="00C15635"/>
    <w:rsid w:val="00C21B42"/>
    <w:rsid w:val="00C22D04"/>
    <w:rsid w:val="00C23288"/>
    <w:rsid w:val="00C23A73"/>
    <w:rsid w:val="00C24341"/>
    <w:rsid w:val="00C2624E"/>
    <w:rsid w:val="00C27593"/>
    <w:rsid w:val="00C30206"/>
    <w:rsid w:val="00C302A8"/>
    <w:rsid w:val="00C31A77"/>
    <w:rsid w:val="00C33031"/>
    <w:rsid w:val="00C345B6"/>
    <w:rsid w:val="00C36D79"/>
    <w:rsid w:val="00C3753A"/>
    <w:rsid w:val="00C37690"/>
    <w:rsid w:val="00C40223"/>
    <w:rsid w:val="00C505F5"/>
    <w:rsid w:val="00C52647"/>
    <w:rsid w:val="00C54DC8"/>
    <w:rsid w:val="00C54F2E"/>
    <w:rsid w:val="00C555BA"/>
    <w:rsid w:val="00C565FA"/>
    <w:rsid w:val="00C60213"/>
    <w:rsid w:val="00C616F1"/>
    <w:rsid w:val="00C61C07"/>
    <w:rsid w:val="00C6369D"/>
    <w:rsid w:val="00C63964"/>
    <w:rsid w:val="00C65A07"/>
    <w:rsid w:val="00C70C99"/>
    <w:rsid w:val="00C71CA1"/>
    <w:rsid w:val="00C72C7E"/>
    <w:rsid w:val="00C73EFF"/>
    <w:rsid w:val="00C80AE8"/>
    <w:rsid w:val="00C81C43"/>
    <w:rsid w:val="00C81FBF"/>
    <w:rsid w:val="00C84FA7"/>
    <w:rsid w:val="00C858AF"/>
    <w:rsid w:val="00C86D7F"/>
    <w:rsid w:val="00C9011B"/>
    <w:rsid w:val="00C96976"/>
    <w:rsid w:val="00C97D03"/>
    <w:rsid w:val="00CA26AB"/>
    <w:rsid w:val="00CA2A7F"/>
    <w:rsid w:val="00CA2BEA"/>
    <w:rsid w:val="00CA5C81"/>
    <w:rsid w:val="00CA7C8D"/>
    <w:rsid w:val="00CB0B8E"/>
    <w:rsid w:val="00CB15B5"/>
    <w:rsid w:val="00CB16BA"/>
    <w:rsid w:val="00CB31BE"/>
    <w:rsid w:val="00CB3904"/>
    <w:rsid w:val="00CB45DA"/>
    <w:rsid w:val="00CB475D"/>
    <w:rsid w:val="00CB4BC6"/>
    <w:rsid w:val="00CB5D1A"/>
    <w:rsid w:val="00CC1FE2"/>
    <w:rsid w:val="00CC2ACB"/>
    <w:rsid w:val="00CD178B"/>
    <w:rsid w:val="00CD3DAC"/>
    <w:rsid w:val="00CD5DE6"/>
    <w:rsid w:val="00CD74BB"/>
    <w:rsid w:val="00CE082E"/>
    <w:rsid w:val="00CE1A0D"/>
    <w:rsid w:val="00CE34A9"/>
    <w:rsid w:val="00CE4734"/>
    <w:rsid w:val="00CE59B9"/>
    <w:rsid w:val="00CE5E31"/>
    <w:rsid w:val="00CF0BF6"/>
    <w:rsid w:val="00CF17D2"/>
    <w:rsid w:val="00CF2876"/>
    <w:rsid w:val="00CF4FF1"/>
    <w:rsid w:val="00CF6470"/>
    <w:rsid w:val="00D00330"/>
    <w:rsid w:val="00D01540"/>
    <w:rsid w:val="00D0278D"/>
    <w:rsid w:val="00D02C2D"/>
    <w:rsid w:val="00D06643"/>
    <w:rsid w:val="00D10B61"/>
    <w:rsid w:val="00D1146C"/>
    <w:rsid w:val="00D1346D"/>
    <w:rsid w:val="00D143D7"/>
    <w:rsid w:val="00D152DD"/>
    <w:rsid w:val="00D20932"/>
    <w:rsid w:val="00D25DBD"/>
    <w:rsid w:val="00D26384"/>
    <w:rsid w:val="00D32506"/>
    <w:rsid w:val="00D33402"/>
    <w:rsid w:val="00D37549"/>
    <w:rsid w:val="00D4016F"/>
    <w:rsid w:val="00D4107C"/>
    <w:rsid w:val="00D428D4"/>
    <w:rsid w:val="00D43180"/>
    <w:rsid w:val="00D44CC8"/>
    <w:rsid w:val="00D466BF"/>
    <w:rsid w:val="00D46B8B"/>
    <w:rsid w:val="00D52B88"/>
    <w:rsid w:val="00D5467F"/>
    <w:rsid w:val="00D573F9"/>
    <w:rsid w:val="00D61A88"/>
    <w:rsid w:val="00D6200B"/>
    <w:rsid w:val="00D65211"/>
    <w:rsid w:val="00D66706"/>
    <w:rsid w:val="00D70FD8"/>
    <w:rsid w:val="00D71171"/>
    <w:rsid w:val="00D72F29"/>
    <w:rsid w:val="00D738F6"/>
    <w:rsid w:val="00D75963"/>
    <w:rsid w:val="00D77CFB"/>
    <w:rsid w:val="00D82827"/>
    <w:rsid w:val="00D851A2"/>
    <w:rsid w:val="00D922FB"/>
    <w:rsid w:val="00D93B16"/>
    <w:rsid w:val="00D95DA7"/>
    <w:rsid w:val="00D96ECB"/>
    <w:rsid w:val="00DA0B3B"/>
    <w:rsid w:val="00DA1483"/>
    <w:rsid w:val="00DA2BD4"/>
    <w:rsid w:val="00DA7852"/>
    <w:rsid w:val="00DA7DD4"/>
    <w:rsid w:val="00DB0086"/>
    <w:rsid w:val="00DB01A0"/>
    <w:rsid w:val="00DB07BD"/>
    <w:rsid w:val="00DB2F63"/>
    <w:rsid w:val="00DB3BE7"/>
    <w:rsid w:val="00DB5728"/>
    <w:rsid w:val="00DB5DF1"/>
    <w:rsid w:val="00DB5ED0"/>
    <w:rsid w:val="00DB629D"/>
    <w:rsid w:val="00DB702A"/>
    <w:rsid w:val="00DC0E69"/>
    <w:rsid w:val="00DC5853"/>
    <w:rsid w:val="00DD0334"/>
    <w:rsid w:val="00DD1A1C"/>
    <w:rsid w:val="00DD1D60"/>
    <w:rsid w:val="00DD4889"/>
    <w:rsid w:val="00DD5E3A"/>
    <w:rsid w:val="00DD6746"/>
    <w:rsid w:val="00DD6FFA"/>
    <w:rsid w:val="00DE00B0"/>
    <w:rsid w:val="00DE22A8"/>
    <w:rsid w:val="00DE25FC"/>
    <w:rsid w:val="00DE3817"/>
    <w:rsid w:val="00DE48AC"/>
    <w:rsid w:val="00DF1109"/>
    <w:rsid w:val="00DF1611"/>
    <w:rsid w:val="00DF3417"/>
    <w:rsid w:val="00DF7609"/>
    <w:rsid w:val="00E00E48"/>
    <w:rsid w:val="00E02025"/>
    <w:rsid w:val="00E03767"/>
    <w:rsid w:val="00E0390E"/>
    <w:rsid w:val="00E113A3"/>
    <w:rsid w:val="00E1232C"/>
    <w:rsid w:val="00E16A80"/>
    <w:rsid w:val="00E22829"/>
    <w:rsid w:val="00E26250"/>
    <w:rsid w:val="00E3043B"/>
    <w:rsid w:val="00E367A3"/>
    <w:rsid w:val="00E37B89"/>
    <w:rsid w:val="00E439E3"/>
    <w:rsid w:val="00E43E9B"/>
    <w:rsid w:val="00E46453"/>
    <w:rsid w:val="00E4741E"/>
    <w:rsid w:val="00E50144"/>
    <w:rsid w:val="00E516A8"/>
    <w:rsid w:val="00E551ED"/>
    <w:rsid w:val="00E55B0B"/>
    <w:rsid w:val="00E56124"/>
    <w:rsid w:val="00E56409"/>
    <w:rsid w:val="00E65ABD"/>
    <w:rsid w:val="00E663A3"/>
    <w:rsid w:val="00E701F1"/>
    <w:rsid w:val="00E705B2"/>
    <w:rsid w:val="00E705C9"/>
    <w:rsid w:val="00E728D1"/>
    <w:rsid w:val="00E72C64"/>
    <w:rsid w:val="00E73E27"/>
    <w:rsid w:val="00E74AA9"/>
    <w:rsid w:val="00E77D78"/>
    <w:rsid w:val="00E80DC9"/>
    <w:rsid w:val="00E8267A"/>
    <w:rsid w:val="00E82ADF"/>
    <w:rsid w:val="00E85508"/>
    <w:rsid w:val="00E86B17"/>
    <w:rsid w:val="00E86BB4"/>
    <w:rsid w:val="00E86DD3"/>
    <w:rsid w:val="00E86F9B"/>
    <w:rsid w:val="00E9004E"/>
    <w:rsid w:val="00E920E6"/>
    <w:rsid w:val="00E92D82"/>
    <w:rsid w:val="00E93884"/>
    <w:rsid w:val="00E97E3D"/>
    <w:rsid w:val="00EA15FD"/>
    <w:rsid w:val="00EA52FE"/>
    <w:rsid w:val="00EA5466"/>
    <w:rsid w:val="00EA5C7D"/>
    <w:rsid w:val="00EB067B"/>
    <w:rsid w:val="00EB14AC"/>
    <w:rsid w:val="00EB1A01"/>
    <w:rsid w:val="00EB2EE0"/>
    <w:rsid w:val="00EB4007"/>
    <w:rsid w:val="00EB441B"/>
    <w:rsid w:val="00EB454F"/>
    <w:rsid w:val="00EB48B9"/>
    <w:rsid w:val="00EB7D89"/>
    <w:rsid w:val="00EC1E24"/>
    <w:rsid w:val="00EC342D"/>
    <w:rsid w:val="00ED2AC9"/>
    <w:rsid w:val="00ED2AF3"/>
    <w:rsid w:val="00ED33B7"/>
    <w:rsid w:val="00ED34C7"/>
    <w:rsid w:val="00ED6196"/>
    <w:rsid w:val="00ED6360"/>
    <w:rsid w:val="00ED7B25"/>
    <w:rsid w:val="00ED7FD2"/>
    <w:rsid w:val="00EE10D7"/>
    <w:rsid w:val="00EE199F"/>
    <w:rsid w:val="00EE2E3E"/>
    <w:rsid w:val="00EE3955"/>
    <w:rsid w:val="00EE4A23"/>
    <w:rsid w:val="00EE67E9"/>
    <w:rsid w:val="00EE70A0"/>
    <w:rsid w:val="00EE7BB0"/>
    <w:rsid w:val="00EF0C60"/>
    <w:rsid w:val="00EF34B1"/>
    <w:rsid w:val="00EF51ED"/>
    <w:rsid w:val="00F024A7"/>
    <w:rsid w:val="00F06F1C"/>
    <w:rsid w:val="00F117E2"/>
    <w:rsid w:val="00F146C9"/>
    <w:rsid w:val="00F156E3"/>
    <w:rsid w:val="00F225E1"/>
    <w:rsid w:val="00F22688"/>
    <w:rsid w:val="00F24492"/>
    <w:rsid w:val="00F252CE"/>
    <w:rsid w:val="00F30BFA"/>
    <w:rsid w:val="00F32A67"/>
    <w:rsid w:val="00F333BD"/>
    <w:rsid w:val="00F33D90"/>
    <w:rsid w:val="00F348BC"/>
    <w:rsid w:val="00F35000"/>
    <w:rsid w:val="00F37CB6"/>
    <w:rsid w:val="00F406C7"/>
    <w:rsid w:val="00F408E4"/>
    <w:rsid w:val="00F40CD7"/>
    <w:rsid w:val="00F41921"/>
    <w:rsid w:val="00F4315D"/>
    <w:rsid w:val="00F4360C"/>
    <w:rsid w:val="00F43817"/>
    <w:rsid w:val="00F43F44"/>
    <w:rsid w:val="00F44F6B"/>
    <w:rsid w:val="00F450BC"/>
    <w:rsid w:val="00F46C04"/>
    <w:rsid w:val="00F534B5"/>
    <w:rsid w:val="00F53810"/>
    <w:rsid w:val="00F53B42"/>
    <w:rsid w:val="00F6092B"/>
    <w:rsid w:val="00F63133"/>
    <w:rsid w:val="00F633D9"/>
    <w:rsid w:val="00F6498E"/>
    <w:rsid w:val="00F65298"/>
    <w:rsid w:val="00F66889"/>
    <w:rsid w:val="00F71CDA"/>
    <w:rsid w:val="00F75A17"/>
    <w:rsid w:val="00F77152"/>
    <w:rsid w:val="00F81567"/>
    <w:rsid w:val="00F818E4"/>
    <w:rsid w:val="00F834A2"/>
    <w:rsid w:val="00F845A8"/>
    <w:rsid w:val="00F92254"/>
    <w:rsid w:val="00F932BC"/>
    <w:rsid w:val="00F9348A"/>
    <w:rsid w:val="00F96229"/>
    <w:rsid w:val="00F97474"/>
    <w:rsid w:val="00FA3D32"/>
    <w:rsid w:val="00FA4649"/>
    <w:rsid w:val="00FA4C41"/>
    <w:rsid w:val="00FA6ACA"/>
    <w:rsid w:val="00FA6C74"/>
    <w:rsid w:val="00FB1118"/>
    <w:rsid w:val="00FB121F"/>
    <w:rsid w:val="00FB6966"/>
    <w:rsid w:val="00FB6B9E"/>
    <w:rsid w:val="00FB7725"/>
    <w:rsid w:val="00FC24CE"/>
    <w:rsid w:val="00FC2D7A"/>
    <w:rsid w:val="00FC3466"/>
    <w:rsid w:val="00FD1107"/>
    <w:rsid w:val="00FD1688"/>
    <w:rsid w:val="00FD2E4E"/>
    <w:rsid w:val="00FD4F01"/>
    <w:rsid w:val="00FD546B"/>
    <w:rsid w:val="00FE0E22"/>
    <w:rsid w:val="00FE2538"/>
    <w:rsid w:val="00FE40F9"/>
    <w:rsid w:val="00FE7BDE"/>
    <w:rsid w:val="00FF11DD"/>
    <w:rsid w:val="00FF16CF"/>
    <w:rsid w:val="00FF30D9"/>
    <w:rsid w:val="00FF330E"/>
    <w:rsid w:val="00FF35BF"/>
    <w:rsid w:val="00FF6098"/>
    <w:rsid w:val="00FF6536"/>
    <w:rsid w:val="00FF6EAF"/>
    <w:rsid w:val="20403AAB"/>
    <w:rsid w:val="228B5853"/>
    <w:rsid w:val="42CB4991"/>
    <w:rsid w:val="4F1C41FF"/>
    <w:rsid w:val="7999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9E3F8"/>
  <w15:docId w15:val="{D03F404C-D8EA-463F-9001-FF4AAAE7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33"/>
    <w:pPr>
      <w:widowControl w:val="0"/>
      <w:jc w:val="both"/>
    </w:pPr>
    <w:rPr>
      <w:kern w:val="2"/>
      <w:sz w:val="21"/>
      <w:szCs w:val="22"/>
    </w:rPr>
  </w:style>
  <w:style w:type="paragraph" w:styleId="Heading1">
    <w:name w:val="heading 1"/>
    <w:basedOn w:val="Normal"/>
    <w:next w:val="Normal"/>
    <w:link w:val="Heading1Char"/>
    <w:uiPriority w:val="9"/>
    <w:qFormat/>
    <w:pPr>
      <w:keepNext/>
      <w:keepLines/>
      <w:snapToGrid w:val="0"/>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9"/>
    <w:qFormat/>
    <w:rPr>
      <w:b/>
      <w:bCs/>
      <w:kern w:val="44"/>
      <w:sz w:val="44"/>
      <w:szCs w:val="4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qFormat/>
    <w:rPr>
      <w:color w:val="808080"/>
    </w:rPr>
  </w:style>
  <w:style w:type="character" w:styleId="CommentReference">
    <w:name w:val="annotation reference"/>
    <w:basedOn w:val="DefaultParagraphFont"/>
    <w:uiPriority w:val="99"/>
    <w:semiHidden/>
    <w:unhideWhenUsed/>
    <w:rsid w:val="00884EDA"/>
    <w:rPr>
      <w:sz w:val="21"/>
      <w:szCs w:val="21"/>
    </w:rPr>
  </w:style>
  <w:style w:type="paragraph" w:styleId="CommentText">
    <w:name w:val="annotation text"/>
    <w:basedOn w:val="Normal"/>
    <w:link w:val="CommentTextChar"/>
    <w:uiPriority w:val="99"/>
    <w:semiHidden/>
    <w:unhideWhenUsed/>
    <w:rsid w:val="00884EDA"/>
    <w:pPr>
      <w:jc w:val="left"/>
    </w:pPr>
  </w:style>
  <w:style w:type="character" w:customStyle="1" w:styleId="CommentTextChar">
    <w:name w:val="Comment Text Char"/>
    <w:basedOn w:val="DefaultParagraphFont"/>
    <w:link w:val="CommentText"/>
    <w:uiPriority w:val="99"/>
    <w:semiHidden/>
    <w:rsid w:val="00884EDA"/>
    <w:rPr>
      <w:kern w:val="2"/>
      <w:sz w:val="21"/>
      <w:szCs w:val="22"/>
    </w:rPr>
  </w:style>
  <w:style w:type="paragraph" w:styleId="CommentSubject">
    <w:name w:val="annotation subject"/>
    <w:basedOn w:val="CommentText"/>
    <w:next w:val="CommentText"/>
    <w:link w:val="CommentSubjectChar"/>
    <w:uiPriority w:val="99"/>
    <w:semiHidden/>
    <w:unhideWhenUsed/>
    <w:rsid w:val="00884EDA"/>
    <w:rPr>
      <w:b/>
      <w:bCs/>
    </w:rPr>
  </w:style>
  <w:style w:type="character" w:customStyle="1" w:styleId="CommentSubjectChar">
    <w:name w:val="Comment Subject Char"/>
    <w:basedOn w:val="CommentTextChar"/>
    <w:link w:val="CommentSubject"/>
    <w:uiPriority w:val="99"/>
    <w:semiHidden/>
    <w:rsid w:val="00884EDA"/>
    <w:rPr>
      <w:b/>
      <w:bCs/>
      <w:kern w:val="2"/>
      <w:sz w:val="21"/>
      <w:szCs w:val="22"/>
    </w:rPr>
  </w:style>
  <w:style w:type="paragraph" w:styleId="BalloonText">
    <w:name w:val="Balloon Text"/>
    <w:basedOn w:val="Normal"/>
    <w:link w:val="BalloonTextChar"/>
    <w:uiPriority w:val="99"/>
    <w:semiHidden/>
    <w:unhideWhenUsed/>
    <w:rsid w:val="00884EDA"/>
    <w:rPr>
      <w:sz w:val="18"/>
      <w:szCs w:val="18"/>
    </w:rPr>
  </w:style>
  <w:style w:type="character" w:customStyle="1" w:styleId="BalloonTextChar">
    <w:name w:val="Balloon Text Char"/>
    <w:basedOn w:val="DefaultParagraphFont"/>
    <w:link w:val="BalloonText"/>
    <w:uiPriority w:val="99"/>
    <w:semiHidden/>
    <w:rsid w:val="00884EDA"/>
    <w:rPr>
      <w:kern w:val="2"/>
      <w:sz w:val="18"/>
      <w:szCs w:val="18"/>
    </w:rPr>
  </w:style>
  <w:style w:type="character" w:styleId="Hyperlink">
    <w:name w:val="Hyperlink"/>
    <w:basedOn w:val="DefaultParagraphFont"/>
    <w:uiPriority w:val="99"/>
    <w:unhideWhenUsed/>
    <w:rsid w:val="0034665F"/>
    <w:rPr>
      <w:color w:val="0563C1" w:themeColor="hyperlink"/>
      <w:u w:val="single"/>
    </w:rPr>
  </w:style>
  <w:style w:type="character" w:customStyle="1" w:styleId="1">
    <w:name w:val="未处理的提及1"/>
    <w:basedOn w:val="DefaultParagraphFont"/>
    <w:uiPriority w:val="99"/>
    <w:semiHidden/>
    <w:unhideWhenUsed/>
    <w:rsid w:val="0034665F"/>
    <w:rPr>
      <w:color w:val="605E5C"/>
      <w:shd w:val="clear" w:color="auto" w:fill="E1DFDD"/>
    </w:rPr>
  </w:style>
  <w:style w:type="character" w:styleId="FollowedHyperlink">
    <w:name w:val="FollowedHyperlink"/>
    <w:basedOn w:val="DefaultParagraphFont"/>
    <w:uiPriority w:val="99"/>
    <w:semiHidden/>
    <w:unhideWhenUsed/>
    <w:rsid w:val="00AF0A74"/>
    <w:rPr>
      <w:color w:val="954F72" w:themeColor="followedHyperlink"/>
      <w:u w:val="single"/>
    </w:rPr>
  </w:style>
  <w:style w:type="character" w:styleId="UnresolvedMention">
    <w:name w:val="Unresolved Mention"/>
    <w:basedOn w:val="DefaultParagraphFont"/>
    <w:uiPriority w:val="99"/>
    <w:semiHidden/>
    <w:unhideWhenUsed/>
    <w:rsid w:val="00B4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5023">
      <w:bodyDiv w:val="1"/>
      <w:marLeft w:val="0"/>
      <w:marRight w:val="0"/>
      <w:marTop w:val="0"/>
      <w:marBottom w:val="0"/>
      <w:divBdr>
        <w:top w:val="none" w:sz="0" w:space="0" w:color="auto"/>
        <w:left w:val="none" w:sz="0" w:space="0" w:color="auto"/>
        <w:bottom w:val="none" w:sz="0" w:space="0" w:color="auto"/>
        <w:right w:val="none" w:sz="0" w:space="0" w:color="auto"/>
      </w:divBdr>
    </w:div>
    <w:div w:id="392388422">
      <w:bodyDiv w:val="1"/>
      <w:marLeft w:val="0"/>
      <w:marRight w:val="0"/>
      <w:marTop w:val="0"/>
      <w:marBottom w:val="0"/>
      <w:divBdr>
        <w:top w:val="none" w:sz="0" w:space="0" w:color="auto"/>
        <w:left w:val="none" w:sz="0" w:space="0" w:color="auto"/>
        <w:bottom w:val="none" w:sz="0" w:space="0" w:color="auto"/>
        <w:right w:val="none" w:sz="0" w:space="0" w:color="auto"/>
      </w:divBdr>
    </w:div>
    <w:div w:id="400250406">
      <w:bodyDiv w:val="1"/>
      <w:marLeft w:val="0"/>
      <w:marRight w:val="0"/>
      <w:marTop w:val="0"/>
      <w:marBottom w:val="0"/>
      <w:divBdr>
        <w:top w:val="none" w:sz="0" w:space="0" w:color="auto"/>
        <w:left w:val="none" w:sz="0" w:space="0" w:color="auto"/>
        <w:bottom w:val="none" w:sz="0" w:space="0" w:color="auto"/>
        <w:right w:val="none" w:sz="0" w:space="0" w:color="auto"/>
      </w:divBdr>
    </w:div>
    <w:div w:id="546334140">
      <w:bodyDiv w:val="1"/>
      <w:marLeft w:val="0"/>
      <w:marRight w:val="0"/>
      <w:marTop w:val="0"/>
      <w:marBottom w:val="0"/>
      <w:divBdr>
        <w:top w:val="none" w:sz="0" w:space="0" w:color="auto"/>
        <w:left w:val="none" w:sz="0" w:space="0" w:color="auto"/>
        <w:bottom w:val="none" w:sz="0" w:space="0" w:color="auto"/>
        <w:right w:val="none" w:sz="0" w:space="0" w:color="auto"/>
      </w:divBdr>
    </w:div>
    <w:div w:id="576284709">
      <w:bodyDiv w:val="1"/>
      <w:marLeft w:val="0"/>
      <w:marRight w:val="0"/>
      <w:marTop w:val="0"/>
      <w:marBottom w:val="0"/>
      <w:divBdr>
        <w:top w:val="none" w:sz="0" w:space="0" w:color="auto"/>
        <w:left w:val="none" w:sz="0" w:space="0" w:color="auto"/>
        <w:bottom w:val="none" w:sz="0" w:space="0" w:color="auto"/>
        <w:right w:val="none" w:sz="0" w:space="0" w:color="auto"/>
      </w:divBdr>
    </w:div>
    <w:div w:id="692921278">
      <w:bodyDiv w:val="1"/>
      <w:marLeft w:val="0"/>
      <w:marRight w:val="0"/>
      <w:marTop w:val="0"/>
      <w:marBottom w:val="0"/>
      <w:divBdr>
        <w:top w:val="none" w:sz="0" w:space="0" w:color="auto"/>
        <w:left w:val="none" w:sz="0" w:space="0" w:color="auto"/>
        <w:bottom w:val="none" w:sz="0" w:space="0" w:color="auto"/>
        <w:right w:val="none" w:sz="0" w:space="0" w:color="auto"/>
      </w:divBdr>
    </w:div>
    <w:div w:id="738480718">
      <w:bodyDiv w:val="1"/>
      <w:marLeft w:val="0"/>
      <w:marRight w:val="0"/>
      <w:marTop w:val="0"/>
      <w:marBottom w:val="0"/>
      <w:divBdr>
        <w:top w:val="none" w:sz="0" w:space="0" w:color="auto"/>
        <w:left w:val="none" w:sz="0" w:space="0" w:color="auto"/>
        <w:bottom w:val="none" w:sz="0" w:space="0" w:color="auto"/>
        <w:right w:val="none" w:sz="0" w:space="0" w:color="auto"/>
      </w:divBdr>
    </w:div>
    <w:div w:id="850753851">
      <w:bodyDiv w:val="1"/>
      <w:marLeft w:val="0"/>
      <w:marRight w:val="0"/>
      <w:marTop w:val="0"/>
      <w:marBottom w:val="0"/>
      <w:divBdr>
        <w:top w:val="none" w:sz="0" w:space="0" w:color="auto"/>
        <w:left w:val="none" w:sz="0" w:space="0" w:color="auto"/>
        <w:bottom w:val="none" w:sz="0" w:space="0" w:color="auto"/>
        <w:right w:val="none" w:sz="0" w:space="0" w:color="auto"/>
      </w:divBdr>
    </w:div>
    <w:div w:id="1010331979">
      <w:bodyDiv w:val="1"/>
      <w:marLeft w:val="0"/>
      <w:marRight w:val="0"/>
      <w:marTop w:val="0"/>
      <w:marBottom w:val="0"/>
      <w:divBdr>
        <w:top w:val="none" w:sz="0" w:space="0" w:color="auto"/>
        <w:left w:val="none" w:sz="0" w:space="0" w:color="auto"/>
        <w:bottom w:val="none" w:sz="0" w:space="0" w:color="auto"/>
        <w:right w:val="none" w:sz="0" w:space="0" w:color="auto"/>
      </w:divBdr>
    </w:div>
    <w:div w:id="1098715470">
      <w:bodyDiv w:val="1"/>
      <w:marLeft w:val="0"/>
      <w:marRight w:val="0"/>
      <w:marTop w:val="0"/>
      <w:marBottom w:val="0"/>
      <w:divBdr>
        <w:top w:val="none" w:sz="0" w:space="0" w:color="auto"/>
        <w:left w:val="none" w:sz="0" w:space="0" w:color="auto"/>
        <w:bottom w:val="none" w:sz="0" w:space="0" w:color="auto"/>
        <w:right w:val="none" w:sz="0" w:space="0" w:color="auto"/>
      </w:divBdr>
    </w:div>
    <w:div w:id="1102797953">
      <w:bodyDiv w:val="1"/>
      <w:marLeft w:val="0"/>
      <w:marRight w:val="0"/>
      <w:marTop w:val="0"/>
      <w:marBottom w:val="0"/>
      <w:divBdr>
        <w:top w:val="none" w:sz="0" w:space="0" w:color="auto"/>
        <w:left w:val="none" w:sz="0" w:space="0" w:color="auto"/>
        <w:bottom w:val="none" w:sz="0" w:space="0" w:color="auto"/>
        <w:right w:val="none" w:sz="0" w:space="0" w:color="auto"/>
      </w:divBdr>
    </w:div>
    <w:div w:id="1133672414">
      <w:bodyDiv w:val="1"/>
      <w:marLeft w:val="0"/>
      <w:marRight w:val="0"/>
      <w:marTop w:val="0"/>
      <w:marBottom w:val="0"/>
      <w:divBdr>
        <w:top w:val="none" w:sz="0" w:space="0" w:color="auto"/>
        <w:left w:val="none" w:sz="0" w:space="0" w:color="auto"/>
        <w:bottom w:val="none" w:sz="0" w:space="0" w:color="auto"/>
        <w:right w:val="none" w:sz="0" w:space="0" w:color="auto"/>
      </w:divBdr>
    </w:div>
    <w:div w:id="1380393406">
      <w:bodyDiv w:val="1"/>
      <w:marLeft w:val="0"/>
      <w:marRight w:val="0"/>
      <w:marTop w:val="0"/>
      <w:marBottom w:val="0"/>
      <w:divBdr>
        <w:top w:val="none" w:sz="0" w:space="0" w:color="auto"/>
        <w:left w:val="none" w:sz="0" w:space="0" w:color="auto"/>
        <w:bottom w:val="none" w:sz="0" w:space="0" w:color="auto"/>
        <w:right w:val="none" w:sz="0" w:space="0" w:color="auto"/>
      </w:divBdr>
      <w:divsChild>
        <w:div w:id="1623919870">
          <w:blockQuote w:val="1"/>
          <w:marLeft w:val="0"/>
          <w:marRight w:val="0"/>
          <w:marTop w:val="0"/>
          <w:marBottom w:val="0"/>
          <w:divBdr>
            <w:top w:val="none" w:sz="0" w:space="0" w:color="auto"/>
            <w:left w:val="single" w:sz="12" w:space="14" w:color="A3A3A3"/>
            <w:bottom w:val="none" w:sz="0" w:space="0" w:color="auto"/>
            <w:right w:val="none" w:sz="0" w:space="0" w:color="auto"/>
          </w:divBdr>
        </w:div>
        <w:div w:id="100341821">
          <w:blockQuote w:val="1"/>
          <w:marLeft w:val="0"/>
          <w:marRight w:val="0"/>
          <w:marTop w:val="0"/>
          <w:marBottom w:val="0"/>
          <w:divBdr>
            <w:top w:val="none" w:sz="0" w:space="0" w:color="auto"/>
            <w:left w:val="single" w:sz="12" w:space="14" w:color="A3A3A3"/>
            <w:bottom w:val="none" w:sz="0" w:space="0" w:color="auto"/>
            <w:right w:val="none" w:sz="0" w:space="0" w:color="auto"/>
          </w:divBdr>
        </w:div>
        <w:div w:id="1874614703">
          <w:blockQuote w:val="1"/>
          <w:marLeft w:val="0"/>
          <w:marRight w:val="0"/>
          <w:marTop w:val="0"/>
          <w:marBottom w:val="0"/>
          <w:divBdr>
            <w:top w:val="none" w:sz="0" w:space="0" w:color="auto"/>
            <w:left w:val="single" w:sz="12" w:space="14" w:color="A3A3A3"/>
            <w:bottom w:val="none" w:sz="0" w:space="0" w:color="auto"/>
            <w:right w:val="none" w:sz="0" w:space="0" w:color="auto"/>
          </w:divBdr>
        </w:div>
        <w:div w:id="8227424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75248755">
      <w:bodyDiv w:val="1"/>
      <w:marLeft w:val="0"/>
      <w:marRight w:val="0"/>
      <w:marTop w:val="0"/>
      <w:marBottom w:val="0"/>
      <w:divBdr>
        <w:top w:val="none" w:sz="0" w:space="0" w:color="auto"/>
        <w:left w:val="none" w:sz="0" w:space="0" w:color="auto"/>
        <w:bottom w:val="none" w:sz="0" w:space="0" w:color="auto"/>
        <w:right w:val="none" w:sz="0" w:space="0" w:color="auto"/>
      </w:divBdr>
    </w:div>
    <w:div w:id="1832408194">
      <w:bodyDiv w:val="1"/>
      <w:marLeft w:val="0"/>
      <w:marRight w:val="0"/>
      <w:marTop w:val="0"/>
      <w:marBottom w:val="0"/>
      <w:divBdr>
        <w:top w:val="none" w:sz="0" w:space="0" w:color="auto"/>
        <w:left w:val="none" w:sz="0" w:space="0" w:color="auto"/>
        <w:bottom w:val="none" w:sz="0" w:space="0" w:color="auto"/>
        <w:right w:val="none" w:sz="0" w:space="0" w:color="auto"/>
      </w:divBdr>
      <w:divsChild>
        <w:div w:id="1614946808">
          <w:blockQuote w:val="1"/>
          <w:marLeft w:val="0"/>
          <w:marRight w:val="0"/>
          <w:marTop w:val="0"/>
          <w:marBottom w:val="0"/>
          <w:divBdr>
            <w:top w:val="none" w:sz="0" w:space="0" w:color="auto"/>
            <w:left w:val="single" w:sz="12" w:space="14" w:color="A3A3A3"/>
            <w:bottom w:val="none" w:sz="0" w:space="0" w:color="auto"/>
            <w:right w:val="none" w:sz="0" w:space="0" w:color="auto"/>
          </w:divBdr>
        </w:div>
        <w:div w:id="791947082">
          <w:blockQuote w:val="1"/>
          <w:marLeft w:val="0"/>
          <w:marRight w:val="0"/>
          <w:marTop w:val="0"/>
          <w:marBottom w:val="0"/>
          <w:divBdr>
            <w:top w:val="none" w:sz="0" w:space="0" w:color="auto"/>
            <w:left w:val="single" w:sz="12" w:space="14" w:color="A3A3A3"/>
            <w:bottom w:val="none" w:sz="0" w:space="0" w:color="auto"/>
            <w:right w:val="none" w:sz="0" w:space="0" w:color="auto"/>
          </w:divBdr>
        </w:div>
        <w:div w:id="1642077308">
          <w:blockQuote w:val="1"/>
          <w:marLeft w:val="0"/>
          <w:marRight w:val="0"/>
          <w:marTop w:val="0"/>
          <w:marBottom w:val="0"/>
          <w:divBdr>
            <w:top w:val="none" w:sz="0" w:space="0" w:color="auto"/>
            <w:left w:val="single" w:sz="12" w:space="14" w:color="A3A3A3"/>
            <w:bottom w:val="none" w:sz="0" w:space="0" w:color="auto"/>
            <w:right w:val="none" w:sz="0" w:space="0" w:color="auto"/>
          </w:divBdr>
        </w:div>
        <w:div w:id="1501115245">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209388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eufm.12425" TargetMode="External"/><Relationship Id="rId18" Type="http://schemas.openxmlformats.org/officeDocument/2006/relationships/hyperlink" Target="https://doi.org/10.1016/j.enpol.2019.111052" TargetMode="External"/><Relationship Id="rId26" Type="http://schemas.openxmlformats.org/officeDocument/2006/relationships/hyperlink" Target="https://doi.org/10.1016/j.frl.2024.105423" TargetMode="External"/><Relationship Id="rId3" Type="http://schemas.openxmlformats.org/officeDocument/2006/relationships/styles" Target="styles.xml"/><Relationship Id="rId21" Type="http://schemas.openxmlformats.org/officeDocument/2006/relationships/hyperlink" Target="https://doi.org/10.1016/j.jpubeco.2014.10.00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3390/su12093817" TargetMode="External"/><Relationship Id="rId17" Type="http://schemas.openxmlformats.org/officeDocument/2006/relationships/hyperlink" Target="https://doi.org/10.3390/su13084256" TargetMode="External"/><Relationship Id="rId25" Type="http://schemas.openxmlformats.org/officeDocument/2006/relationships/hyperlink" Target="https://doi.org/10.1016/j.jclepro.2023.138236" TargetMode="External"/><Relationship Id="rId33" Type="http://schemas.openxmlformats.org/officeDocument/2006/relationships/hyperlink" Target="https://doi.org/10.1177/0001839221102455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egyr.2023.05.270" TargetMode="External"/><Relationship Id="rId20" Type="http://schemas.openxmlformats.org/officeDocument/2006/relationships/hyperlink" Target="https://doi.org/10.1257/000282803321947425" TargetMode="External"/><Relationship Id="rId29" Type="http://schemas.openxmlformats.org/officeDocument/2006/relationships/hyperlink" Target="https://doi.org/10.1002/csr.2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CFRI-09-2020-0141" TargetMode="External"/><Relationship Id="rId24" Type="http://schemas.openxmlformats.org/officeDocument/2006/relationships/hyperlink" Target="https://doi.org/10.1016/j.jfineco.2021.07.022" TargetMode="External"/><Relationship Id="rId32" Type="http://schemas.openxmlformats.org/officeDocument/2006/relationships/hyperlink" Target="https://doi.org/10.1016/j.egyr.2023.08.05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1/joms.12555" TargetMode="External"/><Relationship Id="rId23" Type="http://schemas.openxmlformats.org/officeDocument/2006/relationships/hyperlink" Target="https://doi.org/10.26650/JECS2023-1278968" TargetMode="External"/><Relationship Id="rId28" Type="http://schemas.openxmlformats.org/officeDocument/2006/relationships/hyperlink" Target="https://doi.org/10.1007/s10551-013-1944-3" TargetMode="External"/><Relationship Id="rId36" Type="http://schemas.openxmlformats.org/officeDocument/2006/relationships/header" Target="header3.xml"/><Relationship Id="rId10" Type="http://schemas.openxmlformats.org/officeDocument/2006/relationships/hyperlink" Target="https://www.deepseek.com/" TargetMode="External"/><Relationship Id="rId19" Type="http://schemas.openxmlformats.org/officeDocument/2006/relationships/hyperlink" Target="https://doi.org/10.1002/eet.507" TargetMode="External"/><Relationship Id="rId31" Type="http://schemas.openxmlformats.org/officeDocument/2006/relationships/hyperlink" Target="https://doi.org/10.1016/j.ecolecon.2021.1071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aos.2007.05.003" TargetMode="External"/><Relationship Id="rId22" Type="http://schemas.openxmlformats.org/officeDocument/2006/relationships/hyperlink" Target="https://doi.org/10.1016/j.jclepro.2023.137584" TargetMode="External"/><Relationship Id="rId27" Type="http://schemas.openxmlformats.org/officeDocument/2006/relationships/hyperlink" Target="https://doi.org/10.1016/j.eneco.2022.106000" TargetMode="External"/><Relationship Id="rId30" Type="http://schemas.openxmlformats.org/officeDocument/2006/relationships/hyperlink" Target="https://doi.org/10.1002/bse.3160" TargetMode="External"/><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03E9-6E15-4C48-9CA4-3EFDA096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11126</Words>
  <Characters>71877</Characters>
  <Application>Microsoft Office Word</Application>
  <DocSecurity>0</DocSecurity>
  <Lines>598</Lines>
  <Paragraphs>165</Paragraphs>
  <ScaleCrop>false</ScaleCrop>
  <Company/>
  <LinksUpToDate>false</LinksUpToDate>
  <CharactersWithSpaces>82838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 泽源</dc:creator>
  <dc:description>NE.Ref</dc:description>
  <cp:lastModifiedBy>Editor GP 005</cp:lastModifiedBy>
  <cp:revision>20</cp:revision>
  <cp:lastPrinted>2022-10-29T10:04:00Z</cp:lastPrinted>
  <dcterms:created xsi:type="dcterms:W3CDTF">2025-06-17T07:55:00Z</dcterms:created>
  <dcterms:modified xsi:type="dcterms:W3CDTF">2025-07-03T12:11:00Z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B4F6E421C5804ADCB513185C3D5D55F0_13</vt:lpwstr>
  </property>
  <property fmtid="{D5CDD505-2E9C-101B-9397-08002B2CF9AE}" pid="4" name="KSOTemplateDocerSaveRecord">
    <vt:lpwstr>eyJoZGlkIjoiM2ViYzJkOWJjZDY2ZTMwZjY2MTE4MWU5NWRiY2MwMWIiLCJ1c2VySWQiOiIxMzY1NzQ3NTA2In0=</vt:lpwstr>
  </property>
</Properties>
</file>