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A125C" w14:textId="6B4A695F" w:rsidR="003A2244" w:rsidRDefault="003A2244" w:rsidP="009E5DEB">
      <w:pPr>
        <w:spacing w:line="276" w:lineRule="auto"/>
        <w:rPr>
          <w:rFonts w:ascii="Arial" w:hAnsi="Arial" w:cs="Arial"/>
          <w:b/>
          <w:i/>
          <w:sz w:val="36"/>
          <w:szCs w:val="36"/>
        </w:rPr>
      </w:pPr>
      <w:r w:rsidRPr="003A2244">
        <w:rPr>
          <w:rFonts w:ascii="Arial" w:hAnsi="Arial" w:cs="Arial"/>
          <w:b/>
          <w:bCs/>
          <w:i/>
          <w:iCs/>
          <w:sz w:val="36"/>
          <w:szCs w:val="36"/>
          <w:u w:val="single"/>
          <w:lang w:val="en-US"/>
        </w:rPr>
        <w:t>Original Research Article</w:t>
      </w:r>
    </w:p>
    <w:p w14:paraId="6756AD51" w14:textId="62FC154D" w:rsidR="00A12A10" w:rsidRPr="00CB2B31" w:rsidRDefault="00BE5190" w:rsidP="009E5DEB">
      <w:pPr>
        <w:spacing w:line="276" w:lineRule="auto"/>
        <w:rPr>
          <w:rFonts w:ascii="Arial" w:hAnsi="Arial" w:cs="Arial"/>
          <w:b/>
          <w:i/>
          <w:sz w:val="36"/>
          <w:szCs w:val="36"/>
        </w:rPr>
      </w:pPr>
      <w:r w:rsidRPr="00CB2B31">
        <w:rPr>
          <w:rFonts w:ascii="Arial" w:hAnsi="Arial" w:cs="Arial"/>
          <w:b/>
          <w:i/>
          <w:sz w:val="36"/>
          <w:szCs w:val="36"/>
        </w:rPr>
        <w:t>Clinical and Echocardiographic Characterization of Structural Heart Disease in Patients with Left Bundle Branch Block</w:t>
      </w:r>
    </w:p>
    <w:p w14:paraId="0343F969" w14:textId="77777777" w:rsidR="00A12A10" w:rsidRPr="009E5DEB" w:rsidRDefault="00A12A10" w:rsidP="009E5DEB">
      <w:pPr>
        <w:spacing w:line="276" w:lineRule="auto"/>
        <w:rPr>
          <w:rFonts w:ascii="Arial" w:hAnsi="Arial" w:cs="Arial"/>
          <w:sz w:val="22"/>
          <w:szCs w:val="22"/>
        </w:rPr>
      </w:pPr>
    </w:p>
    <w:p w14:paraId="388EDD15" w14:textId="77777777" w:rsidR="003A2244" w:rsidRPr="009E5DEB" w:rsidRDefault="003A2244" w:rsidP="009E5DEB">
      <w:pPr>
        <w:spacing w:line="276" w:lineRule="auto"/>
        <w:ind w:left="360"/>
        <w:rPr>
          <w:rFonts w:ascii="Arial" w:hAnsi="Arial" w:cs="Arial"/>
          <w:sz w:val="22"/>
          <w:szCs w:val="22"/>
        </w:rPr>
      </w:pPr>
    </w:p>
    <w:p w14:paraId="0A39D048" w14:textId="77777777" w:rsidR="00A12A10" w:rsidRPr="00020146" w:rsidRDefault="00020146" w:rsidP="009E5DEB">
      <w:pPr>
        <w:spacing w:line="276" w:lineRule="auto"/>
        <w:rPr>
          <w:rFonts w:ascii="Arial" w:hAnsi="Arial" w:cs="Arial"/>
          <w:b/>
          <w:sz w:val="22"/>
          <w:szCs w:val="22"/>
          <w:u w:val="single"/>
        </w:rPr>
      </w:pPr>
      <w:r>
        <w:rPr>
          <w:rFonts w:ascii="Arial" w:hAnsi="Arial" w:cs="Arial"/>
          <w:b/>
          <w:sz w:val="22"/>
          <w:szCs w:val="22"/>
          <w:u w:val="single"/>
        </w:rPr>
        <w:t>ABSTRACT</w:t>
      </w:r>
    </w:p>
    <w:p w14:paraId="66F80084" w14:textId="77777777" w:rsidR="009E5DEB" w:rsidRDefault="009E5DEB" w:rsidP="009E5DEB">
      <w:pPr>
        <w:spacing w:line="276" w:lineRule="auto"/>
        <w:rPr>
          <w:rFonts w:ascii="Arial" w:hAnsi="Arial" w:cs="Arial"/>
          <w:bCs/>
          <w:sz w:val="22"/>
          <w:szCs w:val="22"/>
          <w:lang w:val="en-US"/>
        </w:rPr>
      </w:pPr>
      <w:r w:rsidRPr="009E5DEB">
        <w:rPr>
          <w:rFonts w:ascii="Arial" w:hAnsi="Arial" w:cs="Arial"/>
          <w:b/>
          <w:sz w:val="22"/>
          <w:szCs w:val="22"/>
          <w:lang w:val="en-US"/>
        </w:rPr>
        <w:t>Background:</w:t>
      </w:r>
      <w:r w:rsidRPr="009E5DEB">
        <w:rPr>
          <w:rFonts w:ascii="Arial" w:hAnsi="Arial" w:cs="Arial"/>
          <w:bCs/>
          <w:sz w:val="22"/>
          <w:szCs w:val="22"/>
          <w:lang w:val="en-US"/>
        </w:rPr>
        <w:br/>
        <w:t>Left bundle branch block (LBBB) is a notable electrocardiographic finding often associated with underlying structural heart disease (SHD). It may signify the presence of myocardial or valvular pathology, cardiomyopathy, or coronary artery disease (CAD). This study aimed to evaluate the prevalence of SHD among patients with LBBB and to compare the clinical and echocardiographic profiles between those with and without SHD.</w:t>
      </w:r>
    </w:p>
    <w:p w14:paraId="5338C828" w14:textId="77777777" w:rsidR="009E5DEB" w:rsidRDefault="009E5DEB" w:rsidP="009E5DEB">
      <w:pPr>
        <w:spacing w:line="276" w:lineRule="auto"/>
        <w:rPr>
          <w:rFonts w:ascii="Arial" w:hAnsi="Arial" w:cs="Arial"/>
          <w:bCs/>
          <w:sz w:val="22"/>
          <w:szCs w:val="22"/>
          <w:lang w:val="en-US"/>
        </w:rPr>
      </w:pPr>
      <w:r w:rsidRPr="00CB2B31">
        <w:rPr>
          <w:rFonts w:ascii="Arial" w:hAnsi="Arial" w:cs="Arial"/>
          <w:b/>
          <w:sz w:val="22"/>
          <w:szCs w:val="22"/>
          <w:lang w:val="en-US"/>
        </w:rPr>
        <w:t>Study Design</w:t>
      </w:r>
      <w:r>
        <w:rPr>
          <w:rFonts w:ascii="Arial" w:hAnsi="Arial" w:cs="Arial"/>
          <w:bCs/>
          <w:sz w:val="22"/>
          <w:szCs w:val="22"/>
          <w:lang w:val="en-US"/>
        </w:rPr>
        <w:t>: Retrospective Observational Study</w:t>
      </w:r>
    </w:p>
    <w:p w14:paraId="44637834" w14:textId="77777777" w:rsidR="009E5DEB" w:rsidRPr="009E5DEB" w:rsidRDefault="009E5DEB" w:rsidP="009E5DEB">
      <w:pPr>
        <w:spacing w:line="276" w:lineRule="auto"/>
        <w:rPr>
          <w:rFonts w:ascii="Arial" w:hAnsi="Arial" w:cs="Arial"/>
          <w:bCs/>
          <w:sz w:val="22"/>
          <w:szCs w:val="22"/>
          <w:lang w:val="en-US"/>
        </w:rPr>
      </w:pPr>
      <w:r w:rsidRPr="00CB2B31">
        <w:rPr>
          <w:rFonts w:ascii="Arial" w:hAnsi="Arial" w:cs="Arial"/>
          <w:b/>
          <w:sz w:val="22"/>
          <w:szCs w:val="22"/>
          <w:lang w:val="en-US"/>
        </w:rPr>
        <w:t>Place and Duration of study:</w:t>
      </w:r>
      <w:r>
        <w:rPr>
          <w:rFonts w:ascii="Arial" w:hAnsi="Arial" w:cs="Arial"/>
          <w:bCs/>
          <w:sz w:val="22"/>
          <w:szCs w:val="22"/>
          <w:lang w:val="en-US"/>
        </w:rPr>
        <w:t xml:space="preserve"> </w:t>
      </w:r>
      <w:r w:rsidR="00CB2B31">
        <w:rPr>
          <w:rFonts w:ascii="Arial" w:hAnsi="Arial" w:cs="Arial"/>
          <w:bCs/>
          <w:sz w:val="22"/>
          <w:szCs w:val="22"/>
          <w:lang w:val="en-US"/>
        </w:rPr>
        <w:t xml:space="preserve">Department of Cardiology, KIMSHEALTH, Trivandrum, from </w:t>
      </w:r>
      <w:r w:rsidR="00CB2B31" w:rsidRPr="009E5DEB">
        <w:rPr>
          <w:rFonts w:ascii="Arial" w:hAnsi="Arial" w:cs="Arial"/>
          <w:sz w:val="22"/>
          <w:szCs w:val="22"/>
        </w:rPr>
        <w:t>January 2019 and January 2024</w:t>
      </w:r>
      <w:r w:rsidR="00CB2B31">
        <w:rPr>
          <w:rFonts w:ascii="Arial" w:hAnsi="Arial" w:cs="Arial"/>
          <w:sz w:val="22"/>
          <w:szCs w:val="22"/>
        </w:rPr>
        <w:t>.</w:t>
      </w:r>
    </w:p>
    <w:p w14:paraId="37073C48" w14:textId="17FCE85D" w:rsidR="009E5DEB" w:rsidRPr="00AE6F33" w:rsidRDefault="009E5DEB" w:rsidP="009E5DEB">
      <w:pPr>
        <w:spacing w:line="276" w:lineRule="auto"/>
        <w:rPr>
          <w:rFonts w:ascii="Arial" w:hAnsi="Arial" w:cs="Arial"/>
          <w:sz w:val="22"/>
          <w:szCs w:val="22"/>
        </w:rPr>
      </w:pPr>
      <w:r w:rsidRPr="009E5DEB">
        <w:rPr>
          <w:rFonts w:ascii="Arial" w:hAnsi="Arial" w:cs="Arial"/>
          <w:b/>
          <w:sz w:val="22"/>
          <w:szCs w:val="22"/>
          <w:lang w:val="en-US"/>
        </w:rPr>
        <w:t>Methods:</w:t>
      </w:r>
      <w:r w:rsidRPr="009E5DEB">
        <w:rPr>
          <w:rFonts w:ascii="Arial" w:hAnsi="Arial" w:cs="Arial"/>
          <w:bCs/>
          <w:sz w:val="22"/>
          <w:szCs w:val="22"/>
          <w:lang w:val="en-US"/>
        </w:rPr>
        <w:br/>
        <w:t>We retrospectively analyzed 159 patients diagnosed with LBBB, including 96 males and 63 females, with a mean age of 67 ± 10 years. Clinical data were collected regarding the presence of hypertension, diabetes, and symptoms such as chest pain. Echocardiographic assessments were used to evaluate left ventricular systolic function and dimensions. Patients were divided into two groups: SHD and No SHD. Statistical analyses were conducted to identify significant differences in clinical and echocardiographic characteristics between groups.</w:t>
      </w:r>
      <w:r w:rsidR="00AE6F33">
        <w:rPr>
          <w:rFonts w:ascii="Arial" w:hAnsi="Arial" w:cs="Arial"/>
          <w:bCs/>
          <w:sz w:val="22"/>
          <w:szCs w:val="22"/>
          <w:lang w:val="en-US"/>
        </w:rPr>
        <w:t xml:space="preserve"> </w:t>
      </w:r>
      <w:r w:rsidR="00AE6F33" w:rsidRPr="00E63B71">
        <w:rPr>
          <w:rFonts w:ascii="Arial" w:hAnsi="Arial" w:cs="Arial"/>
          <w:sz w:val="22"/>
          <w:szCs w:val="22"/>
        </w:rPr>
        <w:t>Approval for the study was obtained from the institutional ethics committee.</w:t>
      </w:r>
    </w:p>
    <w:p w14:paraId="2BA06462" w14:textId="77777777" w:rsidR="009E5DEB" w:rsidRPr="009E5DEB" w:rsidRDefault="009E5DEB" w:rsidP="009E5DEB">
      <w:pPr>
        <w:spacing w:line="276" w:lineRule="auto"/>
        <w:rPr>
          <w:rFonts w:ascii="Arial" w:hAnsi="Arial" w:cs="Arial"/>
          <w:bCs/>
          <w:sz w:val="22"/>
          <w:szCs w:val="22"/>
          <w:lang w:val="en-US"/>
        </w:rPr>
      </w:pPr>
      <w:r w:rsidRPr="009E5DEB">
        <w:rPr>
          <w:rFonts w:ascii="Arial" w:hAnsi="Arial" w:cs="Arial"/>
          <w:b/>
          <w:sz w:val="22"/>
          <w:szCs w:val="22"/>
          <w:lang w:val="en-US"/>
        </w:rPr>
        <w:t>Results:</w:t>
      </w:r>
      <w:r w:rsidRPr="009E5DEB">
        <w:rPr>
          <w:rFonts w:ascii="Arial" w:hAnsi="Arial" w:cs="Arial"/>
          <w:bCs/>
          <w:sz w:val="22"/>
          <w:szCs w:val="22"/>
          <w:lang w:val="en-US"/>
        </w:rPr>
        <w:br/>
        <w:t>Of the 159 patients, 72.3% had evidence of SHD. A significantly higher proportion of males were observed in the SHD group compared to the No SHD group (64.3% vs. 40.9%, p = 0.006). Chest pain was more common in the SHD group (53.9% vs. 29.5%, p = 0.002), and a higher New York Heart Association (NYHA) functional class indicated poorer functional capacity (p &lt; 0.001). Echocardiographic findings showed a lower mean ejection fraction (44.0 ± 8.0 vs. 61.7 ± 10.0, p &lt; 0.001) and significantly larger left ventricular internal dimensions in diastole and systole in the SHD group. Among patients undergoing coronary angiography, the left anterior descending artery (LAD) was most frequently affected in single-vessel disease (49.1%), followed by the LCX (28.07%), RCA (17.54%), and LMCA (5.2%).</w:t>
      </w:r>
    </w:p>
    <w:p w14:paraId="4337CF5B" w14:textId="77777777" w:rsidR="009E5DEB" w:rsidRPr="009E5DEB" w:rsidRDefault="009E5DEB" w:rsidP="009E5DEB">
      <w:pPr>
        <w:spacing w:line="276" w:lineRule="auto"/>
        <w:rPr>
          <w:rFonts w:ascii="Arial" w:hAnsi="Arial" w:cs="Arial"/>
          <w:bCs/>
          <w:sz w:val="22"/>
          <w:szCs w:val="22"/>
          <w:lang w:val="en-US"/>
        </w:rPr>
      </w:pPr>
      <w:r w:rsidRPr="009E5DEB">
        <w:rPr>
          <w:rFonts w:ascii="Arial" w:hAnsi="Arial" w:cs="Arial"/>
          <w:b/>
          <w:sz w:val="22"/>
          <w:szCs w:val="22"/>
          <w:lang w:val="en-US"/>
        </w:rPr>
        <w:t>Conclusion:</w:t>
      </w:r>
      <w:r w:rsidRPr="009E5DEB">
        <w:rPr>
          <w:rFonts w:ascii="Arial" w:hAnsi="Arial" w:cs="Arial"/>
          <w:bCs/>
          <w:sz w:val="22"/>
          <w:szCs w:val="22"/>
          <w:lang w:val="en-US"/>
        </w:rPr>
        <w:br/>
        <w:t>LBBB is frequently associated with SHD, and its presence should prompt detailed cardiac evaluation. Marked differences in clinical symptoms and echocardiographic parameters support LBBB as a significant marker of underlying cardiac pathology.</w:t>
      </w:r>
    </w:p>
    <w:p w14:paraId="4F1AA209" w14:textId="77777777" w:rsidR="00CB2B31" w:rsidRDefault="00CB2B31" w:rsidP="009E5DEB">
      <w:pPr>
        <w:spacing w:line="276" w:lineRule="auto"/>
        <w:rPr>
          <w:rFonts w:ascii="Arial" w:hAnsi="Arial" w:cs="Arial"/>
          <w:b/>
          <w:sz w:val="22"/>
          <w:szCs w:val="22"/>
        </w:rPr>
      </w:pPr>
    </w:p>
    <w:p w14:paraId="4BC71427" w14:textId="77777777" w:rsidR="00A12A10" w:rsidRPr="009E5DEB" w:rsidRDefault="00BE5190" w:rsidP="009E5DEB">
      <w:pPr>
        <w:spacing w:line="276" w:lineRule="auto"/>
        <w:rPr>
          <w:rFonts w:ascii="Arial" w:hAnsi="Arial" w:cs="Arial"/>
          <w:b/>
          <w:sz w:val="22"/>
          <w:szCs w:val="22"/>
        </w:rPr>
      </w:pPr>
      <w:r w:rsidRPr="009E5DEB">
        <w:rPr>
          <w:rFonts w:ascii="Arial" w:hAnsi="Arial" w:cs="Arial"/>
          <w:b/>
          <w:sz w:val="22"/>
          <w:szCs w:val="22"/>
        </w:rPr>
        <w:t>Keywords</w:t>
      </w:r>
    </w:p>
    <w:p w14:paraId="2F5CF0B0" w14:textId="77777777" w:rsidR="00A12A10" w:rsidRPr="00024598" w:rsidRDefault="00BE5190" w:rsidP="00024598">
      <w:pPr>
        <w:spacing w:line="276" w:lineRule="auto"/>
        <w:jc w:val="both"/>
        <w:rPr>
          <w:rFonts w:ascii="Arial" w:hAnsi="Arial" w:cs="Arial"/>
          <w:i/>
          <w:iCs/>
          <w:sz w:val="22"/>
          <w:szCs w:val="22"/>
        </w:rPr>
      </w:pPr>
      <w:r w:rsidRPr="00024598">
        <w:rPr>
          <w:rFonts w:ascii="Arial" w:hAnsi="Arial" w:cs="Arial"/>
          <w:i/>
          <w:iCs/>
          <w:sz w:val="22"/>
          <w:szCs w:val="22"/>
        </w:rPr>
        <w:t>Coronary Artery Disease, Echocardiography, Functional Capacity,  Left Bundle Branch Block, Structural Heart Disease.</w:t>
      </w:r>
    </w:p>
    <w:p w14:paraId="1B8A6595" w14:textId="77777777" w:rsidR="00A12A10" w:rsidRPr="009E5DEB" w:rsidRDefault="00A12A10" w:rsidP="009E5DEB">
      <w:pPr>
        <w:spacing w:line="276" w:lineRule="auto"/>
        <w:rPr>
          <w:rFonts w:ascii="Arial" w:hAnsi="Arial" w:cs="Arial"/>
          <w:sz w:val="22"/>
          <w:szCs w:val="22"/>
        </w:rPr>
      </w:pPr>
    </w:p>
    <w:p w14:paraId="2767D035" w14:textId="77777777" w:rsidR="00A12A10" w:rsidRPr="009E5DEB" w:rsidRDefault="00A12A10" w:rsidP="009E5DEB">
      <w:pPr>
        <w:spacing w:line="276" w:lineRule="auto"/>
        <w:rPr>
          <w:rFonts w:ascii="Arial" w:hAnsi="Arial" w:cs="Arial"/>
          <w:sz w:val="22"/>
          <w:szCs w:val="22"/>
        </w:rPr>
      </w:pPr>
    </w:p>
    <w:p w14:paraId="54AB5B3E" w14:textId="77777777" w:rsidR="00A12A10" w:rsidRPr="009E5DEB" w:rsidRDefault="00A12A10" w:rsidP="009E5DEB">
      <w:pPr>
        <w:spacing w:line="276" w:lineRule="auto"/>
        <w:rPr>
          <w:rFonts w:ascii="Arial" w:hAnsi="Arial" w:cs="Arial"/>
          <w:sz w:val="22"/>
          <w:szCs w:val="22"/>
        </w:rPr>
      </w:pPr>
    </w:p>
    <w:p w14:paraId="4CD83922" w14:textId="77777777" w:rsidR="00A12A10" w:rsidRPr="00020146" w:rsidRDefault="00BE5190" w:rsidP="00020146">
      <w:pPr>
        <w:pStyle w:val="ListParagraph"/>
        <w:numPr>
          <w:ilvl w:val="0"/>
          <w:numId w:val="3"/>
        </w:numPr>
        <w:spacing w:line="276" w:lineRule="auto"/>
        <w:rPr>
          <w:rFonts w:ascii="Arial" w:hAnsi="Arial" w:cs="Arial"/>
          <w:b/>
          <w:sz w:val="22"/>
          <w:szCs w:val="22"/>
          <w:u w:val="single"/>
        </w:rPr>
      </w:pPr>
      <w:r w:rsidRPr="00020146">
        <w:rPr>
          <w:rFonts w:ascii="Arial" w:hAnsi="Arial" w:cs="Arial"/>
          <w:b/>
          <w:sz w:val="22"/>
          <w:szCs w:val="22"/>
          <w:u w:val="single"/>
        </w:rPr>
        <w:t>INTRODUCTION</w:t>
      </w:r>
    </w:p>
    <w:p w14:paraId="1E149E80" w14:textId="77777777" w:rsidR="00A12A10" w:rsidRPr="009E5DEB" w:rsidRDefault="00A12A10" w:rsidP="009E5DEB">
      <w:pPr>
        <w:spacing w:line="276" w:lineRule="auto"/>
        <w:rPr>
          <w:rFonts w:ascii="Arial" w:hAnsi="Arial" w:cs="Arial"/>
          <w:sz w:val="22"/>
          <w:szCs w:val="22"/>
        </w:rPr>
      </w:pPr>
    </w:p>
    <w:p w14:paraId="1811637A"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Left bundle branch block (LBBB) is an electrocardiographic abnormality increasingly recognized for its significant implications for cardiovascular health. While historically viewed as a mere conduction disturbance, accumulating evidence suggests that LBBB often indicates underlying structural heart disease (SHD), including valvular pathology, cardiomyopathy, and coronary artery disease (CAD)</w:t>
      </w:r>
      <w:r w:rsidRPr="009E5DEB">
        <w:rPr>
          <w:rFonts w:ascii="Arial" w:hAnsi="Arial" w:cs="Arial"/>
          <w:sz w:val="22"/>
          <w:szCs w:val="22"/>
          <w:vertAlign w:val="superscript"/>
        </w:rPr>
        <w:t>1,2</w:t>
      </w:r>
      <w:r w:rsidRPr="009E5DEB">
        <w:rPr>
          <w:rFonts w:ascii="Arial" w:hAnsi="Arial" w:cs="Arial"/>
          <w:sz w:val="22"/>
          <w:szCs w:val="22"/>
        </w:rPr>
        <w:t>.</w:t>
      </w:r>
    </w:p>
    <w:p w14:paraId="6E220407" w14:textId="77777777" w:rsidR="00A12A10" w:rsidRPr="009E5DEB" w:rsidRDefault="00A12A10" w:rsidP="009E5DEB">
      <w:pPr>
        <w:spacing w:line="276" w:lineRule="auto"/>
        <w:rPr>
          <w:rFonts w:ascii="Arial" w:hAnsi="Arial" w:cs="Arial"/>
          <w:sz w:val="22"/>
          <w:szCs w:val="22"/>
        </w:rPr>
      </w:pPr>
    </w:p>
    <w:p w14:paraId="2A01700A"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Despite the established association between LBBB and various cardiovascular conditions, a comprehensive understanding of the clinical characteristics and functional implications within specific patient populations remains limited. Studies have shown that LBBB is more prevalent among males and is frequently linked to significant cardiac comorbidities</w:t>
      </w:r>
      <w:r w:rsidRPr="009E5DEB">
        <w:rPr>
          <w:rFonts w:ascii="Arial" w:hAnsi="Arial" w:cs="Arial"/>
          <w:sz w:val="22"/>
          <w:szCs w:val="22"/>
          <w:vertAlign w:val="superscript"/>
        </w:rPr>
        <w:t>1,2</w:t>
      </w:r>
      <w:r w:rsidRPr="009E5DEB">
        <w:rPr>
          <w:rFonts w:ascii="Arial" w:hAnsi="Arial" w:cs="Arial"/>
          <w:sz w:val="22"/>
          <w:szCs w:val="22"/>
        </w:rPr>
        <w:t>. Furthermore, LBBB may play a causative role in the development of dilated cardiomyopathy and heart failure. However, the extent to which these associations manifest in diverse cohorts, particularly concerning functional capacity and echocardiographic findings, warrants further investigation</w:t>
      </w:r>
      <w:r w:rsidRPr="009E5DEB">
        <w:rPr>
          <w:rFonts w:ascii="Arial" w:hAnsi="Arial" w:cs="Arial"/>
          <w:sz w:val="22"/>
          <w:szCs w:val="22"/>
          <w:vertAlign w:val="superscript"/>
        </w:rPr>
        <w:t>1</w:t>
      </w:r>
      <w:r w:rsidRPr="009E5DEB">
        <w:rPr>
          <w:rFonts w:ascii="Arial" w:hAnsi="Arial" w:cs="Arial"/>
          <w:sz w:val="22"/>
          <w:szCs w:val="22"/>
        </w:rPr>
        <w:t>.</w:t>
      </w:r>
    </w:p>
    <w:p w14:paraId="1433EDE7"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This study aims to elucidate the clinical and echocardiographic characteristics of patients diagnosed with LBBB, focusing on SHD. We intend to identify critical differences between those with and without SHD, enhancing our understanding of how LBBB may serve as an indicator of underlying cardiac dysfunction.</w:t>
      </w:r>
    </w:p>
    <w:p w14:paraId="273A6839" w14:textId="77777777" w:rsidR="00A12A10" w:rsidRPr="009E5DEB" w:rsidRDefault="00A12A10" w:rsidP="009E5DEB">
      <w:pPr>
        <w:spacing w:line="276" w:lineRule="auto"/>
        <w:rPr>
          <w:rFonts w:ascii="Arial" w:hAnsi="Arial" w:cs="Arial"/>
          <w:sz w:val="22"/>
          <w:szCs w:val="22"/>
        </w:rPr>
      </w:pPr>
    </w:p>
    <w:p w14:paraId="06BD1A1E" w14:textId="77777777" w:rsidR="00A12A10" w:rsidRPr="00020146" w:rsidRDefault="00BE5190" w:rsidP="00020146">
      <w:pPr>
        <w:pStyle w:val="ListParagraph"/>
        <w:numPr>
          <w:ilvl w:val="0"/>
          <w:numId w:val="3"/>
        </w:numPr>
        <w:spacing w:line="276" w:lineRule="auto"/>
        <w:rPr>
          <w:rFonts w:ascii="Arial" w:hAnsi="Arial" w:cs="Arial"/>
          <w:b/>
          <w:sz w:val="22"/>
          <w:szCs w:val="22"/>
          <w:u w:val="single"/>
        </w:rPr>
      </w:pPr>
      <w:r w:rsidRPr="00020146">
        <w:rPr>
          <w:rFonts w:ascii="Arial" w:hAnsi="Arial" w:cs="Arial"/>
          <w:b/>
          <w:sz w:val="22"/>
          <w:szCs w:val="22"/>
          <w:u w:val="single"/>
        </w:rPr>
        <w:t>METHODS</w:t>
      </w:r>
    </w:p>
    <w:p w14:paraId="1F9FA859" w14:textId="77777777" w:rsidR="00A12A10" w:rsidRPr="009E5DEB" w:rsidRDefault="00A12A10" w:rsidP="009E5DEB">
      <w:pPr>
        <w:spacing w:line="276" w:lineRule="auto"/>
        <w:rPr>
          <w:rFonts w:ascii="Arial" w:hAnsi="Arial" w:cs="Arial"/>
          <w:b/>
          <w:sz w:val="22"/>
          <w:szCs w:val="22"/>
        </w:rPr>
      </w:pPr>
    </w:p>
    <w:p w14:paraId="4B0A21B1" w14:textId="2C77C23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This observational, retrospective study involved the analysis of ECGs with LBBB from hospitalized and ambulatory patients at our tertiary care institute between January 2019 and January 2024. Patients over 18 years of age who had their TTE performed at an interval no longer than 6 months from the diagnostic ECG were included. Those who developed LBBB during an acute coronary syndrome or </w:t>
      </w:r>
      <w:r w:rsidR="000F7D4C">
        <w:rPr>
          <w:rFonts w:ascii="Arial" w:hAnsi="Arial" w:cs="Arial"/>
          <w:sz w:val="22"/>
          <w:szCs w:val="22"/>
        </w:rPr>
        <w:t xml:space="preserve">within </w:t>
      </w:r>
      <w:r w:rsidRPr="009E5DEB">
        <w:rPr>
          <w:rFonts w:ascii="Arial" w:hAnsi="Arial" w:cs="Arial"/>
          <w:sz w:val="22"/>
          <w:szCs w:val="22"/>
        </w:rPr>
        <w:t>24 hrs before death were excluded.</w:t>
      </w:r>
    </w:p>
    <w:p w14:paraId="5EBB6874" w14:textId="77777777" w:rsidR="00A12A10" w:rsidRPr="009E5DEB" w:rsidRDefault="00A12A10" w:rsidP="009E5DEB">
      <w:pPr>
        <w:spacing w:line="276" w:lineRule="auto"/>
        <w:rPr>
          <w:rFonts w:ascii="Arial" w:hAnsi="Arial" w:cs="Arial"/>
          <w:sz w:val="22"/>
          <w:szCs w:val="22"/>
        </w:rPr>
      </w:pPr>
    </w:p>
    <w:p w14:paraId="56A30C38"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The medical records of the included patients were reviewed to assess cardiovascular risk factors and past medical history. </w:t>
      </w:r>
    </w:p>
    <w:p w14:paraId="4818B7A1" w14:textId="77777777" w:rsidR="00A12A10" w:rsidRPr="009E5DEB" w:rsidRDefault="00A12A10" w:rsidP="009E5DEB">
      <w:pPr>
        <w:spacing w:line="276" w:lineRule="auto"/>
        <w:rPr>
          <w:rFonts w:ascii="Arial" w:hAnsi="Arial" w:cs="Arial"/>
          <w:sz w:val="22"/>
          <w:szCs w:val="22"/>
        </w:rPr>
      </w:pPr>
    </w:p>
    <w:p w14:paraId="77497BEB"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echocardiographic parameters that were surveyed include- Ejection fraction(normal-50-70%), Left ventricular internal diameter at end-diastole (normal- 3.5–5.6 cm), Left ventricular internal diameter at end-systole (normal- 2.0–4.0 cm) and MR grade.</w:t>
      </w:r>
    </w:p>
    <w:p w14:paraId="5923DDCE" w14:textId="77777777" w:rsidR="00A12A10" w:rsidRPr="009E5DEB" w:rsidRDefault="00A12A10" w:rsidP="009E5DEB">
      <w:pPr>
        <w:spacing w:line="276" w:lineRule="auto"/>
        <w:rPr>
          <w:rFonts w:ascii="Arial" w:hAnsi="Arial" w:cs="Arial"/>
          <w:sz w:val="22"/>
          <w:szCs w:val="22"/>
        </w:rPr>
      </w:pPr>
    </w:p>
    <w:p w14:paraId="5001165B" w14:textId="2CCD90B3"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The ECG variables that were </w:t>
      </w:r>
      <w:r w:rsidR="004E1E40" w:rsidRPr="009E5DEB">
        <w:rPr>
          <w:rFonts w:ascii="Arial" w:hAnsi="Arial" w:cs="Arial"/>
          <w:sz w:val="22"/>
          <w:szCs w:val="22"/>
        </w:rPr>
        <w:t>analysed</w:t>
      </w:r>
      <w:r w:rsidRPr="009E5DEB">
        <w:rPr>
          <w:rFonts w:ascii="Arial" w:hAnsi="Arial" w:cs="Arial"/>
          <w:sz w:val="22"/>
          <w:szCs w:val="22"/>
        </w:rPr>
        <w:t xml:space="preserve"> were QRS duration, QRS axis and the criterion described in the literature for the diagnosis of LBBB. </w:t>
      </w:r>
    </w:p>
    <w:p w14:paraId="54C377D3" w14:textId="77777777" w:rsidR="00A12A10" w:rsidRPr="009E5DEB" w:rsidRDefault="00A12A10" w:rsidP="009E5DEB">
      <w:pPr>
        <w:spacing w:line="276" w:lineRule="auto"/>
        <w:rPr>
          <w:rFonts w:ascii="Arial" w:hAnsi="Arial" w:cs="Arial"/>
          <w:sz w:val="22"/>
          <w:szCs w:val="22"/>
        </w:rPr>
      </w:pPr>
    </w:p>
    <w:p w14:paraId="69D8C087" w14:textId="77777777" w:rsidR="00A12A10" w:rsidRPr="009E5DEB" w:rsidRDefault="00A12A10" w:rsidP="009E5DEB">
      <w:pPr>
        <w:spacing w:line="276" w:lineRule="auto"/>
        <w:rPr>
          <w:rFonts w:ascii="Arial" w:hAnsi="Arial" w:cs="Arial"/>
          <w:sz w:val="22"/>
          <w:szCs w:val="22"/>
        </w:rPr>
      </w:pPr>
    </w:p>
    <w:p w14:paraId="3B5EE3F1"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diagnostic criteria for the inclusion of LBBB were:</w:t>
      </w:r>
    </w:p>
    <w:p w14:paraId="425B79C7" w14:textId="77777777"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 xml:space="preserve"> QRS duration greater than or equal to 120 ms in adults.</w:t>
      </w:r>
    </w:p>
    <w:p w14:paraId="4A5BB058" w14:textId="77777777"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Broad notched or slurred R wave in leads I, aVL, V</w:t>
      </w:r>
      <w:r w:rsidRPr="009E5DEB">
        <w:rPr>
          <w:rFonts w:ascii="Arial" w:hAnsi="Arial" w:cs="Arial"/>
          <w:color w:val="000000"/>
          <w:sz w:val="22"/>
          <w:szCs w:val="22"/>
          <w:vertAlign w:val="subscript"/>
        </w:rPr>
        <w:t>5</w:t>
      </w:r>
      <w:r w:rsidRPr="009E5DEB">
        <w:rPr>
          <w:rFonts w:ascii="Arial" w:hAnsi="Arial" w:cs="Arial"/>
          <w:color w:val="000000"/>
          <w:sz w:val="22"/>
          <w:szCs w:val="22"/>
        </w:rPr>
        <w:t>, and V</w:t>
      </w:r>
      <w:r w:rsidRPr="009E5DEB">
        <w:rPr>
          <w:rFonts w:ascii="Arial" w:hAnsi="Arial" w:cs="Arial"/>
          <w:color w:val="000000"/>
          <w:sz w:val="22"/>
          <w:szCs w:val="22"/>
          <w:vertAlign w:val="subscript"/>
        </w:rPr>
        <w:t>6</w:t>
      </w:r>
      <w:r w:rsidRPr="009E5DEB">
        <w:rPr>
          <w:rFonts w:ascii="Arial" w:hAnsi="Arial" w:cs="Arial"/>
          <w:color w:val="000000"/>
          <w:sz w:val="22"/>
          <w:szCs w:val="22"/>
        </w:rPr>
        <w:t>and an occasional RS pattern in V</w:t>
      </w:r>
      <w:r w:rsidRPr="009E5DEB">
        <w:rPr>
          <w:rFonts w:ascii="Arial" w:hAnsi="Arial" w:cs="Arial"/>
          <w:color w:val="000000"/>
          <w:sz w:val="22"/>
          <w:szCs w:val="22"/>
          <w:vertAlign w:val="subscript"/>
        </w:rPr>
        <w:t>5</w:t>
      </w:r>
      <w:r w:rsidRPr="009E5DEB">
        <w:rPr>
          <w:rFonts w:ascii="Arial" w:hAnsi="Arial" w:cs="Arial"/>
          <w:color w:val="000000"/>
          <w:sz w:val="22"/>
          <w:szCs w:val="22"/>
        </w:rPr>
        <w:t>and V</w:t>
      </w:r>
      <w:r w:rsidRPr="009E5DEB">
        <w:rPr>
          <w:rFonts w:ascii="Arial" w:hAnsi="Arial" w:cs="Arial"/>
          <w:color w:val="000000"/>
          <w:sz w:val="22"/>
          <w:szCs w:val="22"/>
          <w:vertAlign w:val="subscript"/>
        </w:rPr>
        <w:t xml:space="preserve">6 </w:t>
      </w:r>
      <w:r w:rsidRPr="009E5DEB">
        <w:rPr>
          <w:rFonts w:ascii="Arial" w:hAnsi="Arial" w:cs="Arial"/>
          <w:color w:val="000000"/>
          <w:sz w:val="22"/>
          <w:szCs w:val="22"/>
        </w:rPr>
        <w:t>attributed to displaced transition of QRS complex.</w:t>
      </w:r>
    </w:p>
    <w:p w14:paraId="3A88ECC5" w14:textId="77777777"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Absent q waves in leads I, V</w:t>
      </w:r>
      <w:r w:rsidRPr="009E5DEB">
        <w:rPr>
          <w:rFonts w:ascii="Arial" w:hAnsi="Arial" w:cs="Arial"/>
          <w:color w:val="000000"/>
          <w:sz w:val="22"/>
          <w:szCs w:val="22"/>
          <w:vertAlign w:val="subscript"/>
        </w:rPr>
        <w:t>5</w:t>
      </w:r>
      <w:r w:rsidRPr="009E5DEB">
        <w:rPr>
          <w:rFonts w:ascii="Arial" w:hAnsi="Arial" w:cs="Arial"/>
          <w:color w:val="000000"/>
          <w:sz w:val="22"/>
          <w:szCs w:val="22"/>
        </w:rPr>
        <w:t>, and V</w:t>
      </w:r>
      <w:r w:rsidRPr="009E5DEB">
        <w:rPr>
          <w:rFonts w:ascii="Arial" w:hAnsi="Arial" w:cs="Arial"/>
          <w:color w:val="000000"/>
          <w:sz w:val="22"/>
          <w:szCs w:val="22"/>
          <w:vertAlign w:val="subscript"/>
        </w:rPr>
        <w:t>6</w:t>
      </w:r>
      <w:r w:rsidRPr="009E5DEB">
        <w:rPr>
          <w:rFonts w:ascii="Arial" w:hAnsi="Arial" w:cs="Arial"/>
          <w:color w:val="000000"/>
          <w:sz w:val="22"/>
          <w:szCs w:val="22"/>
        </w:rPr>
        <w:t>, but in the lead aVL</w:t>
      </w:r>
      <w:r w:rsidRPr="009E5DEB">
        <w:rPr>
          <w:rFonts w:ascii="Arial" w:hAnsi="Arial" w:cs="Arial"/>
          <w:sz w:val="22"/>
          <w:szCs w:val="22"/>
        </w:rPr>
        <w:t>.</w:t>
      </w:r>
    </w:p>
    <w:p w14:paraId="31F02260" w14:textId="2136E85E" w:rsidR="00A12A10" w:rsidRPr="009E5DEB" w:rsidRDefault="00BE5190" w:rsidP="009E5DEB">
      <w:pPr>
        <w:numPr>
          <w:ilvl w:val="0"/>
          <w:numId w:val="1"/>
        </w:numPr>
        <w:pBdr>
          <w:top w:val="nil"/>
          <w:left w:val="nil"/>
          <w:bottom w:val="nil"/>
          <w:right w:val="nil"/>
          <w:between w:val="nil"/>
        </w:pBdr>
        <w:spacing w:line="276" w:lineRule="auto"/>
        <w:rPr>
          <w:rFonts w:ascii="Arial" w:hAnsi="Arial" w:cs="Arial"/>
          <w:color w:val="000000"/>
          <w:sz w:val="22"/>
          <w:szCs w:val="22"/>
        </w:rPr>
      </w:pPr>
      <w:r w:rsidRPr="009E5DEB">
        <w:rPr>
          <w:rFonts w:ascii="Arial" w:hAnsi="Arial" w:cs="Arial"/>
          <w:color w:val="000000"/>
          <w:sz w:val="22"/>
          <w:szCs w:val="22"/>
        </w:rPr>
        <w:t>R peak time greater than 60 ms in leads V</w:t>
      </w:r>
      <w:r w:rsidRPr="009E5DEB">
        <w:rPr>
          <w:rFonts w:ascii="Arial" w:hAnsi="Arial" w:cs="Arial"/>
          <w:color w:val="000000"/>
          <w:sz w:val="22"/>
          <w:szCs w:val="22"/>
          <w:vertAlign w:val="subscript"/>
        </w:rPr>
        <w:t>5</w:t>
      </w:r>
      <w:r w:rsidR="000F7D4C">
        <w:rPr>
          <w:rFonts w:ascii="Arial" w:hAnsi="Arial" w:cs="Arial"/>
          <w:color w:val="000000"/>
          <w:sz w:val="22"/>
          <w:szCs w:val="22"/>
          <w:vertAlign w:val="subscript"/>
        </w:rPr>
        <w:t xml:space="preserve"> </w:t>
      </w:r>
      <w:r w:rsidRPr="009E5DEB">
        <w:rPr>
          <w:rFonts w:ascii="Arial" w:hAnsi="Arial" w:cs="Arial"/>
          <w:color w:val="000000"/>
          <w:sz w:val="22"/>
          <w:szCs w:val="22"/>
        </w:rPr>
        <w:t>and V</w:t>
      </w:r>
      <w:r w:rsidRPr="009E5DEB">
        <w:rPr>
          <w:rFonts w:ascii="Arial" w:hAnsi="Arial" w:cs="Arial"/>
          <w:color w:val="000000"/>
          <w:sz w:val="22"/>
          <w:szCs w:val="22"/>
          <w:vertAlign w:val="subscript"/>
        </w:rPr>
        <w:t>6</w:t>
      </w:r>
      <w:r w:rsidR="000F7D4C">
        <w:rPr>
          <w:rFonts w:ascii="Arial" w:hAnsi="Arial" w:cs="Arial"/>
          <w:color w:val="000000"/>
          <w:sz w:val="22"/>
          <w:szCs w:val="22"/>
          <w:vertAlign w:val="subscript"/>
        </w:rPr>
        <w:t xml:space="preserve"> </w:t>
      </w:r>
      <w:r w:rsidRPr="009E5DEB">
        <w:rPr>
          <w:rFonts w:ascii="Arial" w:hAnsi="Arial" w:cs="Arial"/>
          <w:color w:val="000000"/>
          <w:sz w:val="22"/>
          <w:szCs w:val="22"/>
        </w:rPr>
        <w:t>but normal in leads V</w:t>
      </w:r>
      <w:r w:rsidRPr="009E5DEB">
        <w:rPr>
          <w:rFonts w:ascii="Arial" w:hAnsi="Arial" w:cs="Arial"/>
          <w:color w:val="000000"/>
          <w:sz w:val="22"/>
          <w:szCs w:val="22"/>
          <w:vertAlign w:val="subscript"/>
        </w:rPr>
        <w:t>1</w:t>
      </w:r>
      <w:r w:rsidRPr="009E5DEB">
        <w:rPr>
          <w:rFonts w:ascii="Arial" w:hAnsi="Arial" w:cs="Arial"/>
          <w:color w:val="000000"/>
          <w:sz w:val="22"/>
          <w:szCs w:val="22"/>
        </w:rPr>
        <w:t>, V</w:t>
      </w:r>
      <w:r w:rsidRPr="009E5DEB">
        <w:rPr>
          <w:rFonts w:ascii="Arial" w:hAnsi="Arial" w:cs="Arial"/>
          <w:color w:val="000000"/>
          <w:sz w:val="22"/>
          <w:szCs w:val="22"/>
          <w:vertAlign w:val="subscript"/>
        </w:rPr>
        <w:t>2</w:t>
      </w:r>
      <w:r w:rsidRPr="009E5DEB">
        <w:rPr>
          <w:rFonts w:ascii="Arial" w:hAnsi="Arial" w:cs="Arial"/>
          <w:color w:val="000000"/>
          <w:sz w:val="22"/>
          <w:szCs w:val="22"/>
        </w:rPr>
        <w:t>, and V</w:t>
      </w:r>
      <w:r w:rsidRPr="009E5DEB">
        <w:rPr>
          <w:rFonts w:ascii="Arial" w:hAnsi="Arial" w:cs="Arial"/>
          <w:color w:val="000000"/>
          <w:sz w:val="22"/>
          <w:szCs w:val="22"/>
          <w:vertAlign w:val="subscript"/>
        </w:rPr>
        <w:t>3</w:t>
      </w:r>
      <w:r w:rsidRPr="009E5DEB">
        <w:rPr>
          <w:rFonts w:ascii="Arial" w:hAnsi="Arial" w:cs="Arial"/>
          <w:color w:val="000000"/>
          <w:sz w:val="22"/>
          <w:szCs w:val="22"/>
        </w:rPr>
        <w:t>, when small initial r waves can be discerned in the above leads</w:t>
      </w:r>
      <w:r w:rsidRPr="009E5DEB">
        <w:rPr>
          <w:rFonts w:ascii="Arial" w:hAnsi="Arial" w:cs="Arial"/>
          <w:color w:val="000000"/>
          <w:sz w:val="22"/>
          <w:szCs w:val="22"/>
          <w:vertAlign w:val="superscript"/>
        </w:rPr>
        <w:t>3</w:t>
      </w:r>
      <w:r w:rsidRPr="009E5DEB">
        <w:rPr>
          <w:rFonts w:ascii="Arial" w:hAnsi="Arial" w:cs="Arial"/>
          <w:color w:val="000000"/>
          <w:sz w:val="22"/>
          <w:szCs w:val="22"/>
        </w:rPr>
        <w:t xml:space="preserve">. </w:t>
      </w:r>
    </w:p>
    <w:p w14:paraId="64638A6D" w14:textId="77777777" w:rsidR="00A12A10" w:rsidRPr="009E5DEB" w:rsidRDefault="00A12A10" w:rsidP="009E5DEB">
      <w:pPr>
        <w:spacing w:line="276" w:lineRule="auto"/>
        <w:rPr>
          <w:rFonts w:ascii="Arial" w:hAnsi="Arial" w:cs="Arial"/>
          <w:sz w:val="22"/>
          <w:szCs w:val="22"/>
        </w:rPr>
      </w:pPr>
    </w:p>
    <w:p w14:paraId="59C2515C" w14:textId="395A4F80" w:rsidR="00A12A10" w:rsidRPr="009E5DEB" w:rsidRDefault="003735A6" w:rsidP="009E5DEB">
      <w:pPr>
        <w:spacing w:line="276" w:lineRule="auto"/>
        <w:rPr>
          <w:rFonts w:ascii="Arial" w:hAnsi="Arial" w:cs="Arial"/>
          <w:sz w:val="22"/>
          <w:szCs w:val="22"/>
        </w:rPr>
      </w:pPr>
      <w:r>
        <w:rPr>
          <w:rFonts w:ascii="Arial" w:hAnsi="Arial" w:cs="Arial"/>
          <w:sz w:val="22"/>
          <w:szCs w:val="22"/>
        </w:rPr>
        <w:t xml:space="preserve">Figure </w:t>
      </w:r>
      <w:r w:rsidR="00E072D9">
        <w:rPr>
          <w:rFonts w:ascii="Arial" w:hAnsi="Arial" w:cs="Arial"/>
          <w:sz w:val="22"/>
          <w:szCs w:val="22"/>
        </w:rPr>
        <w:t>1</w:t>
      </w:r>
      <w:r w:rsidR="00AB0A40">
        <w:rPr>
          <w:rFonts w:ascii="Arial" w:hAnsi="Arial" w:cs="Arial"/>
          <w:sz w:val="22"/>
          <w:szCs w:val="22"/>
        </w:rPr>
        <w:t>:</w:t>
      </w:r>
      <w:r w:rsidR="00E072D9">
        <w:rPr>
          <w:rFonts w:ascii="Arial" w:hAnsi="Arial" w:cs="Arial"/>
          <w:sz w:val="22"/>
          <w:szCs w:val="22"/>
        </w:rPr>
        <w:t xml:space="preserve"> </w:t>
      </w:r>
      <w:r w:rsidR="004E1E40">
        <w:rPr>
          <w:rFonts w:ascii="Arial" w:hAnsi="Arial" w:cs="Arial"/>
          <w:b/>
          <w:sz w:val="22"/>
          <w:szCs w:val="22"/>
        </w:rPr>
        <w:t>Diagnostic Criteria for LBBB</w:t>
      </w:r>
      <w:r w:rsidRPr="003E45A3">
        <w:rPr>
          <w:rFonts w:ascii="Arial" w:hAnsi="Arial" w:cs="Arial"/>
          <w:b/>
          <w:sz w:val="22"/>
          <w:szCs w:val="22"/>
        </w:rPr>
        <w:t xml:space="preserve"> </w:t>
      </w:r>
    </w:p>
    <w:p w14:paraId="0EB8277E" w14:textId="77777777" w:rsidR="00A12A10" w:rsidRPr="009E5DEB" w:rsidRDefault="00BE5190" w:rsidP="009E5DEB">
      <w:pPr>
        <w:spacing w:line="276" w:lineRule="auto"/>
        <w:rPr>
          <w:rFonts w:ascii="Arial" w:hAnsi="Arial" w:cs="Arial"/>
          <w:sz w:val="22"/>
          <w:szCs w:val="22"/>
        </w:rPr>
      </w:pPr>
      <w:r w:rsidRPr="009E5DEB">
        <w:rPr>
          <w:rFonts w:ascii="Arial" w:hAnsi="Arial" w:cs="Arial"/>
          <w:noProof/>
          <w:sz w:val="22"/>
          <w:szCs w:val="22"/>
          <w:lang w:val="en-US"/>
        </w:rPr>
        <w:drawing>
          <wp:inline distT="0" distB="0" distL="0" distR="0" wp14:anchorId="48AC092B" wp14:editId="0AA12CCC">
            <wp:extent cx="5731510" cy="2752090"/>
            <wp:effectExtent l="0" t="0" r="2540" b="0"/>
            <wp:docPr id="13072828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510" cy="2752090"/>
                    </a:xfrm>
                    <a:prstGeom prst="rect">
                      <a:avLst/>
                    </a:prstGeom>
                    <a:ln/>
                  </pic:spPr>
                </pic:pic>
              </a:graphicData>
            </a:graphic>
          </wp:inline>
        </w:drawing>
      </w:r>
    </w:p>
    <w:p w14:paraId="49CFC3EC" w14:textId="77777777" w:rsidR="00A12A10" w:rsidRPr="009E5DEB" w:rsidRDefault="00A12A10" w:rsidP="009E5DEB">
      <w:pPr>
        <w:spacing w:line="276" w:lineRule="auto"/>
        <w:rPr>
          <w:rFonts w:ascii="Arial" w:hAnsi="Arial" w:cs="Arial"/>
          <w:sz w:val="22"/>
          <w:szCs w:val="22"/>
        </w:rPr>
      </w:pPr>
    </w:p>
    <w:p w14:paraId="429C0296" w14:textId="77777777" w:rsidR="00A12A10" w:rsidRDefault="00BE5190" w:rsidP="009E5DEB">
      <w:pPr>
        <w:spacing w:line="276" w:lineRule="auto"/>
        <w:rPr>
          <w:rFonts w:ascii="Arial" w:hAnsi="Arial" w:cs="Arial"/>
          <w:sz w:val="22"/>
          <w:szCs w:val="22"/>
        </w:rPr>
      </w:pPr>
      <w:r w:rsidRPr="009E5DEB">
        <w:rPr>
          <w:rFonts w:ascii="Arial" w:hAnsi="Arial" w:cs="Arial"/>
          <w:sz w:val="22"/>
          <w:szCs w:val="22"/>
        </w:rPr>
        <w:t>These parameters were assessed along with their demographic characteristics, comorbidities and coronary angiographic patterns.</w:t>
      </w:r>
      <w:r w:rsidR="00B12446" w:rsidRPr="009E5DEB">
        <w:rPr>
          <w:rFonts w:ascii="Arial" w:hAnsi="Arial" w:cs="Arial"/>
          <w:sz w:val="22"/>
          <w:szCs w:val="22"/>
        </w:rPr>
        <w:t xml:space="preserve"> </w:t>
      </w:r>
    </w:p>
    <w:p w14:paraId="761C03C3" w14:textId="77777777" w:rsidR="00E63B71" w:rsidRPr="009E5DEB" w:rsidRDefault="00E63B71" w:rsidP="009E5DEB">
      <w:pPr>
        <w:spacing w:line="276" w:lineRule="auto"/>
        <w:rPr>
          <w:rFonts w:ascii="Arial" w:hAnsi="Arial" w:cs="Arial"/>
          <w:b/>
          <w:sz w:val="22"/>
          <w:szCs w:val="22"/>
        </w:rPr>
      </w:pPr>
    </w:p>
    <w:p w14:paraId="2BC956CA" w14:textId="77777777" w:rsidR="00A12A10" w:rsidRPr="00253625" w:rsidRDefault="00253625" w:rsidP="009E5DEB">
      <w:pPr>
        <w:spacing w:line="276" w:lineRule="auto"/>
        <w:rPr>
          <w:rFonts w:ascii="Arial" w:hAnsi="Arial" w:cs="Arial"/>
          <w:b/>
          <w:sz w:val="22"/>
          <w:szCs w:val="22"/>
        </w:rPr>
      </w:pPr>
      <w:r w:rsidRPr="00253625">
        <w:rPr>
          <w:rFonts w:ascii="Arial" w:hAnsi="Arial" w:cs="Arial"/>
          <w:b/>
          <w:sz w:val="22"/>
          <w:szCs w:val="22"/>
        </w:rPr>
        <w:t>2.1 Statistical analysis</w:t>
      </w:r>
    </w:p>
    <w:p w14:paraId="66133C1A" w14:textId="77777777" w:rsidR="00A12A10" w:rsidRPr="009E5DEB" w:rsidRDefault="00A12A10" w:rsidP="009E5DEB">
      <w:pPr>
        <w:spacing w:line="276" w:lineRule="auto"/>
        <w:rPr>
          <w:rFonts w:ascii="Arial" w:hAnsi="Arial" w:cs="Arial"/>
          <w:b/>
          <w:sz w:val="22"/>
          <w:szCs w:val="22"/>
        </w:rPr>
      </w:pPr>
    </w:p>
    <w:p w14:paraId="0AF59E8B" w14:textId="3CF2610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The data were </w:t>
      </w:r>
      <w:r w:rsidR="004E1E40" w:rsidRPr="009E5DEB">
        <w:rPr>
          <w:rFonts w:ascii="Arial" w:hAnsi="Arial" w:cs="Arial"/>
          <w:sz w:val="22"/>
          <w:szCs w:val="22"/>
        </w:rPr>
        <w:t>analysed</w:t>
      </w:r>
      <w:r w:rsidRPr="009E5DEB">
        <w:rPr>
          <w:rFonts w:ascii="Arial" w:hAnsi="Arial" w:cs="Arial"/>
          <w:sz w:val="22"/>
          <w:szCs w:val="22"/>
        </w:rPr>
        <w:t xml:space="preserve"> using IBM SPSS, version 24. A P value less than 0.05 was considered significant. Continuous data were expressed as mean (± standard deviation) and differences were compared with Student’s t test. Categorical data were expressed as percentages and numbers, and were compared using the Chi square test.</w:t>
      </w:r>
    </w:p>
    <w:p w14:paraId="0BCFFFF5" w14:textId="77777777" w:rsidR="00A12A10" w:rsidRDefault="00A12A10" w:rsidP="009E5DEB">
      <w:pPr>
        <w:spacing w:line="276" w:lineRule="auto"/>
        <w:rPr>
          <w:rFonts w:ascii="Arial" w:hAnsi="Arial" w:cs="Arial"/>
          <w:sz w:val="22"/>
          <w:szCs w:val="22"/>
        </w:rPr>
      </w:pPr>
    </w:p>
    <w:p w14:paraId="459B1C17" w14:textId="77777777" w:rsidR="00020146" w:rsidRPr="009E5DEB" w:rsidRDefault="00020146" w:rsidP="009E5DEB">
      <w:pPr>
        <w:spacing w:line="276" w:lineRule="auto"/>
        <w:rPr>
          <w:rFonts w:ascii="Arial" w:hAnsi="Arial" w:cs="Arial"/>
          <w:b/>
          <w:sz w:val="22"/>
          <w:szCs w:val="22"/>
        </w:rPr>
      </w:pPr>
    </w:p>
    <w:p w14:paraId="6A918022" w14:textId="77777777" w:rsidR="00A12A10" w:rsidRPr="009E5DEB" w:rsidRDefault="00A12A10" w:rsidP="009E5DEB">
      <w:pPr>
        <w:spacing w:line="276" w:lineRule="auto"/>
        <w:rPr>
          <w:rFonts w:ascii="Arial" w:hAnsi="Arial" w:cs="Arial"/>
          <w:b/>
          <w:sz w:val="22"/>
          <w:szCs w:val="22"/>
        </w:rPr>
      </w:pPr>
    </w:p>
    <w:p w14:paraId="6AED9A20" w14:textId="77777777" w:rsidR="00A12A10" w:rsidRPr="00253625" w:rsidRDefault="00BE5190" w:rsidP="00020146">
      <w:pPr>
        <w:pStyle w:val="ListParagraph"/>
        <w:numPr>
          <w:ilvl w:val="0"/>
          <w:numId w:val="3"/>
        </w:numPr>
        <w:spacing w:line="276" w:lineRule="auto"/>
        <w:rPr>
          <w:rFonts w:ascii="Arial" w:hAnsi="Arial" w:cs="Arial"/>
          <w:b/>
          <w:sz w:val="22"/>
          <w:szCs w:val="22"/>
        </w:rPr>
      </w:pPr>
      <w:r w:rsidRPr="00253625">
        <w:rPr>
          <w:rFonts w:ascii="Arial" w:hAnsi="Arial" w:cs="Arial"/>
          <w:b/>
          <w:sz w:val="22"/>
          <w:szCs w:val="22"/>
        </w:rPr>
        <w:t>RESULTS</w:t>
      </w:r>
      <w:r w:rsidR="00020146" w:rsidRPr="00253625">
        <w:rPr>
          <w:rFonts w:ascii="Arial" w:hAnsi="Arial" w:cs="Arial"/>
          <w:b/>
          <w:sz w:val="22"/>
          <w:szCs w:val="22"/>
        </w:rPr>
        <w:t xml:space="preserve"> AND DISCUSSIONS</w:t>
      </w:r>
    </w:p>
    <w:p w14:paraId="383EAE8B" w14:textId="77777777" w:rsidR="00A12A10" w:rsidRPr="009E5DEB" w:rsidRDefault="00A12A10" w:rsidP="009E5DEB">
      <w:pPr>
        <w:spacing w:line="276" w:lineRule="auto"/>
        <w:rPr>
          <w:rFonts w:ascii="Arial" w:hAnsi="Arial" w:cs="Arial"/>
          <w:b/>
          <w:sz w:val="22"/>
          <w:szCs w:val="22"/>
        </w:rPr>
      </w:pPr>
    </w:p>
    <w:p w14:paraId="57BADA25"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In our sample of 159 patients meeting the criteria for LBBB, 96 were male and 63 were female, with a mean age of 67 ± 10 years. Among these patients, 127 (79.8%) had hypertension and 111 (69.8%) were diabetic. 115 (72.3%) were classified as having structural heart disease (SHD) and 44 (27.7%) as not having SHD (No SHD). </w:t>
      </w:r>
      <w:r w:rsidRPr="009E5DEB">
        <w:rPr>
          <w:rFonts w:ascii="Arial" w:hAnsi="Arial" w:cs="Arial"/>
          <w:i/>
          <w:sz w:val="22"/>
          <w:szCs w:val="22"/>
        </w:rPr>
        <w:t>Table 1</w:t>
      </w:r>
      <w:r w:rsidRPr="009E5DEB">
        <w:rPr>
          <w:rFonts w:ascii="Arial" w:hAnsi="Arial" w:cs="Arial"/>
          <w:sz w:val="22"/>
          <w:szCs w:val="22"/>
        </w:rPr>
        <w:t xml:space="preserve"> summarizes the clinical and echocardiographic characteristics of the two groups.</w:t>
      </w:r>
    </w:p>
    <w:p w14:paraId="364F9A81" w14:textId="77777777" w:rsidR="00A12A10" w:rsidRPr="009E5DEB" w:rsidRDefault="00A12A10" w:rsidP="009E5DEB">
      <w:pPr>
        <w:spacing w:line="276" w:lineRule="auto"/>
        <w:rPr>
          <w:rFonts w:ascii="Arial" w:hAnsi="Arial" w:cs="Arial"/>
          <w:sz w:val="22"/>
          <w:szCs w:val="22"/>
        </w:rPr>
      </w:pPr>
    </w:p>
    <w:p w14:paraId="26E71145"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There was no significant difference in age between the groups (SHD: 66.5 ± 9.8 years vs. No SHD: 67.2 ± 10.1 years; p = 0.691). However, the SHD group had a significantly higher proportion of males (74 [64.3%]) compared to the No SHD group (18 [40.9%], p = 0.006).</w:t>
      </w:r>
    </w:p>
    <w:p w14:paraId="098E45B5" w14:textId="77777777" w:rsidR="00A12A10" w:rsidRPr="009E5DEB" w:rsidRDefault="00A12A10" w:rsidP="009E5DEB">
      <w:pPr>
        <w:spacing w:line="276" w:lineRule="auto"/>
        <w:rPr>
          <w:rFonts w:ascii="Arial" w:hAnsi="Arial" w:cs="Arial"/>
          <w:sz w:val="22"/>
          <w:szCs w:val="22"/>
        </w:rPr>
      </w:pPr>
    </w:p>
    <w:p w14:paraId="3214E8BA"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With respect to clinical symptoms, chest pain was reported by 62 (53.9%) patients with SHD versus 13 (29.5%) without SHD (p = 0.002), while the frequency of syncope did not differ significantly between the groups (9 [7.8%] vs. 2 [4.5%], p = 0.469). A history of myocardial infarction was markedly more common in the SHD group, with old MI present in 78 (67.8%) patients compared to 10 (22.7%) in the No SHD group (p &lt; 0.001).</w:t>
      </w:r>
    </w:p>
    <w:p w14:paraId="6730F558" w14:textId="77777777" w:rsidR="00A12A10" w:rsidRPr="009E5DEB" w:rsidRDefault="00A12A10" w:rsidP="009E5DEB">
      <w:pPr>
        <w:spacing w:line="276" w:lineRule="auto"/>
        <w:rPr>
          <w:rFonts w:ascii="Arial" w:hAnsi="Arial" w:cs="Arial"/>
          <w:sz w:val="22"/>
          <w:szCs w:val="22"/>
        </w:rPr>
      </w:pPr>
    </w:p>
    <w:p w14:paraId="5C411FA3"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lastRenderedPageBreak/>
        <w:t>Functional capacity, as assessed by the New York Heart Association (NYHA) classification (on a scale from 1 to 4), was significantly impaired in patients with SHD. A detailed breakdown revealed that in the SHD group, 29 patients (25.2%) were in Class I, 29 (25.2%) in Class II, 45 (39.1%) in Class III, and 12 (10.4%) in Class IV, whereas the majority of the No SHD group were in Class I (32 [72.7%]), with fewer patients in Class II (9 [20.4%]) and Class III (3 [6.8%]), and none in Class IV(p&lt;0.001).</w:t>
      </w:r>
    </w:p>
    <w:p w14:paraId="496794EB" w14:textId="77777777" w:rsidR="00A12A10" w:rsidRPr="009E5DEB" w:rsidRDefault="00A12A10" w:rsidP="009E5DEB">
      <w:pPr>
        <w:spacing w:line="276" w:lineRule="auto"/>
        <w:rPr>
          <w:rFonts w:ascii="Arial" w:hAnsi="Arial" w:cs="Arial"/>
          <w:sz w:val="22"/>
          <w:szCs w:val="22"/>
        </w:rPr>
      </w:pPr>
    </w:p>
    <w:p w14:paraId="25C8DA02"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prevalence of diabetes mellitus (80 [69.6%] vs. 31 [70.5%], p = 0.784), hypertension (88 [76.5%] vs. 37 [84.1%], p = 0.949), and smoking (53 [46.1%] vs. 18 [40.9%], p = 0.124) were similar between the groups. Although serum creatinine tended to be higher in the SHD group (1.19 ± 0.35 mg/dL vs. 0.91 ± 0.30 mg/dL), this difference approached but did not reach statistical significance (p = 0.058).</w:t>
      </w:r>
    </w:p>
    <w:p w14:paraId="25604204" w14:textId="77777777" w:rsidR="00A12A10" w:rsidRPr="009E5DEB" w:rsidRDefault="00A12A10" w:rsidP="009E5DEB">
      <w:pPr>
        <w:spacing w:line="276" w:lineRule="auto"/>
        <w:rPr>
          <w:rFonts w:ascii="Arial" w:hAnsi="Arial" w:cs="Arial"/>
          <w:sz w:val="22"/>
          <w:szCs w:val="22"/>
        </w:rPr>
      </w:pPr>
    </w:p>
    <w:p w14:paraId="78D14B46"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Echocardiography revealed that patients with SHD had significantly impaired left ventricular function. The mean ejection fraction was markedly lower in the SHD group (44.0 ± 8.0% versus 61.7 ± 10.0%, p &lt; 0.001). Additionally, left ventricular dimensions were significantly increased among SHD patients: LVIDd measured 5.39 ± 0.70 cm versus 4.60 ± 0.65 cm (p &lt; 0.001) and LVIDs was 4.05 ± 0.80 cm compared to 3.00 ± 0.75 cm (p &lt; 0.001).</w:t>
      </w:r>
    </w:p>
    <w:p w14:paraId="1041A2A3"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Mitral regurgitation was also more prevalent in the SHD group, with 26 (22.6%) patients demonstrating MR grade of 3 or more compared to 4 (9.1%) in the No SHD group (p &lt; 0.001). Reduced ejection fraction (EF &lt; 40%) was observed in 44 (38.3%) SHD patients versus none in the No SHD group (p &lt; 0.001). Electrocardiographic parameters such as QRS duration (150 ± 14 vs. 147 ± 15 ms, p = 0.248) and QRS axis (Left axis deviation: 90 [78.3%] versus 36[81.8%] and normal axis:25[21.7%] versus 8[18.2%], p = 0.857) did not differ significantly between groups.</w:t>
      </w:r>
    </w:p>
    <w:p w14:paraId="4108F166" w14:textId="77777777" w:rsidR="00A12A10" w:rsidRPr="009E5DEB" w:rsidRDefault="00A12A10" w:rsidP="009E5DEB">
      <w:pPr>
        <w:spacing w:line="276" w:lineRule="auto"/>
        <w:rPr>
          <w:rFonts w:ascii="Arial" w:hAnsi="Arial" w:cs="Arial"/>
          <w:sz w:val="22"/>
          <w:szCs w:val="22"/>
        </w:rPr>
      </w:pPr>
    </w:p>
    <w:p w14:paraId="0F21BA03" w14:textId="45ED8080" w:rsidR="00A12A10" w:rsidRPr="009E5DEB" w:rsidRDefault="00BE5190" w:rsidP="009E5DEB">
      <w:pPr>
        <w:spacing w:line="276" w:lineRule="auto"/>
        <w:rPr>
          <w:rFonts w:ascii="Arial" w:hAnsi="Arial" w:cs="Arial"/>
          <w:b/>
          <w:sz w:val="22"/>
          <w:szCs w:val="22"/>
        </w:rPr>
      </w:pPr>
      <w:r w:rsidRPr="009E5DEB">
        <w:rPr>
          <w:rFonts w:ascii="Arial" w:hAnsi="Arial" w:cs="Arial"/>
          <w:sz w:val="22"/>
          <w:szCs w:val="22"/>
        </w:rPr>
        <w:t>Assessment of coronary artery disease severity revealed that 73(45.9%) had normal coronary arteries, while 57(35.8%) had single-vessel disease, 14(8.80%) had double-vessel disease, and 12(7.54%) had triple-vessel disease. Additionally, 3(1.88%) patients had undergone coronary artery bypass grafting. In those with single vessel disease LAD was the most commonly affected (28 in 57, 49.1%), followed by LCx(16 in 57, 28.07%), RCA(10 in 57, 17.54%) and LMCA(3 in 57, 5.2%). Coronary artery disease (CAD) was present in 86 (74.8%) of the SHD patient</w:t>
      </w:r>
      <w:r w:rsidR="000F7D4C">
        <w:rPr>
          <w:rFonts w:ascii="Arial" w:hAnsi="Arial" w:cs="Arial"/>
          <w:sz w:val="22"/>
          <w:szCs w:val="22"/>
        </w:rPr>
        <w:t>s. N</w:t>
      </w:r>
      <w:r w:rsidRPr="009E5DEB">
        <w:rPr>
          <w:rFonts w:ascii="Arial" w:hAnsi="Arial" w:cs="Arial"/>
          <w:sz w:val="22"/>
          <w:szCs w:val="22"/>
        </w:rPr>
        <w:t xml:space="preserve">one </w:t>
      </w:r>
      <w:r w:rsidR="000F7D4C">
        <w:rPr>
          <w:rFonts w:ascii="Arial" w:hAnsi="Arial" w:cs="Arial"/>
          <w:sz w:val="22"/>
          <w:szCs w:val="22"/>
        </w:rPr>
        <w:t>of</w:t>
      </w:r>
      <w:r w:rsidRPr="009E5DEB">
        <w:rPr>
          <w:rFonts w:ascii="Arial" w:hAnsi="Arial" w:cs="Arial"/>
          <w:sz w:val="22"/>
          <w:szCs w:val="22"/>
        </w:rPr>
        <w:t xml:space="preserve"> the</w:t>
      </w:r>
      <w:r w:rsidR="000F7D4C">
        <w:rPr>
          <w:rFonts w:ascii="Arial" w:hAnsi="Arial" w:cs="Arial"/>
          <w:sz w:val="22"/>
          <w:szCs w:val="22"/>
        </w:rPr>
        <w:t xml:space="preserve"> patients</w:t>
      </w:r>
      <w:r w:rsidRPr="009E5DEB">
        <w:rPr>
          <w:rFonts w:ascii="Arial" w:hAnsi="Arial" w:cs="Arial"/>
          <w:sz w:val="22"/>
          <w:szCs w:val="22"/>
        </w:rPr>
        <w:t xml:space="preserve"> No SHD group</w:t>
      </w:r>
      <w:r w:rsidR="000F7D4C">
        <w:rPr>
          <w:rFonts w:ascii="Arial" w:hAnsi="Arial" w:cs="Arial"/>
          <w:sz w:val="22"/>
          <w:szCs w:val="22"/>
        </w:rPr>
        <w:t xml:space="preserve"> has CAD</w:t>
      </w:r>
      <w:r w:rsidRPr="009E5DEB">
        <w:rPr>
          <w:rFonts w:ascii="Arial" w:hAnsi="Arial" w:cs="Arial"/>
          <w:sz w:val="22"/>
          <w:szCs w:val="22"/>
        </w:rPr>
        <w:t xml:space="preserve"> (p &lt; 0.001).</w:t>
      </w:r>
    </w:p>
    <w:p w14:paraId="1BE9C468" w14:textId="77777777" w:rsidR="00E63B71" w:rsidRDefault="00E63B71" w:rsidP="009E5DEB">
      <w:pPr>
        <w:spacing w:line="276" w:lineRule="auto"/>
        <w:rPr>
          <w:rFonts w:ascii="Arial" w:hAnsi="Arial" w:cs="Arial"/>
          <w:sz w:val="22"/>
          <w:szCs w:val="22"/>
        </w:rPr>
      </w:pPr>
    </w:p>
    <w:p w14:paraId="72208FE9" w14:textId="77777777" w:rsidR="00E63B71" w:rsidRDefault="00E63B71" w:rsidP="009E5DEB">
      <w:pPr>
        <w:spacing w:line="276" w:lineRule="auto"/>
        <w:rPr>
          <w:rFonts w:ascii="Arial" w:hAnsi="Arial" w:cs="Arial"/>
          <w:sz w:val="22"/>
          <w:szCs w:val="22"/>
        </w:rPr>
      </w:pPr>
    </w:p>
    <w:p w14:paraId="663DDE72" w14:textId="77777777" w:rsidR="00E63B71" w:rsidRPr="009E5DEB" w:rsidRDefault="00E63B71" w:rsidP="009E5DEB">
      <w:pPr>
        <w:spacing w:line="276" w:lineRule="auto"/>
        <w:rPr>
          <w:rFonts w:ascii="Arial" w:hAnsi="Arial" w:cs="Arial"/>
          <w:sz w:val="22"/>
          <w:szCs w:val="22"/>
        </w:rPr>
      </w:pPr>
    </w:p>
    <w:tbl>
      <w:tblPr>
        <w:tblStyle w:val="a1"/>
        <w:tblpPr w:leftFromText="180" w:rightFromText="180" w:vertAnchor="text" w:tblpX="-12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A12A10" w:rsidRPr="009E5DEB" w14:paraId="7D4E203F" w14:textId="77777777">
        <w:trPr>
          <w:trHeight w:val="580"/>
        </w:trPr>
        <w:tc>
          <w:tcPr>
            <w:tcW w:w="9360" w:type="dxa"/>
          </w:tcPr>
          <w:p w14:paraId="6E8B9E8B" w14:textId="77777777" w:rsidR="00A12A10" w:rsidRPr="00253625" w:rsidRDefault="00BE5190" w:rsidP="009E5DEB">
            <w:pPr>
              <w:spacing w:line="276" w:lineRule="auto"/>
              <w:rPr>
                <w:rFonts w:ascii="Arial" w:hAnsi="Arial" w:cs="Arial"/>
                <w:b/>
                <w:iCs/>
                <w:sz w:val="22"/>
                <w:szCs w:val="22"/>
                <w:u w:val="single"/>
              </w:rPr>
            </w:pPr>
            <w:r w:rsidRPr="00253625">
              <w:rPr>
                <w:rFonts w:ascii="Arial" w:hAnsi="Arial" w:cs="Arial"/>
                <w:b/>
                <w:iCs/>
                <w:sz w:val="22"/>
                <w:szCs w:val="22"/>
                <w:u w:val="single"/>
              </w:rPr>
              <w:t>Table 1. Comparison of Clinical and Echocardiographic Parameters in LBBB Patients with and Without Structural Heart Disease</w:t>
            </w:r>
          </w:p>
        </w:tc>
      </w:tr>
      <w:tr w:rsidR="00A12A10" w:rsidRPr="009E5DEB" w14:paraId="149AF176" w14:textId="77777777" w:rsidTr="00B66987">
        <w:trPr>
          <w:trHeight w:val="620"/>
        </w:trPr>
        <w:tc>
          <w:tcPr>
            <w:tcW w:w="9360" w:type="dxa"/>
          </w:tcPr>
          <w:p w14:paraId="39380480" w14:textId="77777777" w:rsidR="00A12A10" w:rsidRPr="009E5DEB" w:rsidRDefault="00A12A10" w:rsidP="009E5DEB">
            <w:pPr>
              <w:widowControl w:val="0"/>
              <w:spacing w:line="276" w:lineRule="auto"/>
              <w:rPr>
                <w:rFonts w:ascii="Arial" w:hAnsi="Arial" w:cs="Arial"/>
                <w:sz w:val="22"/>
                <w:szCs w:val="22"/>
              </w:rPr>
            </w:pPr>
          </w:p>
          <w:tbl>
            <w:tblPr>
              <w:tblStyle w:val="a2"/>
              <w:tblW w:w="7980" w:type="dxa"/>
              <w:tblLayout w:type="fixed"/>
              <w:tblLook w:val="0400" w:firstRow="0" w:lastRow="0" w:firstColumn="0" w:lastColumn="0" w:noHBand="0" w:noVBand="1"/>
            </w:tblPr>
            <w:tblGrid>
              <w:gridCol w:w="3720"/>
              <w:gridCol w:w="1515"/>
              <w:gridCol w:w="1860"/>
              <w:gridCol w:w="885"/>
            </w:tblGrid>
            <w:tr w:rsidR="00A12A10" w:rsidRPr="009E5DEB" w14:paraId="7AFA7A41" w14:textId="77777777">
              <w:trPr>
                <w:trHeight w:val="580"/>
                <w:tblHeader/>
              </w:trPr>
              <w:tc>
                <w:tcPr>
                  <w:tcW w:w="3720" w:type="dxa"/>
                  <w:vAlign w:val="center"/>
                </w:tcPr>
                <w:p w14:paraId="351186D4" w14:textId="77777777" w:rsidR="00A12A10" w:rsidRPr="009E5DEB" w:rsidRDefault="00BE5190" w:rsidP="00CA0B3C">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Variable</w:t>
                  </w:r>
                </w:p>
              </w:tc>
              <w:tc>
                <w:tcPr>
                  <w:tcW w:w="1515" w:type="dxa"/>
                  <w:vAlign w:val="center"/>
                </w:tcPr>
                <w:p w14:paraId="7C6E552B" w14:textId="77777777" w:rsidR="00A12A10" w:rsidRPr="009E5DEB" w:rsidRDefault="00BE5190" w:rsidP="00CA0B3C">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SHD (n = 115)</w:t>
                  </w:r>
                </w:p>
              </w:tc>
              <w:tc>
                <w:tcPr>
                  <w:tcW w:w="1860" w:type="dxa"/>
                  <w:vAlign w:val="center"/>
                </w:tcPr>
                <w:p w14:paraId="2FC650E0" w14:textId="77777777" w:rsidR="00A12A10" w:rsidRPr="009E5DEB" w:rsidRDefault="00BE5190" w:rsidP="00CA0B3C">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No SHD (n = 44)</w:t>
                  </w:r>
                </w:p>
              </w:tc>
              <w:tc>
                <w:tcPr>
                  <w:tcW w:w="885" w:type="dxa"/>
                  <w:vAlign w:val="center"/>
                </w:tcPr>
                <w:p w14:paraId="66197DC2" w14:textId="77777777" w:rsidR="00A12A10" w:rsidRPr="009E5DEB" w:rsidRDefault="00BE5190" w:rsidP="00CA0B3C">
                  <w:pPr>
                    <w:framePr w:hSpace="180" w:wrap="around" w:vAnchor="text" w:hAnchor="text" w:x="-120"/>
                    <w:spacing w:line="276" w:lineRule="auto"/>
                    <w:rPr>
                      <w:rFonts w:ascii="Arial" w:hAnsi="Arial" w:cs="Arial"/>
                      <w:b/>
                      <w:sz w:val="22"/>
                      <w:szCs w:val="22"/>
                      <w:u w:val="single"/>
                    </w:rPr>
                  </w:pPr>
                  <w:r w:rsidRPr="009E5DEB">
                    <w:rPr>
                      <w:rFonts w:ascii="Arial" w:hAnsi="Arial" w:cs="Arial"/>
                      <w:b/>
                      <w:sz w:val="22"/>
                      <w:szCs w:val="22"/>
                      <w:u w:val="single"/>
                    </w:rPr>
                    <w:t>p-value</w:t>
                  </w:r>
                </w:p>
              </w:tc>
            </w:tr>
            <w:tr w:rsidR="00A12A10" w:rsidRPr="009E5DEB" w14:paraId="7A53FFF5" w14:textId="77777777">
              <w:trPr>
                <w:trHeight w:val="272"/>
                <w:tblHeader/>
              </w:trPr>
              <w:tc>
                <w:tcPr>
                  <w:tcW w:w="3720" w:type="dxa"/>
                  <w:vAlign w:val="center"/>
                </w:tcPr>
                <w:p w14:paraId="7630F656" w14:textId="77777777" w:rsidR="00A12A10" w:rsidRPr="009E5DEB" w:rsidRDefault="00A12A10" w:rsidP="00CA0B3C">
                  <w:pPr>
                    <w:framePr w:hSpace="180" w:wrap="around" w:vAnchor="text" w:hAnchor="text" w:x="-120"/>
                    <w:spacing w:line="276" w:lineRule="auto"/>
                    <w:rPr>
                      <w:rFonts w:ascii="Arial" w:hAnsi="Arial" w:cs="Arial"/>
                      <w:b/>
                      <w:sz w:val="22"/>
                      <w:szCs w:val="22"/>
                    </w:rPr>
                  </w:pPr>
                </w:p>
              </w:tc>
              <w:tc>
                <w:tcPr>
                  <w:tcW w:w="1515" w:type="dxa"/>
                  <w:vAlign w:val="center"/>
                </w:tcPr>
                <w:p w14:paraId="4F6742A5" w14:textId="77777777" w:rsidR="00A12A10" w:rsidRPr="009E5DEB" w:rsidRDefault="00A12A10" w:rsidP="00CA0B3C">
                  <w:pPr>
                    <w:framePr w:hSpace="180" w:wrap="around" w:vAnchor="text" w:hAnchor="text" w:x="-120"/>
                    <w:spacing w:line="276" w:lineRule="auto"/>
                    <w:rPr>
                      <w:rFonts w:ascii="Arial" w:hAnsi="Arial" w:cs="Arial"/>
                      <w:b/>
                      <w:sz w:val="22"/>
                      <w:szCs w:val="22"/>
                    </w:rPr>
                  </w:pPr>
                </w:p>
              </w:tc>
              <w:tc>
                <w:tcPr>
                  <w:tcW w:w="1860" w:type="dxa"/>
                  <w:vAlign w:val="center"/>
                </w:tcPr>
                <w:p w14:paraId="47748217" w14:textId="77777777" w:rsidR="00A12A10" w:rsidRPr="009E5DEB" w:rsidRDefault="00A12A10" w:rsidP="00CA0B3C">
                  <w:pPr>
                    <w:framePr w:hSpace="180" w:wrap="around" w:vAnchor="text" w:hAnchor="text" w:x="-120"/>
                    <w:spacing w:line="276" w:lineRule="auto"/>
                    <w:rPr>
                      <w:rFonts w:ascii="Arial" w:hAnsi="Arial" w:cs="Arial"/>
                      <w:b/>
                      <w:sz w:val="22"/>
                      <w:szCs w:val="22"/>
                    </w:rPr>
                  </w:pPr>
                </w:p>
              </w:tc>
              <w:tc>
                <w:tcPr>
                  <w:tcW w:w="885" w:type="dxa"/>
                  <w:vAlign w:val="center"/>
                </w:tcPr>
                <w:p w14:paraId="5BAF9780" w14:textId="77777777" w:rsidR="00A12A10" w:rsidRPr="009E5DEB" w:rsidRDefault="00A12A10" w:rsidP="00CA0B3C">
                  <w:pPr>
                    <w:framePr w:hSpace="180" w:wrap="around" w:vAnchor="text" w:hAnchor="text" w:x="-120"/>
                    <w:spacing w:line="276" w:lineRule="auto"/>
                    <w:rPr>
                      <w:rFonts w:ascii="Arial" w:hAnsi="Arial" w:cs="Arial"/>
                      <w:b/>
                      <w:sz w:val="22"/>
                      <w:szCs w:val="22"/>
                    </w:rPr>
                  </w:pPr>
                </w:p>
              </w:tc>
            </w:tr>
            <w:tr w:rsidR="00A12A10" w:rsidRPr="009E5DEB" w14:paraId="5CB326CE" w14:textId="77777777">
              <w:trPr>
                <w:trHeight w:val="289"/>
              </w:trPr>
              <w:tc>
                <w:tcPr>
                  <w:tcW w:w="3720" w:type="dxa"/>
                  <w:vAlign w:val="center"/>
                </w:tcPr>
                <w:p w14:paraId="038F60E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Age (years)</w:t>
                  </w:r>
                </w:p>
              </w:tc>
              <w:tc>
                <w:tcPr>
                  <w:tcW w:w="1515" w:type="dxa"/>
                  <w:vAlign w:val="center"/>
                </w:tcPr>
                <w:p w14:paraId="2E84496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66.5 ± 9.8</w:t>
                  </w:r>
                </w:p>
              </w:tc>
              <w:tc>
                <w:tcPr>
                  <w:tcW w:w="1860" w:type="dxa"/>
                  <w:vAlign w:val="center"/>
                </w:tcPr>
                <w:p w14:paraId="240151C2"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67.2 ± 10.1</w:t>
                  </w:r>
                </w:p>
              </w:tc>
              <w:tc>
                <w:tcPr>
                  <w:tcW w:w="885" w:type="dxa"/>
                  <w:vAlign w:val="center"/>
                </w:tcPr>
                <w:p w14:paraId="61AA48A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0.691</w:t>
                  </w:r>
                </w:p>
              </w:tc>
            </w:tr>
            <w:tr w:rsidR="00A12A10" w:rsidRPr="009E5DEB" w14:paraId="551DEEDE" w14:textId="77777777">
              <w:trPr>
                <w:trHeight w:val="272"/>
              </w:trPr>
              <w:tc>
                <w:tcPr>
                  <w:tcW w:w="3720" w:type="dxa"/>
                  <w:vAlign w:val="center"/>
                </w:tcPr>
                <w:p w14:paraId="5FE4A6B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Valvular Disease (present, n (%))</w:t>
                  </w:r>
                </w:p>
              </w:tc>
              <w:tc>
                <w:tcPr>
                  <w:tcW w:w="1515" w:type="dxa"/>
                  <w:vAlign w:val="center"/>
                </w:tcPr>
                <w:p w14:paraId="61DDB52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 (25.2%)</w:t>
                  </w:r>
                </w:p>
              </w:tc>
              <w:tc>
                <w:tcPr>
                  <w:tcW w:w="1860" w:type="dxa"/>
                  <w:vAlign w:val="center"/>
                </w:tcPr>
                <w:p w14:paraId="117C0CE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5F081BC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629A1483" w14:textId="77777777">
              <w:trPr>
                <w:trHeight w:val="289"/>
              </w:trPr>
              <w:tc>
                <w:tcPr>
                  <w:tcW w:w="3720" w:type="dxa"/>
                  <w:vAlign w:val="center"/>
                </w:tcPr>
                <w:p w14:paraId="78618B1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Cardiomyopathy (present, n (%))</w:t>
                  </w:r>
                </w:p>
              </w:tc>
              <w:tc>
                <w:tcPr>
                  <w:tcW w:w="1515" w:type="dxa"/>
                  <w:vAlign w:val="center"/>
                </w:tcPr>
                <w:p w14:paraId="5123013F"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50 (43.5%)</w:t>
                  </w:r>
                </w:p>
              </w:tc>
              <w:tc>
                <w:tcPr>
                  <w:tcW w:w="1860" w:type="dxa"/>
                  <w:vAlign w:val="center"/>
                </w:tcPr>
                <w:p w14:paraId="46F3B7C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0EDD8092"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42C9E335" w14:textId="77777777">
              <w:trPr>
                <w:trHeight w:val="580"/>
              </w:trPr>
              <w:tc>
                <w:tcPr>
                  <w:tcW w:w="3720" w:type="dxa"/>
                  <w:vAlign w:val="center"/>
                </w:tcPr>
                <w:p w14:paraId="4C11DDA0"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Coronary Artery Disease (present, n (%))</w:t>
                  </w:r>
                </w:p>
              </w:tc>
              <w:tc>
                <w:tcPr>
                  <w:tcW w:w="1515" w:type="dxa"/>
                  <w:vAlign w:val="center"/>
                </w:tcPr>
                <w:p w14:paraId="64701C8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86 (74.8%)</w:t>
                  </w:r>
                </w:p>
              </w:tc>
              <w:tc>
                <w:tcPr>
                  <w:tcW w:w="1860" w:type="dxa"/>
                  <w:vAlign w:val="center"/>
                </w:tcPr>
                <w:p w14:paraId="3C02C22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50E02A7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19AF00FB" w14:textId="77777777">
              <w:trPr>
                <w:trHeight w:val="272"/>
              </w:trPr>
              <w:tc>
                <w:tcPr>
                  <w:tcW w:w="3720" w:type="dxa"/>
                  <w:vAlign w:val="center"/>
                </w:tcPr>
                <w:p w14:paraId="561E492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lastRenderedPageBreak/>
                    <w:t>Sex (Male, n (%))</w:t>
                  </w:r>
                </w:p>
              </w:tc>
              <w:tc>
                <w:tcPr>
                  <w:tcW w:w="1515" w:type="dxa"/>
                  <w:vAlign w:val="center"/>
                </w:tcPr>
                <w:p w14:paraId="62E8983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74 (64.3%)</w:t>
                  </w:r>
                </w:p>
              </w:tc>
              <w:tc>
                <w:tcPr>
                  <w:tcW w:w="1860" w:type="dxa"/>
                  <w:vAlign w:val="center"/>
                </w:tcPr>
                <w:p w14:paraId="10250B7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18 (40.9%)</w:t>
                  </w:r>
                </w:p>
              </w:tc>
              <w:tc>
                <w:tcPr>
                  <w:tcW w:w="885" w:type="dxa"/>
                  <w:vAlign w:val="center"/>
                </w:tcPr>
                <w:p w14:paraId="7834B920"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0.006</w:t>
                  </w:r>
                </w:p>
              </w:tc>
            </w:tr>
            <w:tr w:rsidR="00A12A10" w:rsidRPr="009E5DEB" w14:paraId="2480C674" w14:textId="77777777">
              <w:trPr>
                <w:trHeight w:val="289"/>
              </w:trPr>
              <w:tc>
                <w:tcPr>
                  <w:tcW w:w="3720" w:type="dxa"/>
                  <w:vAlign w:val="center"/>
                </w:tcPr>
                <w:p w14:paraId="69C55680"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Chest Pain (n (%))</w:t>
                  </w:r>
                </w:p>
              </w:tc>
              <w:tc>
                <w:tcPr>
                  <w:tcW w:w="1515" w:type="dxa"/>
                  <w:vAlign w:val="center"/>
                </w:tcPr>
                <w:p w14:paraId="52946AF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62 (53.9%)</w:t>
                  </w:r>
                </w:p>
              </w:tc>
              <w:tc>
                <w:tcPr>
                  <w:tcW w:w="1860" w:type="dxa"/>
                  <w:vAlign w:val="center"/>
                </w:tcPr>
                <w:p w14:paraId="22D8EA0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13 (29.5%)</w:t>
                  </w:r>
                </w:p>
              </w:tc>
              <w:tc>
                <w:tcPr>
                  <w:tcW w:w="885" w:type="dxa"/>
                  <w:vAlign w:val="center"/>
                </w:tcPr>
                <w:p w14:paraId="769746B7"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0.002</w:t>
                  </w:r>
                </w:p>
              </w:tc>
            </w:tr>
            <w:tr w:rsidR="00A12A10" w:rsidRPr="009E5DEB" w14:paraId="05F733A6" w14:textId="77777777">
              <w:trPr>
                <w:trHeight w:val="272"/>
              </w:trPr>
              <w:tc>
                <w:tcPr>
                  <w:tcW w:w="3720" w:type="dxa"/>
                  <w:vAlign w:val="center"/>
                </w:tcPr>
                <w:p w14:paraId="7B4A203C"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Syncope (n (%))</w:t>
                  </w:r>
                </w:p>
              </w:tc>
              <w:tc>
                <w:tcPr>
                  <w:tcW w:w="1515" w:type="dxa"/>
                  <w:vAlign w:val="center"/>
                </w:tcPr>
                <w:p w14:paraId="65C3A4A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9 (7.8%)</w:t>
                  </w:r>
                </w:p>
              </w:tc>
              <w:tc>
                <w:tcPr>
                  <w:tcW w:w="1860" w:type="dxa"/>
                  <w:vAlign w:val="center"/>
                </w:tcPr>
                <w:p w14:paraId="1D910C2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 (4.5%)</w:t>
                  </w:r>
                </w:p>
              </w:tc>
              <w:tc>
                <w:tcPr>
                  <w:tcW w:w="885" w:type="dxa"/>
                  <w:vAlign w:val="center"/>
                </w:tcPr>
                <w:p w14:paraId="608C6B24"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0.469</w:t>
                  </w:r>
                </w:p>
              </w:tc>
            </w:tr>
            <w:tr w:rsidR="00A12A10" w:rsidRPr="009E5DEB" w14:paraId="4FF37079" w14:textId="77777777">
              <w:trPr>
                <w:trHeight w:val="289"/>
              </w:trPr>
              <w:tc>
                <w:tcPr>
                  <w:tcW w:w="3720" w:type="dxa"/>
                  <w:vAlign w:val="center"/>
                </w:tcPr>
                <w:p w14:paraId="77852C89"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Old MI (n (%))</w:t>
                  </w:r>
                </w:p>
              </w:tc>
              <w:tc>
                <w:tcPr>
                  <w:tcW w:w="1515" w:type="dxa"/>
                  <w:vAlign w:val="center"/>
                </w:tcPr>
                <w:p w14:paraId="4B0A7DAD"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78 (67.8%)</w:t>
                  </w:r>
                </w:p>
              </w:tc>
              <w:tc>
                <w:tcPr>
                  <w:tcW w:w="1860" w:type="dxa"/>
                  <w:vAlign w:val="center"/>
                </w:tcPr>
                <w:p w14:paraId="6C84441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10 (22.7%)</w:t>
                  </w:r>
                </w:p>
              </w:tc>
              <w:tc>
                <w:tcPr>
                  <w:tcW w:w="885" w:type="dxa"/>
                  <w:vAlign w:val="center"/>
                </w:tcPr>
                <w:p w14:paraId="2934216F"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45638047" w14:textId="77777777">
              <w:trPr>
                <w:trHeight w:val="1742"/>
              </w:trPr>
              <w:tc>
                <w:tcPr>
                  <w:tcW w:w="3720" w:type="dxa"/>
                  <w:vAlign w:val="center"/>
                </w:tcPr>
                <w:p w14:paraId="492EA0EE" w14:textId="77777777" w:rsidR="00A12A10" w:rsidRPr="009E5DEB" w:rsidRDefault="00A12A10" w:rsidP="00CA0B3C">
                  <w:pPr>
                    <w:framePr w:hSpace="180" w:wrap="around" w:vAnchor="text" w:hAnchor="text" w:x="-120"/>
                    <w:spacing w:line="276" w:lineRule="auto"/>
                    <w:rPr>
                      <w:rFonts w:ascii="Arial" w:hAnsi="Arial" w:cs="Arial"/>
                      <w:b/>
                      <w:sz w:val="22"/>
                      <w:szCs w:val="22"/>
                    </w:rPr>
                  </w:pPr>
                </w:p>
                <w:p w14:paraId="1CE0B589"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Functional Class (NYHA)</w:t>
                  </w:r>
                </w:p>
                <w:p w14:paraId="73A111E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w:t>
                  </w:r>
                </w:p>
                <w:p w14:paraId="05388930"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II</w:t>
                  </w:r>
                </w:p>
                <w:p w14:paraId="64F3A7D0"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III</w:t>
                  </w:r>
                </w:p>
                <w:p w14:paraId="7279CB4C"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IV</w:t>
                  </w:r>
                </w:p>
              </w:tc>
              <w:tc>
                <w:tcPr>
                  <w:tcW w:w="1515" w:type="dxa"/>
                  <w:vAlign w:val="center"/>
                </w:tcPr>
                <w:p w14:paraId="457922A9"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5333979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29(25.2%)</w:t>
                  </w:r>
                </w:p>
                <w:p w14:paraId="7D4A7E4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29(25.2%)</w:t>
                  </w:r>
                </w:p>
                <w:p w14:paraId="2DDB332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45(39.1%)</w:t>
                  </w:r>
                </w:p>
                <w:p w14:paraId="4D460C0D"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12(10.4%)</w:t>
                  </w:r>
                </w:p>
              </w:tc>
              <w:tc>
                <w:tcPr>
                  <w:tcW w:w="1860" w:type="dxa"/>
                  <w:vAlign w:val="center"/>
                </w:tcPr>
                <w:p w14:paraId="134920FF"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77839B0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32(72.7%)</w:t>
                  </w:r>
                </w:p>
                <w:p w14:paraId="0EDFEEFC"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9(20.4%)</w:t>
                  </w:r>
                </w:p>
                <w:p w14:paraId="3FDFE1EF"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3(6.8%)</w:t>
                  </w:r>
                </w:p>
                <w:p w14:paraId="0AEB63FF"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w:t>
                  </w:r>
                </w:p>
              </w:tc>
              <w:tc>
                <w:tcPr>
                  <w:tcW w:w="885" w:type="dxa"/>
                  <w:vAlign w:val="center"/>
                </w:tcPr>
                <w:p w14:paraId="0367DCC5"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p w14:paraId="428D2EB5"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3D45B7FC"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36B01D68"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1D64F6F9"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tc>
            </w:tr>
            <w:tr w:rsidR="00A12A10" w:rsidRPr="009E5DEB" w14:paraId="2C0A8AEB" w14:textId="77777777">
              <w:trPr>
                <w:trHeight w:val="580"/>
              </w:trPr>
              <w:tc>
                <w:tcPr>
                  <w:tcW w:w="3720" w:type="dxa"/>
                  <w:vAlign w:val="center"/>
                </w:tcPr>
                <w:p w14:paraId="153D0B1F" w14:textId="77777777" w:rsidR="00A12A10" w:rsidRPr="009E5DEB" w:rsidRDefault="00A12A10" w:rsidP="00CA0B3C">
                  <w:pPr>
                    <w:framePr w:hSpace="180" w:wrap="around" w:vAnchor="text" w:hAnchor="text" w:x="-120"/>
                    <w:spacing w:line="276" w:lineRule="auto"/>
                    <w:rPr>
                      <w:rFonts w:ascii="Arial" w:hAnsi="Arial" w:cs="Arial"/>
                      <w:b/>
                      <w:sz w:val="22"/>
                      <w:szCs w:val="22"/>
                    </w:rPr>
                  </w:pPr>
                </w:p>
                <w:p w14:paraId="61E06A3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Diabetes Mellitus (n (%))</w:t>
                  </w:r>
                </w:p>
              </w:tc>
              <w:tc>
                <w:tcPr>
                  <w:tcW w:w="1515" w:type="dxa"/>
                  <w:vAlign w:val="center"/>
                </w:tcPr>
                <w:p w14:paraId="7958BF63"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5CB3244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80 (69.6%)</w:t>
                  </w:r>
                </w:p>
              </w:tc>
              <w:tc>
                <w:tcPr>
                  <w:tcW w:w="1860" w:type="dxa"/>
                  <w:vAlign w:val="center"/>
                </w:tcPr>
                <w:p w14:paraId="5F82FC60"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3F18C724"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31 (70.5%)</w:t>
                  </w:r>
                </w:p>
              </w:tc>
              <w:tc>
                <w:tcPr>
                  <w:tcW w:w="885" w:type="dxa"/>
                  <w:vAlign w:val="center"/>
                </w:tcPr>
                <w:p w14:paraId="349C88DF"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743B8FD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0.784</w:t>
                  </w:r>
                </w:p>
              </w:tc>
            </w:tr>
            <w:tr w:rsidR="00A12A10" w:rsidRPr="009E5DEB" w14:paraId="7D9F44FF" w14:textId="77777777">
              <w:trPr>
                <w:trHeight w:val="272"/>
              </w:trPr>
              <w:tc>
                <w:tcPr>
                  <w:tcW w:w="3720" w:type="dxa"/>
                  <w:vAlign w:val="center"/>
                </w:tcPr>
                <w:p w14:paraId="2B80226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Hypertension (n (%))</w:t>
                  </w:r>
                </w:p>
              </w:tc>
              <w:tc>
                <w:tcPr>
                  <w:tcW w:w="1515" w:type="dxa"/>
                  <w:vAlign w:val="center"/>
                </w:tcPr>
                <w:p w14:paraId="6DB58D4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88 (76.5%)</w:t>
                  </w:r>
                </w:p>
              </w:tc>
              <w:tc>
                <w:tcPr>
                  <w:tcW w:w="1860" w:type="dxa"/>
                  <w:vAlign w:val="center"/>
                </w:tcPr>
                <w:p w14:paraId="68F8F8C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37 (84.1%)</w:t>
                  </w:r>
                </w:p>
              </w:tc>
              <w:tc>
                <w:tcPr>
                  <w:tcW w:w="885" w:type="dxa"/>
                  <w:vAlign w:val="center"/>
                </w:tcPr>
                <w:p w14:paraId="326C3E50"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0.949</w:t>
                  </w:r>
                </w:p>
              </w:tc>
            </w:tr>
            <w:tr w:rsidR="00A12A10" w:rsidRPr="009E5DEB" w14:paraId="49FF8BE8" w14:textId="77777777">
              <w:trPr>
                <w:trHeight w:val="289"/>
              </w:trPr>
              <w:tc>
                <w:tcPr>
                  <w:tcW w:w="3720" w:type="dxa"/>
                  <w:vAlign w:val="center"/>
                </w:tcPr>
                <w:p w14:paraId="6226E4D8"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Smoking (n (%))</w:t>
                  </w:r>
                </w:p>
              </w:tc>
              <w:tc>
                <w:tcPr>
                  <w:tcW w:w="1515" w:type="dxa"/>
                  <w:vAlign w:val="center"/>
                </w:tcPr>
                <w:p w14:paraId="09261634"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53 (46.1%)</w:t>
                  </w:r>
                </w:p>
              </w:tc>
              <w:tc>
                <w:tcPr>
                  <w:tcW w:w="1860" w:type="dxa"/>
                  <w:vAlign w:val="center"/>
                </w:tcPr>
                <w:p w14:paraId="152E734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18 (40.9%)</w:t>
                  </w:r>
                </w:p>
              </w:tc>
              <w:tc>
                <w:tcPr>
                  <w:tcW w:w="885" w:type="dxa"/>
                  <w:vAlign w:val="center"/>
                </w:tcPr>
                <w:p w14:paraId="320A2378"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0.124</w:t>
                  </w:r>
                </w:p>
              </w:tc>
            </w:tr>
            <w:tr w:rsidR="00A12A10" w:rsidRPr="009E5DEB" w14:paraId="0E457B35" w14:textId="77777777">
              <w:trPr>
                <w:trHeight w:val="272"/>
              </w:trPr>
              <w:tc>
                <w:tcPr>
                  <w:tcW w:w="3720" w:type="dxa"/>
                  <w:vAlign w:val="center"/>
                </w:tcPr>
                <w:p w14:paraId="6BA730E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Creatinine (mg/dL)</w:t>
                  </w:r>
                </w:p>
              </w:tc>
              <w:tc>
                <w:tcPr>
                  <w:tcW w:w="1515" w:type="dxa"/>
                  <w:vAlign w:val="center"/>
                </w:tcPr>
                <w:p w14:paraId="080BDDCC"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1.19 ± 0.35</w:t>
                  </w:r>
                </w:p>
              </w:tc>
              <w:tc>
                <w:tcPr>
                  <w:tcW w:w="1860" w:type="dxa"/>
                  <w:vAlign w:val="center"/>
                </w:tcPr>
                <w:p w14:paraId="4A488080"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0.91 ± 0.30</w:t>
                  </w:r>
                </w:p>
              </w:tc>
              <w:tc>
                <w:tcPr>
                  <w:tcW w:w="885" w:type="dxa"/>
                  <w:vAlign w:val="center"/>
                </w:tcPr>
                <w:p w14:paraId="5A767A7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0.058</w:t>
                  </w:r>
                </w:p>
              </w:tc>
            </w:tr>
            <w:tr w:rsidR="00A12A10" w:rsidRPr="009E5DEB" w14:paraId="223ED721" w14:textId="77777777">
              <w:trPr>
                <w:trHeight w:val="1742"/>
              </w:trPr>
              <w:tc>
                <w:tcPr>
                  <w:tcW w:w="3720" w:type="dxa"/>
                  <w:vAlign w:val="center"/>
                </w:tcPr>
                <w:p w14:paraId="1A944E6A" w14:textId="77777777" w:rsidR="00A12A10" w:rsidRPr="009E5DEB" w:rsidRDefault="00A12A10" w:rsidP="00CA0B3C">
                  <w:pPr>
                    <w:framePr w:hSpace="180" w:wrap="around" w:vAnchor="text" w:hAnchor="text" w:x="-120"/>
                    <w:spacing w:line="276" w:lineRule="auto"/>
                    <w:rPr>
                      <w:rFonts w:ascii="Arial" w:hAnsi="Arial" w:cs="Arial"/>
                      <w:b/>
                      <w:sz w:val="22"/>
                      <w:szCs w:val="22"/>
                    </w:rPr>
                  </w:pPr>
                </w:p>
                <w:p w14:paraId="4690E7CA"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Number of Diseased Vessels</w:t>
                  </w:r>
                </w:p>
                <w:p w14:paraId="4018FB76"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No vessels affected</w:t>
                  </w:r>
                </w:p>
                <w:p w14:paraId="1973B7DC"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Single vessel disease</w:t>
                  </w:r>
                </w:p>
                <w:p w14:paraId="07612C2C"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Double vessel disease</w:t>
                  </w:r>
                </w:p>
                <w:p w14:paraId="35E83EC5"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Triple vessel disease</w:t>
                  </w:r>
                </w:p>
              </w:tc>
              <w:tc>
                <w:tcPr>
                  <w:tcW w:w="1515" w:type="dxa"/>
                  <w:vAlign w:val="center"/>
                </w:tcPr>
                <w:p w14:paraId="29BCDA8B"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4D18CB34"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4B387962"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29(25.2%)</w:t>
                  </w:r>
                </w:p>
                <w:p w14:paraId="5095893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57(49.5%)</w:t>
                  </w:r>
                </w:p>
                <w:p w14:paraId="13BE741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14(12.1%)</w:t>
                  </w:r>
                </w:p>
                <w:p w14:paraId="0C78D0D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12(10.4%)</w:t>
                  </w:r>
                </w:p>
              </w:tc>
              <w:tc>
                <w:tcPr>
                  <w:tcW w:w="1860" w:type="dxa"/>
                  <w:vAlign w:val="center"/>
                </w:tcPr>
                <w:p w14:paraId="11F11902"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69592516"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1BF0A22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44(100%)</w:t>
                  </w:r>
                </w:p>
                <w:p w14:paraId="79894785"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2289B09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1748E46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tc>
              <w:tc>
                <w:tcPr>
                  <w:tcW w:w="885" w:type="dxa"/>
                  <w:vAlign w:val="center"/>
                </w:tcPr>
                <w:p w14:paraId="626E2E4F"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37F37B12"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p w14:paraId="12C52A5F"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30F74745"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1975E3D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p w14:paraId="5AB30E77"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w:t>
                  </w:r>
                </w:p>
              </w:tc>
            </w:tr>
            <w:tr w:rsidR="00A12A10" w:rsidRPr="009E5DEB" w14:paraId="38450D3E" w14:textId="77777777">
              <w:trPr>
                <w:trHeight w:val="580"/>
              </w:trPr>
              <w:tc>
                <w:tcPr>
                  <w:tcW w:w="3720" w:type="dxa"/>
                  <w:vAlign w:val="center"/>
                </w:tcPr>
                <w:p w14:paraId="5FCFD60B" w14:textId="77777777" w:rsidR="00A12A10" w:rsidRPr="009E5DEB" w:rsidRDefault="00A12A10" w:rsidP="00CA0B3C">
                  <w:pPr>
                    <w:framePr w:hSpace="180" w:wrap="around" w:vAnchor="text" w:hAnchor="text" w:x="-120"/>
                    <w:spacing w:line="276" w:lineRule="auto"/>
                    <w:rPr>
                      <w:rFonts w:ascii="Arial" w:hAnsi="Arial" w:cs="Arial"/>
                      <w:b/>
                      <w:sz w:val="22"/>
                      <w:szCs w:val="22"/>
                    </w:rPr>
                  </w:pPr>
                </w:p>
                <w:p w14:paraId="435341A8"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Ejection Fraction (%)</w:t>
                  </w:r>
                </w:p>
              </w:tc>
              <w:tc>
                <w:tcPr>
                  <w:tcW w:w="1515" w:type="dxa"/>
                  <w:vAlign w:val="center"/>
                </w:tcPr>
                <w:p w14:paraId="6C0AA5D1"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6F883052"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44.0 ± 8.0</w:t>
                  </w:r>
                </w:p>
              </w:tc>
              <w:tc>
                <w:tcPr>
                  <w:tcW w:w="1860" w:type="dxa"/>
                  <w:vAlign w:val="center"/>
                </w:tcPr>
                <w:p w14:paraId="56B29B1F"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1CF5CC4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61.7 ± 10.0</w:t>
                  </w:r>
                </w:p>
              </w:tc>
              <w:tc>
                <w:tcPr>
                  <w:tcW w:w="885" w:type="dxa"/>
                  <w:vAlign w:val="center"/>
                </w:tcPr>
                <w:p w14:paraId="1CAB9039"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7CC8A3E9"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0EDBC7A2" w14:textId="77777777">
              <w:trPr>
                <w:trHeight w:val="289"/>
              </w:trPr>
              <w:tc>
                <w:tcPr>
                  <w:tcW w:w="3720" w:type="dxa"/>
                  <w:vAlign w:val="center"/>
                </w:tcPr>
                <w:p w14:paraId="4C19D71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LVIDd (cm)</w:t>
                  </w:r>
                </w:p>
              </w:tc>
              <w:tc>
                <w:tcPr>
                  <w:tcW w:w="1515" w:type="dxa"/>
                  <w:vAlign w:val="center"/>
                </w:tcPr>
                <w:p w14:paraId="165C955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5.39 ± 0.70</w:t>
                  </w:r>
                </w:p>
              </w:tc>
              <w:tc>
                <w:tcPr>
                  <w:tcW w:w="1860" w:type="dxa"/>
                  <w:vAlign w:val="center"/>
                </w:tcPr>
                <w:p w14:paraId="78D9451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4.60 ± 0.65</w:t>
                  </w:r>
                </w:p>
              </w:tc>
              <w:tc>
                <w:tcPr>
                  <w:tcW w:w="885" w:type="dxa"/>
                  <w:vAlign w:val="center"/>
                </w:tcPr>
                <w:p w14:paraId="423BE562"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2BCE8B27" w14:textId="77777777">
              <w:trPr>
                <w:trHeight w:val="272"/>
              </w:trPr>
              <w:tc>
                <w:tcPr>
                  <w:tcW w:w="3720" w:type="dxa"/>
                  <w:vAlign w:val="center"/>
                </w:tcPr>
                <w:p w14:paraId="20863BF7"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LVIDs (cm)</w:t>
                  </w:r>
                </w:p>
              </w:tc>
              <w:tc>
                <w:tcPr>
                  <w:tcW w:w="1515" w:type="dxa"/>
                  <w:vAlign w:val="center"/>
                </w:tcPr>
                <w:p w14:paraId="58B7295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4.05 ± 0.80</w:t>
                  </w:r>
                </w:p>
              </w:tc>
              <w:tc>
                <w:tcPr>
                  <w:tcW w:w="1860" w:type="dxa"/>
                  <w:vAlign w:val="center"/>
                </w:tcPr>
                <w:p w14:paraId="05BA4B7F"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3.00 ± 0.75</w:t>
                  </w:r>
                </w:p>
              </w:tc>
              <w:tc>
                <w:tcPr>
                  <w:tcW w:w="885" w:type="dxa"/>
                  <w:vAlign w:val="center"/>
                </w:tcPr>
                <w:p w14:paraId="56EF0CE5"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3957C044" w14:textId="77777777">
              <w:trPr>
                <w:trHeight w:val="580"/>
              </w:trPr>
              <w:tc>
                <w:tcPr>
                  <w:tcW w:w="3720" w:type="dxa"/>
                  <w:vAlign w:val="center"/>
                </w:tcPr>
                <w:p w14:paraId="2DBD2877"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Mitral Regurgitation (MR)</w:t>
                  </w:r>
                </w:p>
                <w:p w14:paraId="4CC63A24"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Grade 3 and 4 (present, n (%))</w:t>
                  </w:r>
                </w:p>
              </w:tc>
              <w:tc>
                <w:tcPr>
                  <w:tcW w:w="1515" w:type="dxa"/>
                  <w:vAlign w:val="center"/>
                </w:tcPr>
                <w:p w14:paraId="6BB159E8"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26 (22.6%)</w:t>
                  </w:r>
                </w:p>
              </w:tc>
              <w:tc>
                <w:tcPr>
                  <w:tcW w:w="1860" w:type="dxa"/>
                  <w:vAlign w:val="center"/>
                </w:tcPr>
                <w:p w14:paraId="0DD30987"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 (9.1%)</w:t>
                  </w:r>
                </w:p>
              </w:tc>
              <w:tc>
                <w:tcPr>
                  <w:tcW w:w="885" w:type="dxa"/>
                  <w:vAlign w:val="center"/>
                </w:tcPr>
                <w:p w14:paraId="7421376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r w:rsidR="00A12A10" w:rsidRPr="009E5DEB" w14:paraId="356932A7" w14:textId="77777777">
              <w:trPr>
                <w:trHeight w:val="580"/>
              </w:trPr>
              <w:tc>
                <w:tcPr>
                  <w:tcW w:w="3720" w:type="dxa"/>
                  <w:vAlign w:val="center"/>
                </w:tcPr>
                <w:p w14:paraId="7677B3C3" w14:textId="77777777" w:rsidR="00A12A10" w:rsidRPr="009E5DEB" w:rsidRDefault="00BE5190" w:rsidP="00CA0B3C">
                  <w:pPr>
                    <w:framePr w:hSpace="180" w:wrap="around" w:vAnchor="text" w:hAnchor="text" w:x="-120"/>
                    <w:spacing w:line="276" w:lineRule="auto"/>
                    <w:rPr>
                      <w:rFonts w:ascii="Arial" w:hAnsi="Arial" w:cs="Arial"/>
                      <w:b/>
                      <w:sz w:val="22"/>
                      <w:szCs w:val="22"/>
                    </w:rPr>
                  </w:pPr>
                  <w:r w:rsidRPr="009E5DEB">
                    <w:rPr>
                      <w:rFonts w:ascii="Arial" w:hAnsi="Arial" w:cs="Arial"/>
                      <w:b/>
                      <w:sz w:val="22"/>
                      <w:szCs w:val="22"/>
                    </w:rPr>
                    <w:t>QRS Axis</w:t>
                  </w:r>
                </w:p>
                <w:p w14:paraId="69382F7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Left Axis Deviation</w:t>
                  </w:r>
                </w:p>
                <w:p w14:paraId="2B82746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 xml:space="preserve">Normal Axis </w:t>
                  </w:r>
                </w:p>
              </w:tc>
              <w:tc>
                <w:tcPr>
                  <w:tcW w:w="1515" w:type="dxa"/>
                  <w:vAlign w:val="center"/>
                </w:tcPr>
                <w:p w14:paraId="46B84A6A"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270BAAC9"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90(78.3%)</w:t>
                  </w:r>
                </w:p>
                <w:p w14:paraId="05A3B88A"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25(21.7%)</w:t>
                  </w:r>
                </w:p>
              </w:tc>
              <w:tc>
                <w:tcPr>
                  <w:tcW w:w="1860" w:type="dxa"/>
                  <w:vAlign w:val="center"/>
                </w:tcPr>
                <w:p w14:paraId="74EB3F9A"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7FF3DCFE"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49720BC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36(81.8%)</w:t>
                  </w:r>
                </w:p>
                <w:p w14:paraId="373A0BAF"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8(18.2%)</w:t>
                  </w:r>
                </w:p>
                <w:p w14:paraId="48DF1C3B" w14:textId="77777777" w:rsidR="00A12A10" w:rsidRPr="009E5DEB" w:rsidRDefault="00A12A10" w:rsidP="00CA0B3C">
                  <w:pPr>
                    <w:framePr w:hSpace="180" w:wrap="around" w:vAnchor="text" w:hAnchor="text" w:x="-120"/>
                    <w:spacing w:line="276" w:lineRule="auto"/>
                    <w:rPr>
                      <w:rFonts w:ascii="Arial" w:hAnsi="Arial" w:cs="Arial"/>
                      <w:sz w:val="22"/>
                      <w:szCs w:val="22"/>
                    </w:rPr>
                  </w:pPr>
                </w:p>
              </w:tc>
              <w:tc>
                <w:tcPr>
                  <w:tcW w:w="885" w:type="dxa"/>
                  <w:vAlign w:val="center"/>
                </w:tcPr>
                <w:p w14:paraId="324ACD3D"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0.857</w:t>
                  </w:r>
                </w:p>
                <w:p w14:paraId="7AB073C6" w14:textId="77777777" w:rsidR="00A12A10" w:rsidRPr="009E5DEB" w:rsidRDefault="00A12A10" w:rsidP="00CA0B3C">
                  <w:pPr>
                    <w:framePr w:hSpace="180" w:wrap="around" w:vAnchor="text" w:hAnchor="text" w:x="-120"/>
                    <w:spacing w:line="276" w:lineRule="auto"/>
                    <w:rPr>
                      <w:rFonts w:ascii="Arial" w:hAnsi="Arial" w:cs="Arial"/>
                      <w:sz w:val="22"/>
                      <w:szCs w:val="22"/>
                    </w:rPr>
                  </w:pPr>
                </w:p>
                <w:p w14:paraId="5E56723B" w14:textId="77777777" w:rsidR="00A12A10" w:rsidRPr="009E5DEB" w:rsidRDefault="00A12A10" w:rsidP="00CA0B3C">
                  <w:pPr>
                    <w:framePr w:hSpace="180" w:wrap="around" w:vAnchor="text" w:hAnchor="text" w:x="-120"/>
                    <w:spacing w:line="276" w:lineRule="auto"/>
                    <w:rPr>
                      <w:rFonts w:ascii="Arial" w:hAnsi="Arial" w:cs="Arial"/>
                      <w:sz w:val="22"/>
                      <w:szCs w:val="22"/>
                    </w:rPr>
                  </w:pPr>
                </w:p>
              </w:tc>
            </w:tr>
            <w:tr w:rsidR="00A12A10" w:rsidRPr="009E5DEB" w14:paraId="0BE7279F" w14:textId="77777777">
              <w:trPr>
                <w:trHeight w:val="289"/>
              </w:trPr>
              <w:tc>
                <w:tcPr>
                  <w:tcW w:w="3720" w:type="dxa"/>
                  <w:vAlign w:val="center"/>
                </w:tcPr>
                <w:p w14:paraId="1FC8F5C1"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QRS Duration (ms)</w:t>
                  </w:r>
                </w:p>
              </w:tc>
              <w:tc>
                <w:tcPr>
                  <w:tcW w:w="1515" w:type="dxa"/>
                  <w:vAlign w:val="center"/>
                </w:tcPr>
                <w:p w14:paraId="7B88B2B8"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150 ± 14</w:t>
                  </w:r>
                </w:p>
              </w:tc>
              <w:tc>
                <w:tcPr>
                  <w:tcW w:w="1860" w:type="dxa"/>
                  <w:vAlign w:val="center"/>
                </w:tcPr>
                <w:p w14:paraId="463D333B"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147 ± 15</w:t>
                  </w:r>
                </w:p>
              </w:tc>
              <w:tc>
                <w:tcPr>
                  <w:tcW w:w="885" w:type="dxa"/>
                  <w:vAlign w:val="center"/>
                </w:tcPr>
                <w:p w14:paraId="34E337F9"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0.248</w:t>
                  </w:r>
                </w:p>
              </w:tc>
            </w:tr>
            <w:tr w:rsidR="00A12A10" w:rsidRPr="009E5DEB" w14:paraId="0BCA4656" w14:textId="77777777">
              <w:trPr>
                <w:trHeight w:val="272"/>
              </w:trPr>
              <w:tc>
                <w:tcPr>
                  <w:tcW w:w="3720" w:type="dxa"/>
                  <w:vAlign w:val="center"/>
                </w:tcPr>
                <w:p w14:paraId="3DE7C246"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b/>
                      <w:sz w:val="22"/>
                      <w:szCs w:val="22"/>
                    </w:rPr>
                    <w:t>Reduced EF (EF&lt;40) (n (%))</w:t>
                  </w:r>
                </w:p>
              </w:tc>
              <w:tc>
                <w:tcPr>
                  <w:tcW w:w="1515" w:type="dxa"/>
                  <w:vAlign w:val="center"/>
                </w:tcPr>
                <w:p w14:paraId="7F14C427"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44 (38.3%)</w:t>
                  </w:r>
                </w:p>
              </w:tc>
              <w:tc>
                <w:tcPr>
                  <w:tcW w:w="1860" w:type="dxa"/>
                  <w:vAlign w:val="center"/>
                </w:tcPr>
                <w:p w14:paraId="5AB60C5E"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0 (0%)</w:t>
                  </w:r>
                </w:p>
              </w:tc>
              <w:tc>
                <w:tcPr>
                  <w:tcW w:w="885" w:type="dxa"/>
                  <w:vAlign w:val="center"/>
                </w:tcPr>
                <w:p w14:paraId="15056A43" w14:textId="77777777" w:rsidR="00A12A10" w:rsidRPr="009E5DEB" w:rsidRDefault="00BE5190" w:rsidP="00CA0B3C">
                  <w:pPr>
                    <w:framePr w:hSpace="180" w:wrap="around" w:vAnchor="text" w:hAnchor="text" w:x="-120"/>
                    <w:spacing w:line="276" w:lineRule="auto"/>
                    <w:rPr>
                      <w:rFonts w:ascii="Arial" w:hAnsi="Arial" w:cs="Arial"/>
                      <w:sz w:val="22"/>
                      <w:szCs w:val="22"/>
                    </w:rPr>
                  </w:pPr>
                  <w:r w:rsidRPr="009E5DEB">
                    <w:rPr>
                      <w:rFonts w:ascii="Arial" w:hAnsi="Arial" w:cs="Arial"/>
                      <w:sz w:val="22"/>
                      <w:szCs w:val="22"/>
                    </w:rPr>
                    <w:t>&lt;0.001</w:t>
                  </w:r>
                </w:p>
              </w:tc>
            </w:tr>
          </w:tbl>
          <w:p w14:paraId="69F91B58" w14:textId="77777777" w:rsidR="00A12A10" w:rsidRPr="009E5DEB" w:rsidRDefault="00A12A10" w:rsidP="009E5DEB">
            <w:pPr>
              <w:spacing w:line="276" w:lineRule="auto"/>
              <w:rPr>
                <w:rFonts w:ascii="Arial" w:hAnsi="Arial" w:cs="Arial"/>
                <w:sz w:val="22"/>
                <w:szCs w:val="22"/>
              </w:rPr>
            </w:pPr>
          </w:p>
        </w:tc>
      </w:tr>
    </w:tbl>
    <w:p w14:paraId="172E0453" w14:textId="77777777" w:rsidR="00020146" w:rsidRDefault="00020146" w:rsidP="009E5DEB">
      <w:pPr>
        <w:spacing w:line="276" w:lineRule="auto"/>
        <w:rPr>
          <w:rFonts w:ascii="Arial" w:hAnsi="Arial" w:cs="Arial"/>
          <w:b/>
          <w:i/>
          <w:sz w:val="22"/>
          <w:szCs w:val="22"/>
          <w:u w:val="single"/>
        </w:rPr>
      </w:pPr>
    </w:p>
    <w:p w14:paraId="5B68B06E" w14:textId="05ED047C" w:rsidR="00A12A10" w:rsidRPr="009E5DEB" w:rsidRDefault="003735A6" w:rsidP="009E5DEB">
      <w:pPr>
        <w:spacing w:line="276" w:lineRule="auto"/>
        <w:rPr>
          <w:rFonts w:ascii="Arial" w:hAnsi="Arial" w:cs="Arial"/>
          <w:sz w:val="22"/>
          <w:szCs w:val="22"/>
        </w:rPr>
      </w:pPr>
      <w:r>
        <w:rPr>
          <w:rFonts w:ascii="Arial" w:hAnsi="Arial" w:cs="Arial"/>
          <w:b/>
          <w:iCs/>
          <w:sz w:val="22"/>
          <w:szCs w:val="22"/>
          <w:u w:val="single"/>
        </w:rPr>
        <w:lastRenderedPageBreak/>
        <w:t>Figure 2</w:t>
      </w:r>
      <w:r w:rsidR="00253625" w:rsidRPr="00253625">
        <w:rPr>
          <w:rFonts w:ascii="Arial" w:hAnsi="Arial" w:cs="Arial"/>
          <w:b/>
          <w:iCs/>
          <w:sz w:val="22"/>
          <w:szCs w:val="22"/>
          <w:u w:val="single"/>
        </w:rPr>
        <w:t>: Angiographic findings of patients with LBBB</w:t>
      </w:r>
      <w:r w:rsidR="00253625" w:rsidRPr="009E5DEB">
        <w:rPr>
          <w:rFonts w:ascii="Arial" w:hAnsi="Arial" w:cs="Arial"/>
          <w:sz w:val="22"/>
          <w:szCs w:val="22"/>
        </w:rPr>
        <w:br/>
      </w:r>
      <w:r w:rsidR="00253625" w:rsidRPr="009E5DEB">
        <w:rPr>
          <w:rFonts w:ascii="Arial" w:hAnsi="Arial" w:cs="Arial"/>
          <w:noProof/>
          <w:sz w:val="22"/>
          <w:szCs w:val="22"/>
          <w:lang w:val="en-US"/>
        </w:rPr>
        <w:drawing>
          <wp:inline distT="0" distB="0" distL="0" distR="0" wp14:anchorId="17BE47BF" wp14:editId="79D33816">
            <wp:extent cx="4584700" cy="2834640"/>
            <wp:effectExtent l="0" t="0" r="0" b="0"/>
            <wp:docPr id="13072828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84700" cy="2834640"/>
                    </a:xfrm>
                    <a:prstGeom prst="rect">
                      <a:avLst/>
                    </a:prstGeom>
                    <a:ln/>
                  </pic:spPr>
                </pic:pic>
              </a:graphicData>
            </a:graphic>
          </wp:inline>
        </w:drawing>
      </w:r>
    </w:p>
    <w:p w14:paraId="5A45425A" w14:textId="77777777" w:rsidR="00A12A10" w:rsidRPr="009E5DEB" w:rsidRDefault="00A12A10" w:rsidP="009E5DEB">
      <w:pPr>
        <w:spacing w:line="276" w:lineRule="auto"/>
        <w:rPr>
          <w:rFonts w:ascii="Arial" w:hAnsi="Arial" w:cs="Arial"/>
          <w:sz w:val="22"/>
          <w:szCs w:val="22"/>
        </w:rPr>
      </w:pPr>
    </w:p>
    <w:p w14:paraId="2E0F6118"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Our study of 159 patients with left bundle branch block (LBBB) revealed that a substantial majority (72.3%) were classified as having structural heart disease (SHD) based on predefined criteria incorporating significant valvular pathology, cardiomyopathy</w:t>
      </w:r>
      <w:r w:rsidRPr="009E5DEB">
        <w:rPr>
          <w:rFonts w:ascii="Arial" w:hAnsi="Arial" w:cs="Arial"/>
          <w:sz w:val="22"/>
          <w:szCs w:val="22"/>
          <w:vertAlign w:val="superscript"/>
        </w:rPr>
        <w:t>4</w:t>
      </w:r>
      <w:r w:rsidRPr="009E5DEB">
        <w:rPr>
          <w:rFonts w:ascii="Arial" w:hAnsi="Arial" w:cs="Arial"/>
          <w:sz w:val="22"/>
          <w:szCs w:val="22"/>
        </w:rPr>
        <w:t>, and coronary artery disease (CAD). These findings are in line with previous reports suggesting that LBBB is not merely an electrical conduction abnormality but often a marker of underlying structural abnormalities</w:t>
      </w:r>
      <w:r w:rsidRPr="009E5DEB">
        <w:rPr>
          <w:rFonts w:ascii="Arial" w:hAnsi="Arial" w:cs="Arial"/>
          <w:sz w:val="22"/>
          <w:szCs w:val="22"/>
          <w:vertAlign w:val="superscript"/>
        </w:rPr>
        <w:t>1</w:t>
      </w:r>
      <w:r w:rsidRPr="009E5DEB">
        <w:rPr>
          <w:rFonts w:ascii="Arial" w:hAnsi="Arial" w:cs="Arial"/>
          <w:sz w:val="22"/>
          <w:szCs w:val="22"/>
        </w:rPr>
        <w:t xml:space="preserve">. </w:t>
      </w:r>
    </w:p>
    <w:p w14:paraId="1F0CACDD"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The demographic analysis showed no significant age difference between the two groups, but a notable disparity in gender distribution was observed, with a higher proportion of males in the SHD group (64.3%) compared to the No SHD group (40.9%). This aligns with existing literature that indicates LBBB is more prevalent in males and often correlates with underlying cardiovascular diseases</w:t>
      </w:r>
      <w:r w:rsidRPr="009E5DEB">
        <w:rPr>
          <w:rFonts w:ascii="Arial" w:hAnsi="Arial" w:cs="Arial"/>
          <w:sz w:val="22"/>
          <w:szCs w:val="22"/>
          <w:vertAlign w:val="superscript"/>
        </w:rPr>
        <w:t>2,5</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Additionally, symptoms such as chest pain were significantly more common in the SHD group (53.9% vs. 29.5%, p = 0.002), while syncope rates were similar across both groups, suggesting that chest pain may be a more reliable indicator of SHD in patients with LBBB.</w:t>
      </w:r>
    </w:p>
    <w:p w14:paraId="44505747"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Functional capacity, assessed via the New York Heart Association (NYHA) classification, was significantly poorer in the SHD group compared to the No SHD group. This finding highlights the impact of structural heart disease on functional status, as patients with SHD exhibited greater limitations in physical activity and overall health status. Interestingly, while comorbidities such as diabetes and hypertension were prevalent in both groups, their rates did not differ significantly, indicating that these risk factors alone do not distinguish between SHD and No SHD patients</w:t>
      </w:r>
      <w:r w:rsidRPr="009E5DEB">
        <w:rPr>
          <w:rFonts w:ascii="Arial" w:hAnsi="Arial" w:cs="Arial"/>
          <w:sz w:val="22"/>
          <w:szCs w:val="22"/>
          <w:vertAlign w:val="superscript"/>
        </w:rPr>
        <w:t>6</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 However, the trend towards higher serum creatinine levels in the SHD group indicates potential renal impairment associated with advanced heart disease, which has been previously documented as a risk factor for poor outcomes in cardiovascular patients</w:t>
      </w:r>
      <w:r w:rsidRPr="009E5DEB">
        <w:rPr>
          <w:rFonts w:ascii="Arial" w:hAnsi="Arial" w:cs="Arial"/>
          <w:sz w:val="22"/>
          <w:szCs w:val="22"/>
          <w:vertAlign w:val="superscript"/>
        </w:rPr>
        <w:t>6</w:t>
      </w:r>
      <w:r w:rsidRPr="009E5DEB">
        <w:rPr>
          <w:rFonts w:ascii="Arial" w:hAnsi="Arial" w:cs="Arial"/>
          <w:sz w:val="22"/>
          <w:szCs w:val="22"/>
        </w:rPr>
        <w:t>.</w:t>
      </w:r>
    </w:p>
    <w:p w14:paraId="59311316"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Valvular disease and cardiomyopathy were significantly more prevalent in the SHD group. According to the 2020 ACC/AHA Guideline for the Management of Patients With Valvular Heart Disease, clinically significant valvular dysfunction—typically moderate to severe—is a key determinant of adverse cardiac remodeling</w:t>
      </w:r>
      <w:r w:rsidRPr="009E5DEB">
        <w:rPr>
          <w:rFonts w:ascii="Arial" w:hAnsi="Arial" w:cs="Arial"/>
          <w:sz w:val="22"/>
          <w:szCs w:val="22"/>
          <w:vertAlign w:val="superscript"/>
        </w:rPr>
        <w:t>7</w:t>
      </w:r>
      <w:r w:rsidRPr="009E5DEB">
        <w:rPr>
          <w:rFonts w:ascii="Arial" w:hAnsi="Arial" w:cs="Arial"/>
          <w:sz w:val="22"/>
          <w:szCs w:val="22"/>
        </w:rPr>
        <w:t>. The presence of valvular diseases such as aortic stenosis can lead to increased left ventricular pressure overload and subsequent development of LBBB</w:t>
      </w:r>
      <w:r w:rsidRPr="009E5DEB">
        <w:rPr>
          <w:rFonts w:ascii="Arial" w:hAnsi="Arial" w:cs="Arial"/>
          <w:sz w:val="22"/>
          <w:szCs w:val="22"/>
          <w:vertAlign w:val="superscript"/>
        </w:rPr>
        <w:t>2,8,9</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 xml:space="preserve">This highlights the importance of monitoring for conduction </w:t>
      </w:r>
      <w:r w:rsidRPr="009E5DEB">
        <w:rPr>
          <w:rFonts w:ascii="Arial" w:hAnsi="Arial" w:cs="Arial"/>
          <w:sz w:val="22"/>
          <w:szCs w:val="22"/>
        </w:rPr>
        <w:lastRenderedPageBreak/>
        <w:t>disturbances in patients undergoing procedures like transcatheter aortic valve replacement (TAVR), where LBBB may complicate postoperative recovery</w:t>
      </w:r>
      <w:r w:rsidRPr="009E5DEB">
        <w:rPr>
          <w:rFonts w:ascii="Arial" w:hAnsi="Arial" w:cs="Arial"/>
          <w:sz w:val="22"/>
          <w:szCs w:val="22"/>
          <w:vertAlign w:val="superscript"/>
        </w:rPr>
        <w:t>8</w:t>
      </w:r>
      <w:r w:rsidRPr="009E5DEB">
        <w:rPr>
          <w:rFonts w:ascii="Arial" w:hAnsi="Arial" w:cs="Arial"/>
          <w:sz w:val="22"/>
          <w:szCs w:val="22"/>
        </w:rPr>
        <w:t>.</w:t>
      </w:r>
    </w:p>
    <w:p w14:paraId="4AB61A18" w14:textId="77777777"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A critical finding was the presence of coronary artery disease (CAD) in 74.8% of patients with SHD emphasizing the association between LBBB and CAD, which has been documented in previous studies</w:t>
      </w:r>
      <w:r w:rsidRPr="009E5DEB">
        <w:rPr>
          <w:rFonts w:ascii="Arial" w:hAnsi="Arial" w:cs="Arial"/>
          <w:sz w:val="22"/>
          <w:szCs w:val="22"/>
          <w:vertAlign w:val="superscript"/>
        </w:rPr>
        <w:t>1,10,11</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Studies have shown that LBBB is associated with increased risks of adverse outcomes such as cardiovascular mortality and myocardial infarction</w:t>
      </w:r>
      <w:r w:rsidRPr="009E5DEB">
        <w:rPr>
          <w:rFonts w:ascii="Arial" w:hAnsi="Arial" w:cs="Arial"/>
          <w:sz w:val="22"/>
          <w:szCs w:val="22"/>
          <w:vertAlign w:val="superscript"/>
        </w:rPr>
        <w:t>1</w:t>
      </w:r>
      <w:r w:rsidRPr="009E5DEB">
        <w:rPr>
          <w:rFonts w:ascii="Arial" w:hAnsi="Arial" w:cs="Arial"/>
          <w:sz w:val="22"/>
          <w:szCs w:val="22"/>
        </w:rPr>
        <w:t xml:space="preserve">. </w:t>
      </w:r>
      <w:r w:rsidRPr="009E5DEB">
        <w:rPr>
          <w:rFonts w:ascii="Arial" w:eastAsia="Quattrocento Sans" w:hAnsi="Arial" w:cs="Arial"/>
          <w:sz w:val="22"/>
          <w:szCs w:val="22"/>
        </w:rPr>
        <w:t xml:space="preserve"> </w:t>
      </w:r>
      <w:r w:rsidRPr="009E5DEB">
        <w:rPr>
          <w:rFonts w:ascii="Arial" w:hAnsi="Arial" w:cs="Arial"/>
          <w:sz w:val="22"/>
          <w:szCs w:val="22"/>
        </w:rPr>
        <w:t>Echocardiographic evaluations revealed significantly impaired left ventricular function among patients with SHD. The left ventricular internal dimensions were also notably larger in the SHD group, indicating structural changes associated with heart failure and cardiomyopathy.</w:t>
      </w:r>
      <w:r w:rsidRPr="009E5DEB">
        <w:rPr>
          <w:rFonts w:ascii="Arial" w:eastAsia="Quattrocento Sans" w:hAnsi="Arial" w:cs="Arial"/>
          <w:sz w:val="22"/>
          <w:szCs w:val="22"/>
        </w:rPr>
        <w:t xml:space="preserve"> </w:t>
      </w:r>
      <w:r w:rsidRPr="009E5DEB">
        <w:rPr>
          <w:rFonts w:ascii="Arial" w:hAnsi="Arial" w:cs="Arial"/>
          <w:sz w:val="22"/>
          <w:szCs w:val="22"/>
        </w:rPr>
        <w:t>Specific echocardiographic abnormalities associated with LBBB include dynamic posterior motion of the interventricular septum during ventricular ejection, which differs from patterns observed in other conditions like volume overload states or CAD</w:t>
      </w:r>
      <w:r w:rsidRPr="009E5DEB">
        <w:rPr>
          <w:rFonts w:ascii="Arial" w:hAnsi="Arial" w:cs="Arial"/>
          <w:sz w:val="22"/>
          <w:szCs w:val="22"/>
          <w:vertAlign w:val="superscript"/>
        </w:rPr>
        <w:t>12,13</w:t>
      </w:r>
      <w:r w:rsidRPr="009E5DEB">
        <w:rPr>
          <w:rFonts w:ascii="Arial" w:hAnsi="Arial" w:cs="Arial"/>
          <w:sz w:val="22"/>
          <w:szCs w:val="22"/>
        </w:rPr>
        <w:t>.</w:t>
      </w:r>
      <w:r w:rsidRPr="009E5DEB">
        <w:rPr>
          <w:rFonts w:ascii="Arial" w:eastAsia="Quattrocento Sans" w:hAnsi="Arial" w:cs="Arial"/>
          <w:sz w:val="22"/>
          <w:szCs w:val="22"/>
        </w:rPr>
        <w:t xml:space="preserve"> </w:t>
      </w:r>
      <w:r w:rsidRPr="009E5DEB">
        <w:rPr>
          <w:rFonts w:ascii="Arial" w:hAnsi="Arial" w:cs="Arial"/>
          <w:sz w:val="22"/>
          <w:szCs w:val="22"/>
        </w:rPr>
        <w:t>These findings suggest that echocardiography plays a crucial role in assessing cardiac function and structure in patients with LBBB.</w:t>
      </w:r>
    </w:p>
    <w:p w14:paraId="4713E229" w14:textId="729856DA" w:rsidR="00A12A10" w:rsidRPr="009E5DEB" w:rsidRDefault="00BE5190" w:rsidP="009E5DEB">
      <w:pPr>
        <w:spacing w:line="276" w:lineRule="auto"/>
        <w:rPr>
          <w:rFonts w:ascii="Arial" w:hAnsi="Arial" w:cs="Arial"/>
          <w:sz w:val="22"/>
          <w:szCs w:val="22"/>
        </w:rPr>
      </w:pPr>
      <w:r w:rsidRPr="009E5DEB">
        <w:rPr>
          <w:rFonts w:ascii="Arial" w:hAnsi="Arial" w:cs="Arial"/>
          <w:sz w:val="22"/>
          <w:szCs w:val="22"/>
        </w:rPr>
        <w:t>In terms of angiographic details, among those diagnosed with CAD within this study, single vessel disease (SVD) was found to be the most common pattern of involvement</w:t>
      </w:r>
      <w:r w:rsidRPr="009E5DEB">
        <w:rPr>
          <w:rFonts w:ascii="Arial" w:hAnsi="Arial" w:cs="Arial"/>
          <w:sz w:val="22"/>
          <w:szCs w:val="22"/>
          <w:vertAlign w:val="superscript"/>
        </w:rPr>
        <w:t>14</w:t>
      </w:r>
      <w:r w:rsidRPr="009E5DEB">
        <w:rPr>
          <w:rFonts w:ascii="Arial" w:hAnsi="Arial" w:cs="Arial"/>
          <w:sz w:val="22"/>
          <w:szCs w:val="22"/>
        </w:rPr>
        <w:t>. Specifically, studies indicate that</w:t>
      </w:r>
      <w:r w:rsidR="00DC668E">
        <w:rPr>
          <w:rFonts w:ascii="Arial" w:hAnsi="Arial" w:cs="Arial"/>
          <w:sz w:val="22"/>
          <w:szCs w:val="22"/>
        </w:rPr>
        <w:t xml:space="preserve"> the lesions in the</w:t>
      </w:r>
      <w:r w:rsidRPr="009E5DEB">
        <w:rPr>
          <w:rFonts w:ascii="Arial" w:hAnsi="Arial" w:cs="Arial"/>
          <w:sz w:val="22"/>
          <w:szCs w:val="22"/>
        </w:rPr>
        <w:t xml:space="preserve"> left anterior descending coronary artery (LAD)</w:t>
      </w:r>
      <w:r w:rsidR="00DC668E">
        <w:rPr>
          <w:rFonts w:ascii="Arial" w:hAnsi="Arial" w:cs="Arial"/>
          <w:sz w:val="22"/>
          <w:szCs w:val="22"/>
        </w:rPr>
        <w:t xml:space="preserve"> </w:t>
      </w:r>
      <w:r w:rsidRPr="009E5DEB">
        <w:rPr>
          <w:rFonts w:ascii="Arial" w:hAnsi="Arial" w:cs="Arial"/>
          <w:sz w:val="22"/>
          <w:szCs w:val="22"/>
        </w:rPr>
        <w:t>are frequently implicated in CAD associated with LBBB which aligns with our cohort</w:t>
      </w:r>
      <w:r w:rsidRPr="009E5DEB">
        <w:rPr>
          <w:rFonts w:ascii="Arial" w:hAnsi="Arial" w:cs="Arial"/>
          <w:sz w:val="22"/>
          <w:szCs w:val="22"/>
          <w:vertAlign w:val="superscript"/>
        </w:rPr>
        <w:t>14,15</w:t>
      </w:r>
      <w:r w:rsidRPr="009E5DEB">
        <w:rPr>
          <w:rFonts w:ascii="Arial" w:hAnsi="Arial" w:cs="Arial"/>
          <w:sz w:val="22"/>
          <w:szCs w:val="22"/>
        </w:rPr>
        <w:t>. </w:t>
      </w:r>
    </w:p>
    <w:p w14:paraId="60D817C2" w14:textId="77777777" w:rsidR="00A12A10" w:rsidRPr="009E5DEB" w:rsidRDefault="00A12A10" w:rsidP="009E5DEB">
      <w:pPr>
        <w:spacing w:line="276" w:lineRule="auto"/>
        <w:rPr>
          <w:rFonts w:ascii="Arial" w:hAnsi="Arial" w:cs="Arial"/>
          <w:sz w:val="22"/>
          <w:szCs w:val="22"/>
        </w:rPr>
      </w:pPr>
    </w:p>
    <w:p w14:paraId="5D1457A6" w14:textId="77777777" w:rsidR="00A12A10" w:rsidRPr="00253625" w:rsidRDefault="00020146" w:rsidP="00020146">
      <w:pPr>
        <w:pStyle w:val="ListParagraph"/>
        <w:numPr>
          <w:ilvl w:val="0"/>
          <w:numId w:val="3"/>
        </w:numPr>
        <w:spacing w:line="276" w:lineRule="auto"/>
        <w:rPr>
          <w:rFonts w:ascii="Arial" w:hAnsi="Arial" w:cs="Arial"/>
          <w:b/>
          <w:sz w:val="22"/>
          <w:szCs w:val="22"/>
        </w:rPr>
      </w:pPr>
      <w:r w:rsidRPr="00253625">
        <w:rPr>
          <w:rFonts w:ascii="Arial" w:hAnsi="Arial" w:cs="Arial"/>
          <w:b/>
          <w:sz w:val="22"/>
          <w:szCs w:val="22"/>
        </w:rPr>
        <w:t>CONCLUSION</w:t>
      </w:r>
    </w:p>
    <w:p w14:paraId="707363E7" w14:textId="77777777" w:rsidR="00A12A10" w:rsidRPr="009E5DEB" w:rsidRDefault="00A12A10" w:rsidP="009E5DEB">
      <w:pPr>
        <w:spacing w:line="276" w:lineRule="auto"/>
        <w:rPr>
          <w:rFonts w:ascii="Arial" w:hAnsi="Arial" w:cs="Arial"/>
          <w:b/>
          <w:sz w:val="22"/>
          <w:szCs w:val="22"/>
          <w:u w:val="single"/>
        </w:rPr>
      </w:pPr>
    </w:p>
    <w:p w14:paraId="15CC84A4" w14:textId="55D31303" w:rsidR="00020146" w:rsidRPr="009E5DEB" w:rsidRDefault="00BE5190" w:rsidP="009E5DEB">
      <w:pPr>
        <w:spacing w:line="276" w:lineRule="auto"/>
        <w:rPr>
          <w:rFonts w:ascii="Arial" w:hAnsi="Arial" w:cs="Arial"/>
          <w:sz w:val="22"/>
          <w:szCs w:val="22"/>
        </w:rPr>
      </w:pPr>
      <w:r w:rsidRPr="009E5DEB">
        <w:rPr>
          <w:rFonts w:ascii="Arial" w:hAnsi="Arial" w:cs="Arial"/>
          <w:sz w:val="22"/>
          <w:szCs w:val="22"/>
        </w:rPr>
        <w:t xml:space="preserve">Our findings underscore that the left bundle branch block (LBBB) is not merely an isolated conduction abnormality but rather a clinical marker for significant underlying structural heart disease (SHD). In our cohort, a substantial proportion of LBBB patients exhibited SHD as evidenced by </w:t>
      </w:r>
      <w:r w:rsidR="00DC668E">
        <w:rPr>
          <w:rFonts w:ascii="Arial" w:hAnsi="Arial" w:cs="Arial"/>
          <w:sz w:val="22"/>
          <w:szCs w:val="22"/>
        </w:rPr>
        <w:t xml:space="preserve">the </w:t>
      </w:r>
      <w:r w:rsidRPr="009E5DEB">
        <w:rPr>
          <w:rFonts w:ascii="Arial" w:hAnsi="Arial" w:cs="Arial"/>
          <w:sz w:val="22"/>
          <w:szCs w:val="22"/>
        </w:rPr>
        <w:t>markedly increased prevalence of valvular dysfunction, cardiomyopathy, and coronary artery disease. The SHD group demonstrated impaired left ventricular function with a significantly lower ejection fraction and enlarged ventricular dimensions, as well as poorer functional status based on NYHA classification. These structural and functional abnormalities are known to correlate with adverse outcomes. The implications of these findings are profound for clinical practice and patient management strategies. The significant association between LBBB and structural heart disease necessitates comprehensive cardiovascular evaluation for all patients presenting with LBBB, particularly given their increased risk for adverse cardiac events such as heart failure and sudden cardiac death.</w:t>
      </w:r>
    </w:p>
    <w:p w14:paraId="62093475" w14:textId="77777777" w:rsidR="00253625" w:rsidRDefault="00253625" w:rsidP="00253625">
      <w:pPr>
        <w:spacing w:line="276" w:lineRule="auto"/>
        <w:rPr>
          <w:rFonts w:ascii="Arial" w:hAnsi="Arial" w:cs="Arial"/>
          <w:sz w:val="22"/>
          <w:szCs w:val="22"/>
        </w:rPr>
      </w:pPr>
    </w:p>
    <w:p w14:paraId="162E6524" w14:textId="77777777" w:rsidR="00A12A10" w:rsidRPr="00253625" w:rsidRDefault="00253625" w:rsidP="009E5DEB">
      <w:pPr>
        <w:spacing w:line="276" w:lineRule="auto"/>
        <w:rPr>
          <w:rFonts w:ascii="Arial" w:hAnsi="Arial" w:cs="Arial"/>
          <w:b/>
          <w:bCs/>
          <w:sz w:val="22"/>
          <w:szCs w:val="22"/>
        </w:rPr>
      </w:pPr>
      <w:r w:rsidRPr="00253625">
        <w:rPr>
          <w:rFonts w:ascii="Arial" w:hAnsi="Arial" w:cs="Arial"/>
          <w:b/>
          <w:bCs/>
          <w:sz w:val="22"/>
          <w:szCs w:val="22"/>
        </w:rPr>
        <w:t>4.1 Limitations</w:t>
      </w:r>
    </w:p>
    <w:p w14:paraId="0CEADA7E" w14:textId="2020F905" w:rsidR="00A12A10" w:rsidRDefault="00BE5190" w:rsidP="009E5DEB">
      <w:pPr>
        <w:spacing w:line="276" w:lineRule="auto"/>
        <w:rPr>
          <w:rFonts w:ascii="Arial" w:hAnsi="Arial" w:cs="Arial"/>
          <w:sz w:val="22"/>
          <w:szCs w:val="22"/>
        </w:rPr>
      </w:pPr>
      <w:r w:rsidRPr="009E5DEB">
        <w:rPr>
          <w:rFonts w:ascii="Arial" w:hAnsi="Arial" w:cs="Arial"/>
          <w:sz w:val="22"/>
          <w:szCs w:val="22"/>
        </w:rPr>
        <w:t xml:space="preserve">The limitations of this study should be acknowledged. Further work is needed </w:t>
      </w:r>
      <w:r w:rsidR="000F7D4C">
        <w:rPr>
          <w:rFonts w:ascii="Arial" w:hAnsi="Arial" w:cs="Arial"/>
          <w:sz w:val="22"/>
          <w:szCs w:val="22"/>
        </w:rPr>
        <w:t xml:space="preserve">with a larger </w:t>
      </w:r>
      <w:r w:rsidRPr="009E5DEB">
        <w:rPr>
          <w:rFonts w:ascii="Arial" w:hAnsi="Arial" w:cs="Arial"/>
          <w:sz w:val="22"/>
          <w:szCs w:val="22"/>
        </w:rPr>
        <w:t>scale of participants to support and evaluate the results of this study, since the number of cases in the present study was limited.</w:t>
      </w:r>
    </w:p>
    <w:p w14:paraId="28CCC108" w14:textId="77777777" w:rsidR="00E63B71" w:rsidRPr="00E63B71" w:rsidRDefault="00E63B71" w:rsidP="009E5DEB">
      <w:pPr>
        <w:spacing w:line="276" w:lineRule="auto"/>
        <w:rPr>
          <w:rFonts w:ascii="Arial" w:hAnsi="Arial" w:cs="Arial"/>
          <w:b/>
          <w:bCs/>
          <w:sz w:val="22"/>
          <w:szCs w:val="22"/>
        </w:rPr>
      </w:pPr>
    </w:p>
    <w:p w14:paraId="4FE65377" w14:textId="77777777" w:rsidR="00E63B71" w:rsidRDefault="00E63B71" w:rsidP="009E5DEB">
      <w:pPr>
        <w:spacing w:line="276" w:lineRule="auto"/>
        <w:rPr>
          <w:rFonts w:ascii="Arial" w:hAnsi="Arial" w:cs="Arial"/>
          <w:sz w:val="22"/>
          <w:szCs w:val="22"/>
        </w:rPr>
      </w:pPr>
    </w:p>
    <w:p w14:paraId="521CE8A7" w14:textId="77777777" w:rsidR="00E63B71" w:rsidRDefault="00E63B71" w:rsidP="00E63B71">
      <w:pPr>
        <w:pStyle w:val="ListParagraph"/>
        <w:numPr>
          <w:ilvl w:val="0"/>
          <w:numId w:val="3"/>
        </w:numPr>
        <w:spacing w:line="276" w:lineRule="auto"/>
        <w:rPr>
          <w:rFonts w:ascii="Arial" w:hAnsi="Arial" w:cs="Arial"/>
          <w:b/>
          <w:bCs/>
          <w:sz w:val="22"/>
          <w:szCs w:val="22"/>
        </w:rPr>
      </w:pPr>
      <w:r w:rsidRPr="00E63B71">
        <w:rPr>
          <w:rFonts w:ascii="Arial" w:hAnsi="Arial" w:cs="Arial"/>
          <w:b/>
          <w:bCs/>
          <w:sz w:val="22"/>
          <w:szCs w:val="22"/>
        </w:rPr>
        <w:t>ETHICAL APPROVAL</w:t>
      </w:r>
    </w:p>
    <w:p w14:paraId="3A162224" w14:textId="53C0ABD3" w:rsidR="00E63B71" w:rsidRDefault="00E63B71" w:rsidP="00E63B71">
      <w:pPr>
        <w:spacing w:line="276" w:lineRule="auto"/>
        <w:rPr>
          <w:rFonts w:ascii="Arial" w:hAnsi="Arial" w:cs="Arial"/>
          <w:sz w:val="22"/>
          <w:szCs w:val="22"/>
        </w:rPr>
      </w:pPr>
      <w:r w:rsidRPr="00E63B71">
        <w:rPr>
          <w:rFonts w:ascii="Arial" w:hAnsi="Arial" w:cs="Arial"/>
          <w:sz w:val="22"/>
          <w:szCs w:val="22"/>
        </w:rPr>
        <w:t>The study was conducted in accordance with the ethical principles outlined in the Declaration of Helsinki. Approval for the study was obtained from the institutional ethics committee.</w:t>
      </w:r>
    </w:p>
    <w:p w14:paraId="218C8F07" w14:textId="2857BD10" w:rsidR="00B85038" w:rsidRDefault="00B85038" w:rsidP="00E63B71">
      <w:pPr>
        <w:spacing w:line="276" w:lineRule="auto"/>
        <w:rPr>
          <w:rFonts w:ascii="Arial" w:hAnsi="Arial" w:cs="Arial"/>
          <w:sz w:val="22"/>
          <w:szCs w:val="22"/>
        </w:rPr>
      </w:pPr>
    </w:p>
    <w:p w14:paraId="48FCC729" w14:textId="24713A27" w:rsidR="00B85038" w:rsidRDefault="00B85038" w:rsidP="00E63B71">
      <w:pPr>
        <w:spacing w:line="276" w:lineRule="auto"/>
        <w:rPr>
          <w:rFonts w:ascii="Arial" w:hAnsi="Arial" w:cs="Arial"/>
          <w:sz w:val="22"/>
          <w:szCs w:val="22"/>
        </w:rPr>
      </w:pPr>
    </w:p>
    <w:p w14:paraId="26D09DDF" w14:textId="2C45343A" w:rsidR="00B85038" w:rsidRDefault="00B85038" w:rsidP="00E63B71">
      <w:pPr>
        <w:spacing w:line="276" w:lineRule="auto"/>
        <w:rPr>
          <w:rFonts w:ascii="Arial" w:hAnsi="Arial" w:cs="Arial"/>
          <w:sz w:val="22"/>
          <w:szCs w:val="22"/>
        </w:rPr>
      </w:pPr>
    </w:p>
    <w:p w14:paraId="484D286E" w14:textId="77777777" w:rsidR="00B85038" w:rsidRPr="009C5487" w:rsidRDefault="00B85038" w:rsidP="00B85038">
      <w:pPr>
        <w:rPr>
          <w:rFonts w:cs="Times New Roman"/>
          <w:kern w:val="2"/>
          <w:highlight w:val="yellow"/>
          <w:lang w:val="en-US"/>
        </w:rPr>
      </w:pPr>
      <w:bookmarkStart w:id="0" w:name="_Hlk197682619"/>
      <w:bookmarkStart w:id="1" w:name="_Hlk180402183"/>
      <w:bookmarkStart w:id="2" w:name="_Hlk183680988"/>
      <w:r w:rsidRPr="009C5487">
        <w:rPr>
          <w:rFonts w:cs="Times New Roman"/>
          <w:kern w:val="2"/>
          <w:highlight w:val="yellow"/>
          <w:lang w:val="en-US"/>
        </w:rPr>
        <w:lastRenderedPageBreak/>
        <w:t>Disclaimer (Artificial intelligence)</w:t>
      </w:r>
    </w:p>
    <w:p w14:paraId="5314EB96" w14:textId="77777777" w:rsidR="00B85038" w:rsidRPr="009C5487" w:rsidRDefault="00B85038" w:rsidP="00B85038">
      <w:pPr>
        <w:rPr>
          <w:rFonts w:cs="Times New Roman"/>
          <w:kern w:val="2"/>
          <w:highlight w:val="yellow"/>
          <w:lang w:val="en-US"/>
        </w:rPr>
      </w:pPr>
      <w:r w:rsidRPr="009C5487">
        <w:rPr>
          <w:rFonts w:cs="Times New Roman"/>
          <w:kern w:val="2"/>
          <w:highlight w:val="yellow"/>
          <w:lang w:val="en-US"/>
        </w:rPr>
        <w:t xml:space="preserve">Option 1: </w:t>
      </w:r>
    </w:p>
    <w:p w14:paraId="649EBB59" w14:textId="77777777" w:rsidR="00B85038" w:rsidRPr="009C5487" w:rsidRDefault="00B85038" w:rsidP="00B85038">
      <w:pPr>
        <w:rPr>
          <w:rFonts w:cs="Times New Roman"/>
          <w:kern w:val="2"/>
          <w:highlight w:val="yellow"/>
          <w:lang w:val="en-US"/>
        </w:rPr>
      </w:pPr>
      <w:r w:rsidRPr="009C5487">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88627B7" w14:textId="77777777" w:rsidR="00B85038" w:rsidRPr="009C5487" w:rsidRDefault="00B85038" w:rsidP="00B85038">
      <w:pPr>
        <w:rPr>
          <w:rFonts w:cs="Times New Roman"/>
          <w:kern w:val="2"/>
          <w:highlight w:val="yellow"/>
          <w:lang w:val="en-US"/>
        </w:rPr>
      </w:pPr>
      <w:r w:rsidRPr="009C5487">
        <w:rPr>
          <w:rFonts w:cs="Times New Roman"/>
          <w:kern w:val="2"/>
          <w:highlight w:val="yellow"/>
          <w:lang w:val="en-US"/>
        </w:rPr>
        <w:t xml:space="preserve">Option 2: </w:t>
      </w:r>
    </w:p>
    <w:p w14:paraId="0DAE5DEB" w14:textId="77777777" w:rsidR="00B85038" w:rsidRPr="009C5487" w:rsidRDefault="00B85038" w:rsidP="00B85038">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55A9F4" w14:textId="77777777" w:rsidR="00B85038" w:rsidRPr="009C5487" w:rsidRDefault="00B85038" w:rsidP="00B85038">
      <w:pPr>
        <w:rPr>
          <w:rFonts w:cs="Times New Roman"/>
          <w:kern w:val="2"/>
          <w:highlight w:val="yellow"/>
          <w:lang w:val="en-US"/>
        </w:rPr>
      </w:pPr>
      <w:r w:rsidRPr="009C5487">
        <w:rPr>
          <w:rFonts w:cs="Times New Roman"/>
          <w:kern w:val="2"/>
          <w:highlight w:val="yellow"/>
          <w:lang w:val="en-US"/>
        </w:rPr>
        <w:t>Details of the AI usage are given below:</w:t>
      </w:r>
    </w:p>
    <w:p w14:paraId="7265EE92" w14:textId="77777777" w:rsidR="00B85038" w:rsidRPr="009C5487" w:rsidRDefault="00B85038" w:rsidP="00B85038">
      <w:pPr>
        <w:rPr>
          <w:rFonts w:cs="Times New Roman"/>
          <w:kern w:val="2"/>
          <w:highlight w:val="yellow"/>
          <w:lang w:val="en-US"/>
        </w:rPr>
      </w:pPr>
      <w:r w:rsidRPr="009C5487">
        <w:rPr>
          <w:rFonts w:cs="Times New Roman"/>
          <w:kern w:val="2"/>
          <w:highlight w:val="yellow"/>
          <w:lang w:val="en-US"/>
        </w:rPr>
        <w:t>1.</w:t>
      </w:r>
    </w:p>
    <w:p w14:paraId="4B7E5DD6" w14:textId="77777777" w:rsidR="00B85038" w:rsidRPr="009C5487" w:rsidRDefault="00B85038" w:rsidP="00B85038">
      <w:pPr>
        <w:rPr>
          <w:rFonts w:cs="Times New Roman"/>
          <w:kern w:val="2"/>
          <w:highlight w:val="yellow"/>
          <w:lang w:val="en-US"/>
        </w:rPr>
      </w:pPr>
      <w:r w:rsidRPr="009C5487">
        <w:rPr>
          <w:rFonts w:cs="Times New Roman"/>
          <w:kern w:val="2"/>
          <w:highlight w:val="yellow"/>
          <w:lang w:val="en-US"/>
        </w:rPr>
        <w:t>2.</w:t>
      </w:r>
    </w:p>
    <w:p w14:paraId="49E2ABE4" w14:textId="77777777" w:rsidR="00B85038" w:rsidRPr="009C5487" w:rsidRDefault="00B85038" w:rsidP="00B85038">
      <w:pPr>
        <w:rPr>
          <w:rFonts w:cs="Times New Roman"/>
          <w:kern w:val="2"/>
          <w:lang w:val="en-US"/>
        </w:rPr>
      </w:pPr>
      <w:bookmarkStart w:id="3" w:name="_Hlk197682629"/>
      <w:bookmarkEnd w:id="0"/>
      <w:r w:rsidRPr="009C5487">
        <w:rPr>
          <w:rFonts w:cs="Times New Roman"/>
          <w:kern w:val="2"/>
          <w:highlight w:val="yellow"/>
          <w:lang w:val="en-US"/>
        </w:rPr>
        <w:t>3.</w:t>
      </w:r>
    </w:p>
    <w:bookmarkEnd w:id="1"/>
    <w:bookmarkEnd w:id="2"/>
    <w:bookmarkEnd w:id="3"/>
    <w:p w14:paraId="75F16218" w14:textId="77777777" w:rsidR="00B85038" w:rsidRPr="00E63B71" w:rsidRDefault="00B85038" w:rsidP="00E63B71">
      <w:pPr>
        <w:spacing w:line="276" w:lineRule="auto"/>
        <w:rPr>
          <w:rFonts w:ascii="Arial" w:hAnsi="Arial" w:cs="Arial"/>
          <w:sz w:val="22"/>
          <w:szCs w:val="22"/>
        </w:rPr>
      </w:pPr>
    </w:p>
    <w:p w14:paraId="7E287FE3" w14:textId="77777777" w:rsidR="00A12A10" w:rsidRPr="009E5DEB" w:rsidRDefault="00A12A10" w:rsidP="009E5DEB">
      <w:pPr>
        <w:spacing w:line="276" w:lineRule="auto"/>
        <w:rPr>
          <w:rFonts w:ascii="Arial" w:hAnsi="Arial" w:cs="Arial"/>
          <w:sz w:val="22"/>
          <w:szCs w:val="22"/>
        </w:rPr>
      </w:pPr>
    </w:p>
    <w:p w14:paraId="72BF2C3C" w14:textId="77777777" w:rsidR="00A12A10" w:rsidRPr="00253625" w:rsidRDefault="00E63B71" w:rsidP="00D25E4C">
      <w:pPr>
        <w:pStyle w:val="ListParagraph"/>
        <w:numPr>
          <w:ilvl w:val="0"/>
          <w:numId w:val="3"/>
        </w:numPr>
        <w:spacing w:line="276" w:lineRule="auto"/>
        <w:rPr>
          <w:rFonts w:ascii="Arial" w:hAnsi="Arial" w:cs="Arial"/>
          <w:b/>
          <w:sz w:val="22"/>
          <w:szCs w:val="22"/>
        </w:rPr>
      </w:pPr>
      <w:r w:rsidRPr="00253625">
        <w:rPr>
          <w:rFonts w:ascii="Arial" w:hAnsi="Arial" w:cs="Arial"/>
          <w:b/>
          <w:sz w:val="22"/>
          <w:szCs w:val="22"/>
        </w:rPr>
        <w:t>REFERENCES</w:t>
      </w:r>
    </w:p>
    <w:p w14:paraId="2B10F4E8" w14:textId="77777777" w:rsidR="00A12A10" w:rsidRPr="009E5DEB" w:rsidRDefault="00A12A10" w:rsidP="009E5DEB">
      <w:pPr>
        <w:spacing w:line="276" w:lineRule="auto"/>
        <w:rPr>
          <w:rFonts w:ascii="Arial" w:hAnsi="Arial" w:cs="Arial"/>
          <w:sz w:val="22"/>
          <w:szCs w:val="22"/>
        </w:rPr>
      </w:pPr>
    </w:p>
    <w:p w14:paraId="44902C8A"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1.</w:t>
      </w:r>
      <w:r w:rsidRPr="009E5DEB">
        <w:rPr>
          <w:rFonts w:ascii="Arial" w:hAnsi="Arial" w:cs="Arial"/>
          <w:color w:val="000000"/>
          <w:sz w:val="22"/>
          <w:szCs w:val="22"/>
        </w:rPr>
        <w:tab/>
        <w:t xml:space="preserve">Tan NY, Witt CM, Oh JK, Cha YM. Left Bundle Branch Block: Current and Future Perspectives. </w:t>
      </w:r>
      <w:r w:rsidRPr="009E5DEB">
        <w:rPr>
          <w:rFonts w:ascii="Arial" w:hAnsi="Arial" w:cs="Arial"/>
          <w:i/>
          <w:color w:val="000000"/>
          <w:sz w:val="22"/>
          <w:szCs w:val="22"/>
        </w:rPr>
        <w:t>Circ: Arrhythmia and Electrophysiology</w:t>
      </w:r>
      <w:r w:rsidRPr="009E5DEB">
        <w:rPr>
          <w:rFonts w:ascii="Arial" w:hAnsi="Arial" w:cs="Arial"/>
          <w:color w:val="000000"/>
          <w:sz w:val="22"/>
          <w:szCs w:val="22"/>
        </w:rPr>
        <w:t>. 2020;13(4):e008239. doi:10.1161/CIRCEP.119.008239</w:t>
      </w:r>
    </w:p>
    <w:p w14:paraId="6A09962D"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2.</w:t>
      </w:r>
      <w:r w:rsidRPr="009E5DEB">
        <w:rPr>
          <w:rFonts w:ascii="Arial" w:hAnsi="Arial" w:cs="Arial"/>
          <w:color w:val="000000"/>
          <w:sz w:val="22"/>
          <w:szCs w:val="22"/>
        </w:rPr>
        <w:tab/>
        <w:t xml:space="preserve">Ashraf H. Natural History and Clinical Significance of Isolated Complete Left Bundle </w:t>
      </w:r>
      <w:r w:rsidRPr="009E5DEB">
        <w:rPr>
          <w:rFonts w:ascii="Arial" w:hAnsi="Arial" w:cs="Arial"/>
          <w:sz w:val="22"/>
          <w:szCs w:val="22"/>
        </w:rPr>
        <w:t>Branch</w:t>
      </w:r>
      <w:r w:rsidRPr="009E5DEB">
        <w:rPr>
          <w:rFonts w:ascii="Arial" w:hAnsi="Arial" w:cs="Arial"/>
          <w:color w:val="000000"/>
          <w:sz w:val="22"/>
          <w:szCs w:val="22"/>
        </w:rPr>
        <w:t xml:space="preserve"> Block without Associated Structural Heart Disease. </w:t>
      </w:r>
      <w:r w:rsidRPr="009E5DEB">
        <w:rPr>
          <w:rFonts w:ascii="Arial" w:hAnsi="Arial" w:cs="Arial"/>
          <w:i/>
          <w:color w:val="000000"/>
          <w:sz w:val="22"/>
          <w:szCs w:val="22"/>
        </w:rPr>
        <w:t>Anatol J Cardiol</w:t>
      </w:r>
      <w:r w:rsidRPr="009E5DEB">
        <w:rPr>
          <w:rFonts w:ascii="Arial" w:hAnsi="Arial" w:cs="Arial"/>
          <w:color w:val="000000"/>
          <w:sz w:val="22"/>
          <w:szCs w:val="22"/>
        </w:rPr>
        <w:t>. Published online 2020. doi:10.14744/AnatolJCardiol.2020.10008</w:t>
      </w:r>
    </w:p>
    <w:p w14:paraId="0CD339B5"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3.</w:t>
      </w:r>
      <w:r w:rsidRPr="009E5DEB">
        <w:rPr>
          <w:rFonts w:ascii="Arial" w:hAnsi="Arial" w:cs="Arial"/>
          <w:color w:val="000000"/>
          <w:sz w:val="22"/>
          <w:szCs w:val="22"/>
        </w:rPr>
        <w:tab/>
        <w:t xml:space="preserve">Surawicz B, Childers R, Deal BJ, Gettes LS. AHA/ACCF/HRS Recommendations for the Standardization and Interpretation of the Electrocardiogram. </w:t>
      </w:r>
      <w:r w:rsidRPr="009E5DEB">
        <w:rPr>
          <w:rFonts w:ascii="Arial" w:hAnsi="Arial" w:cs="Arial"/>
          <w:i/>
          <w:color w:val="000000"/>
          <w:sz w:val="22"/>
          <w:szCs w:val="22"/>
        </w:rPr>
        <w:t>Journal of the American College of Cardiology</w:t>
      </w:r>
      <w:r w:rsidRPr="009E5DEB">
        <w:rPr>
          <w:rFonts w:ascii="Arial" w:hAnsi="Arial" w:cs="Arial"/>
          <w:color w:val="000000"/>
          <w:sz w:val="22"/>
          <w:szCs w:val="22"/>
        </w:rPr>
        <w:t>. 2009;53(11):976-981. doi:10.1016/j.jacc.2008.12.013</w:t>
      </w:r>
    </w:p>
    <w:p w14:paraId="1E5983D0"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4.</w:t>
      </w:r>
      <w:r w:rsidRPr="009E5DEB">
        <w:rPr>
          <w:rFonts w:ascii="Arial" w:hAnsi="Arial" w:cs="Arial"/>
          <w:color w:val="000000"/>
          <w:sz w:val="22"/>
          <w:szCs w:val="22"/>
        </w:rPr>
        <w:tab/>
        <w:t xml:space="preserve">Steinberg DH, Staubach S, Franke J, Sievert H. Defining structural heart disease in the adult patient: current scope, inherent challenges and future directions. </w:t>
      </w:r>
      <w:r w:rsidRPr="009E5DEB">
        <w:rPr>
          <w:rFonts w:ascii="Arial" w:hAnsi="Arial" w:cs="Arial"/>
          <w:i/>
          <w:color w:val="000000"/>
          <w:sz w:val="22"/>
          <w:szCs w:val="22"/>
        </w:rPr>
        <w:t>European Heart Journal Supplements</w:t>
      </w:r>
      <w:r w:rsidRPr="009E5DEB">
        <w:rPr>
          <w:rFonts w:ascii="Arial" w:hAnsi="Arial" w:cs="Arial"/>
          <w:color w:val="000000"/>
          <w:sz w:val="22"/>
          <w:szCs w:val="22"/>
        </w:rPr>
        <w:t>. 2010;12(Suppl E):E2-E9. doi:10.1093/eurheartj/suq012</w:t>
      </w:r>
    </w:p>
    <w:p w14:paraId="6B2278BC"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5.</w:t>
      </w:r>
      <w:r w:rsidRPr="009E5DEB">
        <w:rPr>
          <w:rFonts w:ascii="Arial" w:hAnsi="Arial" w:cs="Arial"/>
          <w:color w:val="000000"/>
          <w:sz w:val="22"/>
          <w:szCs w:val="22"/>
        </w:rPr>
        <w:tab/>
        <w:t xml:space="preserve">Bang CN, Li Z, Stokke IM, et al. Incident left bundle branch block predicts cardiovascular events and death in hypertensive patients with left ventricular hypertrophy. The LIFE Study. </w:t>
      </w:r>
      <w:r w:rsidRPr="009E5DEB">
        <w:rPr>
          <w:rFonts w:ascii="Arial" w:hAnsi="Arial" w:cs="Arial"/>
          <w:i/>
          <w:color w:val="000000"/>
          <w:sz w:val="22"/>
          <w:szCs w:val="22"/>
        </w:rPr>
        <w:t>Exploration of Medicine</w:t>
      </w:r>
      <w:r w:rsidRPr="009E5DEB">
        <w:rPr>
          <w:rFonts w:ascii="Arial" w:hAnsi="Arial" w:cs="Arial"/>
          <w:color w:val="000000"/>
          <w:sz w:val="22"/>
          <w:szCs w:val="22"/>
        </w:rPr>
        <w:t>. Published online March 29, 2022:149-159. doi:10.37349/emed.2022.00081</w:t>
      </w:r>
    </w:p>
    <w:p w14:paraId="247EAAA7"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6.</w:t>
      </w:r>
      <w:r w:rsidRPr="009E5DEB">
        <w:rPr>
          <w:rFonts w:ascii="Arial" w:hAnsi="Arial" w:cs="Arial"/>
          <w:color w:val="000000"/>
          <w:sz w:val="22"/>
          <w:szCs w:val="22"/>
        </w:rPr>
        <w:tab/>
        <w:t xml:space="preserve">Saito T, Inohara T, Tsuruta H, et al. Pre-Existing Left Bundle Branch Block and Clinical Outcomes After Transcatheter Aortic Valve Replacement. </w:t>
      </w:r>
      <w:r w:rsidRPr="009E5DEB">
        <w:rPr>
          <w:rFonts w:ascii="Arial" w:hAnsi="Arial" w:cs="Arial"/>
          <w:i/>
          <w:color w:val="000000"/>
          <w:sz w:val="22"/>
          <w:szCs w:val="22"/>
        </w:rPr>
        <w:t>JACC: Asia</w:t>
      </w:r>
      <w:r w:rsidRPr="009E5DEB">
        <w:rPr>
          <w:rFonts w:ascii="Arial" w:hAnsi="Arial" w:cs="Arial"/>
          <w:color w:val="000000"/>
          <w:sz w:val="22"/>
          <w:szCs w:val="22"/>
        </w:rPr>
        <w:t>. 2024;4(4):306-319. doi:10.1016/j.jacasi.2023.11.007</w:t>
      </w:r>
    </w:p>
    <w:p w14:paraId="2A6580F1"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7.</w:t>
      </w:r>
      <w:r w:rsidRPr="009E5DEB">
        <w:rPr>
          <w:rFonts w:ascii="Arial" w:hAnsi="Arial" w:cs="Arial"/>
          <w:color w:val="000000"/>
          <w:sz w:val="22"/>
          <w:szCs w:val="22"/>
        </w:rPr>
        <w:tab/>
        <w:t xml:space="preserve">Otto CM, Nishimura RA, Bonow RO, et al. 2020 ACC/AHA Guideline for the Management of Patients With Valvular Heart Disease: A Report of the American College of Cardiology/American Heart Association Joint Committee on Clinical Practice Guidelines. </w:t>
      </w:r>
      <w:r w:rsidRPr="009E5DEB">
        <w:rPr>
          <w:rFonts w:ascii="Arial" w:hAnsi="Arial" w:cs="Arial"/>
          <w:i/>
          <w:color w:val="000000"/>
          <w:sz w:val="22"/>
          <w:szCs w:val="22"/>
        </w:rPr>
        <w:t>Circulation</w:t>
      </w:r>
      <w:r w:rsidRPr="009E5DEB">
        <w:rPr>
          <w:rFonts w:ascii="Arial" w:hAnsi="Arial" w:cs="Arial"/>
          <w:color w:val="000000"/>
          <w:sz w:val="22"/>
          <w:szCs w:val="22"/>
        </w:rPr>
        <w:t>. 2021;143(5). doi:10.1161/CIR.0000000000000923</w:t>
      </w:r>
    </w:p>
    <w:p w14:paraId="131060D7"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lastRenderedPageBreak/>
        <w:t>8.</w:t>
      </w:r>
      <w:r w:rsidRPr="009E5DEB">
        <w:rPr>
          <w:rFonts w:ascii="Arial" w:hAnsi="Arial" w:cs="Arial"/>
          <w:color w:val="000000"/>
          <w:sz w:val="22"/>
          <w:szCs w:val="22"/>
        </w:rPr>
        <w:tab/>
        <w:t xml:space="preserve">Regeer M, Merkestein L, De Weger A, et al. Left bundle branch block after sutureless, transcatheter, and stented biological aortic valve replacement for aortic stenosis. </w:t>
      </w:r>
      <w:r w:rsidRPr="009E5DEB">
        <w:rPr>
          <w:rFonts w:ascii="Arial" w:hAnsi="Arial" w:cs="Arial"/>
          <w:i/>
          <w:color w:val="000000"/>
          <w:sz w:val="22"/>
          <w:szCs w:val="22"/>
        </w:rPr>
        <w:t>EuroIntervention</w:t>
      </w:r>
      <w:r w:rsidRPr="009E5DEB">
        <w:rPr>
          <w:rFonts w:ascii="Arial" w:hAnsi="Arial" w:cs="Arial"/>
          <w:color w:val="000000"/>
          <w:sz w:val="22"/>
          <w:szCs w:val="22"/>
        </w:rPr>
        <w:t>. 2017;12(13):1660-1666. doi:10.4244/EIJ-D-15-00256</w:t>
      </w:r>
    </w:p>
    <w:p w14:paraId="765FCFED"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9.</w:t>
      </w:r>
      <w:r w:rsidRPr="009E5DEB">
        <w:rPr>
          <w:rFonts w:ascii="Arial" w:hAnsi="Arial" w:cs="Arial"/>
          <w:color w:val="000000"/>
          <w:sz w:val="22"/>
          <w:szCs w:val="22"/>
        </w:rPr>
        <w:tab/>
        <w:t xml:space="preserve">Tamargo M, Gutiérrez-Ibañes E. Left Bundle Branch Block in Aortic Stenosis. </w:t>
      </w:r>
      <w:r w:rsidRPr="009E5DEB">
        <w:rPr>
          <w:rFonts w:ascii="Arial" w:hAnsi="Arial" w:cs="Arial"/>
          <w:i/>
          <w:color w:val="000000"/>
          <w:sz w:val="22"/>
          <w:szCs w:val="22"/>
        </w:rPr>
        <w:t>JACC: Asia</w:t>
      </w:r>
      <w:r w:rsidRPr="009E5DEB">
        <w:rPr>
          <w:rFonts w:ascii="Arial" w:hAnsi="Arial" w:cs="Arial"/>
          <w:color w:val="000000"/>
          <w:sz w:val="22"/>
          <w:szCs w:val="22"/>
        </w:rPr>
        <w:t>. 2024;4(4):320-322. doi:10.1016/j.jacasi.2024.01.006</w:t>
      </w:r>
    </w:p>
    <w:p w14:paraId="54B89D4D"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10.Donelli D, Antonelli M, Gurgoglione FL, et al. Effects of left bundle branch block on echocardiographic coronary flow assessment: A systematic review. </w:t>
      </w:r>
      <w:r w:rsidRPr="009E5DEB">
        <w:rPr>
          <w:rFonts w:ascii="Arial" w:hAnsi="Arial" w:cs="Arial"/>
          <w:i/>
          <w:color w:val="000000"/>
          <w:sz w:val="22"/>
          <w:szCs w:val="22"/>
        </w:rPr>
        <w:t>Echocardiography</w:t>
      </w:r>
      <w:r w:rsidRPr="009E5DEB">
        <w:rPr>
          <w:rFonts w:ascii="Arial" w:hAnsi="Arial" w:cs="Arial"/>
          <w:color w:val="000000"/>
          <w:sz w:val="22"/>
          <w:szCs w:val="22"/>
        </w:rPr>
        <w:t>. 2024;41(6):e15864. doi:10.1111/echo.15864</w:t>
      </w:r>
    </w:p>
    <w:p w14:paraId="49776385"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11.Clerc OF, Possner M, Maire R, et al. Association of left bundle branch block with obstructive coronary artery disease on coronary CT angiography: a case–control study. </w:t>
      </w:r>
      <w:r w:rsidRPr="009E5DEB">
        <w:rPr>
          <w:rFonts w:ascii="Arial" w:hAnsi="Arial" w:cs="Arial"/>
          <w:i/>
          <w:color w:val="000000"/>
          <w:sz w:val="22"/>
          <w:szCs w:val="22"/>
        </w:rPr>
        <w:t>Eur Heart J Cardiovasc Imaging</w:t>
      </w:r>
      <w:r w:rsidRPr="009E5DEB">
        <w:rPr>
          <w:rFonts w:ascii="Arial" w:hAnsi="Arial" w:cs="Arial"/>
          <w:color w:val="000000"/>
          <w:sz w:val="22"/>
          <w:szCs w:val="22"/>
        </w:rPr>
        <w:t>. 2016;17(7):765-771. doi:10.1093/ehjci/jev202</w:t>
      </w:r>
    </w:p>
    <w:p w14:paraId="0431C946"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12.Gurzău D, Dădârlat-Pop A, </w:t>
      </w:r>
      <w:proofErr w:type="spellStart"/>
      <w:r w:rsidRPr="009E5DEB">
        <w:rPr>
          <w:rFonts w:ascii="Arial" w:hAnsi="Arial" w:cs="Arial"/>
          <w:color w:val="000000"/>
          <w:sz w:val="22"/>
          <w:szCs w:val="22"/>
        </w:rPr>
        <w:t>Caloian</w:t>
      </w:r>
      <w:proofErr w:type="spellEnd"/>
      <w:r w:rsidRPr="009E5DEB">
        <w:rPr>
          <w:rFonts w:ascii="Arial" w:hAnsi="Arial" w:cs="Arial"/>
          <w:color w:val="000000"/>
          <w:sz w:val="22"/>
          <w:szCs w:val="22"/>
        </w:rPr>
        <w:t xml:space="preserve"> B, et al. Major Left Bundle Branch Block and Coronary Heart Disease—Are There Any Differences between the Sexes? </w:t>
      </w:r>
      <w:r w:rsidRPr="009E5DEB">
        <w:rPr>
          <w:rFonts w:ascii="Arial" w:hAnsi="Arial" w:cs="Arial"/>
          <w:i/>
          <w:color w:val="000000"/>
          <w:sz w:val="22"/>
          <w:szCs w:val="22"/>
        </w:rPr>
        <w:t>JCM</w:t>
      </w:r>
      <w:r w:rsidRPr="009E5DEB">
        <w:rPr>
          <w:rFonts w:ascii="Arial" w:hAnsi="Arial" w:cs="Arial"/>
          <w:color w:val="000000"/>
          <w:sz w:val="22"/>
          <w:szCs w:val="22"/>
        </w:rPr>
        <w:t>. 2021;10(11):2284. doi:10.3390/jcm10112284</w:t>
      </w:r>
    </w:p>
    <w:p w14:paraId="050341BF"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13.Dillon JC, Chang S, Feigenbaum H. Echocardiographic Manifestations of Left Bundle Branch Block. </w:t>
      </w:r>
      <w:r w:rsidRPr="009E5DEB">
        <w:rPr>
          <w:rFonts w:ascii="Arial" w:hAnsi="Arial" w:cs="Arial"/>
          <w:i/>
          <w:color w:val="000000"/>
          <w:sz w:val="22"/>
          <w:szCs w:val="22"/>
        </w:rPr>
        <w:t>Circulation</w:t>
      </w:r>
      <w:r w:rsidRPr="009E5DEB">
        <w:rPr>
          <w:rFonts w:ascii="Arial" w:hAnsi="Arial" w:cs="Arial"/>
          <w:color w:val="000000"/>
          <w:sz w:val="22"/>
          <w:szCs w:val="22"/>
        </w:rPr>
        <w:t>. 1974;49(5):876-880. doi:10.1161/01.CIR.49.5.876</w:t>
      </w:r>
    </w:p>
    <w:p w14:paraId="68FE0284" w14:textId="77777777" w:rsidR="00A12A10" w:rsidRPr="009E5DEB" w:rsidRDefault="00BE5190" w:rsidP="009E5DEB">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 xml:space="preserve">14.Nasrin S, </w:t>
      </w:r>
      <w:proofErr w:type="spellStart"/>
      <w:r w:rsidRPr="009E5DEB">
        <w:rPr>
          <w:rFonts w:ascii="Arial" w:hAnsi="Arial" w:cs="Arial"/>
          <w:color w:val="000000"/>
          <w:sz w:val="22"/>
          <w:szCs w:val="22"/>
        </w:rPr>
        <w:t>Cader</w:t>
      </w:r>
      <w:proofErr w:type="spellEnd"/>
      <w:r w:rsidRPr="009E5DEB">
        <w:rPr>
          <w:rFonts w:ascii="Arial" w:hAnsi="Arial" w:cs="Arial"/>
          <w:color w:val="000000"/>
          <w:sz w:val="22"/>
          <w:szCs w:val="22"/>
        </w:rPr>
        <w:t xml:space="preserve"> FA, Haq MM. Clinical and Angiographic Prole of Patients with Left Bundle Branch Block. </w:t>
      </w:r>
      <w:r w:rsidRPr="009E5DEB">
        <w:rPr>
          <w:rFonts w:ascii="Arial" w:hAnsi="Arial" w:cs="Arial"/>
          <w:i/>
          <w:color w:val="000000"/>
          <w:sz w:val="22"/>
          <w:szCs w:val="22"/>
        </w:rPr>
        <w:t>Ibrahim card med j</w:t>
      </w:r>
      <w:r w:rsidRPr="009E5DEB">
        <w:rPr>
          <w:rFonts w:ascii="Arial" w:hAnsi="Arial" w:cs="Arial"/>
          <w:color w:val="000000"/>
          <w:sz w:val="22"/>
          <w:szCs w:val="22"/>
        </w:rPr>
        <w:t>. 2018;6(1-2):14-19. doi:10.3329/icmj.v6i1-2.53756</w:t>
      </w:r>
    </w:p>
    <w:p w14:paraId="590615A1" w14:textId="2E858E38" w:rsidR="008E28FC" w:rsidRDefault="00BE5190" w:rsidP="008E28FC">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r w:rsidRPr="009E5DEB">
        <w:rPr>
          <w:rFonts w:ascii="Arial" w:hAnsi="Arial" w:cs="Arial"/>
          <w:color w:val="000000"/>
          <w:sz w:val="22"/>
          <w:szCs w:val="22"/>
        </w:rPr>
        <w:t>15.</w:t>
      </w:r>
      <w:r w:rsidRPr="008E28FC">
        <w:rPr>
          <w:rFonts w:ascii="Arial" w:hAnsi="Arial" w:cs="Arial"/>
          <w:color w:val="000000"/>
          <w:sz w:val="22"/>
          <w:szCs w:val="22"/>
        </w:rPr>
        <w:t xml:space="preserve">Shehata I, Mohamed AA, Naguib T, </w:t>
      </w:r>
      <w:proofErr w:type="spellStart"/>
      <w:r w:rsidRPr="008E28FC">
        <w:rPr>
          <w:rFonts w:ascii="Arial" w:hAnsi="Arial" w:cs="Arial"/>
          <w:color w:val="000000"/>
          <w:sz w:val="22"/>
          <w:szCs w:val="22"/>
        </w:rPr>
        <w:t>Ateya</w:t>
      </w:r>
      <w:proofErr w:type="spellEnd"/>
      <w:r w:rsidRPr="008E28FC">
        <w:rPr>
          <w:rFonts w:ascii="Arial" w:hAnsi="Arial" w:cs="Arial"/>
          <w:color w:val="000000"/>
          <w:sz w:val="22"/>
          <w:szCs w:val="22"/>
        </w:rPr>
        <w:t xml:space="preserve"> AM, </w:t>
      </w:r>
      <w:proofErr w:type="spellStart"/>
      <w:r w:rsidRPr="008E28FC">
        <w:rPr>
          <w:rFonts w:ascii="Arial" w:hAnsi="Arial" w:cs="Arial"/>
          <w:color w:val="000000"/>
          <w:sz w:val="22"/>
          <w:szCs w:val="22"/>
        </w:rPr>
        <w:t>Eldamanhory</w:t>
      </w:r>
      <w:proofErr w:type="spellEnd"/>
      <w:r w:rsidRPr="008E28FC">
        <w:rPr>
          <w:rFonts w:ascii="Arial" w:hAnsi="Arial" w:cs="Arial"/>
          <w:color w:val="000000"/>
          <w:sz w:val="22"/>
          <w:szCs w:val="22"/>
        </w:rPr>
        <w:t xml:space="preserve"> A. Angiographic pattern of patients with left bundle branch block: A comparative cross-sectional study. </w:t>
      </w:r>
      <w:r w:rsidRPr="008E28FC">
        <w:rPr>
          <w:rFonts w:ascii="Arial" w:hAnsi="Arial" w:cs="Arial"/>
          <w:i/>
          <w:color w:val="000000"/>
          <w:sz w:val="22"/>
          <w:szCs w:val="22"/>
        </w:rPr>
        <w:t xml:space="preserve">J Indian </w:t>
      </w:r>
      <w:proofErr w:type="spellStart"/>
      <w:r w:rsidRPr="008E28FC">
        <w:rPr>
          <w:rFonts w:ascii="Arial" w:hAnsi="Arial" w:cs="Arial"/>
          <w:i/>
          <w:color w:val="000000"/>
          <w:sz w:val="22"/>
          <w:szCs w:val="22"/>
        </w:rPr>
        <w:t>coll</w:t>
      </w:r>
      <w:proofErr w:type="spellEnd"/>
      <w:r w:rsidRPr="008E28FC">
        <w:rPr>
          <w:rFonts w:ascii="Arial" w:hAnsi="Arial" w:cs="Arial"/>
          <w:i/>
          <w:color w:val="000000"/>
          <w:sz w:val="22"/>
          <w:szCs w:val="22"/>
        </w:rPr>
        <w:t xml:space="preserve"> </w:t>
      </w:r>
      <w:proofErr w:type="spellStart"/>
      <w:r w:rsidRPr="008E28FC">
        <w:rPr>
          <w:rFonts w:ascii="Arial" w:hAnsi="Arial" w:cs="Arial"/>
          <w:i/>
          <w:color w:val="000000"/>
          <w:sz w:val="22"/>
          <w:szCs w:val="22"/>
        </w:rPr>
        <w:t>cardiol</w:t>
      </w:r>
      <w:proofErr w:type="spellEnd"/>
      <w:r w:rsidRPr="008E28FC">
        <w:rPr>
          <w:rFonts w:ascii="Arial" w:hAnsi="Arial" w:cs="Arial"/>
          <w:color w:val="000000"/>
          <w:sz w:val="22"/>
          <w:szCs w:val="22"/>
        </w:rPr>
        <w:t>. 2020;10(3):128. doi:10.4103/JICC.JICC_55_20</w:t>
      </w:r>
    </w:p>
    <w:p w14:paraId="55B4E38B" w14:textId="77777777" w:rsidR="008E28FC" w:rsidRDefault="008E28FC" w:rsidP="008E28FC">
      <w:pPr>
        <w:rPr>
          <w:rFonts w:ascii="Arial" w:hAnsi="Arial" w:cs="Arial"/>
          <w:sz w:val="22"/>
          <w:szCs w:val="22"/>
        </w:rPr>
      </w:pPr>
      <w:r>
        <w:rPr>
          <w:rFonts w:ascii="Arial" w:hAnsi="Arial" w:cs="Arial"/>
          <w:color w:val="000000"/>
          <w:sz w:val="22"/>
          <w:szCs w:val="22"/>
        </w:rPr>
        <w:t>16.</w:t>
      </w:r>
      <w:r w:rsidRPr="008E28FC">
        <w:rPr>
          <w:sz w:val="20"/>
          <w:szCs w:val="20"/>
          <w:lang w:val="en-GB"/>
        </w:rPr>
        <w:t xml:space="preserve"> </w:t>
      </w:r>
      <w:r w:rsidRPr="008E28FC">
        <w:rPr>
          <w:rFonts w:ascii="Arial" w:hAnsi="Arial" w:cs="Arial"/>
          <w:sz w:val="22"/>
          <w:szCs w:val="22"/>
        </w:rPr>
        <w:t xml:space="preserve">Zou, J. H., Hua, B. T., Shao, X. X., Wang, C., Li, H., Lu, Y. N., Tian, X., Li, Z. X., Pu, L. </w:t>
      </w:r>
      <w:r>
        <w:rPr>
          <w:rFonts w:ascii="Arial" w:hAnsi="Arial" w:cs="Arial"/>
          <w:sz w:val="22"/>
          <w:szCs w:val="22"/>
        </w:rPr>
        <w:t xml:space="preserve"> </w:t>
      </w:r>
    </w:p>
    <w:p w14:paraId="513DFED9" w14:textId="77777777" w:rsidR="008E28FC" w:rsidRDefault="008E28FC" w:rsidP="008E28FC">
      <w:pPr>
        <w:rPr>
          <w:rFonts w:ascii="Arial" w:hAnsi="Arial" w:cs="Arial"/>
          <w:sz w:val="22"/>
          <w:szCs w:val="22"/>
        </w:rPr>
      </w:pPr>
      <w:r>
        <w:rPr>
          <w:rFonts w:ascii="Arial" w:hAnsi="Arial" w:cs="Arial"/>
          <w:sz w:val="22"/>
          <w:szCs w:val="22"/>
        </w:rPr>
        <w:t xml:space="preserve">      </w:t>
      </w:r>
      <w:r w:rsidRPr="008E28FC">
        <w:rPr>
          <w:rFonts w:ascii="Arial" w:hAnsi="Arial" w:cs="Arial"/>
          <w:sz w:val="22"/>
          <w:szCs w:val="22"/>
        </w:rPr>
        <w:t xml:space="preserve">J., &amp; Wang, J. (2024). Redefining left bundle branch block from high-density </w:t>
      </w:r>
    </w:p>
    <w:p w14:paraId="54508314" w14:textId="77777777" w:rsidR="008E28FC" w:rsidRDefault="008E28FC" w:rsidP="008E28FC">
      <w:pPr>
        <w:rPr>
          <w:rFonts w:ascii="Arial" w:hAnsi="Arial" w:cs="Arial"/>
          <w:sz w:val="22"/>
          <w:szCs w:val="22"/>
        </w:rPr>
      </w:pPr>
      <w:r>
        <w:rPr>
          <w:rFonts w:ascii="Arial" w:hAnsi="Arial" w:cs="Arial"/>
          <w:sz w:val="22"/>
          <w:szCs w:val="22"/>
        </w:rPr>
        <w:t xml:space="preserve">      </w:t>
      </w:r>
      <w:proofErr w:type="spellStart"/>
      <w:r w:rsidRPr="008E28FC">
        <w:rPr>
          <w:rFonts w:ascii="Arial" w:hAnsi="Arial" w:cs="Arial"/>
          <w:sz w:val="22"/>
          <w:szCs w:val="22"/>
        </w:rPr>
        <w:t>electroanatomical</w:t>
      </w:r>
      <w:proofErr w:type="spellEnd"/>
      <w:r w:rsidRPr="008E28FC">
        <w:rPr>
          <w:rFonts w:ascii="Arial" w:hAnsi="Arial" w:cs="Arial"/>
          <w:sz w:val="22"/>
          <w:szCs w:val="22"/>
        </w:rPr>
        <w:t xml:space="preserve"> mapping. </w:t>
      </w:r>
      <w:r w:rsidRPr="008E28FC">
        <w:rPr>
          <w:rFonts w:ascii="Arial" w:hAnsi="Arial" w:cs="Arial"/>
          <w:i/>
          <w:iCs/>
          <w:sz w:val="22"/>
          <w:szCs w:val="22"/>
        </w:rPr>
        <w:t>International journal of cardiology</w:t>
      </w:r>
      <w:r w:rsidRPr="008E28FC">
        <w:rPr>
          <w:rFonts w:ascii="Arial" w:hAnsi="Arial" w:cs="Arial"/>
          <w:sz w:val="22"/>
          <w:szCs w:val="22"/>
        </w:rPr>
        <w:t>, </w:t>
      </w:r>
      <w:r w:rsidRPr="008E28FC">
        <w:rPr>
          <w:rFonts w:ascii="Arial" w:hAnsi="Arial" w:cs="Arial"/>
          <w:i/>
          <w:iCs/>
          <w:sz w:val="22"/>
          <w:szCs w:val="22"/>
        </w:rPr>
        <w:t>402</w:t>
      </w:r>
      <w:r w:rsidRPr="008E28FC">
        <w:rPr>
          <w:rFonts w:ascii="Arial" w:hAnsi="Arial" w:cs="Arial"/>
          <w:sz w:val="22"/>
          <w:szCs w:val="22"/>
        </w:rPr>
        <w:t xml:space="preserve">, 131830. </w:t>
      </w:r>
      <w:r>
        <w:rPr>
          <w:rFonts w:ascii="Arial" w:hAnsi="Arial" w:cs="Arial"/>
          <w:sz w:val="22"/>
          <w:szCs w:val="22"/>
        </w:rPr>
        <w:t xml:space="preserve"> </w:t>
      </w:r>
    </w:p>
    <w:p w14:paraId="32E29CBD" w14:textId="5B89426B" w:rsidR="008E28FC" w:rsidRDefault="008E28FC" w:rsidP="008E28FC">
      <w:pPr>
        <w:rPr>
          <w:rFonts w:ascii="Arial" w:hAnsi="Arial" w:cs="Arial"/>
          <w:sz w:val="22"/>
          <w:szCs w:val="22"/>
        </w:rPr>
      </w:pPr>
      <w:r>
        <w:rPr>
          <w:rFonts w:ascii="Arial" w:hAnsi="Arial" w:cs="Arial"/>
          <w:sz w:val="22"/>
          <w:szCs w:val="22"/>
        </w:rPr>
        <w:t xml:space="preserve">      </w:t>
      </w:r>
      <w:hyperlink r:id="rId10" w:history="1">
        <w:r w:rsidRPr="00196AD3">
          <w:rPr>
            <w:rStyle w:val="Hyperlink"/>
            <w:rFonts w:ascii="Arial" w:hAnsi="Arial" w:cs="Arial"/>
            <w:sz w:val="22"/>
            <w:szCs w:val="22"/>
          </w:rPr>
          <w:t>https://doi.org/10.1016/j.ijcard.2024.131830</w:t>
        </w:r>
      </w:hyperlink>
    </w:p>
    <w:p w14:paraId="578A859C" w14:textId="77777777" w:rsidR="008E28FC" w:rsidRDefault="008E28FC" w:rsidP="008E28FC">
      <w:pPr>
        <w:rPr>
          <w:sz w:val="20"/>
          <w:szCs w:val="20"/>
          <w:lang w:val="en-GB"/>
        </w:rPr>
      </w:pPr>
    </w:p>
    <w:p w14:paraId="6F2B2505" w14:textId="77777777" w:rsidR="008E28FC" w:rsidRDefault="008E28FC" w:rsidP="008E28FC">
      <w:pPr>
        <w:rPr>
          <w:rFonts w:ascii="Arial" w:hAnsi="Arial" w:cs="Arial"/>
          <w:sz w:val="22"/>
          <w:szCs w:val="22"/>
        </w:rPr>
      </w:pPr>
      <w:r>
        <w:rPr>
          <w:rFonts w:ascii="Arial" w:hAnsi="Arial" w:cs="Arial"/>
          <w:sz w:val="22"/>
          <w:szCs w:val="22"/>
          <w:lang w:val="en-GB"/>
        </w:rPr>
        <w:t>17.</w:t>
      </w:r>
      <w:r w:rsidRPr="008E28FC">
        <w:rPr>
          <w:rFonts w:ascii="Segoe UI" w:hAnsi="Segoe UI" w:cs="Segoe UI"/>
          <w:color w:val="212121"/>
          <w:shd w:val="clear" w:color="auto" w:fill="FFFFFF"/>
        </w:rPr>
        <w:t xml:space="preserve"> </w:t>
      </w:r>
      <w:r w:rsidRPr="008E28FC">
        <w:rPr>
          <w:rFonts w:ascii="Arial" w:hAnsi="Arial" w:cs="Arial"/>
          <w:sz w:val="22"/>
          <w:szCs w:val="22"/>
        </w:rPr>
        <w:t xml:space="preserve">El </w:t>
      </w:r>
      <w:proofErr w:type="spellStart"/>
      <w:r w:rsidRPr="008E28FC">
        <w:rPr>
          <w:rFonts w:ascii="Arial" w:hAnsi="Arial" w:cs="Arial"/>
          <w:sz w:val="22"/>
          <w:szCs w:val="22"/>
        </w:rPr>
        <w:t>Iskandarani</w:t>
      </w:r>
      <w:proofErr w:type="spellEnd"/>
      <w:r w:rsidRPr="008E28FC">
        <w:rPr>
          <w:rFonts w:ascii="Arial" w:hAnsi="Arial" w:cs="Arial"/>
          <w:sz w:val="22"/>
          <w:szCs w:val="22"/>
        </w:rPr>
        <w:t xml:space="preserve">, M., </w:t>
      </w:r>
      <w:proofErr w:type="spellStart"/>
      <w:r w:rsidRPr="008E28FC">
        <w:rPr>
          <w:rFonts w:ascii="Arial" w:hAnsi="Arial" w:cs="Arial"/>
          <w:sz w:val="22"/>
          <w:szCs w:val="22"/>
        </w:rPr>
        <w:t>Golamari</w:t>
      </w:r>
      <w:proofErr w:type="spellEnd"/>
      <w:r w:rsidRPr="008E28FC">
        <w:rPr>
          <w:rFonts w:ascii="Arial" w:hAnsi="Arial" w:cs="Arial"/>
          <w:sz w:val="22"/>
          <w:szCs w:val="22"/>
        </w:rPr>
        <w:t xml:space="preserve">, R., </w:t>
      </w:r>
      <w:proofErr w:type="spellStart"/>
      <w:r w:rsidRPr="008E28FC">
        <w:rPr>
          <w:rFonts w:ascii="Arial" w:hAnsi="Arial" w:cs="Arial"/>
          <w:sz w:val="22"/>
          <w:szCs w:val="22"/>
        </w:rPr>
        <w:t>Shatla</w:t>
      </w:r>
      <w:proofErr w:type="spellEnd"/>
      <w:r w:rsidRPr="008E28FC">
        <w:rPr>
          <w:rFonts w:ascii="Arial" w:hAnsi="Arial" w:cs="Arial"/>
          <w:sz w:val="22"/>
          <w:szCs w:val="22"/>
        </w:rPr>
        <w:t xml:space="preserve">, I., </w:t>
      </w:r>
      <w:proofErr w:type="spellStart"/>
      <w:r w:rsidRPr="008E28FC">
        <w:rPr>
          <w:rFonts w:ascii="Arial" w:hAnsi="Arial" w:cs="Arial"/>
          <w:sz w:val="22"/>
          <w:szCs w:val="22"/>
        </w:rPr>
        <w:t>Ujueta</w:t>
      </w:r>
      <w:proofErr w:type="spellEnd"/>
      <w:r w:rsidRPr="008E28FC">
        <w:rPr>
          <w:rFonts w:ascii="Arial" w:hAnsi="Arial" w:cs="Arial"/>
          <w:sz w:val="22"/>
          <w:szCs w:val="22"/>
        </w:rPr>
        <w:t xml:space="preserve">, F., </w:t>
      </w:r>
      <w:proofErr w:type="spellStart"/>
      <w:r w:rsidRPr="008E28FC">
        <w:rPr>
          <w:rFonts w:ascii="Arial" w:hAnsi="Arial" w:cs="Arial"/>
          <w:sz w:val="22"/>
          <w:szCs w:val="22"/>
        </w:rPr>
        <w:t>Mihos</w:t>
      </w:r>
      <w:proofErr w:type="spellEnd"/>
      <w:r w:rsidRPr="008E28FC">
        <w:rPr>
          <w:rFonts w:ascii="Arial" w:hAnsi="Arial" w:cs="Arial"/>
          <w:sz w:val="22"/>
          <w:szCs w:val="22"/>
        </w:rPr>
        <w:t xml:space="preserve">, C. G., Escolar, E., </w:t>
      </w:r>
      <w:proofErr w:type="spellStart"/>
      <w:r w:rsidRPr="008E28FC">
        <w:rPr>
          <w:rFonts w:ascii="Arial" w:hAnsi="Arial" w:cs="Arial"/>
          <w:sz w:val="22"/>
          <w:szCs w:val="22"/>
        </w:rPr>
        <w:t>Elajami</w:t>
      </w:r>
      <w:proofErr w:type="spellEnd"/>
      <w:r w:rsidRPr="008E28FC">
        <w:rPr>
          <w:rFonts w:ascii="Arial" w:hAnsi="Arial" w:cs="Arial"/>
          <w:sz w:val="22"/>
          <w:szCs w:val="22"/>
        </w:rPr>
        <w:t xml:space="preserve">, </w:t>
      </w:r>
    </w:p>
    <w:p w14:paraId="1517C1AB" w14:textId="77777777" w:rsidR="008E28FC" w:rsidRDefault="008E28FC" w:rsidP="008E28FC">
      <w:pPr>
        <w:rPr>
          <w:rFonts w:ascii="Arial" w:hAnsi="Arial" w:cs="Arial"/>
          <w:sz w:val="22"/>
          <w:szCs w:val="22"/>
        </w:rPr>
      </w:pPr>
      <w:r>
        <w:rPr>
          <w:rFonts w:ascii="Arial" w:hAnsi="Arial" w:cs="Arial"/>
          <w:sz w:val="22"/>
          <w:szCs w:val="22"/>
        </w:rPr>
        <w:t xml:space="preserve">      </w:t>
      </w:r>
      <w:r w:rsidRPr="008E28FC">
        <w:rPr>
          <w:rFonts w:ascii="Arial" w:hAnsi="Arial" w:cs="Arial"/>
          <w:sz w:val="22"/>
          <w:szCs w:val="22"/>
        </w:rPr>
        <w:t xml:space="preserve">T. K., &amp; Weiss, R. (2024). Left bundle branch area pacing in heart failure: A systematic </w:t>
      </w:r>
    </w:p>
    <w:p w14:paraId="61F00543" w14:textId="77777777" w:rsidR="008E28FC" w:rsidRDefault="008E28FC" w:rsidP="008E28FC">
      <w:pPr>
        <w:rPr>
          <w:rFonts w:ascii="Arial" w:hAnsi="Arial" w:cs="Arial"/>
          <w:i/>
          <w:iCs/>
          <w:sz w:val="22"/>
          <w:szCs w:val="22"/>
        </w:rPr>
      </w:pPr>
      <w:r>
        <w:rPr>
          <w:rFonts w:ascii="Arial" w:hAnsi="Arial" w:cs="Arial"/>
          <w:sz w:val="22"/>
          <w:szCs w:val="22"/>
        </w:rPr>
        <w:t xml:space="preserve">      </w:t>
      </w:r>
      <w:r w:rsidRPr="008E28FC">
        <w:rPr>
          <w:rFonts w:ascii="Arial" w:hAnsi="Arial" w:cs="Arial"/>
          <w:sz w:val="22"/>
          <w:szCs w:val="22"/>
        </w:rPr>
        <w:t>review and meta-analysis with meta-regression. </w:t>
      </w:r>
      <w:r w:rsidRPr="008E28FC">
        <w:rPr>
          <w:rFonts w:ascii="Arial" w:hAnsi="Arial" w:cs="Arial"/>
          <w:i/>
          <w:iCs/>
          <w:sz w:val="22"/>
          <w:szCs w:val="22"/>
        </w:rPr>
        <w:t xml:space="preserve">Journal of cardiovascular </w:t>
      </w:r>
    </w:p>
    <w:p w14:paraId="482037B3" w14:textId="2B89B050" w:rsidR="008E28FC" w:rsidRPr="008E28FC" w:rsidRDefault="008E28FC" w:rsidP="008E28FC">
      <w:pPr>
        <w:rPr>
          <w:rFonts w:ascii="Arial" w:hAnsi="Arial" w:cs="Arial"/>
          <w:sz w:val="22"/>
          <w:szCs w:val="22"/>
          <w:lang w:val="en-GB"/>
        </w:rPr>
      </w:pPr>
      <w:r>
        <w:rPr>
          <w:rFonts w:ascii="Arial" w:hAnsi="Arial" w:cs="Arial"/>
          <w:i/>
          <w:iCs/>
          <w:sz w:val="22"/>
          <w:szCs w:val="22"/>
        </w:rPr>
        <w:t xml:space="preserve">     </w:t>
      </w:r>
      <w:r w:rsidRPr="008E28FC">
        <w:rPr>
          <w:rFonts w:ascii="Arial" w:hAnsi="Arial" w:cs="Arial"/>
          <w:i/>
          <w:iCs/>
          <w:sz w:val="22"/>
          <w:szCs w:val="22"/>
        </w:rPr>
        <w:t>electrophysiology</w:t>
      </w:r>
      <w:r w:rsidRPr="008E28FC">
        <w:rPr>
          <w:rFonts w:ascii="Arial" w:hAnsi="Arial" w:cs="Arial"/>
          <w:sz w:val="22"/>
          <w:szCs w:val="22"/>
        </w:rPr>
        <w:t>, </w:t>
      </w:r>
      <w:r w:rsidRPr="008E28FC">
        <w:rPr>
          <w:rFonts w:ascii="Arial" w:hAnsi="Arial" w:cs="Arial"/>
          <w:i/>
          <w:iCs/>
          <w:sz w:val="22"/>
          <w:szCs w:val="22"/>
        </w:rPr>
        <w:t>35</w:t>
      </w:r>
      <w:r w:rsidRPr="008E28FC">
        <w:rPr>
          <w:rFonts w:ascii="Arial" w:hAnsi="Arial" w:cs="Arial"/>
          <w:sz w:val="22"/>
          <w:szCs w:val="22"/>
        </w:rPr>
        <w:t>(8), 1536–1547. https://doi.org/10.1111/jce.16304</w:t>
      </w:r>
    </w:p>
    <w:p w14:paraId="27CC0E94" w14:textId="44D3F5FF" w:rsidR="008E28FC" w:rsidRPr="008E28FC" w:rsidRDefault="008E28FC" w:rsidP="008E28FC">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p>
    <w:p w14:paraId="74C2DA83" w14:textId="7B7C5F58" w:rsidR="008E28FC" w:rsidRPr="00253625" w:rsidRDefault="008E28FC" w:rsidP="008E28FC">
      <w:pPr>
        <w:pBdr>
          <w:top w:val="nil"/>
          <w:left w:val="nil"/>
          <w:bottom w:val="nil"/>
          <w:right w:val="nil"/>
          <w:between w:val="nil"/>
        </w:pBdr>
        <w:tabs>
          <w:tab w:val="left" w:pos="264"/>
        </w:tabs>
        <w:spacing w:after="240" w:line="276" w:lineRule="auto"/>
        <w:ind w:left="264" w:hanging="264"/>
        <w:rPr>
          <w:rFonts w:ascii="Arial" w:hAnsi="Arial" w:cs="Arial"/>
          <w:color w:val="000000"/>
          <w:sz w:val="22"/>
          <w:szCs w:val="22"/>
        </w:rPr>
      </w:pPr>
    </w:p>
    <w:sectPr w:rsidR="008E28FC" w:rsidRPr="00253625" w:rsidSect="009B7A2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2C88E" w14:textId="77777777" w:rsidR="00730160" w:rsidRDefault="00730160" w:rsidP="009E5DEB">
      <w:r>
        <w:separator/>
      </w:r>
    </w:p>
  </w:endnote>
  <w:endnote w:type="continuationSeparator" w:id="0">
    <w:p w14:paraId="1611885B" w14:textId="77777777" w:rsidR="00730160" w:rsidRDefault="00730160" w:rsidP="009E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1B9FCD5-7358-7442-95CB-54CE5D106F60}"/>
    <w:embedBold r:id="rId2" w:fontKey="{C66FAA86-7ADC-2249-A5D0-91CD23150F3C}"/>
    <w:embedItalic r:id="rId3" w:fontKey="{B3D4638C-9CFD-B84E-AAE1-ABD5C0562F02}"/>
  </w:font>
  <w:font w:name="Calibri">
    <w:panose1 w:val="020F0502020204030204"/>
    <w:charset w:val="00"/>
    <w:family w:val="swiss"/>
    <w:pitch w:val="variable"/>
    <w:sig w:usb0="E4002EFF" w:usb1="C200247B" w:usb2="00000009" w:usb3="00000000" w:csb0="000001FF" w:csb1="00000000"/>
    <w:embedRegular r:id="rId4" w:fontKey="{C017C490-AE7E-9947-840A-F96351A5D88E}"/>
    <w:embedBold r:id="rId5" w:fontKey="{CFDBC569-5EE3-A941-9905-097CBC418C9F}"/>
    <w:embedItalic r:id="rId6" w:fontKey="{85B5BF8E-0E65-2B44-92E4-5652104BA7B5}"/>
    <w:embedBoldItalic r:id="rId7" w:fontKey="{EB03BA07-67CF-784C-B778-99BDFAED45DA}"/>
  </w:font>
  <w:font w:name="Calibri Light">
    <w:panose1 w:val="020F0302020204030204"/>
    <w:charset w:val="00"/>
    <w:family w:val="swiss"/>
    <w:pitch w:val="variable"/>
    <w:sig w:usb0="E0002AFF" w:usb1="C000247B" w:usb2="00000009" w:usb3="00000000" w:csb0="000001FF" w:csb1="00000000"/>
    <w:embedRegular r:id="rId8" w:fontKey="{CDE0A569-A5BC-5F49-9D8F-79987B1EA501}"/>
    <w:embedItalic r:id="rId9" w:fontKey="{8622E39A-D821-064B-8D27-9F665A6678FC}"/>
  </w:font>
  <w:font w:name="Georgia">
    <w:panose1 w:val="02040502050405020303"/>
    <w:charset w:val="00"/>
    <w:family w:val="roman"/>
    <w:pitch w:val="variable"/>
    <w:sig w:usb0="00000287" w:usb1="00000000" w:usb2="00000000" w:usb3="00000000" w:csb0="0000009F" w:csb1="00000000"/>
    <w:embedRegular r:id="rId10" w:fontKey="{58F7001B-7535-5940-B242-82BABD6A4A73}"/>
    <w:embedItalic r:id="rId11" w:fontKey="{DDD31D1E-024D-AB4D-BEFE-231E1D1F3946}"/>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13" w:fontKey="{51DA02C4-7FC9-174F-B462-5BAA2EE9D2EC}"/>
    <w:embedBold r:id="rId14" w:fontKey="{6DE7D5F8-A61A-E84D-BB7B-18A521D1E964}"/>
    <w:embedItalic r:id="rId15" w:fontKey="{D36DE512-70A0-B040-94C5-3B44FD6D6722}"/>
    <w:embedBoldItalic r:id="rId16" w:fontKey="{A0C4B145-0E97-4041-9C83-F732ED0669F5}"/>
  </w:font>
  <w:font w:name="Quattrocento Sans">
    <w:panose1 w:val="020B0502050000020003"/>
    <w:charset w:val="00"/>
    <w:family w:val="swiss"/>
    <w:pitch w:val="variable"/>
    <w:sig w:usb0="800000BF" w:usb1="4000005B" w:usb2="00000000" w:usb3="00000000" w:csb0="00000001" w:csb1="00000000"/>
    <w:embedRegular r:id="rId17" w:fontKey="{661ED133-783D-9042-A658-30C51C71EA81}"/>
  </w:font>
  <w:font w:name="Segoe UI">
    <w:panose1 w:val="020B0502040204020203"/>
    <w:charset w:val="00"/>
    <w:family w:val="swiss"/>
    <w:pitch w:val="variable"/>
    <w:sig w:usb0="E4002EFF" w:usb1="C000E47F" w:usb2="00000009" w:usb3="00000000" w:csb0="000001FF" w:csb1="00000000"/>
    <w:embedRegular r:id="rId18" w:fontKey="{45580503-18DF-C349-824F-F93540003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D4281" w14:textId="77777777" w:rsidR="009B7A2B" w:rsidRDefault="009B7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D72C8" w14:textId="0FE07930" w:rsidR="00CB2B31" w:rsidRPr="002B0100" w:rsidRDefault="00CB2B31" w:rsidP="002B01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73B4E" w14:textId="77777777" w:rsidR="009B7A2B" w:rsidRDefault="009B7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D221B" w14:textId="77777777" w:rsidR="00730160" w:rsidRDefault="00730160" w:rsidP="009E5DEB">
      <w:r>
        <w:separator/>
      </w:r>
    </w:p>
  </w:footnote>
  <w:footnote w:type="continuationSeparator" w:id="0">
    <w:p w14:paraId="1D5C4587" w14:textId="77777777" w:rsidR="00730160" w:rsidRDefault="00730160" w:rsidP="009E5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3310D" w14:textId="1F27CF82" w:rsidR="009B7A2B" w:rsidRDefault="00730160">
    <w:pPr>
      <w:pStyle w:val="Header"/>
    </w:pPr>
    <w:r>
      <w:rPr>
        <w:noProof/>
      </w:rPr>
      <w:pict w14:anchorId="4A364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78313"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E870" w14:textId="310F0CE4" w:rsidR="009B7A2B" w:rsidRDefault="00730160">
    <w:pPr>
      <w:pStyle w:val="Header"/>
    </w:pPr>
    <w:r>
      <w:rPr>
        <w:noProof/>
      </w:rPr>
      <w:pict w14:anchorId="2EF2B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78314" o:spid="_x0000_s1026"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F5937" w14:textId="3985A51C" w:rsidR="009B7A2B" w:rsidRDefault="00730160">
    <w:pPr>
      <w:pStyle w:val="Header"/>
    </w:pPr>
    <w:r>
      <w:rPr>
        <w:noProof/>
      </w:rPr>
      <w:pict w14:anchorId="42079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78312"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9082D"/>
    <w:multiLevelType w:val="multilevel"/>
    <w:tmpl w:val="B3EE4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9830A0"/>
    <w:multiLevelType w:val="hybridMultilevel"/>
    <w:tmpl w:val="75165A24"/>
    <w:lvl w:ilvl="0" w:tplc="FFFFFFFF">
      <w:start w:val="1"/>
      <w:numFmt w:val="decimal"/>
      <w:lvlText w:val="%1."/>
      <w:lvlJc w:val="left"/>
      <w:pPr>
        <w:ind w:left="720" w:hanging="360"/>
      </w:pPr>
      <w:rPr>
        <w:rFonts w:eastAsia="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F8B2F1F"/>
    <w:multiLevelType w:val="hybridMultilevel"/>
    <w:tmpl w:val="75165A24"/>
    <w:lvl w:ilvl="0" w:tplc="D204989E">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E96EA6"/>
    <w:multiLevelType w:val="multilevel"/>
    <w:tmpl w:val="0DB66C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428817550">
    <w:abstractNumId w:val="0"/>
  </w:num>
  <w:num w:numId="2" w16cid:durableId="2088187037">
    <w:abstractNumId w:val="2"/>
  </w:num>
  <w:num w:numId="3" w16cid:durableId="158884668">
    <w:abstractNumId w:val="3"/>
  </w:num>
  <w:num w:numId="4" w16cid:durableId="1114598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GzNDc3NbO0sDC0NDJV0lEKTi0uzszPAykwrAUA1MmBhiwAAAA="/>
  </w:docVars>
  <w:rsids>
    <w:rsidRoot w:val="00A12A10"/>
    <w:rsid w:val="00020146"/>
    <w:rsid w:val="00024598"/>
    <w:rsid w:val="0008746E"/>
    <w:rsid w:val="000F7D4C"/>
    <w:rsid w:val="001274FB"/>
    <w:rsid w:val="00253625"/>
    <w:rsid w:val="00257FAB"/>
    <w:rsid w:val="002B0100"/>
    <w:rsid w:val="00331757"/>
    <w:rsid w:val="003735A6"/>
    <w:rsid w:val="003A2244"/>
    <w:rsid w:val="003E45A3"/>
    <w:rsid w:val="00401568"/>
    <w:rsid w:val="0047109A"/>
    <w:rsid w:val="004E1E40"/>
    <w:rsid w:val="004F47DA"/>
    <w:rsid w:val="005D1DC3"/>
    <w:rsid w:val="00730160"/>
    <w:rsid w:val="007851AD"/>
    <w:rsid w:val="007D58DD"/>
    <w:rsid w:val="007F7E36"/>
    <w:rsid w:val="008E28FC"/>
    <w:rsid w:val="009B7A2B"/>
    <w:rsid w:val="009E5DEB"/>
    <w:rsid w:val="00A12A10"/>
    <w:rsid w:val="00A93275"/>
    <w:rsid w:val="00AB0A40"/>
    <w:rsid w:val="00AB4131"/>
    <w:rsid w:val="00AC33BA"/>
    <w:rsid w:val="00AE2353"/>
    <w:rsid w:val="00AE6F33"/>
    <w:rsid w:val="00B12446"/>
    <w:rsid w:val="00B13BD7"/>
    <w:rsid w:val="00B66987"/>
    <w:rsid w:val="00B85038"/>
    <w:rsid w:val="00BE5190"/>
    <w:rsid w:val="00C34840"/>
    <w:rsid w:val="00CA0B3C"/>
    <w:rsid w:val="00CA5DB0"/>
    <w:rsid w:val="00CB2B31"/>
    <w:rsid w:val="00D25E4C"/>
    <w:rsid w:val="00DC668E"/>
    <w:rsid w:val="00E072D9"/>
    <w:rsid w:val="00E63B71"/>
    <w:rsid w:val="00F65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127C7"/>
  <w15:docId w15:val="{799D636C-67C0-084F-A6BD-CB697967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088"/>
  </w:style>
  <w:style w:type="paragraph" w:styleId="Heading1">
    <w:name w:val="heading 1"/>
    <w:basedOn w:val="Normal"/>
    <w:next w:val="Normal"/>
    <w:link w:val="Heading1Char"/>
    <w:uiPriority w:val="9"/>
    <w:qFormat/>
    <w:rsid w:val="007F64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060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C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2555"/>
    <w:rPr>
      <w:color w:val="0563C1" w:themeColor="hyperlink"/>
      <w:u w:val="single"/>
    </w:rPr>
  </w:style>
  <w:style w:type="character" w:customStyle="1" w:styleId="UnresolvedMention1">
    <w:name w:val="Unresolved Mention1"/>
    <w:basedOn w:val="DefaultParagraphFont"/>
    <w:uiPriority w:val="99"/>
    <w:semiHidden/>
    <w:unhideWhenUsed/>
    <w:rsid w:val="00BB2555"/>
    <w:rPr>
      <w:color w:val="605E5C"/>
      <w:shd w:val="clear" w:color="auto" w:fill="E1DFDD"/>
    </w:rPr>
  </w:style>
  <w:style w:type="paragraph" w:styleId="ListParagraph">
    <w:name w:val="List Paragraph"/>
    <w:basedOn w:val="Normal"/>
    <w:uiPriority w:val="34"/>
    <w:qFormat/>
    <w:rsid w:val="00AA1A92"/>
    <w:pPr>
      <w:ind w:left="720"/>
      <w:contextualSpacing/>
    </w:pPr>
  </w:style>
  <w:style w:type="table" w:styleId="TableGridLight">
    <w:name w:val="Grid Table Light"/>
    <w:basedOn w:val="TableNormal"/>
    <w:uiPriority w:val="40"/>
    <w:rsid w:val="00F156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156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156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F156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156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156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156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156F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156F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6Colorful-Accent3">
    <w:name w:val="List Table 6 Colorful Accent 3"/>
    <w:basedOn w:val="TableNormal"/>
    <w:uiPriority w:val="51"/>
    <w:rsid w:val="006B36FB"/>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unhideWhenUsed/>
    <w:rsid w:val="00EE1D5A"/>
    <w:pPr>
      <w:tabs>
        <w:tab w:val="left" w:pos="264"/>
      </w:tabs>
      <w:spacing w:after="240"/>
      <w:ind w:left="264" w:hanging="264"/>
    </w:pPr>
  </w:style>
  <w:style w:type="character" w:customStyle="1" w:styleId="Heading1Char">
    <w:name w:val="Heading 1 Char"/>
    <w:basedOn w:val="DefaultParagraphFont"/>
    <w:link w:val="Heading1"/>
    <w:uiPriority w:val="9"/>
    <w:rsid w:val="007F64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06088"/>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E5DEB"/>
    <w:pPr>
      <w:tabs>
        <w:tab w:val="center" w:pos="4680"/>
        <w:tab w:val="right" w:pos="9360"/>
      </w:tabs>
    </w:pPr>
  </w:style>
  <w:style w:type="character" w:customStyle="1" w:styleId="HeaderChar">
    <w:name w:val="Header Char"/>
    <w:basedOn w:val="DefaultParagraphFont"/>
    <w:link w:val="Header"/>
    <w:uiPriority w:val="99"/>
    <w:rsid w:val="009E5DEB"/>
  </w:style>
  <w:style w:type="paragraph" w:styleId="Footer">
    <w:name w:val="footer"/>
    <w:basedOn w:val="Normal"/>
    <w:link w:val="FooterChar"/>
    <w:uiPriority w:val="99"/>
    <w:unhideWhenUsed/>
    <w:rsid w:val="009E5DEB"/>
    <w:pPr>
      <w:tabs>
        <w:tab w:val="center" w:pos="4680"/>
        <w:tab w:val="right" w:pos="9360"/>
      </w:tabs>
    </w:pPr>
  </w:style>
  <w:style w:type="character" w:customStyle="1" w:styleId="FooterChar">
    <w:name w:val="Footer Char"/>
    <w:basedOn w:val="DefaultParagraphFont"/>
    <w:link w:val="Footer"/>
    <w:uiPriority w:val="99"/>
    <w:rsid w:val="009E5DEB"/>
  </w:style>
  <w:style w:type="character" w:styleId="LineNumber">
    <w:name w:val="line number"/>
    <w:basedOn w:val="DefaultParagraphFont"/>
    <w:uiPriority w:val="99"/>
    <w:semiHidden/>
    <w:unhideWhenUsed/>
    <w:rsid w:val="00E63B71"/>
  </w:style>
  <w:style w:type="paragraph" w:customStyle="1" w:styleId="ReferHead">
    <w:name w:val="Refer Head"/>
    <w:basedOn w:val="Normal"/>
    <w:rsid w:val="00D25E4C"/>
    <w:pPr>
      <w:keepNext/>
      <w:spacing w:after="240"/>
    </w:pPr>
    <w:rPr>
      <w:rFonts w:ascii="Helvetica" w:eastAsia="Times New Roman" w:hAnsi="Helvetica" w:cs="Times New Roman"/>
      <w:b/>
      <w:caps/>
      <w:sz w:val="22"/>
      <w:szCs w:val="20"/>
      <w:lang w:val="en-US"/>
    </w:rPr>
  </w:style>
  <w:style w:type="character" w:styleId="UnresolvedMention">
    <w:name w:val="Unresolved Mention"/>
    <w:basedOn w:val="DefaultParagraphFont"/>
    <w:uiPriority w:val="99"/>
    <w:semiHidden/>
    <w:unhideWhenUsed/>
    <w:rsid w:val="008E2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0071874">
      <w:bodyDiv w:val="1"/>
      <w:marLeft w:val="0"/>
      <w:marRight w:val="0"/>
      <w:marTop w:val="0"/>
      <w:marBottom w:val="0"/>
      <w:divBdr>
        <w:top w:val="none" w:sz="0" w:space="0" w:color="auto"/>
        <w:left w:val="none" w:sz="0" w:space="0" w:color="auto"/>
        <w:bottom w:val="none" w:sz="0" w:space="0" w:color="auto"/>
        <w:right w:val="none" w:sz="0" w:space="0" w:color="auto"/>
      </w:divBdr>
    </w:div>
    <w:div w:id="1705859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16/j.ijcard.2024.1318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o+78GqEqt62ghk7L9LKxV2GxA==">CgMxLjA4AHIhMWZBWXdZRXFiV2YzSGJlcmoxdTJWZldfZzVQUVYxU1JS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c:creator>
  <cp:lastModifiedBy>Sid</cp:lastModifiedBy>
  <cp:revision>25</cp:revision>
  <dcterms:created xsi:type="dcterms:W3CDTF">2025-06-15T12:04:00Z</dcterms:created>
  <dcterms:modified xsi:type="dcterms:W3CDTF">2025-06-27T06:50:00Z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id="3kua1TfT"/&gt;&lt;style id="http://www.zotero.org/styles/american-medical-association" hasBibliography="1" bibliographyStyleHasBeenSet="1"/&gt;&lt;prefs&gt;&lt;pref name="fieldType" value="Field"/&gt;&lt;/prefs&gt;&lt;/data&gt;</vt:lpwstr>
  </property>
</Properties>
</file>