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5BC33" w14:textId="77777777" w:rsidR="00523807" w:rsidRDefault="00B84A68" w:rsidP="00C57D7B">
      <w:pPr>
        <w:pStyle w:val="Body"/>
        <w:rPr>
          <w:rFonts w:ascii="Arial" w:eastAsia="Arial" w:hAnsi="Arial" w:cs="Arial"/>
          <w:b/>
          <w:bCs/>
          <w:i/>
          <w:iCs/>
          <w:sz w:val="32"/>
          <w:szCs w:val="32"/>
          <w:u w:val="single"/>
        </w:rPr>
      </w:pPr>
      <w:r>
        <w:rPr>
          <w:rFonts w:ascii="Arial" w:hAnsi="Arial"/>
          <w:b/>
          <w:bCs/>
          <w:i/>
          <w:iCs/>
          <w:sz w:val="32"/>
          <w:szCs w:val="32"/>
          <w:u w:val="single"/>
        </w:rPr>
        <w:t xml:space="preserve">Case report </w:t>
      </w:r>
    </w:p>
    <w:p w14:paraId="72C1C951" w14:textId="77777777" w:rsidR="00523807" w:rsidRDefault="00523807">
      <w:pPr>
        <w:pStyle w:val="Body"/>
        <w:jc w:val="right"/>
        <w:rPr>
          <w:rFonts w:ascii="Arial" w:eastAsia="Arial" w:hAnsi="Arial" w:cs="Arial"/>
          <w:b/>
          <w:bCs/>
          <w:sz w:val="32"/>
          <w:szCs w:val="32"/>
        </w:rPr>
      </w:pPr>
    </w:p>
    <w:p w14:paraId="0F550BA2" w14:textId="77777777" w:rsidR="00523807" w:rsidRDefault="00B84A68">
      <w:pPr>
        <w:pStyle w:val="Body"/>
        <w:jc w:val="right"/>
        <w:rPr>
          <w:rFonts w:ascii="Arial" w:eastAsia="Arial" w:hAnsi="Arial" w:cs="Arial"/>
          <w:b/>
          <w:bCs/>
          <w:sz w:val="32"/>
          <w:szCs w:val="32"/>
        </w:rPr>
      </w:pPr>
      <w:r>
        <w:rPr>
          <w:rFonts w:ascii="Arial" w:hAnsi="Arial"/>
          <w:b/>
          <w:bCs/>
          <w:sz w:val="32"/>
          <w:szCs w:val="32"/>
        </w:rPr>
        <w:t>Beyond the Bowel: A Rare Left Hepatic Duct–Duodenal Fistula Following Foreign Body Ingestion</w:t>
      </w:r>
    </w:p>
    <w:p w14:paraId="4CAC0C35" w14:textId="77777777" w:rsidR="00523807" w:rsidRDefault="00523807">
      <w:pPr>
        <w:pStyle w:val="ListParagraph"/>
        <w:rPr>
          <w:rFonts w:ascii="Arial" w:eastAsia="Arial" w:hAnsi="Arial" w:cs="Arial"/>
        </w:rPr>
      </w:pPr>
    </w:p>
    <w:p w14:paraId="7F5D3C98" w14:textId="77777777" w:rsidR="00523807" w:rsidRDefault="00B84A68">
      <w:pPr>
        <w:pStyle w:val="Body"/>
        <w:rPr>
          <w:rFonts w:ascii="Arial" w:eastAsia="Arial" w:hAnsi="Arial" w:cs="Arial"/>
          <w:b/>
          <w:bCs/>
        </w:rPr>
      </w:pPr>
      <w:r>
        <w:rPr>
          <w:rFonts w:ascii="Arial" w:hAnsi="Arial"/>
          <w:b/>
          <w:bCs/>
          <w:lang w:val="de-DE"/>
        </w:rPr>
        <w:t>Abstract-</w:t>
      </w:r>
    </w:p>
    <w:p w14:paraId="36EA9046" w14:textId="77777777" w:rsidR="00523807" w:rsidRDefault="00B84A68">
      <w:pPr>
        <w:pStyle w:val="Body"/>
        <w:spacing w:before="165" w:after="165"/>
        <w:rPr>
          <w:rFonts w:ascii="Arial" w:eastAsia="Arial" w:hAnsi="Arial" w:cs="Arial"/>
        </w:rPr>
      </w:pPr>
      <w:r>
        <w:rPr>
          <w:rFonts w:ascii="Arial" w:hAnsi="Arial"/>
        </w:rPr>
        <w:t xml:space="preserve">Fistula formation between the biliary system and the gastrointestinal tract is uncommon. There are various types of biliary-enteric fistulas, such as </w:t>
      </w:r>
      <w:proofErr w:type="spellStart"/>
      <w:r>
        <w:rPr>
          <w:rFonts w:ascii="Arial" w:hAnsi="Arial"/>
        </w:rPr>
        <w:t>cholecystoduodenal</w:t>
      </w:r>
      <w:proofErr w:type="spellEnd"/>
      <w:r>
        <w:rPr>
          <w:rFonts w:ascii="Arial" w:hAnsi="Arial"/>
        </w:rPr>
        <w:t xml:space="preserve">, </w:t>
      </w:r>
      <w:proofErr w:type="spellStart"/>
      <w:r>
        <w:rPr>
          <w:rFonts w:ascii="Arial" w:hAnsi="Arial"/>
        </w:rPr>
        <w:t>choledochoduodenal</w:t>
      </w:r>
      <w:proofErr w:type="spellEnd"/>
      <w:r>
        <w:rPr>
          <w:rFonts w:ascii="Arial" w:hAnsi="Arial"/>
        </w:rPr>
        <w:t xml:space="preserve">, and </w:t>
      </w:r>
      <w:proofErr w:type="spellStart"/>
      <w:r>
        <w:rPr>
          <w:rFonts w:ascii="Arial" w:hAnsi="Arial"/>
        </w:rPr>
        <w:t>cholecystocolonic</w:t>
      </w:r>
      <w:proofErr w:type="spellEnd"/>
      <w:r>
        <w:rPr>
          <w:rFonts w:ascii="Arial" w:hAnsi="Arial"/>
        </w:rPr>
        <w:t xml:space="preserve"> fistulas, with the most common being </w:t>
      </w:r>
      <w:proofErr w:type="spellStart"/>
      <w:r>
        <w:rPr>
          <w:rFonts w:ascii="Arial" w:hAnsi="Arial"/>
        </w:rPr>
        <w:t>cholecy</w:t>
      </w:r>
      <w:r>
        <w:rPr>
          <w:rFonts w:ascii="Arial" w:hAnsi="Arial"/>
        </w:rPr>
        <w:t>stoduodenal</w:t>
      </w:r>
      <w:proofErr w:type="spellEnd"/>
      <w:r>
        <w:rPr>
          <w:rFonts w:ascii="Arial" w:hAnsi="Arial"/>
        </w:rPr>
        <w:t xml:space="preserve">. Most of these fistulas result from gallstone disease, but they can also be caused by peptic ulcer disease, neoplasms, or iatrogenic injuries during surgery. Our case report discusses a rare instance of a </w:t>
      </w:r>
      <w:proofErr w:type="spellStart"/>
      <w:r>
        <w:rPr>
          <w:rFonts w:ascii="Arial" w:hAnsi="Arial"/>
        </w:rPr>
        <w:t>bilio</w:t>
      </w:r>
      <w:proofErr w:type="spellEnd"/>
      <w:r>
        <w:rPr>
          <w:rFonts w:ascii="Arial" w:hAnsi="Arial"/>
        </w:rPr>
        <w:t>-digestive fistula between the lef</w:t>
      </w:r>
      <w:r>
        <w:rPr>
          <w:rFonts w:ascii="Arial" w:hAnsi="Arial"/>
        </w:rPr>
        <w:t>t hepatic duct and duodenum that developed after foreign body ingestion. This case highlights the importance of an active search and appropriate workup of a fistula, especially after foreign body ingestion. We will explore and describe this case's diagnosi</w:t>
      </w:r>
      <w:r>
        <w:rPr>
          <w:rFonts w:ascii="Arial" w:hAnsi="Arial"/>
        </w:rPr>
        <w:t>s, clinical course and treatment.</w:t>
      </w:r>
    </w:p>
    <w:p w14:paraId="5FADAD69" w14:textId="77777777" w:rsidR="00523807" w:rsidRDefault="00B84A68">
      <w:pPr>
        <w:pStyle w:val="Body"/>
        <w:spacing w:before="165" w:after="165"/>
        <w:rPr>
          <w:rFonts w:ascii="Arial" w:eastAsia="Arial" w:hAnsi="Arial" w:cs="Arial"/>
        </w:rPr>
      </w:pPr>
      <w:r>
        <w:rPr>
          <w:rFonts w:ascii="Arial" w:hAnsi="Arial"/>
        </w:rPr>
        <w:t>Keywords – Duodenal fistula, biliary fistula, biliary-enteric fistula, foreign body ingestion complications</w:t>
      </w:r>
    </w:p>
    <w:p w14:paraId="24E28923" w14:textId="77777777" w:rsidR="00523807" w:rsidRDefault="00523807">
      <w:pPr>
        <w:pStyle w:val="Body"/>
        <w:spacing w:before="240" w:after="240"/>
        <w:rPr>
          <w:rFonts w:ascii="Arial" w:eastAsia="Arial" w:hAnsi="Arial" w:cs="Arial"/>
        </w:rPr>
      </w:pPr>
    </w:p>
    <w:p w14:paraId="21B3BE16" w14:textId="77777777" w:rsidR="00523807" w:rsidRDefault="00B84A68">
      <w:pPr>
        <w:pStyle w:val="Body"/>
        <w:spacing w:before="240" w:after="240"/>
        <w:rPr>
          <w:rFonts w:ascii="Arial" w:eastAsia="Arial" w:hAnsi="Arial" w:cs="Arial"/>
          <w:b/>
          <w:bCs/>
        </w:rPr>
      </w:pPr>
      <w:r>
        <w:rPr>
          <w:rFonts w:ascii="Arial" w:hAnsi="Arial"/>
          <w:b/>
          <w:bCs/>
          <w:lang w:val="fr-FR"/>
        </w:rPr>
        <w:t>Introduction -</w:t>
      </w:r>
    </w:p>
    <w:p w14:paraId="07901894" w14:textId="77777777" w:rsidR="00523807" w:rsidRDefault="00B84A68">
      <w:pPr>
        <w:pStyle w:val="Body"/>
        <w:spacing w:before="240" w:after="240"/>
        <w:rPr>
          <w:rFonts w:ascii="Arial" w:eastAsia="Arial" w:hAnsi="Arial" w:cs="Arial"/>
        </w:rPr>
      </w:pPr>
      <w:r>
        <w:rPr>
          <w:rFonts w:ascii="Arial" w:hAnsi="Arial"/>
        </w:rPr>
        <w:t xml:space="preserve">A biliary fistula is an abnormal connection between the biliary system and another organ, cavity, </w:t>
      </w:r>
      <w:r>
        <w:rPr>
          <w:rFonts w:ascii="Arial" w:hAnsi="Arial"/>
        </w:rPr>
        <w:t xml:space="preserve">or external surface. These fistulas are either external (biliary-cutaneous) or internal, such as </w:t>
      </w:r>
      <w:proofErr w:type="spellStart"/>
      <w:r>
        <w:rPr>
          <w:rFonts w:ascii="Arial" w:hAnsi="Arial"/>
        </w:rPr>
        <w:t>biliobiliary</w:t>
      </w:r>
      <w:proofErr w:type="spellEnd"/>
      <w:r>
        <w:rPr>
          <w:rFonts w:ascii="Arial" w:hAnsi="Arial"/>
        </w:rPr>
        <w:t xml:space="preserve">, </w:t>
      </w:r>
      <w:proofErr w:type="spellStart"/>
      <w:r>
        <w:rPr>
          <w:rFonts w:ascii="Arial" w:hAnsi="Arial"/>
        </w:rPr>
        <w:t>bilioenteric</w:t>
      </w:r>
      <w:proofErr w:type="spellEnd"/>
      <w:r>
        <w:rPr>
          <w:rFonts w:ascii="Arial" w:hAnsi="Arial"/>
        </w:rPr>
        <w:t xml:space="preserve">, or </w:t>
      </w:r>
      <w:proofErr w:type="spellStart"/>
      <w:r>
        <w:rPr>
          <w:rFonts w:ascii="Arial" w:hAnsi="Arial"/>
        </w:rPr>
        <w:t>bronchobiliary</w:t>
      </w:r>
      <w:proofErr w:type="spellEnd"/>
      <w:r>
        <w:rPr>
          <w:rFonts w:ascii="Arial" w:hAnsi="Arial"/>
        </w:rPr>
        <w:t xml:space="preserve"> fistulas [1]. Most frequent locations of such fistulas are: </w:t>
      </w:r>
      <w:proofErr w:type="spellStart"/>
      <w:r>
        <w:rPr>
          <w:rFonts w:ascii="Arial" w:hAnsi="Arial"/>
        </w:rPr>
        <w:t>cholecystoduodenal</w:t>
      </w:r>
      <w:proofErr w:type="spellEnd"/>
      <w:r>
        <w:rPr>
          <w:rFonts w:ascii="Arial" w:hAnsi="Arial"/>
        </w:rPr>
        <w:t xml:space="preserve">, </w:t>
      </w:r>
      <w:proofErr w:type="spellStart"/>
      <w:r>
        <w:rPr>
          <w:rFonts w:ascii="Arial" w:hAnsi="Arial"/>
        </w:rPr>
        <w:t>cholecystocolonic</w:t>
      </w:r>
      <w:proofErr w:type="spellEnd"/>
      <w:r>
        <w:rPr>
          <w:rFonts w:ascii="Arial" w:hAnsi="Arial"/>
        </w:rPr>
        <w:t xml:space="preserve">, </w:t>
      </w:r>
      <w:proofErr w:type="spellStart"/>
      <w:r>
        <w:rPr>
          <w:rFonts w:ascii="Arial" w:hAnsi="Arial"/>
        </w:rPr>
        <w:t>choledochoduod</w:t>
      </w:r>
      <w:r>
        <w:rPr>
          <w:rFonts w:ascii="Arial" w:hAnsi="Arial"/>
        </w:rPr>
        <w:t>enal</w:t>
      </w:r>
      <w:proofErr w:type="spellEnd"/>
      <w:r>
        <w:rPr>
          <w:rFonts w:ascii="Arial" w:hAnsi="Arial"/>
        </w:rPr>
        <w:t xml:space="preserve">, and </w:t>
      </w:r>
      <w:proofErr w:type="spellStart"/>
      <w:r>
        <w:rPr>
          <w:rFonts w:ascii="Arial" w:hAnsi="Arial"/>
        </w:rPr>
        <w:t>cholecystogastric</w:t>
      </w:r>
      <w:proofErr w:type="spellEnd"/>
      <w:r>
        <w:rPr>
          <w:rFonts w:ascii="Arial" w:hAnsi="Arial"/>
        </w:rPr>
        <w:t xml:space="preserve"> [2]. </w:t>
      </w:r>
      <w:proofErr w:type="spellStart"/>
      <w:r>
        <w:rPr>
          <w:rFonts w:ascii="Arial" w:hAnsi="Arial"/>
        </w:rPr>
        <w:t>Cholecystoduodenal</w:t>
      </w:r>
      <w:proofErr w:type="spellEnd"/>
      <w:r>
        <w:rPr>
          <w:rFonts w:ascii="Arial" w:hAnsi="Arial"/>
        </w:rPr>
        <w:t xml:space="preserve"> is the most common type of biliary fistula, followed by </w:t>
      </w:r>
      <w:proofErr w:type="spellStart"/>
      <w:r>
        <w:rPr>
          <w:rFonts w:ascii="Arial" w:hAnsi="Arial"/>
        </w:rPr>
        <w:t>cholecystocolonic</w:t>
      </w:r>
      <w:proofErr w:type="spellEnd"/>
      <w:r>
        <w:rPr>
          <w:rFonts w:ascii="Arial" w:hAnsi="Arial"/>
        </w:rPr>
        <w:t xml:space="preserve"> and </w:t>
      </w:r>
      <w:proofErr w:type="spellStart"/>
      <w:r>
        <w:rPr>
          <w:rFonts w:ascii="Arial" w:hAnsi="Arial"/>
        </w:rPr>
        <w:t>cholecystogastric</w:t>
      </w:r>
      <w:proofErr w:type="spellEnd"/>
      <w:r>
        <w:rPr>
          <w:rFonts w:ascii="Arial" w:hAnsi="Arial"/>
        </w:rPr>
        <w:t xml:space="preserve"> [3]. These fistulas are mainly caused by inflammation due to gall stones [4]. </w:t>
      </w:r>
    </w:p>
    <w:p w14:paraId="3E0B9D4A" w14:textId="77777777" w:rsidR="00523807" w:rsidRDefault="00B84A68">
      <w:pPr>
        <w:pStyle w:val="Body"/>
        <w:spacing w:before="240" w:after="240"/>
        <w:rPr>
          <w:rFonts w:ascii="Arial" w:eastAsia="Arial" w:hAnsi="Arial" w:cs="Arial"/>
        </w:rPr>
      </w:pPr>
      <w:r>
        <w:rPr>
          <w:rFonts w:ascii="Arial" w:hAnsi="Arial"/>
        </w:rPr>
        <w:t xml:space="preserve">The symptoms of </w:t>
      </w:r>
      <w:proofErr w:type="spellStart"/>
      <w:r>
        <w:rPr>
          <w:rFonts w:ascii="Arial" w:hAnsi="Arial"/>
        </w:rPr>
        <w:t>bilioenteric</w:t>
      </w:r>
      <w:proofErr w:type="spellEnd"/>
      <w:r>
        <w:rPr>
          <w:rFonts w:ascii="Arial" w:hAnsi="Arial"/>
        </w:rPr>
        <w:t xml:space="preserve"> </w:t>
      </w:r>
      <w:r>
        <w:rPr>
          <w:rFonts w:ascii="Arial" w:hAnsi="Arial"/>
        </w:rPr>
        <w:t xml:space="preserve">fistula can be non-specific and may include abdominal pain, fever, nausea, vomiting, </w:t>
      </w:r>
      <w:proofErr w:type="spellStart"/>
      <w:r>
        <w:rPr>
          <w:rFonts w:ascii="Arial" w:hAnsi="Arial"/>
        </w:rPr>
        <w:t>diarrhoea</w:t>
      </w:r>
      <w:proofErr w:type="spellEnd"/>
      <w:r>
        <w:rPr>
          <w:rFonts w:ascii="Arial" w:hAnsi="Arial"/>
        </w:rPr>
        <w:t xml:space="preserve">, malabsorption, and unintended weight loss. In some cases, more severe presentations such as melena, hematemesis, cholangitis, pancreatitis, or sepsis may occur </w:t>
      </w:r>
      <w:r>
        <w:rPr>
          <w:rFonts w:ascii="Arial" w:hAnsi="Arial"/>
        </w:rPr>
        <w:t>[5].</w:t>
      </w:r>
    </w:p>
    <w:p w14:paraId="5E9DEA36" w14:textId="77777777" w:rsidR="00523807" w:rsidRDefault="00523807">
      <w:pPr>
        <w:pStyle w:val="Body"/>
        <w:spacing w:before="240" w:after="240"/>
        <w:rPr>
          <w:rFonts w:ascii="Arial" w:eastAsia="Arial" w:hAnsi="Arial" w:cs="Arial"/>
        </w:rPr>
      </w:pPr>
    </w:p>
    <w:p w14:paraId="6B2EFAA6" w14:textId="77777777" w:rsidR="00523807" w:rsidRDefault="00B84A68">
      <w:pPr>
        <w:pStyle w:val="Body"/>
        <w:spacing w:before="240" w:after="240"/>
        <w:rPr>
          <w:rFonts w:ascii="Arial" w:eastAsia="Arial" w:hAnsi="Arial" w:cs="Arial"/>
          <w:b/>
          <w:bCs/>
        </w:rPr>
      </w:pPr>
      <w:r>
        <w:rPr>
          <w:rFonts w:ascii="Arial" w:hAnsi="Arial"/>
          <w:b/>
          <w:bCs/>
        </w:rPr>
        <w:lastRenderedPageBreak/>
        <w:t xml:space="preserve">Case Presentation - </w:t>
      </w:r>
    </w:p>
    <w:p w14:paraId="045294C4" w14:textId="77777777" w:rsidR="00523807" w:rsidRDefault="00B84A68">
      <w:pPr>
        <w:pStyle w:val="Body"/>
        <w:spacing w:before="240" w:after="240"/>
        <w:rPr>
          <w:rFonts w:ascii="Arial" w:eastAsia="Arial" w:hAnsi="Arial" w:cs="Arial"/>
        </w:rPr>
      </w:pPr>
      <w:r>
        <w:rPr>
          <w:rFonts w:ascii="Arial" w:hAnsi="Arial"/>
        </w:rPr>
        <w:t>A 59-year-old male presented with complaints of generalized abdominal pain and shortness of breath that began 10 days ago. The pain was not worsened by positional changes or food intake. He rated the pain 6 out of 10.  He did not</w:t>
      </w:r>
      <w:r>
        <w:rPr>
          <w:rFonts w:ascii="Arial" w:hAnsi="Arial"/>
        </w:rPr>
        <w:t xml:space="preserve"> experience fever, jaundice, or diarrhea. On examination, his pulse rate was 104 beats per minute, blood pressure was 108/82, and his temperature was 36.8°C. Physical examination revealed mild pallor and cardiopulmonary examination was unrevealing. No rebo</w:t>
      </w:r>
      <w:r>
        <w:rPr>
          <w:rFonts w:ascii="Arial" w:hAnsi="Arial"/>
        </w:rPr>
        <w:t>und tenderness was noted during the examination. He has been smoking 5–8 cigarettes daily for 38 years and has had type 2 diabetes mellitus for 13 years. There is no history of psychiatric illness or gallstone disease in his medical record.</w:t>
      </w:r>
    </w:p>
    <w:p w14:paraId="6F21CA63" w14:textId="77777777" w:rsidR="00523807" w:rsidRDefault="00B84A68">
      <w:pPr>
        <w:pStyle w:val="Body"/>
        <w:spacing w:before="240" w:after="240"/>
        <w:rPr>
          <w:rFonts w:ascii="Arial" w:eastAsia="Arial" w:hAnsi="Arial" w:cs="Arial"/>
        </w:rPr>
      </w:pPr>
      <w:r>
        <w:rPr>
          <w:rFonts w:ascii="Arial" w:hAnsi="Arial"/>
        </w:rPr>
        <w:t>Blood tests, li</w:t>
      </w:r>
      <w:r>
        <w:rPr>
          <w:rFonts w:ascii="Arial" w:hAnsi="Arial"/>
        </w:rPr>
        <w:t xml:space="preserve">ver function tests and kidney function tests revealed no abnormalities. The patient underwent an ultrasound for his abdominal pain following an inconclusive physical examination and a chest X-ray to assess his shortness of breath. The ultrasound and chest </w:t>
      </w:r>
      <w:r>
        <w:rPr>
          <w:rFonts w:ascii="Arial" w:hAnsi="Arial"/>
        </w:rPr>
        <w:t>X-ray revealed no abnormal findings. The patient was referred for a Contrast Enhanced Computed Tomography of the abdomen due to the uncertain nature of the etiology. CECT revealed tubular outpouching measuring 4.7 cm in length and 1.4 cm in diameter, origi</w:t>
      </w:r>
      <w:r>
        <w:rPr>
          <w:rFonts w:ascii="Arial" w:hAnsi="Arial"/>
        </w:rPr>
        <w:t>nating from the first part of the duodenum and extending into the left hepatic duct however, there was no extension of the tract into or dilation of the left intrahepatic bile radicals. The presence of fistula was confirmed as the presence of air in the li</w:t>
      </w:r>
      <w:r>
        <w:rPr>
          <w:rFonts w:ascii="Arial" w:hAnsi="Arial"/>
        </w:rPr>
        <w:t>ver (Figure 1). Magnetic Resonance Cholangiopancreatography (MRCP) confirmed the presence of air within the hepatic ducts, visible within the liver parenchyma. Additionally, the MRCP revealed a sharply demarcated outline within the tubular tract, raising s</w:t>
      </w:r>
      <w:r>
        <w:rPr>
          <w:rFonts w:ascii="Arial" w:hAnsi="Arial"/>
        </w:rPr>
        <w:t>uspicion of possible foreign body presence (Figure 2). Given the suspicious characteristics of the tract, an endoscopy was subsequently performed. Endoscopy revealed an object of length 10-13 cm with the distal end in the second part of the duodenum (Figur</w:t>
      </w:r>
      <w:r>
        <w:rPr>
          <w:rFonts w:ascii="Arial" w:hAnsi="Arial"/>
        </w:rPr>
        <w:t>e 3, 4,). The proximal end was embedded in the first part of the duodenum.  The proximal end of the foreign body was embedded in an opening. The foreign body (broken toothbrush) was removed (Figure 5).</w:t>
      </w:r>
    </w:p>
    <w:p w14:paraId="7E5E3817" w14:textId="77777777" w:rsidR="00523807" w:rsidRDefault="00B84A68">
      <w:pPr>
        <w:pStyle w:val="Body"/>
        <w:spacing w:before="240" w:after="240"/>
      </w:pPr>
      <w:r>
        <w:rPr>
          <w:noProof/>
        </w:rPr>
        <w:lastRenderedPageBreak/>
        <w:drawing>
          <wp:inline distT="0" distB="0" distL="0" distR="0" wp14:anchorId="63AE76DD" wp14:editId="3712F944">
            <wp:extent cx="4953254" cy="3505380"/>
            <wp:effectExtent l="0" t="0" r="0" b="0"/>
            <wp:docPr id="1073741826" name="officeArt object" descr="drawing"/>
            <wp:cNvGraphicFramePr/>
            <a:graphic xmlns:a="http://schemas.openxmlformats.org/drawingml/2006/main">
              <a:graphicData uri="http://schemas.openxmlformats.org/drawingml/2006/picture">
                <pic:pic xmlns:pic="http://schemas.openxmlformats.org/drawingml/2006/picture">
                  <pic:nvPicPr>
                    <pic:cNvPr id="1073741826" name="drawing" descr="drawing"/>
                    <pic:cNvPicPr>
                      <a:picLocks noChangeAspect="1"/>
                    </pic:cNvPicPr>
                  </pic:nvPicPr>
                  <pic:blipFill>
                    <a:blip r:embed="rId7"/>
                    <a:stretch>
                      <a:fillRect/>
                    </a:stretch>
                  </pic:blipFill>
                  <pic:spPr>
                    <a:xfrm>
                      <a:off x="0" y="0"/>
                      <a:ext cx="4953254" cy="3505380"/>
                    </a:xfrm>
                    <a:prstGeom prst="rect">
                      <a:avLst/>
                    </a:prstGeom>
                    <a:ln w="12700" cap="flat">
                      <a:noFill/>
                      <a:miter lim="400000"/>
                    </a:ln>
                    <a:effectLst/>
                  </pic:spPr>
                </pic:pic>
              </a:graphicData>
            </a:graphic>
          </wp:inline>
        </w:drawing>
      </w:r>
      <w:r>
        <w:br/>
      </w:r>
    </w:p>
    <w:p w14:paraId="7F9ABB92" w14:textId="77777777" w:rsidR="00523807" w:rsidRDefault="00B84A68">
      <w:pPr>
        <w:pStyle w:val="Body"/>
        <w:spacing w:before="240" w:after="120"/>
        <w:rPr>
          <w:rFonts w:ascii="Arial" w:eastAsia="Arial" w:hAnsi="Arial" w:cs="Arial"/>
          <w:sz w:val="22"/>
          <w:szCs w:val="22"/>
        </w:rPr>
      </w:pPr>
      <w:r>
        <w:rPr>
          <w:rFonts w:ascii="Arial" w:hAnsi="Arial"/>
          <w:sz w:val="22"/>
          <w:szCs w:val="22"/>
          <w:lang w:val="it-IT"/>
        </w:rPr>
        <w:t xml:space="preserve">Figure 1 </w:t>
      </w:r>
      <w:r>
        <w:rPr>
          <w:rFonts w:ascii="Arial" w:hAnsi="Arial"/>
          <w:sz w:val="22"/>
          <w:szCs w:val="22"/>
        </w:rPr>
        <w:t>– Contrast Enhanced Computed Tomography of</w:t>
      </w:r>
      <w:r>
        <w:rPr>
          <w:rFonts w:ascii="Arial" w:hAnsi="Arial"/>
          <w:sz w:val="22"/>
          <w:szCs w:val="22"/>
        </w:rPr>
        <w:t xml:space="preserve"> Abdomen - Findings Indicative of Air in Biliary Tree (red arrow) Secondary to Fistulous Connection</w:t>
      </w:r>
    </w:p>
    <w:p w14:paraId="6E1ABB8F" w14:textId="77777777" w:rsidR="00523807" w:rsidRDefault="00B84A68">
      <w:pPr>
        <w:pStyle w:val="Body"/>
        <w:spacing w:after="0"/>
      </w:pPr>
      <w:r>
        <w:rPr>
          <w:noProof/>
        </w:rPr>
        <w:drawing>
          <wp:inline distT="0" distB="0" distL="0" distR="0" wp14:anchorId="6DF17EA4" wp14:editId="64944AB8">
            <wp:extent cx="5943906" cy="2819545"/>
            <wp:effectExtent l="0" t="0" r="0" b="0"/>
            <wp:docPr id="1073741827" name="officeArt object" descr="drawing"/>
            <wp:cNvGraphicFramePr/>
            <a:graphic xmlns:a="http://schemas.openxmlformats.org/drawingml/2006/main">
              <a:graphicData uri="http://schemas.openxmlformats.org/drawingml/2006/picture">
                <pic:pic xmlns:pic="http://schemas.openxmlformats.org/drawingml/2006/picture">
                  <pic:nvPicPr>
                    <pic:cNvPr id="1073741827" name="drawing" descr="drawing"/>
                    <pic:cNvPicPr>
                      <a:picLocks noChangeAspect="1"/>
                    </pic:cNvPicPr>
                  </pic:nvPicPr>
                  <pic:blipFill>
                    <a:blip r:embed="rId8"/>
                    <a:stretch>
                      <a:fillRect/>
                    </a:stretch>
                  </pic:blipFill>
                  <pic:spPr>
                    <a:xfrm>
                      <a:off x="0" y="0"/>
                      <a:ext cx="5943906" cy="2819545"/>
                    </a:xfrm>
                    <a:prstGeom prst="rect">
                      <a:avLst/>
                    </a:prstGeom>
                    <a:ln w="12700" cap="flat">
                      <a:noFill/>
                      <a:miter lim="400000"/>
                    </a:ln>
                    <a:effectLst/>
                  </pic:spPr>
                </pic:pic>
              </a:graphicData>
            </a:graphic>
          </wp:inline>
        </w:drawing>
      </w:r>
    </w:p>
    <w:p w14:paraId="129A4FF8" w14:textId="77777777" w:rsidR="00523807" w:rsidRDefault="00B84A68">
      <w:pPr>
        <w:pStyle w:val="Body"/>
        <w:spacing w:before="240" w:after="120"/>
        <w:rPr>
          <w:rFonts w:ascii="Arial" w:eastAsia="Arial" w:hAnsi="Arial" w:cs="Arial"/>
          <w:sz w:val="22"/>
          <w:szCs w:val="22"/>
        </w:rPr>
      </w:pPr>
      <w:r>
        <w:rPr>
          <w:rFonts w:ascii="Arial" w:hAnsi="Arial"/>
          <w:sz w:val="22"/>
          <w:szCs w:val="22"/>
        </w:rPr>
        <w:t xml:space="preserve">Figure 2 - Magnetic Resonance Cholangiopancreatography showing biliary tree filling defects with a sharp defined outline (red arrow) suggestive of a </w:t>
      </w:r>
      <w:r>
        <w:rPr>
          <w:rFonts w:ascii="Arial" w:hAnsi="Arial"/>
          <w:sz w:val="22"/>
          <w:szCs w:val="22"/>
        </w:rPr>
        <w:t>possible foreign body following ingestion.</w:t>
      </w:r>
    </w:p>
    <w:p w14:paraId="44FA89AD" w14:textId="77777777" w:rsidR="00523807" w:rsidRDefault="00B84A68">
      <w:pPr>
        <w:pStyle w:val="Body"/>
        <w:spacing w:before="240" w:after="120"/>
      </w:pPr>
      <w:r>
        <w:rPr>
          <w:noProof/>
        </w:rPr>
        <w:lastRenderedPageBreak/>
        <w:drawing>
          <wp:inline distT="0" distB="0" distL="0" distR="0" wp14:anchorId="28035979" wp14:editId="238C4EA0">
            <wp:extent cx="5943906" cy="4483331"/>
            <wp:effectExtent l="0" t="0" r="0" b="0"/>
            <wp:docPr id="1073741828" name="officeArt object" descr="drawing"/>
            <wp:cNvGraphicFramePr/>
            <a:graphic xmlns:a="http://schemas.openxmlformats.org/drawingml/2006/main">
              <a:graphicData uri="http://schemas.openxmlformats.org/drawingml/2006/picture">
                <pic:pic xmlns:pic="http://schemas.openxmlformats.org/drawingml/2006/picture">
                  <pic:nvPicPr>
                    <pic:cNvPr id="1073741828" name="drawing" descr="drawing"/>
                    <pic:cNvPicPr>
                      <a:picLocks noChangeAspect="1"/>
                    </pic:cNvPicPr>
                  </pic:nvPicPr>
                  <pic:blipFill>
                    <a:blip r:embed="rId9"/>
                    <a:stretch>
                      <a:fillRect/>
                    </a:stretch>
                  </pic:blipFill>
                  <pic:spPr>
                    <a:xfrm>
                      <a:off x="0" y="0"/>
                      <a:ext cx="5943906" cy="4483331"/>
                    </a:xfrm>
                    <a:prstGeom prst="rect">
                      <a:avLst/>
                    </a:prstGeom>
                    <a:ln w="12700" cap="flat">
                      <a:noFill/>
                      <a:miter lim="400000"/>
                    </a:ln>
                    <a:effectLst/>
                  </pic:spPr>
                </pic:pic>
              </a:graphicData>
            </a:graphic>
          </wp:inline>
        </w:drawing>
      </w:r>
    </w:p>
    <w:p w14:paraId="5A808E9C" w14:textId="77777777" w:rsidR="00523807" w:rsidRDefault="00B84A68">
      <w:pPr>
        <w:pStyle w:val="Body"/>
        <w:spacing w:before="240" w:after="180"/>
      </w:pPr>
      <w:r>
        <w:rPr>
          <w:rFonts w:ascii="Times New Roman" w:hAnsi="Times New Roman"/>
          <w:lang w:val="it-IT"/>
        </w:rPr>
        <w:t xml:space="preserve">Figure 3 - </w:t>
      </w:r>
      <w:r>
        <w:rPr>
          <w:rFonts w:ascii="Times New Roman" w:hAnsi="Times New Roman"/>
          <w:b/>
          <w:bCs/>
        </w:rPr>
        <w:t>Endoscopic image showing retrieval of a broken toothbrush ingested by the patient as a foreign body.</w:t>
      </w:r>
    </w:p>
    <w:p w14:paraId="10EBCB92" w14:textId="77777777" w:rsidR="00523807" w:rsidRDefault="00523807">
      <w:pPr>
        <w:pStyle w:val="Body"/>
        <w:spacing w:after="0"/>
      </w:pPr>
    </w:p>
    <w:p w14:paraId="40ED4BCC" w14:textId="77777777" w:rsidR="00523807" w:rsidRDefault="00B84A68">
      <w:pPr>
        <w:pStyle w:val="Body"/>
        <w:spacing w:after="0"/>
      </w:pPr>
      <w:r>
        <w:rPr>
          <w:noProof/>
        </w:rPr>
        <w:lastRenderedPageBreak/>
        <w:drawing>
          <wp:inline distT="0" distB="0" distL="0" distR="0" wp14:anchorId="58B11788" wp14:editId="1CE09A38">
            <wp:extent cx="5943906" cy="4483331"/>
            <wp:effectExtent l="0" t="0" r="0" b="0"/>
            <wp:docPr id="1073741829" name="officeArt object" descr="drawing"/>
            <wp:cNvGraphicFramePr/>
            <a:graphic xmlns:a="http://schemas.openxmlformats.org/drawingml/2006/main">
              <a:graphicData uri="http://schemas.openxmlformats.org/drawingml/2006/picture">
                <pic:pic xmlns:pic="http://schemas.openxmlformats.org/drawingml/2006/picture">
                  <pic:nvPicPr>
                    <pic:cNvPr id="1073741829" name="drawing" descr="drawing"/>
                    <pic:cNvPicPr>
                      <a:picLocks noChangeAspect="1"/>
                    </pic:cNvPicPr>
                  </pic:nvPicPr>
                  <pic:blipFill>
                    <a:blip r:embed="rId10"/>
                    <a:stretch>
                      <a:fillRect/>
                    </a:stretch>
                  </pic:blipFill>
                  <pic:spPr>
                    <a:xfrm>
                      <a:off x="0" y="0"/>
                      <a:ext cx="5943906" cy="4483331"/>
                    </a:xfrm>
                    <a:prstGeom prst="rect">
                      <a:avLst/>
                    </a:prstGeom>
                    <a:ln w="12700" cap="flat">
                      <a:noFill/>
                      <a:miter lim="400000"/>
                    </a:ln>
                    <a:effectLst/>
                  </pic:spPr>
                </pic:pic>
              </a:graphicData>
            </a:graphic>
          </wp:inline>
        </w:drawing>
      </w:r>
    </w:p>
    <w:p w14:paraId="6A81ADF1" w14:textId="77777777" w:rsidR="00523807" w:rsidRDefault="00B84A68">
      <w:pPr>
        <w:pStyle w:val="Body"/>
        <w:spacing w:before="240" w:after="180"/>
      </w:pPr>
      <w:r>
        <w:rPr>
          <w:rFonts w:ascii="Times New Roman" w:hAnsi="Times New Roman"/>
          <w:lang w:val="it-IT"/>
        </w:rPr>
        <w:t xml:space="preserve">Figure 4 - </w:t>
      </w:r>
      <w:r>
        <w:rPr>
          <w:rFonts w:ascii="Times New Roman" w:hAnsi="Times New Roman"/>
          <w:b/>
          <w:bCs/>
        </w:rPr>
        <w:t xml:space="preserve">Endoscopic image showing retrieval of a broken toothbrush ingested by the patient as </w:t>
      </w:r>
      <w:r>
        <w:rPr>
          <w:rFonts w:ascii="Times New Roman" w:hAnsi="Times New Roman"/>
          <w:b/>
          <w:bCs/>
        </w:rPr>
        <w:t>a foreign body.</w:t>
      </w:r>
    </w:p>
    <w:p w14:paraId="0BFAF8C8" w14:textId="77777777" w:rsidR="00523807" w:rsidRDefault="00523807">
      <w:pPr>
        <w:pStyle w:val="Body"/>
        <w:spacing w:after="0"/>
      </w:pPr>
    </w:p>
    <w:p w14:paraId="3626B84B" w14:textId="77777777" w:rsidR="00523807" w:rsidRDefault="00B84A68">
      <w:pPr>
        <w:pStyle w:val="Body"/>
        <w:spacing w:after="0"/>
      </w:pPr>
      <w:r>
        <w:rPr>
          <w:noProof/>
        </w:rPr>
        <w:lastRenderedPageBreak/>
        <w:drawing>
          <wp:inline distT="0" distB="0" distL="0" distR="0" wp14:anchorId="6F8919B4" wp14:editId="79ABF38A">
            <wp:extent cx="5943906" cy="3632387"/>
            <wp:effectExtent l="0" t="0" r="0" b="0"/>
            <wp:docPr id="1073741830" name="officeArt object" descr="drawing"/>
            <wp:cNvGraphicFramePr/>
            <a:graphic xmlns:a="http://schemas.openxmlformats.org/drawingml/2006/main">
              <a:graphicData uri="http://schemas.openxmlformats.org/drawingml/2006/picture">
                <pic:pic xmlns:pic="http://schemas.openxmlformats.org/drawingml/2006/picture">
                  <pic:nvPicPr>
                    <pic:cNvPr id="1073741830" name="drawing" descr="drawing"/>
                    <pic:cNvPicPr>
                      <a:picLocks noChangeAspect="1"/>
                    </pic:cNvPicPr>
                  </pic:nvPicPr>
                  <pic:blipFill>
                    <a:blip r:embed="rId11"/>
                    <a:stretch>
                      <a:fillRect/>
                    </a:stretch>
                  </pic:blipFill>
                  <pic:spPr>
                    <a:xfrm>
                      <a:off x="0" y="0"/>
                      <a:ext cx="5943906" cy="3632387"/>
                    </a:xfrm>
                    <a:prstGeom prst="rect">
                      <a:avLst/>
                    </a:prstGeom>
                    <a:ln w="12700" cap="flat">
                      <a:noFill/>
                      <a:miter lim="400000"/>
                    </a:ln>
                    <a:effectLst/>
                  </pic:spPr>
                </pic:pic>
              </a:graphicData>
            </a:graphic>
          </wp:inline>
        </w:drawing>
      </w:r>
    </w:p>
    <w:p w14:paraId="0678F276" w14:textId="77777777" w:rsidR="00523807" w:rsidRDefault="00B84A68">
      <w:pPr>
        <w:pStyle w:val="Body"/>
        <w:spacing w:before="240" w:after="120"/>
        <w:rPr>
          <w:rFonts w:ascii="Arial" w:eastAsia="Arial" w:hAnsi="Arial" w:cs="Arial"/>
          <w:sz w:val="22"/>
          <w:szCs w:val="22"/>
        </w:rPr>
      </w:pPr>
      <w:r>
        <w:rPr>
          <w:rFonts w:ascii="Arial" w:hAnsi="Arial"/>
          <w:sz w:val="22"/>
          <w:szCs w:val="22"/>
          <w:lang w:val="it-IT"/>
        </w:rPr>
        <w:t xml:space="preserve">Figure 5 </w:t>
      </w:r>
      <w:r>
        <w:rPr>
          <w:rFonts w:ascii="Arial" w:hAnsi="Arial"/>
          <w:sz w:val="22"/>
          <w:szCs w:val="22"/>
        </w:rPr>
        <w:t>– Retrieved specimen of a foreign body (broken toothbrush) ingested by the patient, resulting in the formation of a left hepatic duct–duodenal fistula.</w:t>
      </w:r>
    </w:p>
    <w:p w14:paraId="68FA4AD8" w14:textId="77777777" w:rsidR="00523807" w:rsidRDefault="00523807">
      <w:pPr>
        <w:pStyle w:val="Body"/>
        <w:spacing w:after="0"/>
      </w:pPr>
    </w:p>
    <w:p w14:paraId="6516203A" w14:textId="77777777" w:rsidR="00523807" w:rsidRDefault="00523807">
      <w:pPr>
        <w:pStyle w:val="Body"/>
        <w:spacing w:after="0"/>
      </w:pPr>
    </w:p>
    <w:p w14:paraId="1CDF3028" w14:textId="77777777" w:rsidR="00523807" w:rsidRDefault="00B84A68">
      <w:pPr>
        <w:pStyle w:val="Body"/>
        <w:spacing w:before="240" w:after="240"/>
        <w:rPr>
          <w:rFonts w:ascii="Arial" w:eastAsia="Arial" w:hAnsi="Arial" w:cs="Arial"/>
        </w:rPr>
      </w:pPr>
      <w:r>
        <w:rPr>
          <w:rFonts w:ascii="Arial" w:hAnsi="Arial"/>
        </w:rPr>
        <w:t>Based on medical symptoms and investigations, the preoperative diagnosis was a left hepatic duct-duodenal fistula. Following the retrieval of the foreign body during endoscopy and completion of appropriate investigations, open laparotomy was planned. Durin</w:t>
      </w:r>
      <w:r>
        <w:rPr>
          <w:rFonts w:ascii="Arial" w:hAnsi="Arial"/>
        </w:rPr>
        <w:t xml:space="preserve">g the operation, a tubular fistulous tract approximately 5 cm in length was identified, extending from the first part of the duodenum to the left hepatic duct (Figure 6). The tract was adhered to the stomach and </w:t>
      </w:r>
      <w:proofErr w:type="spellStart"/>
      <w:r>
        <w:rPr>
          <w:rFonts w:ascii="Arial" w:hAnsi="Arial"/>
        </w:rPr>
        <w:t>omentum</w:t>
      </w:r>
      <w:proofErr w:type="spellEnd"/>
      <w:r>
        <w:rPr>
          <w:rFonts w:ascii="Arial" w:hAnsi="Arial"/>
        </w:rPr>
        <w:t>. A 60 mm Endo GIA stapler was used t</w:t>
      </w:r>
      <w:r>
        <w:rPr>
          <w:rFonts w:ascii="Arial" w:hAnsi="Arial"/>
        </w:rPr>
        <w:t xml:space="preserve">o divide the </w:t>
      </w:r>
      <w:proofErr w:type="spellStart"/>
      <w:r>
        <w:rPr>
          <w:rFonts w:ascii="Arial" w:hAnsi="Arial"/>
        </w:rPr>
        <w:t>hepatico</w:t>
      </w:r>
      <w:proofErr w:type="spellEnd"/>
      <w:r>
        <w:rPr>
          <w:rFonts w:ascii="Arial" w:hAnsi="Arial"/>
        </w:rPr>
        <w:t>-duodenal fistula, effectively transecting the fistulous connection. The staple line was inspected for hemostasis and integrity. The abdomen was later closed in layers.</w:t>
      </w:r>
    </w:p>
    <w:p w14:paraId="39473544" w14:textId="77777777" w:rsidR="00523807" w:rsidRDefault="00B84A68">
      <w:pPr>
        <w:pStyle w:val="Body"/>
        <w:spacing w:before="240" w:after="240"/>
      </w:pPr>
      <w:r>
        <w:rPr>
          <w:noProof/>
        </w:rPr>
        <w:lastRenderedPageBreak/>
        <w:drawing>
          <wp:inline distT="0" distB="0" distL="0" distR="0" wp14:anchorId="54AAFDBA" wp14:editId="3ED4A781">
            <wp:extent cx="5943906" cy="5524784"/>
            <wp:effectExtent l="0" t="0" r="0" b="0"/>
            <wp:docPr id="1073741831" name="officeArt object" descr="drawing"/>
            <wp:cNvGraphicFramePr/>
            <a:graphic xmlns:a="http://schemas.openxmlformats.org/drawingml/2006/main">
              <a:graphicData uri="http://schemas.openxmlformats.org/drawingml/2006/picture">
                <pic:pic xmlns:pic="http://schemas.openxmlformats.org/drawingml/2006/picture">
                  <pic:nvPicPr>
                    <pic:cNvPr id="1073741831" name="drawing" descr="drawing"/>
                    <pic:cNvPicPr>
                      <a:picLocks noChangeAspect="1"/>
                    </pic:cNvPicPr>
                  </pic:nvPicPr>
                  <pic:blipFill>
                    <a:blip r:embed="rId12"/>
                    <a:stretch>
                      <a:fillRect/>
                    </a:stretch>
                  </pic:blipFill>
                  <pic:spPr>
                    <a:xfrm>
                      <a:off x="0" y="0"/>
                      <a:ext cx="5943906" cy="5524784"/>
                    </a:xfrm>
                    <a:prstGeom prst="rect">
                      <a:avLst/>
                    </a:prstGeom>
                    <a:ln w="12700" cap="flat">
                      <a:noFill/>
                      <a:miter lim="400000"/>
                    </a:ln>
                    <a:effectLst/>
                  </pic:spPr>
                </pic:pic>
              </a:graphicData>
            </a:graphic>
          </wp:inline>
        </w:drawing>
      </w:r>
    </w:p>
    <w:p w14:paraId="7BD33729" w14:textId="77777777" w:rsidR="00523807" w:rsidRDefault="00523807">
      <w:pPr>
        <w:pStyle w:val="Body"/>
        <w:spacing w:before="240" w:after="240"/>
      </w:pPr>
    </w:p>
    <w:p w14:paraId="70F80858" w14:textId="77777777" w:rsidR="00523807" w:rsidRDefault="00B84A68">
      <w:pPr>
        <w:pStyle w:val="Body"/>
        <w:spacing w:before="240" w:after="120"/>
        <w:rPr>
          <w:rFonts w:ascii="Arial" w:eastAsia="Arial" w:hAnsi="Arial" w:cs="Arial"/>
        </w:rPr>
      </w:pPr>
      <w:r>
        <w:rPr>
          <w:rFonts w:ascii="Arial" w:hAnsi="Arial"/>
        </w:rPr>
        <w:t xml:space="preserve">Figure 6 - Intraoperative findings revealing a fistulous tract </w:t>
      </w:r>
      <w:r>
        <w:rPr>
          <w:rFonts w:ascii="Arial" w:hAnsi="Arial"/>
        </w:rPr>
        <w:t>(white arrow) establishing an abnormal communication between the left hepatic duct (black arrow) and the adjacent duodenum (star), consistent with a fistula.</w:t>
      </w:r>
    </w:p>
    <w:p w14:paraId="7664F9E6" w14:textId="77777777" w:rsidR="00523807" w:rsidRDefault="00523807">
      <w:pPr>
        <w:pStyle w:val="Body"/>
        <w:spacing w:after="0"/>
      </w:pPr>
    </w:p>
    <w:p w14:paraId="1AD3D5FB" w14:textId="77777777" w:rsidR="00523807" w:rsidRDefault="00523807">
      <w:pPr>
        <w:pStyle w:val="Body"/>
        <w:spacing w:before="240" w:after="240"/>
      </w:pPr>
    </w:p>
    <w:p w14:paraId="4BC4C78A" w14:textId="77777777" w:rsidR="00523807" w:rsidRDefault="00523807">
      <w:pPr>
        <w:pStyle w:val="Body"/>
        <w:spacing w:before="240" w:after="240"/>
        <w:rPr>
          <w:rFonts w:ascii="Arial" w:eastAsia="Arial" w:hAnsi="Arial" w:cs="Arial"/>
        </w:rPr>
      </w:pPr>
    </w:p>
    <w:p w14:paraId="5727CC4D" w14:textId="77777777" w:rsidR="00523807" w:rsidRDefault="00B84A68">
      <w:pPr>
        <w:pStyle w:val="Body"/>
        <w:spacing w:before="240" w:after="240"/>
        <w:rPr>
          <w:rFonts w:ascii="Arial" w:eastAsia="Arial" w:hAnsi="Arial" w:cs="Arial"/>
        </w:rPr>
      </w:pPr>
      <w:r>
        <w:rPr>
          <w:rFonts w:ascii="Arial" w:hAnsi="Arial"/>
        </w:rPr>
        <w:lastRenderedPageBreak/>
        <w:t>The patient’s postoperative course was uneventful. The patient’s alkaline phosphatase, total bi</w:t>
      </w:r>
      <w:r>
        <w:rPr>
          <w:rFonts w:ascii="Arial" w:hAnsi="Arial"/>
        </w:rPr>
        <w:t>lirubin and total leukocyte count were within normal ranges of 280 U/L, 1.1 mg/dL and 12,000 cells/</w:t>
      </w:r>
      <w:proofErr w:type="spellStart"/>
      <w:r>
        <w:rPr>
          <w:rFonts w:ascii="Arial" w:hAnsi="Arial"/>
        </w:rPr>
        <w:t>microL</w:t>
      </w:r>
      <w:proofErr w:type="spellEnd"/>
      <w:r>
        <w:rPr>
          <w:rFonts w:ascii="Arial" w:hAnsi="Arial"/>
        </w:rPr>
        <w:t>. The patient was referred for psychiatric evaluation upon discharge.</w:t>
      </w:r>
    </w:p>
    <w:p w14:paraId="2CD597A4" w14:textId="77777777" w:rsidR="00523807" w:rsidRDefault="00B84A68">
      <w:pPr>
        <w:pStyle w:val="Body"/>
        <w:spacing w:before="240" w:after="240"/>
        <w:rPr>
          <w:rFonts w:ascii="Arial" w:eastAsia="Arial" w:hAnsi="Arial" w:cs="Arial"/>
        </w:rPr>
      </w:pPr>
      <w:r>
        <w:rPr>
          <w:rFonts w:ascii="Arial" w:hAnsi="Arial"/>
          <w:b/>
          <w:bCs/>
        </w:rPr>
        <w:t>Discussion</w:t>
      </w:r>
      <w:r>
        <w:rPr>
          <w:rFonts w:ascii="Arial" w:hAnsi="Arial"/>
        </w:rPr>
        <w:t>-</w:t>
      </w:r>
    </w:p>
    <w:p w14:paraId="1927371D" w14:textId="77777777" w:rsidR="00523807" w:rsidRDefault="00B84A68">
      <w:pPr>
        <w:pStyle w:val="Body"/>
        <w:spacing w:before="240" w:after="240"/>
        <w:rPr>
          <w:rFonts w:ascii="Arial" w:eastAsia="Arial" w:hAnsi="Arial" w:cs="Arial"/>
        </w:rPr>
      </w:pPr>
      <w:r>
        <w:rPr>
          <w:rFonts w:ascii="Arial" w:hAnsi="Arial"/>
        </w:rPr>
        <w:t xml:space="preserve">It's critical to diagnose and treat </w:t>
      </w:r>
      <w:proofErr w:type="spellStart"/>
      <w:r>
        <w:rPr>
          <w:rFonts w:ascii="Arial" w:hAnsi="Arial"/>
        </w:rPr>
        <w:t>oesophageal</w:t>
      </w:r>
      <w:proofErr w:type="spellEnd"/>
      <w:r>
        <w:rPr>
          <w:rFonts w:ascii="Arial" w:hAnsi="Arial"/>
        </w:rPr>
        <w:t xml:space="preserve"> foreign bodies as soo</w:t>
      </w:r>
      <w:r>
        <w:rPr>
          <w:rFonts w:ascii="Arial" w:hAnsi="Arial"/>
        </w:rPr>
        <w:t xml:space="preserve">n as possible. Dysphagia, sudden pain, excessive salivation, and choking are the main signs of an </w:t>
      </w:r>
      <w:proofErr w:type="spellStart"/>
      <w:r>
        <w:rPr>
          <w:rFonts w:ascii="Arial" w:hAnsi="Arial"/>
        </w:rPr>
        <w:t>oesophageal</w:t>
      </w:r>
      <w:proofErr w:type="spellEnd"/>
      <w:r>
        <w:rPr>
          <w:rFonts w:ascii="Arial" w:hAnsi="Arial"/>
        </w:rPr>
        <w:t xml:space="preserve"> foreign body [17]. Although our patient likely had a delayed presentation, he did not develop acute symptoms, deviating from the typical course se</w:t>
      </w:r>
      <w:r>
        <w:rPr>
          <w:rFonts w:ascii="Arial" w:hAnsi="Arial"/>
        </w:rPr>
        <w:t>en in foreign body ingestion. This atypical presentation may be attributed to a combination of fistula formation and delayed progression.</w:t>
      </w:r>
    </w:p>
    <w:p w14:paraId="107A006C" w14:textId="77777777" w:rsidR="00523807" w:rsidRDefault="00B84A68">
      <w:pPr>
        <w:pStyle w:val="Body"/>
        <w:spacing w:before="240" w:after="240"/>
        <w:rPr>
          <w:rFonts w:ascii="Arial" w:eastAsia="Arial" w:hAnsi="Arial" w:cs="Arial"/>
        </w:rPr>
      </w:pPr>
      <w:r>
        <w:rPr>
          <w:rFonts w:ascii="Arial" w:hAnsi="Arial"/>
        </w:rPr>
        <w:t>Internal biliary-enteric fistulas (IBFs) are extremely rare, accounting for only 0.4% to 1.9% of all biliary tract dis</w:t>
      </w:r>
      <w:r>
        <w:rPr>
          <w:rFonts w:ascii="Arial" w:hAnsi="Arial"/>
        </w:rPr>
        <w:t>eases [6]. The majority of IBFs occur spontaneously, while external biliary fistulas most often result from complications of surgical or percutaneous interventional procedures.  Spontaneous internal biliary fistulas (SIBFs) are caused by gallstones in 91–9</w:t>
      </w:r>
      <w:r>
        <w:rPr>
          <w:rFonts w:ascii="Arial" w:hAnsi="Arial"/>
        </w:rPr>
        <w:t>4% of cases [7]. Other common causes of internal biliary fistulas include peptic ulcer disease, malignant neoplasm (duodenum, stomach, gall bladder) or Crohn’s disease of the duodenum [8]. Intrahepatic bile duct dilation disrupts the biliary environment, c</w:t>
      </w:r>
      <w:r>
        <w:rPr>
          <w:rFonts w:ascii="Arial" w:hAnsi="Arial"/>
        </w:rPr>
        <w:t xml:space="preserve">ausing recurrent inflammation, bilirubin stone formation and can also lead to periductal portal hypertension and liver atrophy [4]. The symptoms of IBFs include abdominal pain, fever, nausea, vomiting, flatulence, fat intolerance, </w:t>
      </w:r>
      <w:proofErr w:type="spellStart"/>
      <w:r>
        <w:rPr>
          <w:rFonts w:ascii="Arial" w:hAnsi="Arial"/>
        </w:rPr>
        <w:t>diarrhoea</w:t>
      </w:r>
      <w:proofErr w:type="spellEnd"/>
      <w:r>
        <w:rPr>
          <w:rFonts w:ascii="Arial" w:hAnsi="Arial"/>
        </w:rPr>
        <w:t>, and weight los</w:t>
      </w:r>
      <w:r>
        <w:rPr>
          <w:rFonts w:ascii="Arial" w:hAnsi="Arial"/>
        </w:rPr>
        <w:t xml:space="preserve">s. Most of these symptoms are nonspecific and commonly associated with various gastrointestinal conditions. As a result, the diagnosis is often not suspected before surgery [9]. </w:t>
      </w:r>
    </w:p>
    <w:p w14:paraId="336EDB25" w14:textId="77777777" w:rsidR="00523807" w:rsidRDefault="00B84A68">
      <w:pPr>
        <w:pStyle w:val="Body"/>
        <w:spacing w:before="240" w:after="240"/>
        <w:rPr>
          <w:rFonts w:ascii="Arial" w:eastAsia="Arial" w:hAnsi="Arial" w:cs="Arial"/>
        </w:rPr>
      </w:pPr>
      <w:r>
        <w:rPr>
          <w:rFonts w:ascii="Arial" w:hAnsi="Arial"/>
        </w:rPr>
        <w:t xml:space="preserve">Some case reports suggest that duodenal fistulas could have a mortality rate </w:t>
      </w:r>
      <w:r>
        <w:rPr>
          <w:rFonts w:ascii="Arial" w:hAnsi="Arial"/>
        </w:rPr>
        <w:t>as high as 40% [10]. Hence timely diagnosis of such fistulas and their management is of priority. Diagnosing biliary fistulas preoperatively can be quite challenging. According to one study, only 8–17% of biliary fistulas are accurately diagnosed before su</w:t>
      </w:r>
      <w:r>
        <w:rPr>
          <w:rFonts w:ascii="Arial" w:hAnsi="Arial"/>
        </w:rPr>
        <w:t xml:space="preserve">rgery [6]. Biliary-enteric fistulas, such as </w:t>
      </w:r>
      <w:proofErr w:type="spellStart"/>
      <w:r>
        <w:rPr>
          <w:rFonts w:ascii="Arial" w:hAnsi="Arial"/>
        </w:rPr>
        <w:t>cholecystoduodenal</w:t>
      </w:r>
      <w:proofErr w:type="spellEnd"/>
      <w:r>
        <w:rPr>
          <w:rFonts w:ascii="Arial" w:hAnsi="Arial"/>
        </w:rPr>
        <w:t xml:space="preserve"> fistulas, are often diagnosed using imaging, with CT being especially effective. In some cases, magnetic resonance imaging (MRI), as well as invasive procedures like endoscopic ultrasound (EUS</w:t>
      </w:r>
      <w:r>
        <w:rPr>
          <w:rFonts w:ascii="Arial" w:hAnsi="Arial"/>
        </w:rPr>
        <w:t>) and endoscopic retrograde cholangiopancreatography (ERCP), may be required [11].</w:t>
      </w:r>
    </w:p>
    <w:p w14:paraId="3ED9DEDA" w14:textId="77777777" w:rsidR="00523807" w:rsidRDefault="00523807">
      <w:pPr>
        <w:pStyle w:val="Body"/>
        <w:spacing w:before="240" w:after="240"/>
        <w:rPr>
          <w:rFonts w:ascii="Arial" w:eastAsia="Arial" w:hAnsi="Arial" w:cs="Arial"/>
        </w:rPr>
      </w:pPr>
    </w:p>
    <w:p w14:paraId="474724D1" w14:textId="77777777" w:rsidR="00523807" w:rsidRDefault="00B84A68">
      <w:pPr>
        <w:pStyle w:val="Body"/>
        <w:spacing w:before="240" w:after="240"/>
        <w:rPr>
          <w:rFonts w:ascii="Arial" w:eastAsia="Arial" w:hAnsi="Arial" w:cs="Arial"/>
        </w:rPr>
      </w:pPr>
      <w:r>
        <w:rPr>
          <w:rFonts w:ascii="Arial" w:hAnsi="Arial"/>
        </w:rPr>
        <w:t>MRCP is capable of reliably demonstrating both normal and abnormal pancreatic and biliary ducts and accurately diagnosing the cause and site of obstruction [12]. MRCP may a</w:t>
      </w:r>
      <w:r>
        <w:rPr>
          <w:rFonts w:ascii="Arial" w:hAnsi="Arial"/>
        </w:rPr>
        <w:t xml:space="preserve">lso be a useful tool for identifying "dangerous" anatomical changes and studying </w:t>
      </w:r>
      <w:r>
        <w:rPr>
          <w:rFonts w:ascii="Arial" w:hAnsi="Arial"/>
        </w:rPr>
        <w:lastRenderedPageBreak/>
        <w:t>the biliary anatomy prior to surgery [13].  Considering these advantages, we decided to include MRCP in our diagnostic workup after encountering a possible biliary abnormality</w:t>
      </w:r>
      <w:r>
        <w:rPr>
          <w:rFonts w:ascii="Arial" w:hAnsi="Arial"/>
        </w:rPr>
        <w:t xml:space="preserve"> on CECT.</w:t>
      </w:r>
    </w:p>
    <w:p w14:paraId="0F5C34AE" w14:textId="77777777" w:rsidR="00523807" w:rsidRDefault="00B84A68">
      <w:pPr>
        <w:pStyle w:val="Body"/>
        <w:spacing w:before="240" w:after="240"/>
        <w:rPr>
          <w:rFonts w:ascii="Arial" w:eastAsia="Arial" w:hAnsi="Arial" w:cs="Arial"/>
        </w:rPr>
      </w:pPr>
      <w:r>
        <w:rPr>
          <w:rFonts w:ascii="Arial" w:hAnsi="Arial"/>
        </w:rPr>
        <w:t xml:space="preserve">Management depends on the type and etiology of IBF. Cholecystectomy may be necessary if gallbladder disease is present [14]. The standard treatment for </w:t>
      </w:r>
      <w:proofErr w:type="spellStart"/>
      <w:r>
        <w:rPr>
          <w:rFonts w:ascii="Arial" w:hAnsi="Arial"/>
        </w:rPr>
        <w:t>bilioenteric</w:t>
      </w:r>
      <w:proofErr w:type="spellEnd"/>
      <w:r>
        <w:rPr>
          <w:rFonts w:ascii="Arial" w:hAnsi="Arial"/>
        </w:rPr>
        <w:t xml:space="preserve"> fistulas is open cholecystectomy with fistula closure, though laparoscopic and en</w:t>
      </w:r>
      <w:r>
        <w:rPr>
          <w:rFonts w:ascii="Arial" w:hAnsi="Arial"/>
        </w:rPr>
        <w:t xml:space="preserve">doscopic approaches have recently shown </w:t>
      </w:r>
      <w:proofErr w:type="spellStart"/>
      <w:r>
        <w:rPr>
          <w:rFonts w:ascii="Arial" w:hAnsi="Arial"/>
        </w:rPr>
        <w:t>favourable</w:t>
      </w:r>
      <w:proofErr w:type="spellEnd"/>
      <w:r>
        <w:rPr>
          <w:rFonts w:ascii="Arial" w:hAnsi="Arial"/>
        </w:rPr>
        <w:t xml:space="preserve"> results [15]. Endoscopic stenting can be done for minor injuries; complex cases may require Roux-en-Y hepaticojejunostomy, with outcomes influenced by sepsis, duct damage, and GI tract involvement [16].</w:t>
      </w:r>
    </w:p>
    <w:p w14:paraId="5F5DA703" w14:textId="77777777" w:rsidR="00523807" w:rsidRDefault="00B84A68">
      <w:pPr>
        <w:pStyle w:val="Body"/>
        <w:spacing w:before="240" w:after="240"/>
        <w:rPr>
          <w:rFonts w:ascii="Arial" w:eastAsia="Arial" w:hAnsi="Arial" w:cs="Arial"/>
        </w:rPr>
      </w:pPr>
      <w:r>
        <w:rPr>
          <w:rFonts w:ascii="Arial" w:hAnsi="Arial"/>
        </w:rPr>
        <w:t>In</w:t>
      </w:r>
      <w:r>
        <w:rPr>
          <w:rFonts w:ascii="Arial" w:hAnsi="Arial"/>
        </w:rPr>
        <w:t xml:space="preserve"> our case - upon exploration, the left hepatic duct was minimally damaged, without visible biliary sludge and there was no evidence of biliary leak or stricture hence primary closure of the fistula seemed the most appropriate management. The fistula was li</w:t>
      </w:r>
      <w:r>
        <w:rPr>
          <w:rFonts w:ascii="Arial" w:hAnsi="Arial"/>
        </w:rPr>
        <w:t xml:space="preserve">kely a result of foreign body ingestion as there was no history or evidence of gallstone disease, neoplasm or abdominal surgeries. </w:t>
      </w:r>
    </w:p>
    <w:p w14:paraId="26DD19F3" w14:textId="77777777" w:rsidR="00523807" w:rsidRDefault="00B84A68">
      <w:pPr>
        <w:pStyle w:val="Body"/>
        <w:spacing w:before="240" w:after="240"/>
        <w:rPr>
          <w:rFonts w:ascii="Arial" w:eastAsia="Arial" w:hAnsi="Arial" w:cs="Arial"/>
          <w:b/>
          <w:bCs/>
        </w:rPr>
      </w:pPr>
      <w:r>
        <w:rPr>
          <w:rFonts w:ascii="Arial" w:hAnsi="Arial"/>
          <w:b/>
          <w:bCs/>
        </w:rPr>
        <w:t>Conclusion-</w:t>
      </w:r>
    </w:p>
    <w:p w14:paraId="0B393C6C" w14:textId="3B8D822E" w:rsidR="00523807" w:rsidRDefault="00B84A68">
      <w:pPr>
        <w:pStyle w:val="Body"/>
        <w:spacing w:before="240" w:after="240"/>
        <w:rPr>
          <w:rFonts w:ascii="Arial" w:hAnsi="Arial"/>
        </w:rPr>
      </w:pPr>
      <w:r>
        <w:rPr>
          <w:rFonts w:ascii="Arial" w:hAnsi="Arial"/>
        </w:rPr>
        <w:t xml:space="preserve">Our case highlights the rare occurrence of a duodenal-left hepatic duct fistula possibly resulting from foreign </w:t>
      </w:r>
      <w:r>
        <w:rPr>
          <w:rFonts w:ascii="Arial" w:hAnsi="Arial"/>
        </w:rPr>
        <w:t xml:space="preserve">body ingestion. This underscores the importance of considering, actively searching and working up for a possible duodenal fistula in cases of foreign body ingestion. A thorough diagnostic workup, including modalities such as MRCP and CECT, is essential in </w:t>
      </w:r>
      <w:r>
        <w:rPr>
          <w:rFonts w:ascii="Arial" w:hAnsi="Arial"/>
        </w:rPr>
        <w:t>suspected cases to identify the underlying pathology. Furthermore, this approach aids in differentiating between similar conditions, such as diverticulitis, in ensuring accurate diagnosis and management.</w:t>
      </w:r>
    </w:p>
    <w:p w14:paraId="3D5EDD65" w14:textId="77777777" w:rsidR="00495FAF" w:rsidRPr="00495FAF" w:rsidRDefault="00495FAF" w:rsidP="00495FAF">
      <w:pPr>
        <w:pStyle w:val="Body"/>
        <w:spacing w:before="240" w:after="240"/>
        <w:rPr>
          <w:rFonts w:ascii="Arial" w:eastAsia="Arial" w:hAnsi="Arial" w:cs="Arial"/>
        </w:rPr>
      </w:pPr>
      <w:r w:rsidRPr="00495FAF">
        <w:rPr>
          <w:rFonts w:ascii="Arial" w:eastAsia="Arial" w:hAnsi="Arial" w:cs="Arial"/>
        </w:rPr>
        <w:t xml:space="preserve">Consent </w:t>
      </w:r>
    </w:p>
    <w:p w14:paraId="3EC7FEB2" w14:textId="7B60405B" w:rsidR="00495FAF" w:rsidRDefault="00495FAF" w:rsidP="00495FAF">
      <w:pPr>
        <w:pStyle w:val="Body"/>
        <w:spacing w:before="240" w:after="240"/>
        <w:rPr>
          <w:rFonts w:ascii="Arial" w:eastAsia="Arial" w:hAnsi="Arial" w:cs="Arial"/>
        </w:rPr>
      </w:pPr>
      <w:r w:rsidRPr="00495FAF">
        <w:rPr>
          <w:rFonts w:ascii="Arial" w:eastAsia="Arial" w:hAnsi="Arial" w:cs="Arial"/>
        </w:rPr>
        <w:t>As per international standards or university standards, patient(s) written consent has been collected and preserved by the author(s).</w:t>
      </w:r>
      <w:bookmarkStart w:id="0" w:name="_GoBack"/>
      <w:bookmarkEnd w:id="0"/>
    </w:p>
    <w:p w14:paraId="2DCFB71B" w14:textId="77777777" w:rsidR="00523807" w:rsidRDefault="00B84A68">
      <w:pPr>
        <w:pStyle w:val="Body"/>
        <w:spacing w:after="200" w:line="276" w:lineRule="auto"/>
        <w:rPr>
          <w:rFonts w:ascii="Calibri" w:eastAsia="Calibri" w:hAnsi="Calibri" w:cs="Calibri"/>
          <w:kern w:val="2"/>
          <w:sz w:val="22"/>
          <w:szCs w:val="22"/>
          <w:shd w:val="clear" w:color="auto" w:fill="FFFF00"/>
        </w:rPr>
      </w:pPr>
      <w:r>
        <w:rPr>
          <w:rFonts w:ascii="Calibri" w:hAnsi="Calibri"/>
          <w:kern w:val="2"/>
          <w:sz w:val="22"/>
          <w:szCs w:val="22"/>
          <w:shd w:val="clear" w:color="auto" w:fill="FFFF00"/>
        </w:rPr>
        <w:t>Disclaimer (Artificial intelligence)</w:t>
      </w:r>
    </w:p>
    <w:p w14:paraId="14B03F4F" w14:textId="77777777" w:rsidR="00523807" w:rsidRDefault="00B84A68">
      <w:pPr>
        <w:pStyle w:val="Body"/>
        <w:spacing w:after="200" w:line="276" w:lineRule="auto"/>
        <w:rPr>
          <w:rFonts w:ascii="Calibri" w:eastAsia="Calibri" w:hAnsi="Calibri" w:cs="Calibri"/>
          <w:kern w:val="2"/>
          <w:sz w:val="22"/>
          <w:szCs w:val="22"/>
          <w:shd w:val="clear" w:color="auto" w:fill="FFFF00"/>
        </w:rPr>
      </w:pPr>
      <w:r>
        <w:rPr>
          <w:rFonts w:ascii="Calibri" w:hAnsi="Calibri"/>
          <w:kern w:val="2"/>
          <w:sz w:val="22"/>
          <w:szCs w:val="22"/>
          <w:shd w:val="clear" w:color="auto" w:fill="FFFF00"/>
        </w:rPr>
        <w:t xml:space="preserve">Option 1: </w:t>
      </w:r>
    </w:p>
    <w:p w14:paraId="48796B87" w14:textId="77777777" w:rsidR="00523807" w:rsidRDefault="00B84A68">
      <w:pPr>
        <w:pStyle w:val="Body"/>
        <w:spacing w:after="200" w:line="276" w:lineRule="auto"/>
        <w:rPr>
          <w:rFonts w:ascii="Calibri" w:eastAsia="Calibri" w:hAnsi="Calibri" w:cs="Calibri"/>
          <w:kern w:val="2"/>
          <w:sz w:val="22"/>
          <w:szCs w:val="22"/>
          <w:shd w:val="clear" w:color="auto" w:fill="FFFF00"/>
        </w:rPr>
      </w:pPr>
      <w:r>
        <w:rPr>
          <w:rFonts w:ascii="Calibri" w:hAnsi="Calibri"/>
          <w:kern w:val="2"/>
          <w:sz w:val="22"/>
          <w:szCs w:val="22"/>
          <w:shd w:val="clear" w:color="auto" w:fill="FFFF00"/>
        </w:rPr>
        <w:t xml:space="preserve">Author(s) hereby declare that NO generative AI technologies such as Large Language Models (ChatGPT, COPILOT, etc.) and text-to-image generators have been used during the writing or editing of this manuscript. </w:t>
      </w:r>
    </w:p>
    <w:p w14:paraId="751EEBDD" w14:textId="77777777" w:rsidR="00523807" w:rsidRDefault="00B84A68">
      <w:pPr>
        <w:pStyle w:val="Body"/>
        <w:spacing w:after="200" w:line="276" w:lineRule="auto"/>
        <w:rPr>
          <w:rFonts w:ascii="Calibri" w:eastAsia="Calibri" w:hAnsi="Calibri" w:cs="Calibri"/>
          <w:kern w:val="2"/>
          <w:sz w:val="22"/>
          <w:szCs w:val="22"/>
          <w:shd w:val="clear" w:color="auto" w:fill="FFFF00"/>
        </w:rPr>
      </w:pPr>
      <w:r>
        <w:rPr>
          <w:rFonts w:ascii="Calibri" w:hAnsi="Calibri"/>
          <w:kern w:val="2"/>
          <w:sz w:val="22"/>
          <w:szCs w:val="22"/>
          <w:shd w:val="clear" w:color="auto" w:fill="FFFF00"/>
        </w:rPr>
        <w:t xml:space="preserve">Option 2: </w:t>
      </w:r>
    </w:p>
    <w:p w14:paraId="3E4B649D" w14:textId="77777777" w:rsidR="00523807" w:rsidRDefault="00B84A68">
      <w:pPr>
        <w:pStyle w:val="Body"/>
        <w:spacing w:after="200" w:line="276" w:lineRule="auto"/>
        <w:rPr>
          <w:rFonts w:ascii="Calibri" w:eastAsia="Calibri" w:hAnsi="Calibri" w:cs="Calibri"/>
          <w:kern w:val="2"/>
          <w:sz w:val="22"/>
          <w:szCs w:val="22"/>
          <w:shd w:val="clear" w:color="auto" w:fill="FFFF00"/>
        </w:rPr>
      </w:pPr>
      <w:r>
        <w:rPr>
          <w:rFonts w:ascii="Calibri" w:hAnsi="Calibri"/>
          <w:kern w:val="2"/>
          <w:sz w:val="22"/>
          <w:szCs w:val="22"/>
          <w:shd w:val="clear" w:color="auto" w:fill="FFFF00"/>
        </w:rPr>
        <w:lastRenderedPageBreak/>
        <w:t>Author(s) hereby declare</w:t>
      </w:r>
      <w:r>
        <w:rPr>
          <w:rFonts w:ascii="Calibri" w:hAnsi="Calibri"/>
          <w:kern w:val="2"/>
          <w:sz w:val="22"/>
          <w:szCs w:val="22"/>
          <w:shd w:val="clear" w:color="auto" w:fill="FFFF00"/>
        </w:rPr>
        <w:t xml:space="preserve"> that generative AI technologies such as Large Language Models, etc. have been used during the writing or editing of manuscripts. This explanation will include the name, version, model, and source of the generative AI technology and as well as all input pr</w:t>
      </w:r>
      <w:r>
        <w:rPr>
          <w:rFonts w:ascii="Calibri" w:hAnsi="Calibri"/>
          <w:kern w:val="2"/>
          <w:sz w:val="22"/>
          <w:szCs w:val="22"/>
          <w:shd w:val="clear" w:color="auto" w:fill="FFFF00"/>
        </w:rPr>
        <w:t>ompts provided to the generative AI technology</w:t>
      </w:r>
    </w:p>
    <w:p w14:paraId="6D5FA117" w14:textId="77777777" w:rsidR="00523807" w:rsidRDefault="00B84A68">
      <w:pPr>
        <w:pStyle w:val="Body"/>
        <w:spacing w:after="200" w:line="276" w:lineRule="auto"/>
        <w:rPr>
          <w:rFonts w:ascii="Calibri" w:eastAsia="Calibri" w:hAnsi="Calibri" w:cs="Calibri"/>
          <w:kern w:val="2"/>
          <w:sz w:val="22"/>
          <w:szCs w:val="22"/>
          <w:shd w:val="clear" w:color="auto" w:fill="FFFF00"/>
        </w:rPr>
      </w:pPr>
      <w:r>
        <w:rPr>
          <w:rFonts w:ascii="Calibri" w:hAnsi="Calibri"/>
          <w:kern w:val="2"/>
          <w:sz w:val="22"/>
          <w:szCs w:val="22"/>
          <w:shd w:val="clear" w:color="auto" w:fill="FFFF00"/>
        </w:rPr>
        <w:t>Details of the AI usage are given below:</w:t>
      </w:r>
    </w:p>
    <w:p w14:paraId="08B3E931" w14:textId="77777777" w:rsidR="00523807" w:rsidRDefault="00B84A68">
      <w:pPr>
        <w:pStyle w:val="Body"/>
        <w:spacing w:after="200" w:line="276" w:lineRule="auto"/>
        <w:rPr>
          <w:rFonts w:ascii="Calibri" w:eastAsia="Calibri" w:hAnsi="Calibri" w:cs="Calibri"/>
          <w:kern w:val="2"/>
          <w:sz w:val="22"/>
          <w:szCs w:val="22"/>
          <w:shd w:val="clear" w:color="auto" w:fill="FFFF00"/>
        </w:rPr>
      </w:pPr>
      <w:r>
        <w:rPr>
          <w:rFonts w:ascii="Calibri" w:hAnsi="Calibri"/>
          <w:kern w:val="2"/>
          <w:sz w:val="22"/>
          <w:szCs w:val="22"/>
          <w:shd w:val="clear" w:color="auto" w:fill="FFFF00"/>
        </w:rPr>
        <w:t xml:space="preserve">1.Author(s) hereby declare that NO generative AI technologies such as Large Language Models (ChatGPT, COPILOT, etc.) and text-to-image generators have been used during </w:t>
      </w:r>
      <w:r>
        <w:rPr>
          <w:rFonts w:ascii="Calibri" w:hAnsi="Calibri"/>
          <w:kern w:val="2"/>
          <w:sz w:val="22"/>
          <w:szCs w:val="22"/>
          <w:shd w:val="clear" w:color="auto" w:fill="FFFF00"/>
        </w:rPr>
        <w:t xml:space="preserve">the writing or editing of this manuscript. </w:t>
      </w:r>
    </w:p>
    <w:p w14:paraId="7905BDC3" w14:textId="77777777" w:rsidR="00523807" w:rsidRDefault="00523807">
      <w:pPr>
        <w:pStyle w:val="Body"/>
        <w:spacing w:after="200" w:line="276" w:lineRule="auto"/>
        <w:rPr>
          <w:rFonts w:ascii="Calibri" w:eastAsia="Calibri" w:hAnsi="Calibri" w:cs="Calibri"/>
          <w:kern w:val="2"/>
          <w:sz w:val="22"/>
          <w:szCs w:val="22"/>
          <w:shd w:val="clear" w:color="auto" w:fill="FFFF00"/>
        </w:rPr>
      </w:pPr>
    </w:p>
    <w:p w14:paraId="6C4DCE2F" w14:textId="77777777" w:rsidR="00523807" w:rsidRDefault="00B84A68">
      <w:pPr>
        <w:pStyle w:val="Body"/>
        <w:spacing w:after="200" w:line="276" w:lineRule="auto"/>
        <w:rPr>
          <w:rFonts w:ascii="Calibri" w:eastAsia="Calibri" w:hAnsi="Calibri" w:cs="Calibri"/>
          <w:kern w:val="2"/>
          <w:sz w:val="22"/>
          <w:szCs w:val="22"/>
        </w:rPr>
      </w:pPr>
      <w:r>
        <w:rPr>
          <w:rFonts w:ascii="Calibri" w:hAnsi="Calibri"/>
          <w:kern w:val="2"/>
          <w:sz w:val="22"/>
          <w:szCs w:val="22"/>
          <w:shd w:val="clear" w:color="auto" w:fill="FFFF00"/>
        </w:rPr>
        <w:t>2.</w:t>
      </w:r>
    </w:p>
    <w:p w14:paraId="7FEBD416" w14:textId="77777777" w:rsidR="00523807" w:rsidRDefault="00523807">
      <w:pPr>
        <w:pStyle w:val="Body"/>
        <w:spacing w:before="240" w:after="240"/>
        <w:rPr>
          <w:rFonts w:ascii="Arial" w:eastAsia="Arial" w:hAnsi="Arial" w:cs="Arial"/>
        </w:rPr>
      </w:pPr>
    </w:p>
    <w:p w14:paraId="1534494E" w14:textId="77777777" w:rsidR="00523807" w:rsidRDefault="00B84A68">
      <w:pPr>
        <w:pStyle w:val="Body"/>
        <w:spacing w:before="240" w:after="240"/>
        <w:rPr>
          <w:rFonts w:ascii="Arial" w:eastAsia="Arial" w:hAnsi="Arial" w:cs="Arial"/>
          <w:b/>
          <w:bCs/>
        </w:rPr>
      </w:pPr>
      <w:r>
        <w:rPr>
          <w:rFonts w:ascii="Arial" w:hAnsi="Arial"/>
          <w:b/>
          <w:bCs/>
        </w:rPr>
        <w:t xml:space="preserve">References - </w:t>
      </w:r>
    </w:p>
    <w:p w14:paraId="11ECEBD0" w14:textId="77777777" w:rsidR="00523807" w:rsidRDefault="00B84A68">
      <w:pPr>
        <w:pStyle w:val="ListParagraph"/>
        <w:numPr>
          <w:ilvl w:val="0"/>
          <w:numId w:val="2"/>
        </w:numPr>
        <w:spacing w:after="0"/>
        <w:rPr>
          <w:rFonts w:ascii="Arial" w:hAnsi="Arial"/>
        </w:rPr>
      </w:pPr>
      <w:r>
        <w:rPr>
          <w:rFonts w:ascii="Arial" w:hAnsi="Arial"/>
        </w:rPr>
        <w:t xml:space="preserve">Safaie-Shirazi S, </w:t>
      </w:r>
      <w:proofErr w:type="spellStart"/>
      <w:r>
        <w:rPr>
          <w:rFonts w:ascii="Arial" w:hAnsi="Arial"/>
        </w:rPr>
        <w:t>Zike</w:t>
      </w:r>
      <w:proofErr w:type="spellEnd"/>
      <w:r>
        <w:rPr>
          <w:rFonts w:ascii="Arial" w:hAnsi="Arial"/>
        </w:rPr>
        <w:t xml:space="preserve"> WL, </w:t>
      </w:r>
      <w:proofErr w:type="spellStart"/>
      <w:r>
        <w:rPr>
          <w:rFonts w:ascii="Arial" w:hAnsi="Arial"/>
        </w:rPr>
        <w:t>Printen</w:t>
      </w:r>
      <w:proofErr w:type="spellEnd"/>
      <w:r>
        <w:rPr>
          <w:rFonts w:ascii="Arial" w:hAnsi="Arial"/>
        </w:rPr>
        <w:t xml:space="preserve"> KJ. Spontaneous </w:t>
      </w:r>
      <w:proofErr w:type="spellStart"/>
      <w:r>
        <w:rPr>
          <w:rFonts w:ascii="Arial" w:hAnsi="Arial"/>
        </w:rPr>
        <w:t>enterobiliary</w:t>
      </w:r>
      <w:proofErr w:type="spellEnd"/>
      <w:r>
        <w:rPr>
          <w:rFonts w:ascii="Arial" w:hAnsi="Arial"/>
        </w:rPr>
        <w:t xml:space="preserve"> fistulas. </w:t>
      </w:r>
      <w:r>
        <w:rPr>
          <w:rFonts w:ascii="Arial" w:hAnsi="Arial"/>
          <w:i/>
          <w:iCs/>
        </w:rPr>
        <w:t xml:space="preserve">Surg </w:t>
      </w:r>
      <w:proofErr w:type="spellStart"/>
      <w:r>
        <w:rPr>
          <w:rFonts w:ascii="Arial" w:hAnsi="Arial"/>
          <w:i/>
          <w:iCs/>
        </w:rPr>
        <w:t>Gynecol</w:t>
      </w:r>
      <w:proofErr w:type="spellEnd"/>
      <w:r>
        <w:rPr>
          <w:rFonts w:ascii="Arial" w:hAnsi="Arial"/>
          <w:i/>
          <w:iCs/>
        </w:rPr>
        <w:t xml:space="preserve"> Obstet</w:t>
      </w:r>
      <w:r>
        <w:rPr>
          <w:rFonts w:ascii="Arial" w:hAnsi="Arial"/>
        </w:rPr>
        <w:t>. 1973;137(5):769-772.</w:t>
      </w:r>
    </w:p>
    <w:p w14:paraId="491F4010" w14:textId="77777777" w:rsidR="00523807" w:rsidRDefault="00B84A68">
      <w:pPr>
        <w:pStyle w:val="ListParagraph"/>
        <w:numPr>
          <w:ilvl w:val="0"/>
          <w:numId w:val="2"/>
        </w:numPr>
        <w:spacing w:after="0"/>
        <w:rPr>
          <w:rFonts w:ascii="Arial" w:hAnsi="Arial"/>
        </w:rPr>
      </w:pPr>
      <w:r>
        <w:rPr>
          <w:rFonts w:ascii="Arial" w:hAnsi="Arial"/>
        </w:rPr>
        <w:t>Vanetta C, Paladini JI, Di Menno J, et al. Role of laparoscopy in the treatm</w:t>
      </w:r>
      <w:r>
        <w:rPr>
          <w:rFonts w:ascii="Arial" w:hAnsi="Arial"/>
        </w:rPr>
        <w:t xml:space="preserve">ent of internal biliary fistulas in a high-volume center and a review of the literature. </w:t>
      </w:r>
      <w:r>
        <w:rPr>
          <w:rFonts w:ascii="Arial" w:hAnsi="Arial"/>
          <w:i/>
          <w:iCs/>
        </w:rPr>
        <w:t xml:space="preserve">Surg </w:t>
      </w:r>
      <w:proofErr w:type="spellStart"/>
      <w:r>
        <w:rPr>
          <w:rFonts w:ascii="Arial" w:hAnsi="Arial"/>
          <w:i/>
          <w:iCs/>
        </w:rPr>
        <w:t>Endosc</w:t>
      </w:r>
      <w:proofErr w:type="spellEnd"/>
      <w:r>
        <w:rPr>
          <w:rFonts w:ascii="Arial" w:hAnsi="Arial"/>
        </w:rPr>
        <w:t>. 2022;36(3):1799-1805. doi:10.1007/s00464-021-08459-1</w:t>
      </w:r>
    </w:p>
    <w:p w14:paraId="4EE973D0" w14:textId="77777777" w:rsidR="00523807" w:rsidRDefault="00B84A68">
      <w:pPr>
        <w:pStyle w:val="ListParagraph"/>
        <w:numPr>
          <w:ilvl w:val="0"/>
          <w:numId w:val="2"/>
        </w:numPr>
        <w:spacing w:after="0"/>
        <w:rPr>
          <w:rFonts w:ascii="Arial" w:hAnsi="Arial"/>
        </w:rPr>
      </w:pPr>
      <w:r w:rsidRPr="00C57D7B">
        <w:rPr>
          <w:rFonts w:ascii="Arial" w:hAnsi="Arial"/>
          <w:lang w:val="nl-BE"/>
        </w:rPr>
        <w:t xml:space="preserve">Park JM, Kang CD, Kim JH, et al. </w:t>
      </w:r>
      <w:proofErr w:type="spellStart"/>
      <w:r>
        <w:rPr>
          <w:rFonts w:ascii="Arial" w:hAnsi="Arial"/>
        </w:rPr>
        <w:t>Cholecystoduodenal</w:t>
      </w:r>
      <w:proofErr w:type="spellEnd"/>
      <w:r>
        <w:rPr>
          <w:rFonts w:ascii="Arial" w:hAnsi="Arial"/>
        </w:rPr>
        <w:t xml:space="preserve"> fistula presenting with upper gastrointestinal bl</w:t>
      </w:r>
      <w:r>
        <w:rPr>
          <w:rFonts w:ascii="Arial" w:hAnsi="Arial"/>
        </w:rPr>
        <w:t xml:space="preserve">eeding: A case report. </w:t>
      </w:r>
      <w:r>
        <w:rPr>
          <w:rFonts w:ascii="Arial" w:hAnsi="Arial"/>
          <w:i/>
          <w:iCs/>
        </w:rPr>
        <w:t>World J Clin Cases</w:t>
      </w:r>
      <w:r>
        <w:rPr>
          <w:rFonts w:ascii="Arial" w:hAnsi="Arial"/>
        </w:rPr>
        <w:t>. 2021;9(2):410-415. doi:10.12998/</w:t>
      </w:r>
      <w:proofErr w:type="gramStart"/>
      <w:r>
        <w:rPr>
          <w:rFonts w:ascii="Arial" w:hAnsi="Arial"/>
        </w:rPr>
        <w:t>wjcc.v</w:t>
      </w:r>
      <w:proofErr w:type="gramEnd"/>
      <w:r>
        <w:rPr>
          <w:rFonts w:ascii="Arial" w:hAnsi="Arial"/>
        </w:rPr>
        <w:t>9.i2.410</w:t>
      </w:r>
    </w:p>
    <w:p w14:paraId="6D0CCFC5" w14:textId="77777777" w:rsidR="00523807" w:rsidRDefault="00B84A68">
      <w:pPr>
        <w:pStyle w:val="ListParagraph"/>
        <w:numPr>
          <w:ilvl w:val="0"/>
          <w:numId w:val="2"/>
        </w:numPr>
        <w:spacing w:after="0"/>
        <w:rPr>
          <w:rFonts w:ascii="Arial" w:hAnsi="Arial"/>
        </w:rPr>
      </w:pPr>
      <w:r>
        <w:rPr>
          <w:rFonts w:ascii="Arial" w:hAnsi="Arial"/>
        </w:rPr>
        <w:t>Ming Q, Jun Y, Nai-Wen L, Lei C, Yu-Dong F, Shu-Guang W. The management of a duodenal fistula involving the right hepatic duct: a rare case report. Front Med (Lausann</w:t>
      </w:r>
      <w:r>
        <w:rPr>
          <w:rFonts w:ascii="Arial" w:hAnsi="Arial"/>
        </w:rPr>
        <w:t xml:space="preserve">e). </w:t>
      </w:r>
      <w:proofErr w:type="gramStart"/>
      <w:r>
        <w:rPr>
          <w:rFonts w:ascii="Arial" w:hAnsi="Arial"/>
        </w:rPr>
        <w:t>2024;11:1346590</w:t>
      </w:r>
      <w:proofErr w:type="gramEnd"/>
      <w:r>
        <w:rPr>
          <w:rFonts w:ascii="Arial" w:hAnsi="Arial"/>
        </w:rPr>
        <w:t>. Published 2024 Feb 1. doi:10.3389/fmed.2024.1346590</w:t>
      </w:r>
    </w:p>
    <w:p w14:paraId="1F8BB746" w14:textId="77777777" w:rsidR="00523807" w:rsidRDefault="00B84A68">
      <w:pPr>
        <w:pStyle w:val="ListParagraph"/>
        <w:numPr>
          <w:ilvl w:val="0"/>
          <w:numId w:val="2"/>
        </w:numPr>
        <w:spacing w:after="0"/>
        <w:rPr>
          <w:rFonts w:ascii="Arial" w:hAnsi="Arial"/>
          <w:color w:val="191919"/>
        </w:rPr>
      </w:pPr>
      <w:r>
        <w:rPr>
          <w:rFonts w:ascii="Arial" w:hAnsi="Arial"/>
          <w:color w:val="191919"/>
          <w:u w:color="191919"/>
        </w:rPr>
        <w:t xml:space="preserve">Costi R, Randone B, Violi V, et al. </w:t>
      </w:r>
      <w:proofErr w:type="spellStart"/>
      <w:r>
        <w:rPr>
          <w:rFonts w:ascii="Arial" w:hAnsi="Arial"/>
          <w:color w:val="191919"/>
          <w:u w:color="191919"/>
        </w:rPr>
        <w:t>Cholecystocolonic</w:t>
      </w:r>
      <w:proofErr w:type="spellEnd"/>
      <w:r>
        <w:rPr>
          <w:rFonts w:ascii="Arial" w:hAnsi="Arial"/>
          <w:color w:val="191919"/>
          <w:u w:color="191919"/>
        </w:rPr>
        <w:t xml:space="preserve"> fistula: facts and myths. A review of the 231 published cases. </w:t>
      </w:r>
      <w:r>
        <w:rPr>
          <w:rFonts w:ascii="Arial" w:hAnsi="Arial"/>
          <w:i/>
          <w:iCs/>
          <w:color w:val="191919"/>
          <w:u w:color="191919"/>
        </w:rPr>
        <w:t xml:space="preserve">J Hepatobiliary </w:t>
      </w:r>
      <w:proofErr w:type="spellStart"/>
      <w:r>
        <w:rPr>
          <w:rFonts w:ascii="Arial" w:hAnsi="Arial"/>
          <w:i/>
          <w:iCs/>
          <w:color w:val="191919"/>
          <w:u w:color="191919"/>
        </w:rPr>
        <w:t>Pancreat</w:t>
      </w:r>
      <w:proofErr w:type="spellEnd"/>
      <w:r>
        <w:rPr>
          <w:rFonts w:ascii="Arial" w:hAnsi="Arial"/>
          <w:i/>
          <w:iCs/>
          <w:color w:val="191919"/>
          <w:u w:color="191919"/>
        </w:rPr>
        <w:t xml:space="preserve"> Surg</w:t>
      </w:r>
      <w:r>
        <w:rPr>
          <w:rFonts w:ascii="Arial" w:hAnsi="Arial"/>
          <w:color w:val="191919"/>
          <w:u w:color="191919"/>
        </w:rPr>
        <w:t xml:space="preserve">. 2009;16(1):8-18. </w:t>
      </w:r>
      <w:r>
        <w:rPr>
          <w:rFonts w:ascii="Arial" w:hAnsi="Arial"/>
          <w:color w:val="191919"/>
          <w:u w:color="191919"/>
        </w:rPr>
        <w:t>doi:10.1007/s00534-008-0014-1</w:t>
      </w:r>
    </w:p>
    <w:p w14:paraId="4E02B1E6" w14:textId="77777777" w:rsidR="00523807" w:rsidRDefault="00B84A68">
      <w:pPr>
        <w:pStyle w:val="ListParagraph"/>
        <w:numPr>
          <w:ilvl w:val="0"/>
          <w:numId w:val="2"/>
        </w:numPr>
        <w:spacing w:after="0"/>
        <w:rPr>
          <w:rFonts w:ascii="Arial" w:hAnsi="Arial"/>
          <w:color w:val="191919"/>
        </w:rPr>
      </w:pPr>
      <w:r>
        <w:rPr>
          <w:rFonts w:ascii="Arial" w:hAnsi="Arial"/>
          <w:color w:val="191919"/>
          <w:u w:color="191919"/>
        </w:rPr>
        <w:t xml:space="preserve">Beltrán M. A., Mirizzi syndrome: history, current knowledge and proposal of a simplified classification, World Journal of Gastroenterology. (2012) 18, no. 34, 4639–4650, </w:t>
      </w:r>
      <w:hyperlink r:id="rId13" w:history="1">
        <w:r>
          <w:rPr>
            <w:rStyle w:val="Hyperlink0"/>
            <w:rFonts w:ascii="Arial" w:hAnsi="Arial"/>
          </w:rPr>
          <w:t>https://doi.org/10.3748/wjg.v18.i34.4639</w:t>
        </w:r>
      </w:hyperlink>
      <w:r>
        <w:rPr>
          <w:rFonts w:ascii="Arial" w:hAnsi="Arial"/>
          <w:color w:val="191919"/>
          <w:u w:color="191919"/>
        </w:rPr>
        <w:t>, 2-s2.0-84867706266.</w:t>
      </w:r>
    </w:p>
    <w:p w14:paraId="586FAA9B" w14:textId="77777777" w:rsidR="00523807" w:rsidRDefault="00B84A68">
      <w:pPr>
        <w:pStyle w:val="ListParagraph"/>
        <w:numPr>
          <w:ilvl w:val="0"/>
          <w:numId w:val="2"/>
        </w:numPr>
        <w:spacing w:after="0"/>
        <w:rPr>
          <w:rFonts w:ascii="Arial" w:hAnsi="Arial"/>
          <w:color w:val="191919"/>
        </w:rPr>
      </w:pPr>
      <w:r>
        <w:rPr>
          <w:rFonts w:ascii="Arial" w:hAnsi="Arial"/>
          <w:color w:val="191919"/>
          <w:u w:color="191919"/>
        </w:rPr>
        <w:t xml:space="preserve">Inal M, Oguz M, </w:t>
      </w:r>
      <w:proofErr w:type="spellStart"/>
      <w:r>
        <w:rPr>
          <w:rFonts w:ascii="Arial" w:hAnsi="Arial"/>
          <w:color w:val="191919"/>
          <w:u w:color="191919"/>
        </w:rPr>
        <w:t>Aksungur</w:t>
      </w:r>
      <w:proofErr w:type="spellEnd"/>
      <w:r>
        <w:rPr>
          <w:rFonts w:ascii="Arial" w:hAnsi="Arial"/>
          <w:color w:val="191919"/>
          <w:u w:color="191919"/>
        </w:rPr>
        <w:t xml:space="preserve"> E, </w:t>
      </w:r>
      <w:proofErr w:type="spellStart"/>
      <w:r>
        <w:rPr>
          <w:rFonts w:ascii="Arial" w:hAnsi="Arial"/>
          <w:color w:val="191919"/>
          <w:u w:color="191919"/>
        </w:rPr>
        <w:t>Soyupak</w:t>
      </w:r>
      <w:proofErr w:type="spellEnd"/>
      <w:r>
        <w:rPr>
          <w:rFonts w:ascii="Arial" w:hAnsi="Arial"/>
          <w:color w:val="191919"/>
          <w:u w:color="191919"/>
        </w:rPr>
        <w:t xml:space="preserve"> S, </w:t>
      </w:r>
      <w:proofErr w:type="spellStart"/>
      <w:r>
        <w:rPr>
          <w:rFonts w:ascii="Arial" w:hAnsi="Arial"/>
          <w:color w:val="191919"/>
          <w:u w:color="191919"/>
        </w:rPr>
        <w:t>Börüban</w:t>
      </w:r>
      <w:proofErr w:type="spellEnd"/>
      <w:r>
        <w:rPr>
          <w:rFonts w:ascii="Arial" w:hAnsi="Arial"/>
          <w:color w:val="191919"/>
          <w:u w:color="191919"/>
        </w:rPr>
        <w:t xml:space="preserve"> S, Akgül E. Biliary-enteric fistulas: report of five cases and review of the literature. </w:t>
      </w:r>
      <w:r>
        <w:rPr>
          <w:rFonts w:ascii="Arial" w:hAnsi="Arial"/>
          <w:i/>
          <w:iCs/>
          <w:color w:val="191919"/>
          <w:u w:color="191919"/>
        </w:rPr>
        <w:t xml:space="preserve">Eur </w:t>
      </w:r>
      <w:proofErr w:type="spellStart"/>
      <w:r>
        <w:rPr>
          <w:rFonts w:ascii="Arial" w:hAnsi="Arial"/>
          <w:i/>
          <w:iCs/>
          <w:color w:val="191919"/>
          <w:u w:color="191919"/>
        </w:rPr>
        <w:t>Radiol</w:t>
      </w:r>
      <w:proofErr w:type="spellEnd"/>
      <w:r>
        <w:rPr>
          <w:rFonts w:ascii="Arial" w:hAnsi="Arial"/>
          <w:color w:val="191919"/>
          <w:u w:color="191919"/>
        </w:rPr>
        <w:t>. 1999;9(6):1145-1151. doi:10.1007/s00330005081</w:t>
      </w:r>
      <w:r>
        <w:rPr>
          <w:rFonts w:ascii="Arial" w:hAnsi="Arial"/>
          <w:color w:val="191919"/>
          <w:u w:color="191919"/>
        </w:rPr>
        <w:t>0</w:t>
      </w:r>
    </w:p>
    <w:p w14:paraId="4EF0E548" w14:textId="77777777" w:rsidR="00523807" w:rsidRDefault="00B84A68">
      <w:pPr>
        <w:pStyle w:val="ListParagraph"/>
        <w:numPr>
          <w:ilvl w:val="0"/>
          <w:numId w:val="2"/>
        </w:numPr>
        <w:spacing w:after="0"/>
        <w:rPr>
          <w:rFonts w:ascii="Arial" w:hAnsi="Arial"/>
          <w:color w:val="181818"/>
        </w:rPr>
      </w:pPr>
      <w:proofErr w:type="spellStart"/>
      <w:r>
        <w:rPr>
          <w:rFonts w:ascii="Arial" w:hAnsi="Arial"/>
          <w:color w:val="181818"/>
          <w:u w:color="181818"/>
        </w:rPr>
        <w:t>Duzgun</w:t>
      </w:r>
      <w:proofErr w:type="spellEnd"/>
      <w:r>
        <w:rPr>
          <w:rFonts w:ascii="Arial" w:hAnsi="Arial"/>
          <w:color w:val="181818"/>
          <w:u w:color="181818"/>
        </w:rPr>
        <w:t xml:space="preserve"> AP, </w:t>
      </w:r>
      <w:proofErr w:type="spellStart"/>
      <w:r>
        <w:rPr>
          <w:rFonts w:ascii="Arial" w:hAnsi="Arial"/>
          <w:color w:val="181818"/>
          <w:u w:color="181818"/>
        </w:rPr>
        <w:t>Ozmen</w:t>
      </w:r>
      <w:proofErr w:type="spellEnd"/>
      <w:r>
        <w:rPr>
          <w:rFonts w:ascii="Arial" w:hAnsi="Arial"/>
          <w:color w:val="181818"/>
          <w:u w:color="181818"/>
        </w:rPr>
        <w:t xml:space="preserve"> MM, Ozer MV, Coskun F. Internal biliary fistula due to cholelithiasis: a single-</w:t>
      </w:r>
      <w:proofErr w:type="spellStart"/>
      <w:r>
        <w:rPr>
          <w:rFonts w:ascii="Arial" w:hAnsi="Arial"/>
          <w:color w:val="181818"/>
          <w:u w:color="181818"/>
        </w:rPr>
        <w:t>centre</w:t>
      </w:r>
      <w:proofErr w:type="spellEnd"/>
      <w:r>
        <w:rPr>
          <w:rFonts w:ascii="Arial" w:hAnsi="Arial"/>
          <w:color w:val="181818"/>
          <w:u w:color="181818"/>
        </w:rPr>
        <w:t xml:space="preserve"> experience. World J Gastroenterol. 2007;13(34):4606-4609. doi:10.3748/</w:t>
      </w:r>
      <w:proofErr w:type="gramStart"/>
      <w:r>
        <w:rPr>
          <w:rFonts w:ascii="Arial" w:hAnsi="Arial"/>
          <w:color w:val="181818"/>
          <w:u w:color="181818"/>
        </w:rPr>
        <w:t>wjg.v13.i</w:t>
      </w:r>
      <w:proofErr w:type="gramEnd"/>
      <w:r>
        <w:rPr>
          <w:rFonts w:ascii="Arial" w:hAnsi="Arial"/>
          <w:color w:val="181818"/>
          <w:u w:color="181818"/>
        </w:rPr>
        <w:t>34.4606</w:t>
      </w:r>
    </w:p>
    <w:p w14:paraId="0A98E75B" w14:textId="77777777" w:rsidR="00523807" w:rsidRDefault="00B84A68">
      <w:pPr>
        <w:pStyle w:val="ListParagraph"/>
        <w:numPr>
          <w:ilvl w:val="0"/>
          <w:numId w:val="2"/>
        </w:numPr>
        <w:spacing w:after="0"/>
        <w:rPr>
          <w:rFonts w:ascii="Arial" w:hAnsi="Arial"/>
          <w:color w:val="181818"/>
        </w:rPr>
      </w:pPr>
      <w:r>
        <w:rPr>
          <w:rFonts w:ascii="Arial" w:hAnsi="Arial"/>
          <w:color w:val="181818"/>
          <w:u w:color="181818"/>
        </w:rPr>
        <w:lastRenderedPageBreak/>
        <w:t>LeBlanc KA, Barr LH, Rush BM. Spontaneous biliary enteric fistu</w:t>
      </w:r>
      <w:r>
        <w:rPr>
          <w:rFonts w:ascii="Arial" w:hAnsi="Arial"/>
          <w:color w:val="181818"/>
          <w:u w:color="181818"/>
        </w:rPr>
        <w:t xml:space="preserve">las. South Med J. </w:t>
      </w:r>
      <w:proofErr w:type="gramStart"/>
      <w:r>
        <w:rPr>
          <w:rFonts w:ascii="Arial" w:hAnsi="Arial"/>
          <w:color w:val="181818"/>
          <w:u w:color="181818"/>
        </w:rPr>
        <w:t>1983;76:1249</w:t>
      </w:r>
      <w:proofErr w:type="gramEnd"/>
      <w:r>
        <w:rPr>
          <w:rFonts w:ascii="Arial" w:hAnsi="Arial"/>
          <w:color w:val="181818"/>
          <w:u w:color="181818"/>
        </w:rPr>
        <w:t xml:space="preserve">–1252. </w:t>
      </w:r>
      <w:proofErr w:type="spellStart"/>
      <w:r>
        <w:rPr>
          <w:rFonts w:ascii="Arial" w:hAnsi="Arial"/>
          <w:color w:val="181818"/>
          <w:u w:color="181818"/>
        </w:rPr>
        <w:t>doi</w:t>
      </w:r>
      <w:proofErr w:type="spellEnd"/>
      <w:r>
        <w:rPr>
          <w:rFonts w:ascii="Arial" w:hAnsi="Arial"/>
          <w:color w:val="181818"/>
          <w:u w:color="181818"/>
        </w:rPr>
        <w:t>: 10.1097/00007611-198310000-00013.</w:t>
      </w:r>
    </w:p>
    <w:p w14:paraId="26F04CA0" w14:textId="77777777" w:rsidR="00523807" w:rsidRDefault="00B84A68">
      <w:pPr>
        <w:pStyle w:val="ListParagraph"/>
        <w:numPr>
          <w:ilvl w:val="0"/>
          <w:numId w:val="2"/>
        </w:numPr>
        <w:spacing w:after="0"/>
        <w:rPr>
          <w:rFonts w:ascii="Arial" w:hAnsi="Arial"/>
          <w:color w:val="191919"/>
        </w:rPr>
      </w:pPr>
      <w:proofErr w:type="spellStart"/>
      <w:r>
        <w:rPr>
          <w:rFonts w:ascii="Arial" w:hAnsi="Arial"/>
          <w:color w:val="191919"/>
          <w:u w:color="191919"/>
        </w:rPr>
        <w:t>Leppäniemi</w:t>
      </w:r>
      <w:proofErr w:type="spellEnd"/>
      <w:r>
        <w:rPr>
          <w:rFonts w:ascii="Arial" w:hAnsi="Arial"/>
          <w:color w:val="191919"/>
          <w:u w:color="191919"/>
        </w:rPr>
        <w:t xml:space="preserve"> A, </w:t>
      </w:r>
      <w:proofErr w:type="spellStart"/>
      <w:r>
        <w:rPr>
          <w:rFonts w:ascii="Arial" w:hAnsi="Arial"/>
          <w:color w:val="191919"/>
          <w:u w:color="191919"/>
        </w:rPr>
        <w:t>Tolonen</w:t>
      </w:r>
      <w:proofErr w:type="spellEnd"/>
      <w:r>
        <w:rPr>
          <w:rFonts w:ascii="Arial" w:hAnsi="Arial"/>
          <w:color w:val="191919"/>
          <w:u w:color="191919"/>
        </w:rPr>
        <w:t xml:space="preserve"> M, Mentula P. Complex duodenal fistulae: a surgical nightmare. World J Emerg Surg. 2023;18(1):35. Published 2023 May 19. doi:10.1186/s13017-023-00503-w</w:t>
      </w:r>
    </w:p>
    <w:p w14:paraId="6BB8634C" w14:textId="77777777" w:rsidR="00523807" w:rsidRDefault="00B84A68">
      <w:pPr>
        <w:pStyle w:val="ListParagraph"/>
        <w:numPr>
          <w:ilvl w:val="0"/>
          <w:numId w:val="2"/>
        </w:numPr>
        <w:spacing w:after="0"/>
        <w:rPr>
          <w:rFonts w:ascii="Arial" w:hAnsi="Arial"/>
          <w:color w:val="191919"/>
        </w:rPr>
      </w:pPr>
      <w:r>
        <w:rPr>
          <w:rFonts w:ascii="Arial" w:hAnsi="Arial"/>
        </w:rPr>
        <w:t xml:space="preserve">Malik </w:t>
      </w:r>
      <w:r>
        <w:rPr>
          <w:rFonts w:ascii="Arial" w:hAnsi="Arial"/>
        </w:rPr>
        <w:t xml:space="preserve">A, Bani Fawwaz BA, Michael M, Akram MO, Khan AH. Endoscopic Retrograde Cholangiopancreatography (ERCP): Used to Diagnose and Treat </w:t>
      </w:r>
      <w:proofErr w:type="spellStart"/>
      <w:r>
        <w:rPr>
          <w:rFonts w:ascii="Arial" w:hAnsi="Arial"/>
        </w:rPr>
        <w:t>Cholecystoduodenal</w:t>
      </w:r>
      <w:proofErr w:type="spellEnd"/>
      <w:r>
        <w:rPr>
          <w:rFonts w:ascii="Arial" w:hAnsi="Arial"/>
        </w:rPr>
        <w:t xml:space="preserve"> Fistula, a Rare Clinical Entity. Cureus. 2021;13(10</w:t>
      </w:r>
      <w:proofErr w:type="gramStart"/>
      <w:r>
        <w:rPr>
          <w:rFonts w:ascii="Arial" w:hAnsi="Arial"/>
        </w:rPr>
        <w:t>):e</w:t>
      </w:r>
      <w:proofErr w:type="gramEnd"/>
      <w:r>
        <w:rPr>
          <w:rFonts w:ascii="Arial" w:hAnsi="Arial"/>
        </w:rPr>
        <w:t>18962. Published 2021 Oct 22. doi:10.7759/cureus.189</w:t>
      </w:r>
      <w:r>
        <w:rPr>
          <w:rFonts w:ascii="Arial" w:hAnsi="Arial"/>
        </w:rPr>
        <w:t>62</w:t>
      </w:r>
    </w:p>
    <w:p w14:paraId="1BC65E43" w14:textId="77777777" w:rsidR="00523807" w:rsidRDefault="00B84A68">
      <w:pPr>
        <w:pStyle w:val="ListParagraph"/>
        <w:numPr>
          <w:ilvl w:val="0"/>
          <w:numId w:val="2"/>
        </w:numPr>
        <w:spacing w:after="0"/>
        <w:rPr>
          <w:rFonts w:ascii="Arial" w:hAnsi="Arial"/>
        </w:rPr>
      </w:pPr>
      <w:proofErr w:type="spellStart"/>
      <w:r>
        <w:rPr>
          <w:rFonts w:ascii="Arial" w:hAnsi="Arial"/>
        </w:rPr>
        <w:t>Halefoglu</w:t>
      </w:r>
      <w:proofErr w:type="spellEnd"/>
      <w:r>
        <w:rPr>
          <w:rFonts w:ascii="Arial" w:hAnsi="Arial"/>
        </w:rPr>
        <w:t xml:space="preserve"> AM. Magnetic resonance cholangiopancreatography: a useful tool in the evaluation of pancreatic and biliary disorders. World J Gastroenterol. 2007;13(18):2529-2534. doi:10.3748/</w:t>
      </w:r>
      <w:proofErr w:type="gramStart"/>
      <w:r>
        <w:rPr>
          <w:rFonts w:ascii="Arial" w:hAnsi="Arial"/>
        </w:rPr>
        <w:t>wjg.v13.i</w:t>
      </w:r>
      <w:proofErr w:type="gramEnd"/>
      <w:r>
        <w:rPr>
          <w:rFonts w:ascii="Arial" w:hAnsi="Arial"/>
        </w:rPr>
        <w:t>18.2529</w:t>
      </w:r>
    </w:p>
    <w:p w14:paraId="241AE95D" w14:textId="77777777" w:rsidR="00523807" w:rsidRDefault="00B84A68">
      <w:pPr>
        <w:pStyle w:val="ListParagraph"/>
        <w:numPr>
          <w:ilvl w:val="0"/>
          <w:numId w:val="2"/>
        </w:numPr>
        <w:spacing w:after="0"/>
        <w:rPr>
          <w:rFonts w:ascii="Arial" w:hAnsi="Arial"/>
        </w:rPr>
      </w:pPr>
      <w:r w:rsidRPr="00C57D7B">
        <w:rPr>
          <w:rFonts w:ascii="Arial" w:hAnsi="Arial"/>
          <w:lang w:val="nl-BE"/>
        </w:rPr>
        <w:t xml:space="preserve">Rhaiem R, Piardi T, Renard Y, et al. </w:t>
      </w:r>
      <w:r>
        <w:rPr>
          <w:rFonts w:ascii="Arial" w:hAnsi="Arial"/>
        </w:rPr>
        <w:t xml:space="preserve">Preoperative </w:t>
      </w:r>
      <w:r>
        <w:rPr>
          <w:rFonts w:ascii="Arial" w:hAnsi="Arial"/>
        </w:rPr>
        <w:t xml:space="preserve">magnetic resonance cholangiopancreatography before planned laparoscopic cholecystectomy: is it </w:t>
      </w:r>
      <w:proofErr w:type="gramStart"/>
      <w:r>
        <w:rPr>
          <w:rFonts w:ascii="Arial" w:hAnsi="Arial"/>
        </w:rPr>
        <w:t>necessary?.</w:t>
      </w:r>
      <w:proofErr w:type="gramEnd"/>
      <w:r>
        <w:rPr>
          <w:rFonts w:ascii="Arial" w:hAnsi="Arial"/>
        </w:rPr>
        <w:t xml:space="preserve"> J Res Med Sci. </w:t>
      </w:r>
      <w:proofErr w:type="gramStart"/>
      <w:r>
        <w:rPr>
          <w:rFonts w:ascii="Arial" w:hAnsi="Arial"/>
        </w:rPr>
        <w:t>2019;24:107</w:t>
      </w:r>
      <w:proofErr w:type="gramEnd"/>
      <w:r>
        <w:rPr>
          <w:rFonts w:ascii="Arial" w:hAnsi="Arial"/>
        </w:rPr>
        <w:t xml:space="preserve">. Published 2019 Dec 23. </w:t>
      </w:r>
      <w:proofErr w:type="gramStart"/>
      <w:r>
        <w:rPr>
          <w:rFonts w:ascii="Arial" w:hAnsi="Arial"/>
        </w:rPr>
        <w:t>doi:10.4103/jrms.JRMS</w:t>
      </w:r>
      <w:proofErr w:type="gramEnd"/>
      <w:r>
        <w:rPr>
          <w:rFonts w:ascii="Arial" w:hAnsi="Arial"/>
        </w:rPr>
        <w:t>_281_19</w:t>
      </w:r>
    </w:p>
    <w:p w14:paraId="37775107" w14:textId="77777777" w:rsidR="00523807" w:rsidRDefault="00B84A68">
      <w:pPr>
        <w:pStyle w:val="ListParagraph"/>
        <w:numPr>
          <w:ilvl w:val="0"/>
          <w:numId w:val="2"/>
        </w:numPr>
        <w:spacing w:after="0"/>
        <w:rPr>
          <w:rFonts w:ascii="Arial" w:hAnsi="Arial"/>
        </w:rPr>
      </w:pPr>
      <w:r>
        <w:rPr>
          <w:rFonts w:ascii="Arial" w:hAnsi="Arial"/>
        </w:rPr>
        <w:t xml:space="preserve">Yamashita H, </w:t>
      </w:r>
      <w:proofErr w:type="spellStart"/>
      <w:r>
        <w:rPr>
          <w:rFonts w:ascii="Arial" w:hAnsi="Arial"/>
        </w:rPr>
        <w:t>Chijiiwa</w:t>
      </w:r>
      <w:proofErr w:type="spellEnd"/>
      <w:r>
        <w:rPr>
          <w:rFonts w:ascii="Arial" w:hAnsi="Arial"/>
        </w:rPr>
        <w:t xml:space="preserve"> K, Ogawa Y, Kuroki S, Tanaka M. The internal bi</w:t>
      </w:r>
      <w:r>
        <w:rPr>
          <w:rFonts w:ascii="Arial" w:hAnsi="Arial"/>
        </w:rPr>
        <w:t xml:space="preserve">liary fistula--reappraisal of incidence, type, diagnosis and management of 33 consecutive cases. </w:t>
      </w:r>
      <w:r>
        <w:rPr>
          <w:rFonts w:ascii="Arial" w:hAnsi="Arial"/>
          <w:i/>
          <w:iCs/>
        </w:rPr>
        <w:t>HPB Surg</w:t>
      </w:r>
      <w:r>
        <w:rPr>
          <w:rFonts w:ascii="Arial" w:hAnsi="Arial"/>
        </w:rPr>
        <w:t>. 1997;10(3):143-147. doi:10.1155/1997/95363</w:t>
      </w:r>
    </w:p>
    <w:p w14:paraId="776C54E1" w14:textId="77777777" w:rsidR="00523807" w:rsidRDefault="00B84A68">
      <w:pPr>
        <w:pStyle w:val="ListParagraph"/>
        <w:numPr>
          <w:ilvl w:val="0"/>
          <w:numId w:val="2"/>
        </w:numPr>
        <w:spacing w:after="0"/>
        <w:rPr>
          <w:rFonts w:ascii="Arial" w:hAnsi="Arial"/>
        </w:rPr>
      </w:pPr>
      <w:r>
        <w:rPr>
          <w:rFonts w:ascii="Arial" w:hAnsi="Arial"/>
        </w:rPr>
        <w:t>Muñoz Leija MA, Alemán-Jiménez MC, Plata-Álvarez H, Cárdenas-Salas VD, Valdez-López R. Laparoscopic Manage</w:t>
      </w:r>
      <w:r>
        <w:rPr>
          <w:rFonts w:ascii="Arial" w:hAnsi="Arial"/>
        </w:rPr>
        <w:t xml:space="preserve">ment of </w:t>
      </w:r>
      <w:proofErr w:type="spellStart"/>
      <w:r>
        <w:rPr>
          <w:rFonts w:ascii="Arial" w:hAnsi="Arial"/>
        </w:rPr>
        <w:t>Cholecystoduodenal</w:t>
      </w:r>
      <w:proofErr w:type="spellEnd"/>
      <w:r>
        <w:rPr>
          <w:rFonts w:ascii="Arial" w:hAnsi="Arial"/>
        </w:rPr>
        <w:t xml:space="preserve"> and </w:t>
      </w:r>
      <w:proofErr w:type="spellStart"/>
      <w:r>
        <w:rPr>
          <w:rFonts w:ascii="Arial" w:hAnsi="Arial"/>
        </w:rPr>
        <w:t>Cholecystocolic</w:t>
      </w:r>
      <w:proofErr w:type="spellEnd"/>
      <w:r>
        <w:rPr>
          <w:rFonts w:ascii="Arial" w:hAnsi="Arial"/>
        </w:rPr>
        <w:t xml:space="preserve"> Fistula: A Clinical Case Report. Cureus. 2023;15(6</w:t>
      </w:r>
      <w:proofErr w:type="gramStart"/>
      <w:r>
        <w:rPr>
          <w:rFonts w:ascii="Arial" w:hAnsi="Arial"/>
        </w:rPr>
        <w:t>):e</w:t>
      </w:r>
      <w:proofErr w:type="gramEnd"/>
      <w:r>
        <w:rPr>
          <w:rFonts w:ascii="Arial" w:hAnsi="Arial"/>
        </w:rPr>
        <w:t>40657. Published 2023 Jun 19. doi:10.7759/cureus.40657</w:t>
      </w:r>
    </w:p>
    <w:p w14:paraId="120125B1" w14:textId="77777777" w:rsidR="00523807" w:rsidRDefault="00B84A68">
      <w:pPr>
        <w:pStyle w:val="ListParagraph"/>
        <w:numPr>
          <w:ilvl w:val="0"/>
          <w:numId w:val="2"/>
        </w:numPr>
        <w:spacing w:after="0"/>
        <w:rPr>
          <w:rFonts w:ascii="Arial" w:hAnsi="Arial"/>
        </w:rPr>
      </w:pPr>
      <w:proofErr w:type="spellStart"/>
      <w:r>
        <w:rPr>
          <w:rFonts w:ascii="Arial" w:hAnsi="Arial"/>
        </w:rPr>
        <w:t>Crespi</w:t>
      </w:r>
      <w:proofErr w:type="spellEnd"/>
      <w:r>
        <w:rPr>
          <w:rFonts w:ascii="Arial" w:hAnsi="Arial"/>
        </w:rPr>
        <w:t xml:space="preserve"> M, </w:t>
      </w:r>
      <w:proofErr w:type="spellStart"/>
      <w:r>
        <w:rPr>
          <w:rFonts w:ascii="Arial" w:hAnsi="Arial"/>
        </w:rPr>
        <w:t>Montecamozzo</w:t>
      </w:r>
      <w:proofErr w:type="spellEnd"/>
      <w:r>
        <w:rPr>
          <w:rFonts w:ascii="Arial" w:hAnsi="Arial"/>
        </w:rPr>
        <w:t xml:space="preserve"> G, </w:t>
      </w:r>
      <w:proofErr w:type="spellStart"/>
      <w:r>
        <w:rPr>
          <w:rFonts w:ascii="Arial" w:hAnsi="Arial"/>
        </w:rPr>
        <w:t>Foschi</w:t>
      </w:r>
      <w:proofErr w:type="spellEnd"/>
      <w:r>
        <w:rPr>
          <w:rFonts w:ascii="Arial" w:hAnsi="Arial"/>
        </w:rPr>
        <w:t xml:space="preserve"> D. Diagnosis and Treatment of Biliary Fistulas in the Laparoscopic E</w:t>
      </w:r>
      <w:r>
        <w:rPr>
          <w:rFonts w:ascii="Arial" w:hAnsi="Arial"/>
        </w:rPr>
        <w:t xml:space="preserve">ra. </w:t>
      </w:r>
      <w:r>
        <w:rPr>
          <w:rFonts w:ascii="Arial" w:hAnsi="Arial"/>
          <w:i/>
          <w:iCs/>
        </w:rPr>
        <w:t xml:space="preserve">Gastroenterol Res </w:t>
      </w:r>
      <w:proofErr w:type="spellStart"/>
      <w:r>
        <w:rPr>
          <w:rFonts w:ascii="Arial" w:hAnsi="Arial"/>
          <w:i/>
          <w:iCs/>
        </w:rPr>
        <w:t>Pract</w:t>
      </w:r>
      <w:proofErr w:type="spellEnd"/>
      <w:r>
        <w:rPr>
          <w:rFonts w:ascii="Arial" w:hAnsi="Arial"/>
        </w:rPr>
        <w:t xml:space="preserve">. </w:t>
      </w:r>
      <w:proofErr w:type="gramStart"/>
      <w:r>
        <w:rPr>
          <w:rFonts w:ascii="Arial" w:hAnsi="Arial"/>
        </w:rPr>
        <w:t>2016;2016:6293538</w:t>
      </w:r>
      <w:proofErr w:type="gramEnd"/>
      <w:r>
        <w:rPr>
          <w:rFonts w:ascii="Arial" w:hAnsi="Arial"/>
        </w:rPr>
        <w:t>. doi:10.1155/2016/6293538</w:t>
      </w:r>
    </w:p>
    <w:p w14:paraId="510FA4C8" w14:textId="77777777" w:rsidR="00523807" w:rsidRDefault="00B84A68">
      <w:pPr>
        <w:pStyle w:val="ListParagraph"/>
        <w:numPr>
          <w:ilvl w:val="0"/>
          <w:numId w:val="2"/>
        </w:numPr>
        <w:spacing w:after="0"/>
        <w:rPr>
          <w:rFonts w:ascii="Arial" w:hAnsi="Arial"/>
        </w:rPr>
      </w:pPr>
      <w:r>
        <w:rPr>
          <w:rFonts w:ascii="Arial" w:hAnsi="Arial"/>
        </w:rPr>
        <w:t>Airon, A., Airon, N., Airon, D., Jain, S., &amp; Malik, R. (2022). Foreign Body Ingestion: Report of Two Cases. Journal of Advances in Medicine and Medical Research, 34(23), 164–170. http</w:t>
      </w:r>
      <w:r>
        <w:rPr>
          <w:rFonts w:ascii="Arial" w:hAnsi="Arial"/>
        </w:rPr>
        <w:t>s://doi.org/10.9734/jammr/2022/v34i234850</w:t>
      </w:r>
    </w:p>
    <w:p w14:paraId="6031704F" w14:textId="77777777" w:rsidR="00523807" w:rsidRDefault="00523807">
      <w:pPr>
        <w:pStyle w:val="ListParagraph"/>
        <w:spacing w:before="240" w:after="240"/>
      </w:pPr>
    </w:p>
    <w:sectPr w:rsidR="00523807">
      <w:headerReference w:type="default" r:id="rId14"/>
      <w:footerReference w:type="default" r:id="rId1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59F68" w14:textId="77777777" w:rsidR="00B84A68" w:rsidRDefault="00B84A68">
      <w:r>
        <w:separator/>
      </w:r>
    </w:p>
  </w:endnote>
  <w:endnote w:type="continuationSeparator" w:id="0">
    <w:p w14:paraId="69357A5E" w14:textId="77777777" w:rsidR="00B84A68" w:rsidRDefault="00B84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Aptos">
    <w:altName w:val="Calibri"/>
    <w:charset w:val="00"/>
    <w:family w:val="swiss"/>
    <w:pitch w:val="variable"/>
    <w:sig w:usb0="20000287" w:usb1="00000003" w:usb2="00000000" w:usb3="00000000" w:csb0="0000019F" w:csb1="00000000"/>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0805E" w14:textId="77777777" w:rsidR="00523807" w:rsidRDefault="00523807">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D4084" w14:textId="77777777" w:rsidR="00B84A68" w:rsidRDefault="00B84A68">
      <w:r>
        <w:separator/>
      </w:r>
    </w:p>
  </w:footnote>
  <w:footnote w:type="continuationSeparator" w:id="0">
    <w:p w14:paraId="27AB389C" w14:textId="77777777" w:rsidR="00B84A68" w:rsidRDefault="00B84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EE43F" w14:textId="77777777" w:rsidR="00523807" w:rsidRDefault="00B84A68">
    <w:pPr>
      <w:pStyle w:val="Header"/>
      <w:tabs>
        <w:tab w:val="clear" w:pos="9360"/>
        <w:tab w:val="right" w:pos="9340"/>
      </w:tabs>
    </w:pPr>
    <w:r>
      <w:rPr>
        <w:noProof/>
      </w:rPr>
      <mc:AlternateContent>
        <mc:Choice Requires="wps">
          <w:drawing>
            <wp:anchor distT="152400" distB="152400" distL="152400" distR="152400" simplePos="0" relativeHeight="251658240" behindDoc="1" locked="0" layoutInCell="1" allowOverlap="1" wp14:anchorId="7545B335" wp14:editId="0DF8E2F5">
              <wp:simplePos x="0" y="0"/>
              <wp:positionH relativeFrom="page">
                <wp:posOffset>115252</wp:posOffset>
              </wp:positionH>
              <wp:positionV relativeFrom="page">
                <wp:posOffset>4610417</wp:posOffset>
              </wp:positionV>
              <wp:extent cx="7541895" cy="837565"/>
              <wp:effectExtent l="0" t="2543804" r="0" b="2543804"/>
              <wp:wrapNone/>
              <wp:docPr id="1073741825" name="officeArt object" descr="UNDER PEER REVIEW"/>
              <wp:cNvGraphicFramePr/>
              <a:graphic xmlns:a="http://schemas.openxmlformats.org/drawingml/2006/main">
                <a:graphicData uri="http://schemas.microsoft.com/office/word/2010/wordprocessingShape">
                  <wps:wsp>
                    <wps:cNvSpPr txBox="1"/>
                    <wps:spPr>
                      <a:xfrm rot="18900000">
                        <a:off x="0" y="0"/>
                        <a:ext cx="7541895" cy="837565"/>
                      </a:xfrm>
                      <a:prstGeom prst="rect">
                        <a:avLst/>
                      </a:prstGeom>
                      <a:noFill/>
                      <a:ln w="12700" cap="flat">
                        <a:noFill/>
                        <a:miter lim="400000"/>
                      </a:ln>
                      <a:effectLst/>
                    </wps:spPr>
                    <wps:txbx>
                      <w:txbxContent>
                        <w:p w14:paraId="2027774B" w14:textId="77777777" w:rsidR="00523807" w:rsidRDefault="00B84A68">
                          <w:pPr>
                            <w:pStyle w:val="Caption"/>
                            <w:tabs>
                              <w:tab w:val="left" w:pos="1440"/>
                              <w:tab w:val="left" w:pos="2880"/>
                              <w:tab w:val="left" w:pos="4320"/>
                              <w:tab w:val="left" w:pos="5760"/>
                              <w:tab w:val="left" w:pos="7200"/>
                              <w:tab w:val="left" w:pos="8640"/>
                              <w:tab w:val="left" w:pos="10080"/>
                              <w:tab w:val="left" w:pos="11520"/>
                            </w:tabs>
                          </w:pPr>
                          <w:r>
                            <w:rPr>
                              <w:color w:val="C0C0C0"/>
                              <w:sz w:val="130"/>
                              <w:szCs w:val="130"/>
                              <w14:textFill>
                                <w14:solidFill>
                                  <w14:srgbClr w14:val="C0C0C0">
                                    <w14:alpha w14:val="50000"/>
                                  </w14:srgbClr>
                                </w14:solidFill>
                              </w14:textFill>
                            </w:rPr>
                            <w:t>UNDER PEER REVIEW</w:t>
                          </w:r>
                        </w:p>
                      </w:txbxContent>
                    </wps:txbx>
                    <wps:bodyPr wrap="square" lIns="0" tIns="0" rIns="0" bIns="0" numCol="1" anchor="ctr">
                      <a:normAutofit/>
                    </wps:bodyPr>
                  </wps:wsp>
                </a:graphicData>
              </a:graphic>
            </wp:anchor>
          </w:drawing>
        </mc:Choice>
        <mc:Fallback>
          <w:pict>
            <v:shapetype w14:anchorId="7545B335" id="_x0000_t202" coordsize="21600,21600" o:spt="202" path="m,l,21600r21600,l21600,xe">
              <v:stroke joinstyle="miter"/>
              <v:path gradientshapeok="t" o:connecttype="rect"/>
            </v:shapetype>
            <v:shape id="officeArt object" o:spid="_x0000_s1026" type="#_x0000_t202" alt="UNDER PEER REVIEW" style="position:absolute;margin-left:9.05pt;margin-top:363pt;width:593.85pt;height:65.95pt;rotation:-45;z-index:-2516582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" filled="f" stroked="f" strokeweight="1pt">
              <v:stroke miterlimit="4"/>
              <v:textbox inset="0,0,0,0">
                <w:txbxContent>
                  <w:p w14:paraId="2027774B" w14:textId="77777777" w:rsidR="00523807" w:rsidRDefault="00B84A68">
                    <w:pPr>
                      <w:pStyle w:val="Caption"/>
                      <w:tabs>
                        <w:tab w:val="left" w:pos="1440"/>
                        <w:tab w:val="left" w:pos="2880"/>
                        <w:tab w:val="left" w:pos="4320"/>
                        <w:tab w:val="left" w:pos="5760"/>
                        <w:tab w:val="left" w:pos="7200"/>
                        <w:tab w:val="left" w:pos="8640"/>
                        <w:tab w:val="left" w:pos="10080"/>
                        <w:tab w:val="left" w:pos="11520"/>
                      </w:tabs>
                    </w:pPr>
                    <w:r>
                      <w:rPr>
                        <w:color w:val="C0C0C0"/>
                        <w:sz w:val="130"/>
                        <w:szCs w:val="130"/>
                        <w14:textFill>
                          <w14:solidFill>
                            <w14:srgbClr w14:val="C0C0C0">
                              <w14:alpha w14:val="50000"/>
                            </w14:srgbClr>
                          </w14:solidFill>
                        </w14:textFill>
                      </w:rPr>
                      <w:t>UNDER PEER 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DB6AE2"/>
    <w:multiLevelType w:val="hybridMultilevel"/>
    <w:tmpl w:val="1A5A66AC"/>
    <w:numStyleLink w:val="ImportedStyle1"/>
  </w:abstractNum>
  <w:abstractNum w:abstractNumId="1" w15:restartNumberingAfterBreak="0">
    <w:nsid w:val="693B4789"/>
    <w:multiLevelType w:val="hybridMultilevel"/>
    <w:tmpl w:val="1A5A66AC"/>
    <w:styleLink w:val="ImportedStyle1"/>
    <w:lvl w:ilvl="0" w:tplc="493A91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7B874C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5253E2">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5DBEA62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8E72D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12BBD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215C219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26E271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7AB88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807"/>
    <w:rsid w:val="00495FAF"/>
    <w:rsid w:val="00523807"/>
    <w:rsid w:val="00901B3F"/>
    <w:rsid w:val="009675B3"/>
    <w:rsid w:val="00B84A68"/>
    <w:rsid w:val="00C5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0E32D"/>
  <w15:docId w15:val="{D0795811-6E1C-455C-9647-026B6790B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Aptos" w:eastAsia="Aptos" w:hAnsi="Aptos" w:cs="Aptos"/>
      <w:color w:val="000000"/>
      <w:sz w:val="24"/>
      <w:szCs w:val="24"/>
      <w:u w:color="000000"/>
    </w:rPr>
  </w:style>
  <w:style w:type="paragraph" w:styleId="Caption">
    <w:name w:val="caption"/>
    <w:pPr>
      <w:suppressAutoHyphens/>
      <w:outlineLvl w:val="0"/>
    </w:pPr>
    <w:rPr>
      <w:rFonts w:ascii="Aptos" w:eastAsia="Aptos" w:hAnsi="Aptos" w:cs="Aptos"/>
      <w:color w:val="000000"/>
      <w:sz w:val="36"/>
      <w:szCs w:val="36"/>
      <w:lang w:val="de-DE"/>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
    <w:name w:val="Body"/>
    <w:pPr>
      <w:spacing w:after="160" w:line="279" w:lineRule="auto"/>
    </w:pPr>
    <w:rPr>
      <w:rFonts w:ascii="Aptos" w:eastAsia="Aptos" w:hAnsi="Aptos" w:cs="Aptos"/>
      <w:color w:val="000000"/>
      <w:sz w:val="24"/>
      <w:szCs w:val="24"/>
      <w:u w:color="000000"/>
      <w14:textOutline w14:w="0" w14:cap="flat" w14:cmpd="sng" w14:algn="ctr">
        <w14:noFill/>
        <w14:prstDash w14:val="solid"/>
        <w14:bevel/>
      </w14:textOutline>
    </w:rPr>
  </w:style>
  <w:style w:type="paragraph" w:styleId="ListParagraph">
    <w:name w:val="List Paragraph"/>
    <w:pPr>
      <w:spacing w:after="160" w:line="279" w:lineRule="auto"/>
      <w:ind w:left="720"/>
    </w:pPr>
    <w:rPr>
      <w:rFonts w:ascii="Aptos" w:eastAsia="Aptos" w:hAnsi="Aptos" w:cs="Aptos"/>
      <w:color w:val="000000"/>
      <w:sz w:val="24"/>
      <w:szCs w:val="24"/>
      <w:u w:color="000000"/>
    </w:rPr>
  </w:style>
  <w:style w:type="numbering" w:customStyle="1" w:styleId="ImportedStyle1">
    <w:name w:val="Imported Style 1"/>
    <w:pPr>
      <w:numPr>
        <w:numId w:val="1"/>
      </w:numPr>
    </w:pPr>
  </w:style>
  <w:style w:type="character" w:customStyle="1" w:styleId="Link">
    <w:name w:val="Link"/>
    <w:rPr>
      <w:outline w:val="0"/>
      <w:color w:val="467886"/>
      <w:u w:val="single" w:color="467886"/>
    </w:rPr>
  </w:style>
  <w:style w:type="character" w:customStyle="1" w:styleId="Hyperlink0">
    <w:name w:val="Hyperlink.0"/>
    <w:basedOn w:val="Link"/>
    <w:rPr>
      <w:outline w:val="0"/>
      <w:color w:val="102C6D"/>
      <w:u w:val="single" w:color="102C6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3748/wjg.v18.i34.4639"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ptos"/>
            <a:ea typeface="Aptos"/>
            <a:cs typeface="Aptos"/>
            <a:sym typeface="Apto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2206</Words>
  <Characters>12578</Characters>
  <Application>Microsoft Office Word</Application>
  <DocSecurity>0</DocSecurity>
  <Lines>104</Lines>
  <Paragraphs>29</Paragraphs>
  <ScaleCrop>false</ScaleCrop>
  <Company/>
  <LinksUpToDate>false</LinksUpToDate>
  <CharactersWithSpaces>14755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3</cp:revision>
  <dcterms:created xsi:type="dcterms:W3CDTF">2025-07-17T08:14:00Z</dcterms:created>
  <dcterms:modified xsi:type="dcterms:W3CDTF">2025-07-18T05:50:00Z</dcterms:modified>
</cp:coreProperties>
</file>