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57033A" w14:textId="55CE58A3" w:rsidR="00754C9A" w:rsidRPr="007974F6" w:rsidRDefault="007974F6" w:rsidP="007974F6">
      <w:pPr>
        <w:pStyle w:val="Title"/>
        <w:spacing w:after="0"/>
        <w:rPr>
          <w:rFonts w:ascii="Arial" w:hAnsi="Arial" w:cs="Arial"/>
          <w:i/>
          <w:u w:val="single"/>
        </w:rPr>
      </w:pPr>
      <w:r w:rsidRPr="007974F6">
        <w:rPr>
          <w:rFonts w:ascii="Arial" w:hAnsi="Arial" w:cs="Arial"/>
          <w:i/>
          <w:u w:val="single"/>
        </w:rPr>
        <w:t>Case report</w:t>
      </w:r>
    </w:p>
    <w:p w14:paraId="1723934D" w14:textId="2D5846E0" w:rsidR="00163BC4" w:rsidRPr="00163BC4" w:rsidRDefault="00AD239B" w:rsidP="00441B6F">
      <w:pPr>
        <w:pStyle w:val="Author"/>
        <w:spacing w:line="240" w:lineRule="auto"/>
        <w:rPr>
          <w:rFonts w:ascii="Arial" w:hAnsi="Arial" w:cs="Arial"/>
          <w:bCs/>
          <w:iCs/>
          <w:kern w:val="28"/>
          <w:sz w:val="36"/>
        </w:rPr>
      </w:pPr>
      <w:r>
        <w:rPr>
          <w:rFonts w:ascii="Arial" w:hAnsi="Arial" w:cs="Arial"/>
          <w:bCs/>
          <w:iCs/>
          <w:kern w:val="28"/>
          <w:sz w:val="36"/>
        </w:rPr>
        <w:t>Double gastric peptic perforation in a 61-year-old patient</w:t>
      </w:r>
      <w:r w:rsidR="00D61070">
        <w:rPr>
          <w:rFonts w:ascii="Arial" w:hAnsi="Arial" w:cs="Arial"/>
          <w:bCs/>
          <w:iCs/>
          <w:kern w:val="28"/>
          <w:sz w:val="36"/>
        </w:rPr>
        <w:t>:</w:t>
      </w:r>
      <w:r w:rsidR="00DA61AE">
        <w:rPr>
          <w:rFonts w:ascii="Arial" w:hAnsi="Arial" w:cs="Arial"/>
          <w:bCs/>
          <w:iCs/>
          <w:kern w:val="28"/>
          <w:sz w:val="36"/>
        </w:rPr>
        <w:t xml:space="preserve"> </w:t>
      </w:r>
      <w:r w:rsidR="00D61070">
        <w:rPr>
          <w:rFonts w:ascii="Arial" w:hAnsi="Arial" w:cs="Arial"/>
          <w:bCs/>
          <w:iCs/>
          <w:kern w:val="28"/>
          <w:sz w:val="36"/>
        </w:rPr>
        <w:t>A</w:t>
      </w:r>
      <w:r w:rsidR="00DA61AE">
        <w:rPr>
          <w:rFonts w:ascii="Arial" w:hAnsi="Arial" w:cs="Arial"/>
          <w:bCs/>
          <w:iCs/>
          <w:kern w:val="28"/>
          <w:sz w:val="36"/>
        </w:rPr>
        <w:t xml:space="preserve"> case report</w:t>
      </w:r>
    </w:p>
    <w:p w14:paraId="4AD6BE09" w14:textId="77777777" w:rsidR="00A258C3" w:rsidRPr="00790ADA" w:rsidRDefault="00A258C3" w:rsidP="00441B6F">
      <w:pPr>
        <w:pStyle w:val="Author"/>
        <w:spacing w:line="240" w:lineRule="auto"/>
        <w:jc w:val="both"/>
        <w:rPr>
          <w:rFonts w:ascii="Arial" w:hAnsi="Arial" w:cs="Arial"/>
          <w:sz w:val="36"/>
        </w:rPr>
      </w:pPr>
    </w:p>
    <w:p w14:paraId="2050D9D2" w14:textId="77777777" w:rsidR="00B93D42" w:rsidRDefault="00B93D42" w:rsidP="00441B6F">
      <w:pPr>
        <w:pStyle w:val="Affiliation"/>
        <w:spacing w:after="0" w:line="240" w:lineRule="auto"/>
        <w:jc w:val="both"/>
        <w:rPr>
          <w:rFonts w:ascii="Arial" w:hAnsi="Arial" w:cs="Arial"/>
        </w:rPr>
      </w:pPr>
    </w:p>
    <w:p w14:paraId="1C0133A1" w14:textId="77777777" w:rsidR="002C57D2" w:rsidRPr="00FB3A86" w:rsidRDefault="002C57D2" w:rsidP="00441B6F">
      <w:pPr>
        <w:pStyle w:val="Affiliation"/>
        <w:spacing w:after="0" w:line="240" w:lineRule="auto"/>
        <w:jc w:val="both"/>
        <w:rPr>
          <w:rFonts w:ascii="Arial" w:hAnsi="Arial" w:cs="Arial"/>
        </w:rPr>
      </w:pPr>
    </w:p>
    <w:p w14:paraId="752664A0" w14:textId="04AEA486" w:rsidR="00B01FCD" w:rsidRPr="00FB3A86" w:rsidRDefault="00DA61AE" w:rsidP="00441B6F">
      <w:pPr>
        <w:pStyle w:val="Copyright"/>
        <w:spacing w:after="0" w:line="240" w:lineRule="auto"/>
        <w:jc w:val="both"/>
        <w:rPr>
          <w:rFonts w:ascii="Arial" w:hAnsi="Arial" w:cs="Arial"/>
        </w:rPr>
        <w:sectPr w:rsidR="00B01FCD" w:rsidRPr="00FB3A86" w:rsidSect="00343D52">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6B806A20" wp14:editId="3488F1BD">
                <wp:extent cx="5303520" cy="635"/>
                <wp:effectExtent l="13335" t="15240" r="17145" b="13335"/>
                <wp:docPr id="177959619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48E4EB3A"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5CEF56B8" w14:textId="7C126CA0"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64DEAFC7"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2C851E42" w14:textId="77777777" w:rsidTr="001E44FE">
        <w:tc>
          <w:tcPr>
            <w:tcW w:w="9576" w:type="dxa"/>
            <w:shd w:val="clear" w:color="auto" w:fill="F2F2F2"/>
          </w:tcPr>
          <w:p w14:paraId="6176985D" w14:textId="5CB6EA5A" w:rsidR="0083357F" w:rsidRPr="001A79D5" w:rsidRDefault="0083357F" w:rsidP="0083357F">
            <w:pPr>
              <w:pStyle w:val="Body"/>
              <w:spacing w:after="0"/>
              <w:rPr>
                <w:rFonts w:ascii="Arial" w:eastAsia="Calibri" w:hAnsi="Arial" w:cs="Arial"/>
                <w:bCs/>
                <w:szCs w:val="22"/>
              </w:rPr>
            </w:pPr>
            <w:r>
              <w:rPr>
                <w:rFonts w:ascii="Arial" w:eastAsia="Calibri" w:hAnsi="Arial" w:cs="Arial"/>
                <w:b/>
                <w:szCs w:val="22"/>
              </w:rPr>
              <w:t>Introduction</w:t>
            </w:r>
            <w:r w:rsidRPr="00BA1B01">
              <w:rPr>
                <w:rFonts w:ascii="Arial" w:eastAsia="Calibri" w:hAnsi="Arial" w:cs="Arial"/>
                <w:b/>
                <w:szCs w:val="22"/>
              </w:rPr>
              <w:t xml:space="preserve">: </w:t>
            </w:r>
            <w:r w:rsidR="0007260E">
              <w:rPr>
                <w:rFonts w:eastAsia="Calibri" w:cs="Arial"/>
                <w:bCs/>
                <w:szCs w:val="22"/>
              </w:rPr>
              <w:t>Peptic ulcer perforation is one of the most frequent surgical emergencies, the major predisposing factor are Helicobacter pylori infection and NSAIDs chronic use</w:t>
            </w:r>
            <w:r w:rsidR="00C07BF0">
              <w:rPr>
                <w:rFonts w:eastAsia="Calibri" w:cs="Arial"/>
                <w:bCs/>
                <w:szCs w:val="22"/>
              </w:rPr>
              <w:t xml:space="preserve">, </w:t>
            </w:r>
            <w:r w:rsidR="00C07BF0" w:rsidRPr="00564BA2">
              <w:rPr>
                <w:rFonts w:eastAsia="Calibri" w:cs="Arial"/>
                <w:bCs/>
                <w:szCs w:val="22"/>
                <w:highlight w:val="yellow"/>
              </w:rPr>
              <w:t>multiple simultaneous gastric perforations are extremely rare, and are described in literature in fragile patients</w:t>
            </w:r>
            <w:r w:rsidR="00C07BF0">
              <w:rPr>
                <w:rFonts w:eastAsia="Calibri" w:cs="Arial"/>
                <w:bCs/>
                <w:szCs w:val="22"/>
              </w:rPr>
              <w:t xml:space="preserve">. </w:t>
            </w:r>
          </w:p>
          <w:p w14:paraId="76FC2C7F" w14:textId="1BECD70B" w:rsidR="000A269C" w:rsidRDefault="0083357F" w:rsidP="0007260E">
            <w:pPr>
              <w:pStyle w:val="Body"/>
              <w:spacing w:after="0"/>
              <w:rPr>
                <w:spacing w:val="-4"/>
                <w:w w:val="105"/>
              </w:rPr>
            </w:pPr>
            <w:r>
              <w:rPr>
                <w:rFonts w:ascii="Arial" w:eastAsia="Calibri" w:hAnsi="Arial" w:cs="Arial"/>
                <w:b/>
                <w:szCs w:val="22"/>
              </w:rPr>
              <w:t>Presentation of the Case</w:t>
            </w:r>
            <w:r w:rsidRPr="00BA1B01">
              <w:rPr>
                <w:rFonts w:ascii="Arial" w:eastAsia="Calibri" w:hAnsi="Arial" w:cs="Arial"/>
                <w:b/>
                <w:szCs w:val="22"/>
              </w:rPr>
              <w:t>:</w:t>
            </w:r>
            <w:r w:rsidRPr="00BA1B01">
              <w:rPr>
                <w:rFonts w:ascii="Arial" w:eastAsia="Calibri" w:hAnsi="Arial" w:cs="Arial"/>
                <w:szCs w:val="22"/>
              </w:rPr>
              <w:t xml:space="preserve">  </w:t>
            </w:r>
            <w:r w:rsidR="0007260E">
              <w:rPr>
                <w:spacing w:val="-4"/>
                <w:w w:val="105"/>
              </w:rPr>
              <w:t xml:space="preserve">Our patient is a </w:t>
            </w:r>
            <w:proofErr w:type="gramStart"/>
            <w:r w:rsidR="0007260E">
              <w:rPr>
                <w:spacing w:val="-4"/>
                <w:w w:val="105"/>
              </w:rPr>
              <w:t>61 year old</w:t>
            </w:r>
            <w:proofErr w:type="gramEnd"/>
            <w:r w:rsidR="0007260E">
              <w:rPr>
                <w:spacing w:val="-4"/>
                <w:w w:val="105"/>
              </w:rPr>
              <w:t xml:space="preserve"> male, with history of chronic smoking, admitted to the emergency room for generalized abdominal pain and vomiting, evolving for 5 days.</w:t>
            </w:r>
          </w:p>
          <w:p w14:paraId="45B04449" w14:textId="758FD6C6" w:rsidR="0007260E" w:rsidRPr="00BA1B01" w:rsidRDefault="0007260E" w:rsidP="0007260E">
            <w:pPr>
              <w:pStyle w:val="Body"/>
              <w:spacing w:after="0"/>
              <w:rPr>
                <w:rFonts w:ascii="Arial" w:eastAsia="Calibri" w:hAnsi="Arial" w:cs="Arial"/>
                <w:szCs w:val="22"/>
              </w:rPr>
            </w:pPr>
            <w:r>
              <w:rPr>
                <w:rFonts w:eastAsia="Calibri" w:cs="Arial"/>
                <w:szCs w:val="22"/>
              </w:rPr>
              <w:t xml:space="preserve">CT scan showed multiple fluid collections with gas bubbles, the patient </w:t>
            </w:r>
            <w:proofErr w:type="spellStart"/>
            <w:r>
              <w:rPr>
                <w:rFonts w:eastAsia="Calibri" w:cs="Arial"/>
                <w:szCs w:val="22"/>
              </w:rPr>
              <w:t>wa</w:t>
            </w:r>
            <w:proofErr w:type="spellEnd"/>
            <w:r>
              <w:rPr>
                <w:rFonts w:eastAsia="Calibri" w:cs="Arial"/>
                <w:szCs w:val="22"/>
              </w:rPr>
              <w:t xml:space="preserve"> operated on with the discovery of 2 gastric perforations, one in the pylorus and the other in the antrum, primary suture was </w:t>
            </w:r>
            <w:proofErr w:type="spellStart"/>
            <w:r>
              <w:rPr>
                <w:rFonts w:eastAsia="Calibri" w:cs="Arial"/>
                <w:szCs w:val="22"/>
              </w:rPr>
              <w:t>perfomed</w:t>
            </w:r>
            <w:proofErr w:type="spellEnd"/>
            <w:r>
              <w:rPr>
                <w:rFonts w:eastAsia="Calibri" w:cs="Arial"/>
                <w:szCs w:val="22"/>
              </w:rPr>
              <w:t xml:space="preserve"> with omental patch and peritoneal lavage, the post operative course was uneventful and the patient was discharged on the fifth day.</w:t>
            </w:r>
          </w:p>
          <w:p w14:paraId="6AE2BF18" w14:textId="27739BF8" w:rsidR="0083357F" w:rsidRPr="00BA1B01" w:rsidRDefault="0083357F" w:rsidP="0083357F">
            <w:pPr>
              <w:pStyle w:val="Body"/>
              <w:spacing w:after="0"/>
              <w:rPr>
                <w:rFonts w:ascii="Arial" w:eastAsia="Calibri" w:hAnsi="Arial" w:cs="Arial"/>
                <w:szCs w:val="22"/>
              </w:rPr>
            </w:pPr>
            <w:r>
              <w:rPr>
                <w:rFonts w:ascii="Arial" w:eastAsia="Calibri" w:hAnsi="Arial" w:cs="Arial"/>
                <w:b/>
                <w:szCs w:val="22"/>
              </w:rPr>
              <w:t>Discussion</w:t>
            </w:r>
            <w:r w:rsidRPr="00BA1B01">
              <w:rPr>
                <w:rFonts w:ascii="Arial" w:eastAsia="Calibri" w:hAnsi="Arial" w:cs="Arial"/>
                <w:b/>
                <w:szCs w:val="22"/>
              </w:rPr>
              <w:t>:</w:t>
            </w:r>
            <w:r w:rsidRPr="00BA1B01">
              <w:rPr>
                <w:rFonts w:ascii="Arial" w:eastAsia="Calibri" w:hAnsi="Arial" w:cs="Arial"/>
                <w:szCs w:val="22"/>
              </w:rPr>
              <w:t xml:space="preserve"> </w:t>
            </w:r>
            <w:r w:rsidR="0007260E">
              <w:rPr>
                <w:rFonts w:eastAsia="Calibri" w:cs="Arial"/>
                <w:szCs w:val="22"/>
              </w:rPr>
              <w:t xml:space="preserve">peptic ulcer perforation is a frequent surgical </w:t>
            </w:r>
            <w:proofErr w:type="gramStart"/>
            <w:r w:rsidR="0007260E">
              <w:rPr>
                <w:rFonts w:eastAsia="Calibri" w:cs="Arial"/>
                <w:szCs w:val="22"/>
              </w:rPr>
              <w:t>emergency,</w:t>
            </w:r>
            <w:proofErr w:type="gramEnd"/>
            <w:r w:rsidR="0007260E">
              <w:rPr>
                <w:rFonts w:eastAsia="Calibri" w:cs="Arial"/>
                <w:szCs w:val="22"/>
              </w:rPr>
              <w:t xml:space="preserve"> however, double peptic perforation of the stomach is an extremely rare entity, its has been described few times in literature in patients with multiple risk factors.</w:t>
            </w:r>
          </w:p>
          <w:p w14:paraId="6130E9C5" w14:textId="140B0C61" w:rsidR="00505F06" w:rsidRPr="0007260E" w:rsidRDefault="0083357F" w:rsidP="0083357F">
            <w:pPr>
              <w:pStyle w:val="Body"/>
              <w:spacing w:after="0"/>
              <w:rPr>
                <w:rFonts w:ascii="Arial" w:eastAsia="Calibri" w:hAnsi="Arial" w:cs="Arial"/>
                <w:szCs w:val="22"/>
              </w:rPr>
            </w:pPr>
            <w:r>
              <w:rPr>
                <w:rFonts w:ascii="Arial" w:eastAsia="Calibri" w:hAnsi="Arial" w:cs="Arial"/>
                <w:b/>
                <w:bCs/>
                <w:szCs w:val="22"/>
              </w:rPr>
              <w:t>Conclusion</w:t>
            </w:r>
            <w:r w:rsidRPr="00BA1B01">
              <w:rPr>
                <w:rFonts w:ascii="Arial" w:eastAsia="Calibri" w:hAnsi="Arial" w:cs="Arial"/>
                <w:b/>
                <w:bCs/>
                <w:szCs w:val="22"/>
              </w:rPr>
              <w:t>:</w:t>
            </w:r>
            <w:r w:rsidR="0007260E">
              <w:rPr>
                <w:rFonts w:ascii="Arial" w:eastAsia="Calibri" w:hAnsi="Arial" w:cs="Arial"/>
                <w:b/>
                <w:bCs/>
                <w:szCs w:val="22"/>
              </w:rPr>
              <w:t xml:space="preserve"> </w:t>
            </w:r>
            <w:r w:rsidR="0007260E">
              <w:rPr>
                <w:rFonts w:ascii="Arial" w:eastAsia="Calibri" w:hAnsi="Arial" w:cs="Arial"/>
                <w:szCs w:val="22"/>
              </w:rPr>
              <w:t>Double peptic perforation is a rare entity that should be known by surgeons</w:t>
            </w:r>
            <w:r w:rsidR="00A64409">
              <w:rPr>
                <w:rFonts w:ascii="Arial" w:eastAsia="Calibri" w:hAnsi="Arial" w:cs="Arial"/>
                <w:szCs w:val="22"/>
              </w:rPr>
              <w:t xml:space="preserve"> in order to minimize complications and mortality</w:t>
            </w:r>
          </w:p>
        </w:tc>
      </w:tr>
    </w:tbl>
    <w:p w14:paraId="09E68ED7" w14:textId="77777777" w:rsidR="00636EB2" w:rsidRDefault="00636EB2" w:rsidP="00441B6F">
      <w:pPr>
        <w:pStyle w:val="Body"/>
        <w:spacing w:after="0"/>
        <w:rPr>
          <w:rFonts w:ascii="Arial" w:hAnsi="Arial" w:cs="Arial"/>
          <w:i/>
        </w:rPr>
      </w:pPr>
    </w:p>
    <w:p w14:paraId="14A1FC9D" w14:textId="39FD62D2" w:rsidR="0024282C" w:rsidRPr="002135D1" w:rsidRDefault="00A24E7E" w:rsidP="00441B6F">
      <w:pPr>
        <w:pStyle w:val="Body"/>
        <w:spacing w:after="0"/>
        <w:rPr>
          <w:rFonts w:ascii="Arial" w:hAnsi="Arial" w:cs="Arial"/>
          <w:i/>
        </w:rPr>
      </w:pPr>
      <w:r>
        <w:rPr>
          <w:rFonts w:ascii="Arial" w:hAnsi="Arial" w:cs="Arial"/>
          <w:i/>
        </w:rPr>
        <w:t>Keywords:</w:t>
      </w:r>
      <w:r w:rsidR="001D26A9">
        <w:rPr>
          <w:rFonts w:ascii="Arial" w:hAnsi="Arial" w:cs="Arial"/>
          <w:i/>
        </w:rPr>
        <w:t xml:space="preserve"> </w:t>
      </w:r>
      <w:r w:rsidR="002A0826">
        <w:rPr>
          <w:rFonts w:ascii="Arial" w:hAnsi="Arial" w:cs="Arial"/>
          <w:i/>
          <w:highlight w:val="yellow"/>
        </w:rPr>
        <w:t>ACUTE ABDOMEN</w:t>
      </w:r>
      <w:r w:rsidR="001D26A9" w:rsidRPr="00564BA2">
        <w:rPr>
          <w:rFonts w:ascii="Arial" w:hAnsi="Arial" w:cs="Arial"/>
          <w:i/>
          <w:highlight w:val="yellow"/>
        </w:rPr>
        <w:t xml:space="preserve">, </w:t>
      </w:r>
      <w:r w:rsidR="002A0826">
        <w:rPr>
          <w:rFonts w:ascii="Arial" w:hAnsi="Arial" w:cs="Arial"/>
          <w:i/>
          <w:highlight w:val="yellow"/>
        </w:rPr>
        <w:t>CASE REPORT</w:t>
      </w:r>
      <w:r w:rsidR="001D26A9" w:rsidRPr="00564BA2">
        <w:rPr>
          <w:rFonts w:ascii="Arial" w:hAnsi="Arial" w:cs="Arial"/>
          <w:i/>
          <w:highlight w:val="yellow"/>
        </w:rPr>
        <w:t>,</w:t>
      </w:r>
      <w:r w:rsidR="00A65764" w:rsidRPr="00564BA2">
        <w:rPr>
          <w:rFonts w:ascii="Arial" w:hAnsi="Arial" w:cs="Arial"/>
          <w:i/>
          <w:highlight w:val="yellow"/>
        </w:rPr>
        <w:t xml:space="preserve"> </w:t>
      </w:r>
      <w:r w:rsidR="002A0826">
        <w:rPr>
          <w:rFonts w:ascii="Arial" w:hAnsi="Arial" w:cs="Arial"/>
          <w:i/>
          <w:highlight w:val="yellow"/>
        </w:rPr>
        <w:t>DOUBLE PEPTIC PERFORATION</w:t>
      </w:r>
      <w:r w:rsidR="00DC0BAA" w:rsidRPr="00564BA2">
        <w:rPr>
          <w:rFonts w:ascii="Arial" w:hAnsi="Arial" w:cs="Arial"/>
          <w:i/>
          <w:highlight w:val="yellow"/>
        </w:rPr>
        <w:t xml:space="preserve">, </w:t>
      </w:r>
      <w:r w:rsidR="002A0826" w:rsidRPr="00503C99">
        <w:rPr>
          <w:rFonts w:ascii="Arial" w:hAnsi="Arial" w:cs="Arial"/>
          <w:i/>
          <w:highlight w:val="yellow"/>
        </w:rPr>
        <w:t>PEPTIC ULCER</w:t>
      </w:r>
      <w:r w:rsidR="00AE06D9">
        <w:rPr>
          <w:rFonts w:ascii="Arial" w:hAnsi="Arial" w:cs="Arial"/>
          <w:i/>
        </w:rPr>
        <w:t>.</w:t>
      </w:r>
    </w:p>
    <w:p w14:paraId="2564D174" w14:textId="77777777" w:rsidR="00505F06" w:rsidRPr="00A24E7E" w:rsidRDefault="00505F06" w:rsidP="00441B6F">
      <w:pPr>
        <w:pStyle w:val="Body"/>
        <w:spacing w:after="0"/>
        <w:rPr>
          <w:rFonts w:ascii="Arial" w:hAnsi="Arial" w:cs="Arial"/>
          <w:i/>
        </w:rPr>
      </w:pPr>
    </w:p>
    <w:p w14:paraId="27C40E62" w14:textId="0A810128"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276884C5" w14:textId="77777777" w:rsidR="00790ADA" w:rsidRPr="00FB3A86" w:rsidRDefault="00790ADA" w:rsidP="00441B6F">
      <w:pPr>
        <w:pStyle w:val="AbstHead"/>
        <w:spacing w:after="0"/>
        <w:jc w:val="both"/>
        <w:rPr>
          <w:rFonts w:ascii="Arial" w:hAnsi="Arial" w:cs="Arial"/>
        </w:rPr>
      </w:pPr>
    </w:p>
    <w:p w14:paraId="5F795EB3" w14:textId="5D8E6DA1" w:rsidR="001027C1" w:rsidRDefault="00507911" w:rsidP="00441B6F">
      <w:pPr>
        <w:pStyle w:val="Body"/>
        <w:spacing w:after="0"/>
        <w:rPr>
          <w:rFonts w:ascii="Arial" w:hAnsi="Arial" w:cs="Arial"/>
        </w:rPr>
      </w:pPr>
      <w:r>
        <w:rPr>
          <w:rFonts w:ascii="Arial" w:hAnsi="Arial" w:cs="Arial"/>
        </w:rPr>
        <w:t xml:space="preserve">Peptic ulcer disease is one of the most prevalent gastro intestinal diseases [1], Frequency varies in countries, and the major factors are Helicobacter pylori infection and the consumption of </w:t>
      </w:r>
      <w:proofErr w:type="spellStart"/>
      <w:proofErr w:type="gramStart"/>
      <w:r>
        <w:rPr>
          <w:rFonts w:ascii="Arial" w:hAnsi="Arial" w:cs="Arial"/>
        </w:rPr>
        <w:t>non steroidal</w:t>
      </w:r>
      <w:proofErr w:type="spellEnd"/>
      <w:proofErr w:type="gramEnd"/>
      <w:r>
        <w:rPr>
          <w:rFonts w:ascii="Arial" w:hAnsi="Arial" w:cs="Arial"/>
        </w:rPr>
        <w:t xml:space="preserve"> </w:t>
      </w:r>
      <w:proofErr w:type="spellStart"/>
      <w:r>
        <w:rPr>
          <w:rFonts w:ascii="Arial" w:hAnsi="Arial" w:cs="Arial"/>
        </w:rPr>
        <w:t>anti inflammatory</w:t>
      </w:r>
      <w:proofErr w:type="spellEnd"/>
      <w:r>
        <w:rPr>
          <w:rFonts w:ascii="Arial" w:hAnsi="Arial" w:cs="Arial"/>
        </w:rPr>
        <w:t xml:space="preserve"> drugs [2]</w:t>
      </w:r>
      <w:r w:rsidR="001027C1">
        <w:rPr>
          <w:rFonts w:ascii="Arial" w:hAnsi="Arial" w:cs="Arial"/>
        </w:rPr>
        <w:t xml:space="preserve">, Perforation occurs in about 5 to 10% of patients with active ulcer disease. </w:t>
      </w:r>
      <w:r w:rsidR="00AA551A" w:rsidRPr="00AA551A">
        <w:rPr>
          <w:rFonts w:ascii="Arial" w:hAnsi="Arial" w:cs="Arial"/>
          <w:highlight w:val="yellow"/>
        </w:rPr>
        <w:t xml:space="preserve">Smoking independently increases acid secretion, impairs mucosal defenses, delays healing, and elevates complication </w:t>
      </w:r>
      <w:proofErr w:type="gramStart"/>
      <w:r w:rsidR="00AA551A" w:rsidRPr="00AA551A">
        <w:rPr>
          <w:rFonts w:ascii="Arial" w:hAnsi="Arial" w:cs="Arial"/>
          <w:highlight w:val="yellow"/>
        </w:rPr>
        <w:t>rates</w:t>
      </w:r>
      <w:r w:rsidR="00CE44B8">
        <w:rPr>
          <w:rFonts w:ascii="Arial" w:hAnsi="Arial" w:cs="Arial"/>
        </w:rPr>
        <w:t>[</w:t>
      </w:r>
      <w:proofErr w:type="gramEnd"/>
      <w:r w:rsidR="00CE44B8">
        <w:rPr>
          <w:rFonts w:ascii="Arial" w:hAnsi="Arial" w:cs="Arial"/>
        </w:rPr>
        <w:t>3]</w:t>
      </w:r>
      <w:r w:rsidR="00AA551A" w:rsidRPr="00AA551A">
        <w:rPr>
          <w:rFonts w:ascii="Arial" w:hAnsi="Arial" w:cs="Arial"/>
        </w:rPr>
        <w:t>.</w:t>
      </w:r>
      <w:r w:rsidR="00AA551A">
        <w:rPr>
          <w:rFonts w:ascii="Arial" w:hAnsi="Arial" w:cs="Arial"/>
        </w:rPr>
        <w:t xml:space="preserve"> </w:t>
      </w:r>
      <w:r w:rsidR="001027C1">
        <w:rPr>
          <w:rFonts w:ascii="Arial" w:hAnsi="Arial" w:cs="Arial"/>
        </w:rPr>
        <w:t>The diagnosis of the perforation is done by x ray and treatment is mostly surgical</w:t>
      </w:r>
      <w:r w:rsidR="001027C1" w:rsidRPr="00994FA6">
        <w:rPr>
          <w:rFonts w:ascii="Arial" w:hAnsi="Arial" w:cs="Arial"/>
          <w:highlight w:val="yellow"/>
        </w:rPr>
        <w:t>.</w:t>
      </w:r>
      <w:r w:rsidR="00870CBB" w:rsidRPr="00994FA6">
        <w:rPr>
          <w:rFonts w:ascii="Arial" w:hAnsi="Arial" w:cs="Arial"/>
          <w:highlight w:val="yellow"/>
        </w:rPr>
        <w:t xml:space="preserve"> Double peptic perforation is extremely rare, and mostly </w:t>
      </w:r>
      <w:r w:rsidR="00994FA6" w:rsidRPr="00994FA6">
        <w:rPr>
          <w:rFonts w:ascii="Arial" w:hAnsi="Arial" w:cs="Arial"/>
          <w:highlight w:val="yellow"/>
        </w:rPr>
        <w:t xml:space="preserve">are related to trauma or </w:t>
      </w:r>
      <w:r w:rsidR="00870CBB" w:rsidRPr="00994FA6">
        <w:rPr>
          <w:rFonts w:ascii="Arial" w:hAnsi="Arial" w:cs="Arial"/>
          <w:highlight w:val="yellow"/>
        </w:rPr>
        <w:t>occur in patients with multiple risk factor</w:t>
      </w:r>
      <w:r w:rsidR="00844586">
        <w:rPr>
          <w:rFonts w:ascii="Arial" w:hAnsi="Arial" w:cs="Arial"/>
        </w:rPr>
        <w:t>.</w:t>
      </w:r>
      <w:r w:rsidR="00AE7E1D" w:rsidRPr="00AE7E1D">
        <w:t xml:space="preserve"> </w:t>
      </w:r>
      <w:r w:rsidR="00AE7E1D" w:rsidRPr="00AE7E1D">
        <w:rPr>
          <w:rFonts w:ascii="Arial" w:hAnsi="Arial" w:cs="Arial"/>
        </w:rPr>
        <w:t>Although perforations can occur in various parts of the gastrointestinal tract, a dual perforation in the stomach is uncommon and poses unique management challenges, particularly when not immediately recognized</w:t>
      </w:r>
      <w:r w:rsidR="00AE7E1D">
        <w:rPr>
          <w:rFonts w:ascii="Arial" w:hAnsi="Arial" w:cs="Arial"/>
        </w:rPr>
        <w:t>.</w:t>
      </w:r>
    </w:p>
    <w:p w14:paraId="6377E91B" w14:textId="419CF6A8" w:rsidR="00AE7E1D" w:rsidRDefault="00AE7E1D" w:rsidP="00441B6F">
      <w:pPr>
        <w:pStyle w:val="Body"/>
        <w:spacing w:after="0"/>
        <w:rPr>
          <w:rFonts w:ascii="Arial" w:hAnsi="Arial" w:cs="Arial"/>
        </w:rPr>
      </w:pPr>
      <w:r w:rsidRPr="00AE7E1D">
        <w:rPr>
          <w:rFonts w:ascii="Arial" w:hAnsi="Arial" w:cs="Arial"/>
        </w:rPr>
        <w:t>We present a rare case of simultaneous antral and pyloric perforation in a heavy smoker without NSAID exposure</w:t>
      </w:r>
      <w:r>
        <w:rPr>
          <w:rFonts w:ascii="Arial" w:hAnsi="Arial" w:cs="Arial"/>
        </w:rPr>
        <w:t>.</w:t>
      </w:r>
    </w:p>
    <w:p w14:paraId="5513E885" w14:textId="77777777" w:rsidR="00505F06" w:rsidRDefault="00505F06" w:rsidP="00441B6F">
      <w:pPr>
        <w:pStyle w:val="Body"/>
        <w:spacing w:after="0"/>
        <w:rPr>
          <w:rFonts w:ascii="Arial" w:hAnsi="Arial" w:cs="Arial"/>
        </w:rPr>
      </w:pPr>
    </w:p>
    <w:p w14:paraId="6BDC5175" w14:textId="77777777" w:rsidR="00790ADA" w:rsidRPr="00FB3A86" w:rsidRDefault="00790ADA" w:rsidP="00441B6F">
      <w:pPr>
        <w:pStyle w:val="Body"/>
        <w:spacing w:after="0"/>
        <w:rPr>
          <w:rFonts w:ascii="Arial" w:hAnsi="Arial" w:cs="Arial"/>
        </w:rPr>
      </w:pPr>
    </w:p>
    <w:p w14:paraId="7E2DEBD0" w14:textId="1991D6A1" w:rsidR="007F7B32" w:rsidRDefault="00902823" w:rsidP="00441B6F">
      <w:pPr>
        <w:pStyle w:val="AbstHead"/>
        <w:spacing w:after="0"/>
        <w:jc w:val="both"/>
        <w:rPr>
          <w:rFonts w:ascii="Arial" w:hAnsi="Arial" w:cs="Arial"/>
        </w:rPr>
      </w:pPr>
      <w:r>
        <w:rPr>
          <w:rFonts w:ascii="Arial" w:hAnsi="Arial" w:cs="Arial"/>
        </w:rPr>
        <w:t xml:space="preserve">2. </w:t>
      </w:r>
      <w:r w:rsidR="00954A07">
        <w:rPr>
          <w:rFonts w:ascii="Arial" w:hAnsi="Arial" w:cs="Arial"/>
        </w:rPr>
        <w:t>Presentation of the case</w:t>
      </w:r>
    </w:p>
    <w:p w14:paraId="42BC8392" w14:textId="77777777" w:rsidR="00790ADA" w:rsidRPr="00FB3A86" w:rsidRDefault="00790ADA" w:rsidP="00441B6F">
      <w:pPr>
        <w:pStyle w:val="AbstHead"/>
        <w:spacing w:after="0"/>
        <w:jc w:val="both"/>
        <w:rPr>
          <w:rFonts w:ascii="Arial" w:hAnsi="Arial" w:cs="Arial"/>
        </w:rPr>
      </w:pPr>
    </w:p>
    <w:p w14:paraId="787F9F34" w14:textId="69797D43" w:rsidR="00205720" w:rsidRDefault="001027C1" w:rsidP="00441B6F">
      <w:pPr>
        <w:pStyle w:val="Body"/>
        <w:spacing w:after="0"/>
        <w:rPr>
          <w:rFonts w:ascii="Arial" w:hAnsi="Arial" w:cs="Arial"/>
        </w:rPr>
      </w:pPr>
      <w:r>
        <w:rPr>
          <w:rFonts w:ascii="Arial" w:hAnsi="Arial" w:cs="Arial"/>
        </w:rPr>
        <w:t xml:space="preserve">We present the case of a </w:t>
      </w:r>
      <w:r w:rsidR="008C762F">
        <w:rPr>
          <w:rFonts w:ascii="Arial" w:hAnsi="Arial" w:cs="Arial"/>
        </w:rPr>
        <w:t>61-year-old</w:t>
      </w:r>
      <w:r>
        <w:rPr>
          <w:rFonts w:ascii="Arial" w:hAnsi="Arial" w:cs="Arial"/>
        </w:rPr>
        <w:t xml:space="preserve"> male</w:t>
      </w:r>
      <w:r w:rsidR="001C4989">
        <w:rPr>
          <w:rFonts w:ascii="Arial" w:hAnsi="Arial" w:cs="Arial"/>
        </w:rPr>
        <w:t xml:space="preserve"> with history of smoking, presenting with generalized abdominal pain evolving for 5 days,</w:t>
      </w:r>
      <w:r w:rsidR="00AD3282" w:rsidRPr="00AD3282">
        <w:t xml:space="preserve"> </w:t>
      </w:r>
      <w:r w:rsidR="00AD3282" w:rsidRPr="00AD3282">
        <w:rPr>
          <w:rFonts w:ascii="Arial" w:hAnsi="Arial" w:cs="Arial"/>
        </w:rPr>
        <w:t xml:space="preserve">associated with </w:t>
      </w:r>
      <w:r w:rsidR="00AD3282" w:rsidRPr="00AD3282">
        <w:rPr>
          <w:rFonts w:ascii="Arial" w:hAnsi="Arial" w:cs="Arial"/>
          <w:color w:val="000000" w:themeColor="text1"/>
        </w:rPr>
        <w:t>nausea, vomiting, and abdominal distension. He reported no history of prior abdominal trauma or recent surgery</w:t>
      </w:r>
      <w:r w:rsidR="00AD3282">
        <w:rPr>
          <w:rFonts w:ascii="Arial" w:hAnsi="Arial" w:cs="Arial"/>
          <w:color w:val="000000" w:themeColor="text1"/>
        </w:rPr>
        <w:t>.</w:t>
      </w:r>
      <w:r w:rsidR="001C4989" w:rsidRPr="00AD3282">
        <w:rPr>
          <w:rFonts w:ascii="Arial" w:hAnsi="Arial" w:cs="Arial"/>
          <w:color w:val="000000" w:themeColor="text1"/>
        </w:rPr>
        <w:t xml:space="preserve"> </w:t>
      </w:r>
      <w:r w:rsidR="00AD3282" w:rsidRPr="00AD3282">
        <w:rPr>
          <w:rFonts w:ascii="Arial" w:hAnsi="Arial" w:cs="Arial"/>
          <w:color w:val="000000" w:themeColor="text1"/>
        </w:rPr>
        <w:t>T</w:t>
      </w:r>
      <w:r w:rsidR="001C4989" w:rsidRPr="00AD3282">
        <w:rPr>
          <w:rFonts w:ascii="Arial" w:hAnsi="Arial" w:cs="Arial"/>
          <w:color w:val="000000" w:themeColor="text1"/>
        </w:rPr>
        <w:t>h</w:t>
      </w:r>
      <w:r w:rsidR="00AD3282">
        <w:rPr>
          <w:rFonts w:ascii="Arial" w:hAnsi="Arial" w:cs="Arial"/>
          <w:color w:val="000000" w:themeColor="text1"/>
        </w:rPr>
        <w:t>e</w:t>
      </w:r>
      <w:r w:rsidR="001C4989" w:rsidRPr="00AD3282">
        <w:rPr>
          <w:rFonts w:ascii="Arial" w:hAnsi="Arial" w:cs="Arial"/>
          <w:color w:val="000000" w:themeColor="text1"/>
        </w:rPr>
        <w:t xml:space="preserve"> patient was </w:t>
      </w:r>
      <w:r w:rsidR="001C4989">
        <w:rPr>
          <w:rFonts w:ascii="Arial" w:hAnsi="Arial" w:cs="Arial"/>
        </w:rPr>
        <w:t>admitted to the emergency room, and physical examination revealed a stable patient, with generalized abdominal tenderness and rigidity. Plain abdominal Xray showed no signs of pneumoperitoneum.</w:t>
      </w:r>
    </w:p>
    <w:p w14:paraId="11D685BF" w14:textId="1B46DF8B" w:rsidR="009800A4" w:rsidRDefault="000F70D5" w:rsidP="004A0E59">
      <w:pPr>
        <w:pStyle w:val="Body"/>
        <w:spacing w:after="0"/>
        <w:jc w:val="center"/>
        <w:rPr>
          <w:rFonts w:ascii="Arial" w:hAnsi="Arial" w:cs="Arial"/>
        </w:rPr>
      </w:pPr>
      <w:r>
        <w:rPr>
          <w:rFonts w:ascii="Arial" w:hAnsi="Arial" w:cs="Arial"/>
          <w:noProof/>
        </w:rPr>
        <w:lastRenderedPageBreak/>
        <w:drawing>
          <wp:inline distT="0" distB="0" distL="0" distR="0" wp14:anchorId="08FA9E4F" wp14:editId="4AB08666">
            <wp:extent cx="3752850" cy="4875834"/>
            <wp:effectExtent l="0" t="0" r="0" b="1270"/>
            <wp:docPr id="135704694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046948" name="Image 135704694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65766" cy="4892615"/>
                    </a:xfrm>
                    <a:prstGeom prst="rect">
                      <a:avLst/>
                    </a:prstGeom>
                  </pic:spPr>
                </pic:pic>
              </a:graphicData>
            </a:graphic>
          </wp:inline>
        </w:drawing>
      </w:r>
    </w:p>
    <w:p w14:paraId="45A234A0" w14:textId="27136040" w:rsidR="004A0E59" w:rsidRDefault="004A0E59" w:rsidP="004A0E59">
      <w:pPr>
        <w:pStyle w:val="Body"/>
        <w:spacing w:after="0"/>
        <w:jc w:val="center"/>
        <w:rPr>
          <w:rFonts w:ascii="Arial" w:hAnsi="Arial" w:cs="Arial"/>
        </w:rPr>
      </w:pPr>
      <w:r>
        <w:rPr>
          <w:rFonts w:ascii="Arial" w:hAnsi="Arial" w:cs="Arial"/>
        </w:rPr>
        <w:t xml:space="preserve">Figure1: </w:t>
      </w:r>
      <w:r w:rsidR="00923A9D">
        <w:rPr>
          <w:rFonts w:ascii="Arial" w:hAnsi="Arial" w:cs="Arial"/>
        </w:rPr>
        <w:t>plain abdominal x ray</w:t>
      </w:r>
      <w:r w:rsidR="000F70D5">
        <w:rPr>
          <w:rFonts w:ascii="Arial" w:hAnsi="Arial" w:cs="Arial"/>
        </w:rPr>
        <w:t xml:space="preserve"> centered on the diaphragm.</w:t>
      </w:r>
    </w:p>
    <w:p w14:paraId="2531557A" w14:textId="77777777" w:rsidR="004C1D51" w:rsidRDefault="004C1D51" w:rsidP="004A0E59">
      <w:pPr>
        <w:pStyle w:val="Body"/>
        <w:spacing w:after="0"/>
        <w:jc w:val="center"/>
        <w:rPr>
          <w:rFonts w:ascii="Arial" w:hAnsi="Arial" w:cs="Arial"/>
        </w:rPr>
      </w:pPr>
    </w:p>
    <w:p w14:paraId="5AEA0D83" w14:textId="4563B599" w:rsidR="001C4989" w:rsidRDefault="001C4989" w:rsidP="001C4989">
      <w:pPr>
        <w:pStyle w:val="Body"/>
        <w:spacing w:after="0"/>
        <w:rPr>
          <w:rFonts w:ascii="Arial" w:hAnsi="Arial" w:cs="Arial"/>
        </w:rPr>
      </w:pPr>
      <w:r>
        <w:rPr>
          <w:rFonts w:ascii="Arial" w:hAnsi="Arial" w:cs="Arial"/>
        </w:rPr>
        <w:t xml:space="preserve">A CT scan revealed the presence of 3 fluid collections with gas bubbles, </w:t>
      </w:r>
      <w:r w:rsidR="008127B3">
        <w:rPr>
          <w:rFonts w:ascii="Arial" w:hAnsi="Arial" w:cs="Arial"/>
        </w:rPr>
        <w:t>in the gastric hepatic space</w:t>
      </w:r>
      <w:r>
        <w:rPr>
          <w:rFonts w:ascii="Arial" w:hAnsi="Arial" w:cs="Arial"/>
        </w:rPr>
        <w:t xml:space="preserve">, </w:t>
      </w:r>
      <w:r w:rsidR="008127B3">
        <w:rPr>
          <w:rFonts w:ascii="Arial" w:hAnsi="Arial" w:cs="Arial"/>
        </w:rPr>
        <w:t>peri splenic</w:t>
      </w:r>
      <w:r>
        <w:rPr>
          <w:rFonts w:ascii="Arial" w:hAnsi="Arial" w:cs="Arial"/>
        </w:rPr>
        <w:t>, and in the liver measuring respectively 74x50mm, 40x80mm and 20x30mm.</w:t>
      </w:r>
    </w:p>
    <w:p w14:paraId="6F1F493F" w14:textId="6C174F7F" w:rsidR="00ED5FD3" w:rsidRDefault="008D5A7E" w:rsidP="00923A9D">
      <w:pPr>
        <w:pStyle w:val="Body"/>
        <w:spacing w:after="0"/>
        <w:jc w:val="center"/>
        <w:rPr>
          <w:rFonts w:ascii="Arial" w:hAnsi="Arial" w:cs="Arial"/>
        </w:rPr>
      </w:pPr>
      <w:r>
        <w:rPr>
          <w:rFonts w:ascii="Arial" w:hAnsi="Arial" w:cs="Arial"/>
          <w:noProof/>
        </w:rPr>
        <w:drawing>
          <wp:inline distT="0" distB="0" distL="0" distR="0" wp14:anchorId="5551A024" wp14:editId="080F71C9">
            <wp:extent cx="4622469" cy="3295650"/>
            <wp:effectExtent l="0" t="0" r="6985" b="0"/>
            <wp:docPr id="95154831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548319" name="Image 951548319"/>
                    <pic:cNvPicPr/>
                  </pic:nvPicPr>
                  <pic:blipFill>
                    <a:blip r:embed="rId15">
                      <a:extLst>
                        <a:ext uri="{28A0092B-C50C-407E-A947-70E740481C1C}">
                          <a14:useLocalDpi xmlns:a14="http://schemas.microsoft.com/office/drawing/2010/main" val="0"/>
                        </a:ext>
                      </a:extLst>
                    </a:blip>
                    <a:stretch>
                      <a:fillRect/>
                    </a:stretch>
                  </pic:blipFill>
                  <pic:spPr>
                    <a:xfrm>
                      <a:off x="0" y="0"/>
                      <a:ext cx="4643349" cy="3310537"/>
                    </a:xfrm>
                    <a:prstGeom prst="rect">
                      <a:avLst/>
                    </a:prstGeom>
                  </pic:spPr>
                </pic:pic>
              </a:graphicData>
            </a:graphic>
          </wp:inline>
        </w:drawing>
      </w:r>
    </w:p>
    <w:p w14:paraId="098C134B" w14:textId="5B67E99B" w:rsidR="00923A9D" w:rsidRDefault="00923A9D" w:rsidP="00923A9D">
      <w:pPr>
        <w:pStyle w:val="Body"/>
        <w:spacing w:after="0"/>
        <w:jc w:val="center"/>
        <w:rPr>
          <w:rFonts w:ascii="Arial" w:hAnsi="Arial" w:cs="Arial"/>
        </w:rPr>
      </w:pPr>
      <w:r>
        <w:rPr>
          <w:rFonts w:ascii="Arial" w:hAnsi="Arial" w:cs="Arial"/>
        </w:rPr>
        <w:lastRenderedPageBreak/>
        <w:t xml:space="preserve">Figure 2: CT scan showing </w:t>
      </w:r>
      <w:r w:rsidR="008D5A7E">
        <w:rPr>
          <w:rFonts w:ascii="Arial" w:hAnsi="Arial" w:cs="Arial"/>
        </w:rPr>
        <w:t>the fluid collections.</w:t>
      </w:r>
    </w:p>
    <w:p w14:paraId="7FF26133" w14:textId="2C43D6B6" w:rsidR="0000289C" w:rsidRDefault="00596C45" w:rsidP="00923A9D">
      <w:pPr>
        <w:pStyle w:val="Body"/>
        <w:spacing w:after="0"/>
        <w:jc w:val="left"/>
        <w:rPr>
          <w:rFonts w:ascii="Arial" w:hAnsi="Arial" w:cs="Arial"/>
        </w:rPr>
      </w:pPr>
      <w:r w:rsidRPr="00596C45">
        <w:rPr>
          <w:rFonts w:ascii="Arial" w:hAnsi="Arial" w:cs="Arial"/>
        </w:rPr>
        <w:t>Given the patient's clinical presentation and radiologic findings, an emergency laparotomy was performed</w:t>
      </w:r>
      <w:r w:rsidR="00E40122" w:rsidRPr="00596C45">
        <w:rPr>
          <w:rFonts w:ascii="Arial" w:hAnsi="Arial" w:cs="Arial"/>
        </w:rPr>
        <w:t xml:space="preserve">. </w:t>
      </w:r>
      <w:r w:rsidR="0000289C" w:rsidRPr="00596C45">
        <w:rPr>
          <w:rFonts w:ascii="Arial" w:hAnsi="Arial" w:cs="Arial"/>
        </w:rPr>
        <w:t>Upon</w:t>
      </w:r>
      <w:r w:rsidR="0000289C">
        <w:rPr>
          <w:rFonts w:ascii="Arial" w:hAnsi="Arial" w:cs="Arial"/>
        </w:rPr>
        <w:t xml:space="preserve"> incising, we found </w:t>
      </w:r>
      <w:r w:rsidR="00D16AE1">
        <w:rPr>
          <w:rFonts w:ascii="Arial" w:hAnsi="Arial" w:cs="Arial"/>
        </w:rPr>
        <w:t>some</w:t>
      </w:r>
      <w:r w:rsidR="0000289C">
        <w:rPr>
          <w:rFonts w:ascii="Arial" w:hAnsi="Arial" w:cs="Arial"/>
        </w:rPr>
        <w:t xml:space="preserve"> adhesions with infra hepatic and </w:t>
      </w:r>
      <w:r w:rsidR="002D31CC">
        <w:rPr>
          <w:rFonts w:ascii="Arial" w:hAnsi="Arial" w:cs="Arial"/>
        </w:rPr>
        <w:t>peri splenic</w:t>
      </w:r>
      <w:r w:rsidR="0000289C">
        <w:rPr>
          <w:rFonts w:ascii="Arial" w:hAnsi="Arial" w:cs="Arial"/>
        </w:rPr>
        <w:t xml:space="preserve"> pus collections, and we discovered after liberating the adhesions, two gastric perforations of 0.5cm each, one in the antrum and the other was pyloric.</w:t>
      </w:r>
    </w:p>
    <w:p w14:paraId="10B7E330" w14:textId="3E1ECE17" w:rsidR="0000289C" w:rsidRDefault="0000289C" w:rsidP="00923A9D">
      <w:pPr>
        <w:pStyle w:val="Body"/>
        <w:spacing w:after="0"/>
        <w:jc w:val="left"/>
        <w:rPr>
          <w:rFonts w:ascii="Arial" w:hAnsi="Arial" w:cs="Arial"/>
        </w:rPr>
      </w:pPr>
      <w:r>
        <w:rPr>
          <w:rFonts w:ascii="Arial" w:hAnsi="Arial" w:cs="Arial"/>
        </w:rPr>
        <w:t>Both perforations were sutured</w:t>
      </w:r>
      <w:r w:rsidR="00115C4A">
        <w:rPr>
          <w:rFonts w:ascii="Arial" w:hAnsi="Arial" w:cs="Arial"/>
        </w:rPr>
        <w:t xml:space="preserve"> primarily, with omental patch,</w:t>
      </w:r>
      <w:r>
        <w:rPr>
          <w:rFonts w:ascii="Arial" w:hAnsi="Arial" w:cs="Arial"/>
        </w:rPr>
        <w:t xml:space="preserve"> a peritoneal lavage was performed and infra hepatic and left infra diaphragmatic drains were placed.</w:t>
      </w:r>
    </w:p>
    <w:p w14:paraId="23DB68DB" w14:textId="1EDEBC6F" w:rsidR="00923A9D" w:rsidRDefault="00923A9D" w:rsidP="00923A9D">
      <w:pPr>
        <w:pStyle w:val="Body"/>
        <w:spacing w:after="0"/>
        <w:jc w:val="left"/>
        <w:rPr>
          <w:rFonts w:ascii="Arial" w:hAnsi="Arial" w:cs="Arial"/>
        </w:rPr>
      </w:pPr>
    </w:p>
    <w:p w14:paraId="6A4A314B" w14:textId="415E673A" w:rsidR="00ED5FD3" w:rsidRDefault="00024A95" w:rsidP="00E40122">
      <w:pPr>
        <w:pStyle w:val="Body"/>
        <w:spacing w:after="0"/>
        <w:jc w:val="center"/>
        <w:rPr>
          <w:rFonts w:ascii="Arial" w:hAnsi="Arial" w:cs="Arial"/>
        </w:rPr>
      </w:pPr>
      <w:r>
        <w:rPr>
          <w:rFonts w:ascii="Arial" w:hAnsi="Arial" w:cs="Arial"/>
          <w:noProof/>
        </w:rPr>
        <w:drawing>
          <wp:inline distT="0" distB="0" distL="0" distR="0" wp14:anchorId="5DAAEA12" wp14:editId="0D4F1995">
            <wp:extent cx="3135494" cy="4171950"/>
            <wp:effectExtent l="0" t="0" r="8255" b="0"/>
            <wp:docPr id="4926043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60437" name="Image 4926043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62075" cy="4207318"/>
                    </a:xfrm>
                    <a:prstGeom prst="rect">
                      <a:avLst/>
                    </a:prstGeom>
                  </pic:spPr>
                </pic:pic>
              </a:graphicData>
            </a:graphic>
          </wp:inline>
        </w:drawing>
      </w:r>
    </w:p>
    <w:p w14:paraId="64D6DF17" w14:textId="3426F694" w:rsidR="00ED5FD3" w:rsidRDefault="00ED5FD3" w:rsidP="00ED5FD3">
      <w:pPr>
        <w:pStyle w:val="Body"/>
        <w:spacing w:after="0"/>
        <w:jc w:val="center"/>
        <w:rPr>
          <w:rFonts w:ascii="Arial" w:hAnsi="Arial" w:cs="Arial"/>
        </w:rPr>
      </w:pPr>
      <w:r>
        <w:rPr>
          <w:rFonts w:ascii="Arial" w:hAnsi="Arial" w:cs="Arial"/>
        </w:rPr>
        <w:t xml:space="preserve">Figure </w:t>
      </w:r>
      <w:r w:rsidR="002D58E2">
        <w:rPr>
          <w:rFonts w:ascii="Arial" w:hAnsi="Arial" w:cs="Arial"/>
        </w:rPr>
        <w:t>3</w:t>
      </w:r>
      <w:r>
        <w:rPr>
          <w:rFonts w:ascii="Arial" w:hAnsi="Arial" w:cs="Arial"/>
        </w:rPr>
        <w:t xml:space="preserve">: </w:t>
      </w:r>
      <w:r w:rsidR="00024A95">
        <w:rPr>
          <w:rFonts w:ascii="Arial" w:hAnsi="Arial" w:cs="Arial"/>
        </w:rPr>
        <w:t>antrum perforation</w:t>
      </w:r>
    </w:p>
    <w:p w14:paraId="045035E2" w14:textId="427C7497" w:rsidR="00ED5FD3" w:rsidRDefault="00024A95" w:rsidP="00E40122">
      <w:pPr>
        <w:pStyle w:val="Body"/>
        <w:spacing w:after="0"/>
        <w:jc w:val="center"/>
        <w:rPr>
          <w:rFonts w:ascii="Arial" w:hAnsi="Arial" w:cs="Arial"/>
        </w:rPr>
      </w:pPr>
      <w:r>
        <w:rPr>
          <w:rFonts w:ascii="Arial" w:hAnsi="Arial" w:cs="Arial"/>
          <w:noProof/>
        </w:rPr>
        <w:lastRenderedPageBreak/>
        <w:drawing>
          <wp:inline distT="0" distB="0" distL="0" distR="0" wp14:anchorId="3B918FDC" wp14:editId="7F08BD32">
            <wp:extent cx="3889739" cy="5191125"/>
            <wp:effectExtent l="0" t="0" r="0" b="0"/>
            <wp:docPr id="145629623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296232" name="Image 145629623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10333" cy="5218610"/>
                    </a:xfrm>
                    <a:prstGeom prst="rect">
                      <a:avLst/>
                    </a:prstGeom>
                  </pic:spPr>
                </pic:pic>
              </a:graphicData>
            </a:graphic>
          </wp:inline>
        </w:drawing>
      </w:r>
    </w:p>
    <w:p w14:paraId="7AE8E1AC" w14:textId="571C9AB2" w:rsidR="00D97DEE" w:rsidRDefault="00ED5FD3" w:rsidP="00ED5FD3">
      <w:pPr>
        <w:pStyle w:val="Body"/>
        <w:spacing w:after="0"/>
        <w:jc w:val="center"/>
        <w:rPr>
          <w:rFonts w:ascii="Arial" w:hAnsi="Arial" w:cs="Arial"/>
        </w:rPr>
      </w:pPr>
      <w:r>
        <w:rPr>
          <w:rFonts w:ascii="Arial" w:hAnsi="Arial" w:cs="Arial"/>
        </w:rPr>
        <w:t>Figure</w:t>
      </w:r>
      <w:r w:rsidR="002D58E2">
        <w:rPr>
          <w:rFonts w:ascii="Arial" w:hAnsi="Arial" w:cs="Arial"/>
        </w:rPr>
        <w:t>4</w:t>
      </w:r>
      <w:r>
        <w:rPr>
          <w:rFonts w:ascii="Arial" w:hAnsi="Arial" w:cs="Arial"/>
        </w:rPr>
        <w:t xml:space="preserve">: </w:t>
      </w:r>
      <w:r w:rsidR="00E40122">
        <w:rPr>
          <w:rFonts w:ascii="Arial" w:hAnsi="Arial" w:cs="Arial"/>
        </w:rPr>
        <w:t xml:space="preserve">the </w:t>
      </w:r>
      <w:r w:rsidR="00024A95">
        <w:rPr>
          <w:rFonts w:ascii="Arial" w:hAnsi="Arial" w:cs="Arial"/>
        </w:rPr>
        <w:t>pyloric perforation</w:t>
      </w:r>
    </w:p>
    <w:p w14:paraId="1A06EC34" w14:textId="77777777" w:rsidR="004C1D51" w:rsidRDefault="004C1D51" w:rsidP="00ED5FD3">
      <w:pPr>
        <w:pStyle w:val="Body"/>
        <w:spacing w:after="0"/>
        <w:jc w:val="center"/>
        <w:rPr>
          <w:rFonts w:ascii="Arial" w:hAnsi="Arial" w:cs="Arial"/>
        </w:rPr>
      </w:pPr>
    </w:p>
    <w:p w14:paraId="04C55B65" w14:textId="0AACFA17" w:rsidR="001C5036" w:rsidRPr="001C5036" w:rsidRDefault="001C5036" w:rsidP="001C5036">
      <w:pPr>
        <w:pStyle w:val="Body"/>
        <w:spacing w:after="0"/>
        <w:jc w:val="left"/>
        <w:rPr>
          <w:rFonts w:ascii="Arial" w:hAnsi="Arial" w:cs="Arial"/>
        </w:rPr>
      </w:pPr>
      <w:r w:rsidRPr="001C5036">
        <w:t xml:space="preserve">Postoperatively, the patient was transferred to the intensive care unit for </w:t>
      </w:r>
      <w:r w:rsidRPr="001C5036">
        <w:rPr>
          <w:rStyle w:val="Strong"/>
          <w:b w:val="0"/>
          <w:bCs w:val="0"/>
        </w:rPr>
        <w:t>close monitoring</w:t>
      </w:r>
      <w:r w:rsidRPr="001C5036">
        <w:t xml:space="preserve">. He was started on </w:t>
      </w:r>
      <w:r w:rsidRPr="001C5036">
        <w:rPr>
          <w:rStyle w:val="Strong"/>
          <w:b w:val="0"/>
          <w:bCs w:val="0"/>
        </w:rPr>
        <w:t>broad-spectrum antibiotics</w:t>
      </w:r>
      <w:r w:rsidRPr="001C5036">
        <w:t xml:space="preserve">, including </w:t>
      </w:r>
      <w:r w:rsidRPr="001C5036">
        <w:rPr>
          <w:rStyle w:val="Strong"/>
          <w:b w:val="0"/>
          <w:bCs w:val="0"/>
        </w:rPr>
        <w:t>piperacillin-tazobactam</w:t>
      </w:r>
      <w:r w:rsidRPr="001C5036">
        <w:t xml:space="preserve"> and </w:t>
      </w:r>
      <w:r w:rsidRPr="001C5036">
        <w:rPr>
          <w:rStyle w:val="Strong"/>
          <w:b w:val="0"/>
          <w:bCs w:val="0"/>
        </w:rPr>
        <w:t>metronidazole</w:t>
      </w:r>
      <w:r w:rsidRPr="001C5036">
        <w:t xml:space="preserve">, as well as </w:t>
      </w:r>
      <w:r w:rsidRPr="001C5036">
        <w:rPr>
          <w:rStyle w:val="Strong"/>
          <w:b w:val="0"/>
          <w:bCs w:val="0"/>
        </w:rPr>
        <w:t>proton pump inhibitors</w:t>
      </w:r>
      <w:r w:rsidRPr="001C5036">
        <w:t xml:space="preserve"> to reduce gastric acid secretion.</w:t>
      </w:r>
    </w:p>
    <w:p w14:paraId="0C25853B" w14:textId="49DF17EE" w:rsidR="000C0E1C" w:rsidRDefault="002D31CC" w:rsidP="00441B6F">
      <w:pPr>
        <w:pStyle w:val="Body"/>
        <w:spacing w:after="0"/>
        <w:rPr>
          <w:rFonts w:ascii="Arial" w:hAnsi="Arial" w:cs="Arial"/>
        </w:rPr>
      </w:pPr>
      <w:r>
        <w:rPr>
          <w:rFonts w:ascii="Arial" w:hAnsi="Arial" w:cs="Arial"/>
        </w:rPr>
        <w:t>The post operative course was uneventful, and the patient was discharged on the fifth day.</w:t>
      </w:r>
    </w:p>
    <w:p w14:paraId="6A702741" w14:textId="49C96436" w:rsidR="00564BA2" w:rsidRDefault="00564BA2" w:rsidP="00441B6F">
      <w:pPr>
        <w:pStyle w:val="Body"/>
        <w:spacing w:after="0"/>
        <w:rPr>
          <w:rFonts w:ascii="Arial" w:hAnsi="Arial" w:cs="Arial"/>
        </w:rPr>
      </w:pPr>
      <w:r w:rsidRPr="00147437">
        <w:rPr>
          <w:rFonts w:ascii="Arial" w:hAnsi="Arial" w:cs="Arial"/>
          <w:highlight w:val="yellow"/>
        </w:rPr>
        <w:t>The anatomopathological results of the biopsy of the perforation showed no malignancy, and the patient made a full recovery.</w:t>
      </w:r>
    </w:p>
    <w:p w14:paraId="61D49712" w14:textId="77777777" w:rsidR="000C0E1C" w:rsidRDefault="000C0E1C" w:rsidP="00441B6F">
      <w:pPr>
        <w:pStyle w:val="Body"/>
        <w:spacing w:after="0"/>
        <w:rPr>
          <w:rFonts w:ascii="Arial" w:hAnsi="Arial" w:cs="Arial"/>
        </w:rPr>
      </w:pPr>
    </w:p>
    <w:p w14:paraId="1AF77E22" w14:textId="77777777" w:rsidR="00954A07" w:rsidRPr="00FB3A86" w:rsidRDefault="00954A07" w:rsidP="00441B6F">
      <w:pPr>
        <w:pStyle w:val="Body"/>
        <w:spacing w:after="0"/>
        <w:rPr>
          <w:rFonts w:ascii="Arial" w:hAnsi="Arial" w:cs="Arial"/>
        </w:rPr>
      </w:pPr>
    </w:p>
    <w:p w14:paraId="2B001736" w14:textId="08E95C3C"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discussion</w:t>
      </w:r>
    </w:p>
    <w:p w14:paraId="3D87366E" w14:textId="77777777" w:rsidR="00790ADA" w:rsidRPr="00FB3A86" w:rsidRDefault="00790ADA" w:rsidP="00441B6F">
      <w:pPr>
        <w:pStyle w:val="Head1"/>
        <w:spacing w:after="0"/>
        <w:jc w:val="both"/>
        <w:rPr>
          <w:rFonts w:ascii="Arial" w:hAnsi="Arial" w:cs="Arial"/>
        </w:rPr>
      </w:pPr>
    </w:p>
    <w:p w14:paraId="0C0E4899" w14:textId="21E693BE" w:rsidR="00A0273E" w:rsidRDefault="00EA7D31" w:rsidP="00A0273E">
      <w:pPr>
        <w:pStyle w:val="Body"/>
        <w:rPr>
          <w:rFonts w:ascii="Arial" w:hAnsi="Arial" w:cs="Arial"/>
        </w:rPr>
      </w:pPr>
      <w:r>
        <w:rPr>
          <w:rFonts w:ascii="Arial" w:hAnsi="Arial" w:cs="Arial"/>
        </w:rPr>
        <w:t xml:space="preserve">Peptic ulcer perforation is one of the most frequent surgical emergencies, it is most frequently located in the pylorus and first part of the </w:t>
      </w:r>
      <w:r w:rsidR="0015328E">
        <w:rPr>
          <w:rFonts w:ascii="Arial" w:hAnsi="Arial" w:cs="Arial"/>
        </w:rPr>
        <w:t>duodenum [</w:t>
      </w:r>
      <w:r w:rsidR="00B92A5F">
        <w:rPr>
          <w:rFonts w:ascii="Arial" w:hAnsi="Arial" w:cs="Arial"/>
        </w:rPr>
        <w:t>4</w:t>
      </w:r>
      <w:r>
        <w:rPr>
          <w:rFonts w:ascii="Arial" w:hAnsi="Arial" w:cs="Arial"/>
        </w:rPr>
        <w:t xml:space="preserve">], the most common risk factors are Helicobacter pylori and chronic </w:t>
      </w:r>
      <w:r w:rsidR="0015328E">
        <w:rPr>
          <w:rFonts w:ascii="Arial" w:hAnsi="Arial" w:cs="Arial"/>
        </w:rPr>
        <w:t>non-steroidal</w:t>
      </w:r>
      <w:r>
        <w:rPr>
          <w:rFonts w:ascii="Arial" w:hAnsi="Arial" w:cs="Arial"/>
        </w:rPr>
        <w:t xml:space="preserve"> </w:t>
      </w:r>
      <w:r w:rsidR="0015328E">
        <w:rPr>
          <w:rFonts w:ascii="Arial" w:hAnsi="Arial" w:cs="Arial"/>
        </w:rPr>
        <w:t>anti-inflammatory</w:t>
      </w:r>
      <w:r>
        <w:rPr>
          <w:rFonts w:ascii="Arial" w:hAnsi="Arial" w:cs="Arial"/>
        </w:rPr>
        <w:t xml:space="preserve"> drugs </w:t>
      </w:r>
      <w:r w:rsidR="0015328E">
        <w:rPr>
          <w:rFonts w:ascii="Arial" w:hAnsi="Arial" w:cs="Arial"/>
        </w:rPr>
        <w:t>use [</w:t>
      </w:r>
      <w:r w:rsidR="00B92A5F">
        <w:rPr>
          <w:rFonts w:ascii="Arial" w:hAnsi="Arial" w:cs="Arial"/>
        </w:rPr>
        <w:t>5</w:t>
      </w:r>
      <w:r>
        <w:rPr>
          <w:rFonts w:ascii="Arial" w:hAnsi="Arial" w:cs="Arial"/>
        </w:rPr>
        <w:t>]</w:t>
      </w:r>
      <w:r w:rsidR="004D5095">
        <w:rPr>
          <w:rFonts w:ascii="Arial" w:hAnsi="Arial" w:cs="Arial"/>
        </w:rPr>
        <w:t>, other factor inducing chronic inflammation are stress, smoking and alcohol use.</w:t>
      </w:r>
    </w:p>
    <w:p w14:paraId="0339AA6A" w14:textId="77777777" w:rsidR="00C73636" w:rsidRDefault="004D5095" w:rsidP="00A0273E">
      <w:pPr>
        <w:pStyle w:val="Body"/>
        <w:rPr>
          <w:rFonts w:ascii="Arial" w:hAnsi="Arial" w:cs="Arial"/>
        </w:rPr>
      </w:pPr>
      <w:r>
        <w:rPr>
          <w:rFonts w:ascii="Arial" w:hAnsi="Arial" w:cs="Arial"/>
        </w:rPr>
        <w:t xml:space="preserve">Double peptic perforation is a very rare surgical entity, with only few articles describing such </w:t>
      </w:r>
      <w:r w:rsidR="0015328E">
        <w:rPr>
          <w:rFonts w:ascii="Arial" w:hAnsi="Arial" w:cs="Arial"/>
        </w:rPr>
        <w:t>occurrence [</w:t>
      </w:r>
      <w:r w:rsidR="00B92A5F">
        <w:rPr>
          <w:rFonts w:ascii="Arial" w:hAnsi="Arial" w:cs="Arial"/>
        </w:rPr>
        <w:t>6</w:t>
      </w:r>
      <w:r w:rsidR="00E82B05">
        <w:rPr>
          <w:rFonts w:ascii="Arial" w:hAnsi="Arial" w:cs="Arial"/>
        </w:rPr>
        <w:t>,</w:t>
      </w:r>
      <w:r w:rsidR="00B92A5F">
        <w:rPr>
          <w:rFonts w:ascii="Arial" w:hAnsi="Arial" w:cs="Arial"/>
        </w:rPr>
        <w:t>7</w:t>
      </w:r>
      <w:r w:rsidR="00E82B05">
        <w:rPr>
          <w:rFonts w:ascii="Arial" w:hAnsi="Arial" w:cs="Arial"/>
        </w:rPr>
        <w:t>]</w:t>
      </w:r>
      <w:r>
        <w:rPr>
          <w:rFonts w:ascii="Arial" w:hAnsi="Arial" w:cs="Arial"/>
        </w:rPr>
        <w:t>, it is mostly described in relation to trauma</w:t>
      </w:r>
      <w:r w:rsidR="00621C5A">
        <w:rPr>
          <w:rFonts w:ascii="Arial" w:hAnsi="Arial" w:cs="Arial"/>
        </w:rPr>
        <w:t xml:space="preserve"> and fragile patients</w:t>
      </w:r>
      <w:r>
        <w:rPr>
          <w:rFonts w:ascii="Arial" w:hAnsi="Arial" w:cs="Arial"/>
        </w:rPr>
        <w:t xml:space="preserve">. </w:t>
      </w:r>
    </w:p>
    <w:p w14:paraId="236DA395" w14:textId="10D8BE9B" w:rsidR="003334F4" w:rsidRDefault="003334F4" w:rsidP="00A0273E">
      <w:pPr>
        <w:pStyle w:val="Body"/>
        <w:rPr>
          <w:rFonts w:ascii="Arial" w:hAnsi="Arial" w:cs="Arial"/>
        </w:rPr>
      </w:pPr>
      <w:r w:rsidRPr="003334F4">
        <w:rPr>
          <w:rFonts w:ascii="Arial" w:hAnsi="Arial" w:cs="Arial"/>
        </w:rPr>
        <w:t>Double gastric perforation is particularly uncommon and presents a unique challenge for the surgeon, as the extent of contamination of the peritoneal cavity is much greater than with a single perforation. This can lead to more severe sepsis, acute renal failure, and cardiovascular collapse if not addressed promptly.</w:t>
      </w:r>
    </w:p>
    <w:p w14:paraId="2078D2E2" w14:textId="1ED24F8C" w:rsidR="00C73636" w:rsidRDefault="00C73636" w:rsidP="00A0273E">
      <w:pPr>
        <w:pStyle w:val="Body"/>
        <w:rPr>
          <w:rFonts w:ascii="Arial" w:hAnsi="Arial" w:cs="Arial"/>
        </w:rPr>
      </w:pPr>
      <w:r w:rsidRPr="00BB01E9">
        <w:rPr>
          <w:rStyle w:val="relative"/>
          <w:highlight w:val="yellow"/>
        </w:rPr>
        <w:lastRenderedPageBreak/>
        <w:t>Bhargav et al. described a similar presentation in a 70</w:t>
      </w:r>
      <w:r w:rsidRPr="00BB01E9">
        <w:rPr>
          <w:rStyle w:val="relative"/>
          <w:highlight w:val="yellow"/>
        </w:rPr>
        <w:noBreakHyphen/>
        <w:t>year</w:t>
      </w:r>
      <w:r w:rsidRPr="00BB01E9">
        <w:rPr>
          <w:rStyle w:val="relative"/>
          <w:highlight w:val="yellow"/>
        </w:rPr>
        <w:noBreakHyphen/>
        <w:t>old man with two adjacent perforations in the antrum/pylorus region</w:t>
      </w:r>
      <w:r w:rsidR="008746BE">
        <w:rPr>
          <w:highlight w:val="yellow"/>
        </w:rPr>
        <w:t xml:space="preserve">. </w:t>
      </w:r>
      <w:r w:rsidRPr="00BB01E9">
        <w:rPr>
          <w:rStyle w:val="relative"/>
          <w:highlight w:val="yellow"/>
        </w:rPr>
        <w:t>These cases underscore the necessity of inspecting the entire stomach during surgery to identify multiple perforations</w:t>
      </w:r>
      <w:r w:rsidR="00736CF8">
        <w:rPr>
          <w:rStyle w:val="relative"/>
        </w:rPr>
        <w:t xml:space="preserve"> [8].</w:t>
      </w:r>
    </w:p>
    <w:p w14:paraId="3E496B1B" w14:textId="07481414" w:rsidR="004D5095" w:rsidRDefault="004D5095" w:rsidP="00A0273E">
      <w:pPr>
        <w:pStyle w:val="Body"/>
        <w:rPr>
          <w:rFonts w:ascii="Arial" w:hAnsi="Arial" w:cs="Arial"/>
        </w:rPr>
      </w:pPr>
      <w:r>
        <w:rPr>
          <w:rFonts w:ascii="Arial" w:hAnsi="Arial" w:cs="Arial"/>
        </w:rPr>
        <w:t>Our patient did not have a history of chronic NSAIDs usage, his only predisposing factor was</w:t>
      </w:r>
      <w:r w:rsidR="00BB01E9">
        <w:rPr>
          <w:rFonts w:ascii="Arial" w:hAnsi="Arial" w:cs="Arial"/>
        </w:rPr>
        <w:t xml:space="preserve"> heavy</w:t>
      </w:r>
      <w:r>
        <w:rPr>
          <w:rFonts w:ascii="Arial" w:hAnsi="Arial" w:cs="Arial"/>
        </w:rPr>
        <w:t xml:space="preserve"> smoking (30 packs-years), </w:t>
      </w:r>
    </w:p>
    <w:p w14:paraId="70BA4EE1" w14:textId="6771168E" w:rsidR="00EA7D31" w:rsidRDefault="0055571E" w:rsidP="00A0273E">
      <w:pPr>
        <w:pStyle w:val="Body"/>
        <w:rPr>
          <w:rFonts w:ascii="Arial" w:hAnsi="Arial" w:cs="Arial"/>
        </w:rPr>
      </w:pPr>
      <w:r>
        <w:rPr>
          <w:rFonts w:ascii="Arial" w:hAnsi="Arial" w:cs="Arial"/>
        </w:rPr>
        <w:t>Conservative treatment is well described literature requiring close monitoring by a qualified team [</w:t>
      </w:r>
      <w:r w:rsidR="00B92A5F">
        <w:rPr>
          <w:rFonts w:ascii="Arial" w:hAnsi="Arial" w:cs="Arial"/>
        </w:rPr>
        <w:t>8</w:t>
      </w:r>
      <w:r w:rsidR="00147437">
        <w:rPr>
          <w:rFonts w:ascii="Arial" w:hAnsi="Arial" w:cs="Arial"/>
        </w:rPr>
        <w:t>,</w:t>
      </w:r>
      <w:r w:rsidR="00B92A5F">
        <w:rPr>
          <w:rFonts w:ascii="Arial" w:hAnsi="Arial" w:cs="Arial"/>
        </w:rPr>
        <w:t>9</w:t>
      </w:r>
      <w:r>
        <w:rPr>
          <w:rFonts w:ascii="Arial" w:hAnsi="Arial" w:cs="Arial"/>
        </w:rPr>
        <w:t xml:space="preserve">], laparoscopic repair by primary closure or grahams patch are the most used </w:t>
      </w:r>
      <w:r w:rsidR="0015328E">
        <w:rPr>
          <w:rFonts w:ascii="Arial" w:hAnsi="Arial" w:cs="Arial"/>
        </w:rPr>
        <w:t>techniques [</w:t>
      </w:r>
      <w:r w:rsidR="00B92A5F">
        <w:rPr>
          <w:rFonts w:ascii="Arial" w:hAnsi="Arial" w:cs="Arial"/>
        </w:rPr>
        <w:t>5</w:t>
      </w:r>
      <w:r w:rsidR="00D22ED6">
        <w:rPr>
          <w:rFonts w:ascii="Arial" w:hAnsi="Arial" w:cs="Arial"/>
        </w:rPr>
        <w:t>,</w:t>
      </w:r>
      <w:r w:rsidR="00B92A5F">
        <w:rPr>
          <w:rFonts w:ascii="Arial" w:hAnsi="Arial" w:cs="Arial"/>
        </w:rPr>
        <w:t>10</w:t>
      </w:r>
      <w:r w:rsidR="00E51B50">
        <w:rPr>
          <w:rFonts w:ascii="Arial" w:hAnsi="Arial" w:cs="Arial"/>
        </w:rPr>
        <w:t>]</w:t>
      </w:r>
      <w:r>
        <w:rPr>
          <w:rFonts w:ascii="Arial" w:hAnsi="Arial" w:cs="Arial"/>
        </w:rPr>
        <w:t xml:space="preserve">, our patient had </w:t>
      </w:r>
      <w:r w:rsidR="001D1C02">
        <w:rPr>
          <w:rFonts w:ascii="Arial" w:hAnsi="Arial" w:cs="Arial"/>
        </w:rPr>
        <w:t xml:space="preserve">symptoms evolving for 5 days, and was on sepsis when admitted so the surgery was </w:t>
      </w:r>
      <w:r w:rsidR="00E82B05">
        <w:rPr>
          <w:rFonts w:ascii="Arial" w:hAnsi="Arial" w:cs="Arial"/>
        </w:rPr>
        <w:t>performed</w:t>
      </w:r>
      <w:r w:rsidR="001D1C02">
        <w:rPr>
          <w:rFonts w:ascii="Arial" w:hAnsi="Arial" w:cs="Arial"/>
        </w:rPr>
        <w:t xml:space="preserve"> by laparotomy.</w:t>
      </w:r>
    </w:p>
    <w:p w14:paraId="6B559DAC" w14:textId="11B9085E" w:rsidR="009259CF" w:rsidRDefault="009259CF" w:rsidP="00A0273E">
      <w:pPr>
        <w:pStyle w:val="Body"/>
        <w:rPr>
          <w:rFonts w:ascii="Arial" w:hAnsi="Arial" w:cs="Arial"/>
        </w:rPr>
      </w:pPr>
      <w:r w:rsidRPr="009259CF">
        <w:rPr>
          <w:rFonts w:ascii="Arial" w:hAnsi="Arial" w:cs="Arial"/>
        </w:rPr>
        <w:t>The role of H. pylori eradication therapy and smoking cessation cannot be overstated in preventing further complications in such patients. This patient was counseled on both smoking cessation and the need for follow-up regarding potential H. pylori treatment.</w:t>
      </w:r>
    </w:p>
    <w:p w14:paraId="1831EA81" w14:textId="1B03DDAA" w:rsidR="007128F7" w:rsidRPr="00FB3A86" w:rsidRDefault="007128F7" w:rsidP="00441B6F">
      <w:pPr>
        <w:pStyle w:val="Body"/>
        <w:spacing w:after="0"/>
        <w:rPr>
          <w:rFonts w:ascii="Arial" w:hAnsi="Arial" w:cs="Arial"/>
        </w:rPr>
      </w:pPr>
    </w:p>
    <w:p w14:paraId="2E798BA9"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07EFAE09" w14:textId="77777777" w:rsidR="00790ADA" w:rsidRPr="00FB3A86" w:rsidRDefault="00790ADA" w:rsidP="00441B6F">
      <w:pPr>
        <w:pStyle w:val="ConcHead"/>
        <w:spacing w:after="0"/>
        <w:jc w:val="both"/>
        <w:rPr>
          <w:rFonts w:ascii="Arial" w:hAnsi="Arial" w:cs="Arial"/>
        </w:rPr>
      </w:pPr>
    </w:p>
    <w:p w14:paraId="10F4485E" w14:textId="40AE40D1" w:rsidR="00B01FCD" w:rsidRDefault="00E51B50" w:rsidP="00441B6F">
      <w:pPr>
        <w:pStyle w:val="Body"/>
        <w:spacing w:after="0"/>
        <w:rPr>
          <w:rFonts w:ascii="Arial" w:hAnsi="Arial" w:cs="Arial"/>
        </w:rPr>
      </w:pPr>
      <w:r>
        <w:rPr>
          <w:rFonts w:ascii="Arial" w:hAnsi="Arial" w:cs="Arial"/>
        </w:rPr>
        <w:t>Peptic ulcer perforation is one of the most frequent abdominal emergencies, requiring prompt diagnosis, and expedited surgical treatment, double peptic perforation however, is a rare entity that should be known by surgeons and looked for during surgery.</w:t>
      </w:r>
    </w:p>
    <w:p w14:paraId="4A5CBF10" w14:textId="77777777" w:rsidR="0015328E" w:rsidRPr="00315186" w:rsidRDefault="0015328E" w:rsidP="00441B6F"/>
    <w:p w14:paraId="039262B5" w14:textId="77777777" w:rsidR="00860000" w:rsidRPr="00786D36" w:rsidRDefault="00860000" w:rsidP="00441B6F">
      <w:pPr>
        <w:pStyle w:val="ReferHead"/>
        <w:spacing w:after="0"/>
        <w:jc w:val="both"/>
        <w:rPr>
          <w:rFonts w:ascii="Arial" w:hAnsi="Arial" w:cs="Arial"/>
          <w:bCs/>
        </w:rPr>
      </w:pPr>
      <w:r w:rsidRPr="00786D36">
        <w:rPr>
          <w:rFonts w:ascii="Arial" w:hAnsi="Arial" w:cs="Arial"/>
          <w:bCs/>
        </w:rPr>
        <w:t>Competing interests</w:t>
      </w:r>
    </w:p>
    <w:p w14:paraId="21E16DC2" w14:textId="77777777" w:rsidR="00860000" w:rsidRPr="00786D36" w:rsidRDefault="00860000" w:rsidP="00441B6F">
      <w:pPr>
        <w:pStyle w:val="ReferHead"/>
        <w:spacing w:after="0"/>
        <w:jc w:val="both"/>
        <w:rPr>
          <w:rFonts w:ascii="Arial" w:hAnsi="Arial" w:cs="Arial"/>
        </w:rPr>
      </w:pPr>
    </w:p>
    <w:p w14:paraId="603BAF4B" w14:textId="77777777" w:rsidR="00557780" w:rsidRPr="00C965AE" w:rsidRDefault="00557780" w:rsidP="00557780">
      <w:pPr>
        <w:pStyle w:val="ReferHead"/>
        <w:spacing w:after="0"/>
        <w:jc w:val="both"/>
        <w:rPr>
          <w:rFonts w:ascii="Arial" w:hAnsi="Arial" w:cs="Arial"/>
          <w:b w:val="0"/>
          <w:caps w:val="0"/>
          <w:sz w:val="20"/>
        </w:rPr>
      </w:pPr>
      <w:r w:rsidRPr="00C965AE">
        <w:rPr>
          <w:rFonts w:ascii="Arial" w:hAnsi="Arial" w:cs="Arial"/>
          <w:b w:val="0"/>
          <w:caps w:val="0"/>
          <w:sz w:val="20"/>
        </w:rPr>
        <w:t>Authors have declared that no competing interests exist</w:t>
      </w:r>
      <w:r w:rsidRPr="00C965AE">
        <w:rPr>
          <w:rFonts w:ascii="Arial" w:hAnsi="Arial" w:cs="Arial"/>
          <w:caps w:val="0"/>
          <w:sz w:val="20"/>
        </w:rPr>
        <w:t>.</w:t>
      </w:r>
    </w:p>
    <w:p w14:paraId="0769C470" w14:textId="77777777" w:rsidR="00371FB6" w:rsidRDefault="00371FB6" w:rsidP="00441B6F">
      <w:pPr>
        <w:pStyle w:val="ReferHead"/>
        <w:spacing w:after="0"/>
        <w:jc w:val="both"/>
        <w:rPr>
          <w:rFonts w:ascii="Arial" w:hAnsi="Arial" w:cs="Arial"/>
          <w:b w:val="0"/>
          <w:caps w:val="0"/>
          <w:sz w:val="20"/>
        </w:rPr>
      </w:pPr>
    </w:p>
    <w:p w14:paraId="7753A2A7" w14:textId="77777777" w:rsidR="00557780" w:rsidRPr="00CB3F35" w:rsidRDefault="00557780" w:rsidP="00557780">
      <w:pPr>
        <w:pStyle w:val="ReferHead"/>
        <w:spacing w:after="0"/>
        <w:jc w:val="both"/>
        <w:rPr>
          <w:rFonts w:ascii="Arial" w:hAnsi="Arial" w:cs="Arial"/>
          <w:b w:val="0"/>
          <w:caps w:val="0"/>
          <w:sz w:val="20"/>
        </w:rPr>
      </w:pPr>
    </w:p>
    <w:p w14:paraId="40387BF4" w14:textId="77777777" w:rsidR="005C784C" w:rsidRDefault="005C784C" w:rsidP="00441B6F">
      <w:pPr>
        <w:pStyle w:val="ReferHead"/>
        <w:spacing w:after="0"/>
        <w:jc w:val="both"/>
        <w:rPr>
          <w:rFonts w:ascii="Arial" w:hAnsi="Arial" w:cs="Arial"/>
          <w:b w:val="0"/>
          <w:caps w:val="0"/>
          <w:sz w:val="20"/>
        </w:rPr>
      </w:pPr>
    </w:p>
    <w:p w14:paraId="51F8033A" w14:textId="6C7E0945" w:rsidR="005C784C" w:rsidRDefault="005C784C" w:rsidP="00441B6F">
      <w:pPr>
        <w:pStyle w:val="ReferHead"/>
        <w:spacing w:after="0"/>
        <w:jc w:val="both"/>
        <w:rPr>
          <w:rFonts w:ascii="Arial" w:hAnsi="Arial" w:cs="Arial"/>
          <w:bCs/>
        </w:rPr>
      </w:pPr>
      <w:r>
        <w:rPr>
          <w:rFonts w:ascii="Arial" w:hAnsi="Arial" w:cs="Arial"/>
          <w:bCs/>
        </w:rPr>
        <w:t>Ethical approval</w:t>
      </w:r>
      <w:r w:rsidR="0012570E">
        <w:rPr>
          <w:rFonts w:ascii="Arial" w:hAnsi="Arial" w:cs="Arial"/>
          <w:bCs/>
        </w:rPr>
        <w:t xml:space="preserve"> AND </w:t>
      </w:r>
      <w:r w:rsidR="0012570E" w:rsidRPr="0012570E">
        <w:rPr>
          <w:rFonts w:ascii="Arial" w:hAnsi="Arial" w:cs="Arial"/>
          <w:bCs/>
        </w:rPr>
        <w:t>CONSENT</w:t>
      </w:r>
    </w:p>
    <w:p w14:paraId="32A09BC4" w14:textId="77777777" w:rsidR="005C784C" w:rsidRPr="002B685A" w:rsidRDefault="005C784C" w:rsidP="00441B6F">
      <w:pPr>
        <w:pStyle w:val="ReferHead"/>
        <w:spacing w:after="0"/>
        <w:jc w:val="both"/>
        <w:rPr>
          <w:rFonts w:ascii="Arial" w:hAnsi="Arial" w:cs="Arial"/>
          <w:bCs/>
        </w:rPr>
      </w:pPr>
    </w:p>
    <w:p w14:paraId="3304D7D8" w14:textId="2EABC566" w:rsidR="00D158B2" w:rsidRDefault="00D158B2" w:rsidP="00D158B2">
      <w:pPr>
        <w:pStyle w:val="ReferHead"/>
        <w:spacing w:after="0"/>
        <w:jc w:val="both"/>
        <w:rPr>
          <w:rFonts w:ascii="Arial" w:hAnsi="Arial" w:cs="Arial"/>
          <w:b w:val="0"/>
          <w:caps w:val="0"/>
          <w:sz w:val="20"/>
        </w:rPr>
      </w:pPr>
      <w:r w:rsidRPr="00643207">
        <w:rPr>
          <w:rFonts w:ascii="Arial" w:hAnsi="Arial" w:cs="Arial"/>
          <w:b w:val="0"/>
          <w:caps w:val="0"/>
          <w:sz w:val="20"/>
        </w:rPr>
        <w:t>All authors declare that ‘written informed consent was obtained from the patient (or other approved parties) for publication of this case report and accompanying images. A copy of the written consent is available for review by the Editorial office/Chief Editor/Editorial Board members of this journal.</w:t>
      </w:r>
    </w:p>
    <w:p w14:paraId="0EC0AC67" w14:textId="10A2B6CD" w:rsidR="0012570E" w:rsidRDefault="0012570E" w:rsidP="00D158B2">
      <w:pPr>
        <w:pStyle w:val="ReferHead"/>
        <w:spacing w:after="0"/>
        <w:jc w:val="both"/>
        <w:rPr>
          <w:rFonts w:ascii="Arial" w:hAnsi="Arial" w:cs="Arial"/>
          <w:b w:val="0"/>
          <w:caps w:val="0"/>
          <w:sz w:val="20"/>
        </w:rPr>
      </w:pPr>
    </w:p>
    <w:p w14:paraId="4D4B7F9C" w14:textId="0FD6802E" w:rsidR="0012570E" w:rsidRDefault="0012570E" w:rsidP="00D158B2">
      <w:pPr>
        <w:pStyle w:val="ReferHead"/>
        <w:spacing w:after="0"/>
        <w:jc w:val="both"/>
        <w:rPr>
          <w:rFonts w:ascii="Arial" w:hAnsi="Arial" w:cs="Arial"/>
          <w:b w:val="0"/>
          <w:caps w:val="0"/>
          <w:sz w:val="20"/>
        </w:rPr>
      </w:pPr>
      <w:r w:rsidRPr="0012570E">
        <w:rPr>
          <w:rFonts w:ascii="Arial" w:hAnsi="Arial" w:cs="Arial"/>
          <w:b w:val="0"/>
          <w:caps w:val="0"/>
          <w:sz w:val="20"/>
        </w:rPr>
        <w:t>As per international standards or university standards written ethical approval has been collected and preserved by the author(s).</w:t>
      </w:r>
      <w:bookmarkStart w:id="0" w:name="_GoBack"/>
      <w:bookmarkEnd w:id="0"/>
    </w:p>
    <w:p w14:paraId="77706A52" w14:textId="77777777" w:rsidR="0012570E" w:rsidRDefault="0012570E" w:rsidP="00D158B2">
      <w:pPr>
        <w:pStyle w:val="ReferHead"/>
        <w:spacing w:after="0"/>
        <w:jc w:val="both"/>
        <w:rPr>
          <w:rFonts w:ascii="Arial" w:hAnsi="Arial" w:cs="Arial"/>
          <w:b w:val="0"/>
          <w:caps w:val="0"/>
          <w:sz w:val="20"/>
        </w:rPr>
      </w:pPr>
    </w:p>
    <w:p w14:paraId="6704B188" w14:textId="3A1B9343" w:rsidR="002C7999" w:rsidRDefault="002C7999" w:rsidP="00D158B2">
      <w:pPr>
        <w:pStyle w:val="ReferHead"/>
        <w:spacing w:after="0"/>
        <w:jc w:val="both"/>
        <w:rPr>
          <w:rFonts w:ascii="Arial" w:hAnsi="Arial" w:cs="Arial"/>
          <w:b w:val="0"/>
          <w:caps w:val="0"/>
          <w:sz w:val="20"/>
        </w:rPr>
      </w:pPr>
    </w:p>
    <w:p w14:paraId="7D78D743" w14:textId="77777777" w:rsidR="002C7999" w:rsidRPr="009C5487" w:rsidRDefault="002C7999" w:rsidP="002C7999">
      <w:pPr>
        <w:rPr>
          <w:rFonts w:ascii="Calibri" w:eastAsia="Calibri" w:hAnsi="Calibri"/>
          <w:kern w:val="2"/>
          <w:highlight w:val="yellow"/>
        </w:rPr>
      </w:pPr>
      <w:bookmarkStart w:id="1" w:name="_Hlk197682619"/>
      <w:bookmarkStart w:id="2" w:name="_Hlk180402183"/>
      <w:bookmarkStart w:id="3" w:name="_Hlk183680988"/>
      <w:r w:rsidRPr="009C5487">
        <w:rPr>
          <w:rFonts w:ascii="Calibri" w:eastAsia="Calibri" w:hAnsi="Calibri"/>
          <w:kern w:val="2"/>
          <w:highlight w:val="yellow"/>
        </w:rPr>
        <w:t>Disclaimer (Artificial intelligence)</w:t>
      </w:r>
    </w:p>
    <w:p w14:paraId="1FE72AA4" w14:textId="77777777" w:rsidR="002C7999" w:rsidRPr="009C5487" w:rsidRDefault="002C7999" w:rsidP="002C7999">
      <w:pPr>
        <w:rPr>
          <w:rFonts w:ascii="Calibri" w:eastAsia="Calibri" w:hAnsi="Calibri"/>
          <w:kern w:val="2"/>
          <w:highlight w:val="yellow"/>
        </w:rPr>
      </w:pPr>
      <w:r w:rsidRPr="009C5487">
        <w:rPr>
          <w:rFonts w:ascii="Calibri" w:eastAsia="Calibri" w:hAnsi="Calibri"/>
          <w:kern w:val="2"/>
          <w:highlight w:val="yellow"/>
        </w:rPr>
        <w:t xml:space="preserve">Option 1: </w:t>
      </w:r>
    </w:p>
    <w:p w14:paraId="025B8E74" w14:textId="77777777" w:rsidR="002C7999" w:rsidRPr="009C5487" w:rsidRDefault="002C7999" w:rsidP="002C7999">
      <w:pPr>
        <w:rPr>
          <w:rFonts w:ascii="Calibri" w:eastAsia="Calibri" w:hAnsi="Calibri"/>
          <w:kern w:val="2"/>
          <w:highlight w:val="yellow"/>
        </w:rPr>
      </w:pPr>
      <w:r w:rsidRPr="009C5487">
        <w:rPr>
          <w:rFonts w:ascii="Calibri" w:eastAsia="Calibri" w:hAnsi="Calibri"/>
          <w:kern w:val="2"/>
          <w:highlight w:val="yellow"/>
        </w:rPr>
        <w:t xml:space="preserve">Author(s) hereby declare that NO generative AI technologies such as Large Language Models (ChatGPT, COPILOT, etc.) and text-to-image generators have been used during the writing or editing of this manuscript. </w:t>
      </w:r>
    </w:p>
    <w:p w14:paraId="0D74A673" w14:textId="77777777" w:rsidR="002C7999" w:rsidRPr="009C5487" w:rsidRDefault="002C7999" w:rsidP="002C7999">
      <w:pPr>
        <w:rPr>
          <w:rFonts w:ascii="Calibri" w:eastAsia="Calibri" w:hAnsi="Calibri"/>
          <w:kern w:val="2"/>
          <w:highlight w:val="yellow"/>
        </w:rPr>
      </w:pPr>
      <w:r w:rsidRPr="009C5487">
        <w:rPr>
          <w:rFonts w:ascii="Calibri" w:eastAsia="Calibri" w:hAnsi="Calibri"/>
          <w:kern w:val="2"/>
          <w:highlight w:val="yellow"/>
        </w:rPr>
        <w:t xml:space="preserve">Option 2: </w:t>
      </w:r>
    </w:p>
    <w:p w14:paraId="4F2246FF" w14:textId="77777777" w:rsidR="002C7999" w:rsidRPr="009C5487" w:rsidRDefault="002C7999" w:rsidP="002C7999">
      <w:pPr>
        <w:rPr>
          <w:rFonts w:ascii="Calibri" w:eastAsia="Calibri" w:hAnsi="Calibri"/>
          <w:kern w:val="2"/>
          <w:highlight w:val="yellow"/>
        </w:rPr>
      </w:pPr>
      <w:r w:rsidRPr="009C5487">
        <w:rPr>
          <w:rFonts w:ascii="Calibri" w:eastAsia="Calibri" w:hAnsi="Calibri"/>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10A7E79" w14:textId="77777777" w:rsidR="002C7999" w:rsidRPr="009C5487" w:rsidRDefault="002C7999" w:rsidP="002C7999">
      <w:pPr>
        <w:rPr>
          <w:rFonts w:ascii="Calibri" w:eastAsia="Calibri" w:hAnsi="Calibri"/>
          <w:kern w:val="2"/>
          <w:highlight w:val="yellow"/>
        </w:rPr>
      </w:pPr>
      <w:r w:rsidRPr="009C5487">
        <w:rPr>
          <w:rFonts w:ascii="Calibri" w:eastAsia="Calibri" w:hAnsi="Calibri"/>
          <w:kern w:val="2"/>
          <w:highlight w:val="yellow"/>
        </w:rPr>
        <w:t>Details of the AI usage are given below:</w:t>
      </w:r>
    </w:p>
    <w:p w14:paraId="3AA2DFFE" w14:textId="77777777" w:rsidR="002C7999" w:rsidRPr="009C5487" w:rsidRDefault="002C7999" w:rsidP="002C7999">
      <w:pPr>
        <w:rPr>
          <w:rFonts w:ascii="Calibri" w:eastAsia="Calibri" w:hAnsi="Calibri"/>
          <w:kern w:val="2"/>
          <w:highlight w:val="yellow"/>
        </w:rPr>
      </w:pPr>
      <w:r w:rsidRPr="009C5487">
        <w:rPr>
          <w:rFonts w:ascii="Calibri" w:eastAsia="Calibri" w:hAnsi="Calibri"/>
          <w:kern w:val="2"/>
          <w:highlight w:val="yellow"/>
        </w:rPr>
        <w:t>1.</w:t>
      </w:r>
    </w:p>
    <w:p w14:paraId="1577ECD1" w14:textId="77777777" w:rsidR="002C7999" w:rsidRPr="009C5487" w:rsidRDefault="002C7999" w:rsidP="002C7999">
      <w:pPr>
        <w:rPr>
          <w:rFonts w:ascii="Calibri" w:eastAsia="Calibri" w:hAnsi="Calibri"/>
          <w:kern w:val="2"/>
          <w:highlight w:val="yellow"/>
        </w:rPr>
      </w:pPr>
      <w:r w:rsidRPr="009C5487">
        <w:rPr>
          <w:rFonts w:ascii="Calibri" w:eastAsia="Calibri" w:hAnsi="Calibri"/>
          <w:kern w:val="2"/>
          <w:highlight w:val="yellow"/>
        </w:rPr>
        <w:t>2.</w:t>
      </w:r>
    </w:p>
    <w:p w14:paraId="34C4C3BA" w14:textId="77777777" w:rsidR="002C7999" w:rsidRPr="009C5487" w:rsidRDefault="002C7999" w:rsidP="002C7999">
      <w:pPr>
        <w:rPr>
          <w:rFonts w:ascii="Calibri" w:eastAsia="Calibri" w:hAnsi="Calibri"/>
          <w:kern w:val="2"/>
        </w:rPr>
      </w:pPr>
      <w:bookmarkStart w:id="4" w:name="_Hlk197682629"/>
      <w:bookmarkEnd w:id="1"/>
      <w:r w:rsidRPr="009C5487">
        <w:rPr>
          <w:rFonts w:ascii="Calibri" w:eastAsia="Calibri" w:hAnsi="Calibri"/>
          <w:kern w:val="2"/>
          <w:highlight w:val="yellow"/>
        </w:rPr>
        <w:t>3.</w:t>
      </w:r>
    </w:p>
    <w:bookmarkEnd w:id="2"/>
    <w:bookmarkEnd w:id="3"/>
    <w:bookmarkEnd w:id="4"/>
    <w:p w14:paraId="4EED378C" w14:textId="77777777" w:rsidR="002C7999" w:rsidRDefault="002C7999" w:rsidP="00D158B2">
      <w:pPr>
        <w:pStyle w:val="ReferHead"/>
        <w:spacing w:after="0"/>
        <w:jc w:val="both"/>
        <w:rPr>
          <w:rFonts w:ascii="Arial" w:hAnsi="Arial" w:cs="Arial"/>
          <w:b w:val="0"/>
          <w:caps w:val="0"/>
          <w:sz w:val="20"/>
        </w:rPr>
      </w:pPr>
    </w:p>
    <w:p w14:paraId="785B13B7" w14:textId="77777777" w:rsidR="00D158B2" w:rsidRPr="00643207" w:rsidRDefault="00D158B2" w:rsidP="00D158B2">
      <w:pPr>
        <w:pStyle w:val="ReferHead"/>
        <w:spacing w:after="0"/>
        <w:jc w:val="both"/>
        <w:rPr>
          <w:rFonts w:ascii="Arial" w:hAnsi="Arial" w:cs="Arial"/>
          <w:b w:val="0"/>
          <w:caps w:val="0"/>
          <w:sz w:val="20"/>
        </w:rPr>
      </w:pPr>
    </w:p>
    <w:p w14:paraId="570E87AC"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6377B1D7" w14:textId="77777777" w:rsidR="00790ADA" w:rsidRPr="00FB3A86" w:rsidRDefault="00790ADA" w:rsidP="00441B6F">
      <w:pPr>
        <w:pStyle w:val="ReferHead"/>
        <w:spacing w:after="0"/>
        <w:jc w:val="both"/>
        <w:rPr>
          <w:rFonts w:ascii="Arial" w:hAnsi="Arial" w:cs="Arial"/>
        </w:rPr>
      </w:pPr>
    </w:p>
    <w:p w14:paraId="25CFEC1E" w14:textId="2D1E0665" w:rsidR="00EB7A79" w:rsidRPr="00EB7A79" w:rsidRDefault="009C7038" w:rsidP="00EB7A79">
      <w:pPr>
        <w:pStyle w:val="Appendix"/>
        <w:jc w:val="both"/>
        <w:rPr>
          <w:rFonts w:ascii="Arial" w:hAnsi="Arial" w:cs="Arial"/>
          <w:b w:val="0"/>
          <w:lang w:val="fr-FR"/>
        </w:rPr>
      </w:pPr>
      <w:r w:rsidRPr="009C7038">
        <w:rPr>
          <w:rFonts w:ascii="Arial" w:hAnsi="Arial" w:cs="Arial"/>
          <w:b w:val="0"/>
          <w:bCs/>
          <w:sz w:val="20"/>
          <w:lang w:val="fr-FR"/>
        </w:rPr>
        <w:t>1.</w:t>
      </w:r>
      <w:r w:rsidR="00EB7A79" w:rsidRPr="00EB7A79">
        <w:rPr>
          <w:rFonts w:ascii="Consolas" w:hAnsi="Consolas"/>
          <w:sz w:val="24"/>
          <w:szCs w:val="24"/>
          <w:lang w:val="fr-FR" w:eastAsia="fr-FR"/>
        </w:rPr>
        <w:t xml:space="preserve"> </w:t>
      </w:r>
      <w:r w:rsidR="00686D0F" w:rsidRPr="00686D0F">
        <w:rPr>
          <w:rFonts w:ascii="Arial" w:hAnsi="Arial" w:cs="Arial"/>
          <w:b w:val="0"/>
        </w:rPr>
        <w:t>Lanas A, Chan FKL. Peptic ulcer disease. Lancet. 2017 Aug 5;390(10094):613-624. doi: 10.1016/S0140-6736(16)32404-7. Epub 2017 Feb 25. PMID: 28242110.</w:t>
      </w:r>
    </w:p>
    <w:p w14:paraId="2DBB3D62" w14:textId="6F05CE0F" w:rsidR="00D44CBF" w:rsidRDefault="00E27A00" w:rsidP="00D44CBF">
      <w:pPr>
        <w:pStyle w:val="Appendix"/>
        <w:jc w:val="both"/>
        <w:rPr>
          <w:rFonts w:ascii="Arial" w:hAnsi="Arial" w:cs="Arial"/>
          <w:b w:val="0"/>
          <w:bCs/>
          <w:sz w:val="20"/>
        </w:rPr>
      </w:pPr>
      <w:r>
        <w:rPr>
          <w:rFonts w:ascii="Arial" w:hAnsi="Arial" w:cs="Arial"/>
          <w:b w:val="0"/>
          <w:bCs/>
          <w:sz w:val="20"/>
          <w:lang w:val="fr-FR"/>
        </w:rPr>
        <w:t>2</w:t>
      </w:r>
      <w:r w:rsidRPr="00E27A00">
        <w:rPr>
          <w:rFonts w:ascii="Arial" w:hAnsi="Arial" w:cs="Arial"/>
          <w:sz w:val="20"/>
          <w:lang w:val="fr-FR"/>
        </w:rPr>
        <w:t xml:space="preserve">. </w:t>
      </w:r>
      <w:r w:rsidR="00D44CBF" w:rsidRPr="00D44CBF">
        <w:rPr>
          <w:rFonts w:ascii="Arial" w:hAnsi="Arial" w:cs="Arial"/>
          <w:b w:val="0"/>
          <w:bCs/>
          <w:sz w:val="20"/>
        </w:rPr>
        <w:t xml:space="preserve">BANZET P, PERNOD P. Un cas d'ulcère double </w:t>
      </w:r>
      <w:proofErr w:type="gramStart"/>
      <w:r w:rsidR="00D44CBF" w:rsidRPr="00D44CBF">
        <w:rPr>
          <w:rFonts w:ascii="Arial" w:hAnsi="Arial" w:cs="Arial"/>
          <w:b w:val="0"/>
          <w:bCs/>
          <w:sz w:val="20"/>
        </w:rPr>
        <w:t>perforé;</w:t>
      </w:r>
      <w:proofErr w:type="gramEnd"/>
      <w:r w:rsidR="00D44CBF" w:rsidRPr="00D44CBF">
        <w:rPr>
          <w:rFonts w:ascii="Arial" w:hAnsi="Arial" w:cs="Arial"/>
          <w:b w:val="0"/>
          <w:bCs/>
          <w:sz w:val="20"/>
        </w:rPr>
        <w:t xml:space="preserve"> bons résultats d'une opération de Dragstedt [Case of perforated double ulcer; successful results following Dragstedt</w:t>
      </w:r>
      <w:r w:rsidR="00F57DB3">
        <w:rPr>
          <w:rFonts w:ascii="Arial" w:hAnsi="Arial" w:cs="Arial"/>
          <w:b w:val="0"/>
          <w:bCs/>
          <w:sz w:val="20"/>
        </w:rPr>
        <w:t xml:space="preserve"> </w:t>
      </w:r>
      <w:r w:rsidR="00D44CBF" w:rsidRPr="00D44CBF">
        <w:rPr>
          <w:rFonts w:ascii="Arial" w:hAnsi="Arial" w:cs="Arial"/>
          <w:b w:val="0"/>
          <w:bCs/>
          <w:sz w:val="20"/>
        </w:rPr>
        <w:t>operation]. Arch Mal Appar Dig Mal Nutr. 1953 Sep-Oct;42(9-10):1114-9. PMID: 13125702.</w:t>
      </w:r>
    </w:p>
    <w:p w14:paraId="31A221BF" w14:textId="33FCC18D" w:rsidR="00CE44B8" w:rsidRDefault="00CE44B8" w:rsidP="00D44CBF">
      <w:pPr>
        <w:pStyle w:val="Appendix"/>
        <w:jc w:val="both"/>
        <w:rPr>
          <w:rFonts w:ascii="Arial" w:hAnsi="Arial" w:cs="Arial"/>
          <w:b w:val="0"/>
          <w:bCs/>
          <w:sz w:val="20"/>
        </w:rPr>
      </w:pPr>
      <w:r>
        <w:rPr>
          <w:rFonts w:ascii="Arial" w:hAnsi="Arial" w:cs="Arial"/>
          <w:b w:val="0"/>
          <w:bCs/>
          <w:sz w:val="20"/>
        </w:rPr>
        <w:t>3</w:t>
      </w:r>
      <w:r w:rsidRPr="00CE44B8">
        <w:rPr>
          <w:rFonts w:ascii="Arial" w:hAnsi="Arial" w:cs="Arial"/>
          <w:b w:val="0"/>
          <w:bCs/>
          <w:sz w:val="20"/>
          <w:highlight w:val="yellow"/>
        </w:rPr>
        <w:t>.Katagiri, Hideki MD1; Lefor, Alan Kawarai. MD, MPH, PhD2; Kubota, Tadao MD1; Mizokami, Ken MD, PhD1. Smoking History Is More Highly Associated with Perforated Peptic Ulcer Than the Rate ofHelocobacter pyloriInfection: 1071. American Journal of Gastroenterology 111</w:t>
      </w:r>
      <w:proofErr w:type="gramStart"/>
      <w:r w:rsidRPr="00CE44B8">
        <w:rPr>
          <w:rFonts w:ascii="Arial" w:hAnsi="Arial" w:cs="Arial"/>
          <w:b w:val="0"/>
          <w:bCs/>
          <w:sz w:val="20"/>
          <w:highlight w:val="yellow"/>
        </w:rPr>
        <w:t>():p</w:t>
      </w:r>
      <w:proofErr w:type="gramEnd"/>
      <w:r w:rsidRPr="00CE44B8">
        <w:rPr>
          <w:rFonts w:ascii="Arial" w:hAnsi="Arial" w:cs="Arial"/>
          <w:b w:val="0"/>
          <w:bCs/>
          <w:sz w:val="20"/>
          <w:highlight w:val="yellow"/>
        </w:rPr>
        <w:t xml:space="preserve"> S466-S467, October 2016.</w:t>
      </w:r>
    </w:p>
    <w:p w14:paraId="2F2CEF2B" w14:textId="2979875A" w:rsidR="009C7038" w:rsidRDefault="00B92A5F" w:rsidP="001176DA">
      <w:pPr>
        <w:pStyle w:val="Appendix"/>
        <w:jc w:val="both"/>
        <w:rPr>
          <w:rFonts w:ascii="Arial" w:hAnsi="Arial" w:cs="Arial"/>
          <w:b w:val="0"/>
          <w:bCs/>
          <w:sz w:val="20"/>
          <w:lang w:val="fr-FR"/>
        </w:rPr>
      </w:pPr>
      <w:r>
        <w:rPr>
          <w:rFonts w:ascii="Arial" w:hAnsi="Arial" w:cs="Arial"/>
          <w:b w:val="0"/>
          <w:bCs/>
          <w:sz w:val="20"/>
          <w:lang w:val="fr-FR"/>
        </w:rPr>
        <w:t>4</w:t>
      </w:r>
      <w:r w:rsidR="009C7038" w:rsidRPr="009C7038">
        <w:rPr>
          <w:rFonts w:ascii="Arial" w:hAnsi="Arial" w:cs="Arial"/>
          <w:b w:val="0"/>
          <w:bCs/>
          <w:sz w:val="20"/>
          <w:lang w:val="fr-FR"/>
        </w:rPr>
        <w:t xml:space="preserve">. </w:t>
      </w:r>
      <w:r w:rsidR="00F23D9D" w:rsidRPr="00F23D9D">
        <w:rPr>
          <w:rFonts w:ascii="Arial" w:hAnsi="Arial" w:cs="Arial"/>
          <w:b w:val="0"/>
          <w:bCs/>
          <w:sz w:val="20"/>
        </w:rPr>
        <w:t xml:space="preserve">Bulut OB, Rasmussen C, Fischer A. Acute surgical treatment of complicated peptic ulcers with special reference to the elderly. World J Surg. </w:t>
      </w:r>
      <w:proofErr w:type="gramStart"/>
      <w:r w:rsidR="00F23D9D" w:rsidRPr="00F23D9D">
        <w:rPr>
          <w:rFonts w:ascii="Arial" w:hAnsi="Arial" w:cs="Arial"/>
          <w:b w:val="0"/>
          <w:bCs/>
          <w:sz w:val="20"/>
        </w:rPr>
        <w:t>1996;20:574</w:t>
      </w:r>
      <w:proofErr w:type="gramEnd"/>
      <w:r w:rsidR="00F23D9D" w:rsidRPr="00F23D9D">
        <w:rPr>
          <w:rFonts w:ascii="Arial" w:hAnsi="Arial" w:cs="Arial"/>
          <w:b w:val="0"/>
          <w:bCs/>
          <w:sz w:val="20"/>
        </w:rPr>
        <w:t>–7. doi: 10.1007/s002689900089.</w:t>
      </w:r>
    </w:p>
    <w:p w14:paraId="59E97ECA" w14:textId="6E6458FB" w:rsidR="009C7038" w:rsidRDefault="00B92A5F" w:rsidP="009C7038">
      <w:pPr>
        <w:pStyle w:val="Appendix"/>
        <w:spacing w:after="0"/>
        <w:jc w:val="both"/>
        <w:rPr>
          <w:rFonts w:ascii="Arial" w:hAnsi="Arial" w:cs="Arial"/>
          <w:b w:val="0"/>
          <w:bCs/>
          <w:sz w:val="20"/>
        </w:rPr>
      </w:pPr>
      <w:r>
        <w:rPr>
          <w:rFonts w:ascii="Arial" w:hAnsi="Arial" w:cs="Arial"/>
          <w:b w:val="0"/>
          <w:bCs/>
          <w:sz w:val="20"/>
          <w:lang w:val="fr-FR"/>
        </w:rPr>
        <w:t>5</w:t>
      </w:r>
      <w:r w:rsidR="00E82B05">
        <w:rPr>
          <w:rFonts w:ascii="Arial" w:hAnsi="Arial" w:cs="Arial"/>
          <w:b w:val="0"/>
          <w:bCs/>
          <w:sz w:val="20"/>
          <w:lang w:val="fr-FR"/>
        </w:rPr>
        <w:t>.</w:t>
      </w:r>
      <w:r w:rsidR="00E82B05" w:rsidRPr="00E82B05">
        <w:rPr>
          <w:rFonts w:ascii="Segoe UI" w:hAnsi="Segoe UI" w:cs="Segoe UI"/>
          <w:b w:val="0"/>
          <w:caps w:val="0"/>
          <w:color w:val="212121"/>
          <w:sz w:val="20"/>
          <w:shd w:val="clear" w:color="auto" w:fill="FFFFFF"/>
        </w:rPr>
        <w:t xml:space="preserve"> </w:t>
      </w:r>
      <w:r w:rsidR="00E82B05" w:rsidRPr="00E82B05">
        <w:rPr>
          <w:rFonts w:ascii="Arial" w:hAnsi="Arial" w:cs="Arial"/>
          <w:b w:val="0"/>
          <w:bCs/>
          <w:sz w:val="20"/>
        </w:rPr>
        <w:t xml:space="preserve">Weledji EP. An Overview of Gastroduodenal Perforation. Front Surg. 2020 Nov </w:t>
      </w:r>
      <w:proofErr w:type="gramStart"/>
      <w:r w:rsidR="00E82B05" w:rsidRPr="00E82B05">
        <w:rPr>
          <w:rFonts w:ascii="Arial" w:hAnsi="Arial" w:cs="Arial"/>
          <w:b w:val="0"/>
          <w:bCs/>
          <w:sz w:val="20"/>
        </w:rPr>
        <w:t>9;7:573901</w:t>
      </w:r>
      <w:proofErr w:type="gramEnd"/>
      <w:r w:rsidR="00E82B05" w:rsidRPr="00E82B05">
        <w:rPr>
          <w:rFonts w:ascii="Arial" w:hAnsi="Arial" w:cs="Arial"/>
          <w:b w:val="0"/>
          <w:bCs/>
          <w:sz w:val="20"/>
        </w:rPr>
        <w:t>. doi: 10.3389/fsurg.2020.573901. PMID: 33240923; PMCID: PMC7680839.</w:t>
      </w:r>
    </w:p>
    <w:p w14:paraId="1427F916" w14:textId="77777777" w:rsidR="00E82B05" w:rsidRDefault="00E82B05" w:rsidP="009C7038">
      <w:pPr>
        <w:pStyle w:val="Appendix"/>
        <w:spacing w:after="0"/>
        <w:jc w:val="both"/>
        <w:rPr>
          <w:rFonts w:ascii="Arial" w:hAnsi="Arial" w:cs="Arial"/>
          <w:b w:val="0"/>
          <w:bCs/>
          <w:sz w:val="20"/>
          <w:lang w:val="fr-FR"/>
        </w:rPr>
      </w:pPr>
    </w:p>
    <w:p w14:paraId="709EF032" w14:textId="67B93DB7" w:rsidR="00AD152C" w:rsidRDefault="00B92A5F" w:rsidP="00E82B05">
      <w:pPr>
        <w:pStyle w:val="Appendix"/>
        <w:jc w:val="both"/>
        <w:rPr>
          <w:rFonts w:ascii="Arial" w:hAnsi="Arial" w:cs="Arial"/>
          <w:b w:val="0"/>
          <w:sz w:val="20"/>
        </w:rPr>
      </w:pPr>
      <w:r>
        <w:rPr>
          <w:rFonts w:ascii="Arial" w:hAnsi="Arial" w:cs="Arial"/>
          <w:b w:val="0"/>
          <w:sz w:val="20"/>
          <w:lang w:val="fr-FR"/>
        </w:rPr>
        <w:t>6</w:t>
      </w:r>
      <w:r w:rsidR="00E27A00" w:rsidRPr="00E27A00">
        <w:rPr>
          <w:rFonts w:ascii="Arial" w:hAnsi="Arial" w:cs="Arial"/>
          <w:b w:val="0"/>
          <w:sz w:val="20"/>
          <w:lang w:val="fr-FR"/>
        </w:rPr>
        <w:t>.</w:t>
      </w:r>
      <w:r w:rsidR="004E2378" w:rsidRPr="004E2378">
        <w:rPr>
          <w:rFonts w:ascii="Bahnschrift" w:hAnsi="Bahnschrift"/>
          <w:b w:val="0"/>
          <w:caps w:val="0"/>
          <w:color w:val="333333"/>
          <w:sz w:val="25"/>
          <w:szCs w:val="25"/>
          <w:shd w:val="clear" w:color="auto" w:fill="FFFFFF"/>
        </w:rPr>
        <w:t xml:space="preserve"> </w:t>
      </w:r>
      <w:r w:rsidR="00E82B05" w:rsidRPr="00E82B05">
        <w:rPr>
          <w:rFonts w:ascii="Arial" w:hAnsi="Arial" w:cs="Arial"/>
          <w:b w:val="0"/>
          <w:sz w:val="20"/>
        </w:rPr>
        <w:t>Atul K. Sharma, Rakesh K. Sharma, Santosh K. Sharma, Devendra Soni, Tej Pratap Singh,</w:t>
      </w:r>
      <w:r w:rsidR="00E82B05">
        <w:rPr>
          <w:rFonts w:ascii="Arial" w:hAnsi="Arial" w:cs="Arial"/>
          <w:b w:val="0"/>
          <w:sz w:val="20"/>
        </w:rPr>
        <w:t xml:space="preserve"> </w:t>
      </w:r>
      <w:r w:rsidR="00E82B05" w:rsidRPr="00E82B05">
        <w:rPr>
          <w:rFonts w:ascii="Arial" w:hAnsi="Arial" w:cs="Arial"/>
          <w:b w:val="0"/>
          <w:sz w:val="20"/>
        </w:rPr>
        <w:t xml:space="preserve">Double peptic </w:t>
      </w:r>
      <w:proofErr w:type="gramStart"/>
      <w:r w:rsidR="00E82B05" w:rsidRPr="00E82B05">
        <w:rPr>
          <w:rFonts w:ascii="Arial" w:hAnsi="Arial" w:cs="Arial"/>
          <w:b w:val="0"/>
          <w:sz w:val="20"/>
        </w:rPr>
        <w:t>perforation:</w:t>
      </w:r>
      <w:proofErr w:type="gramEnd"/>
      <w:r w:rsidR="00E82B05" w:rsidRPr="00E82B05">
        <w:rPr>
          <w:rFonts w:ascii="Arial" w:hAnsi="Arial" w:cs="Arial"/>
          <w:b w:val="0"/>
          <w:sz w:val="20"/>
        </w:rPr>
        <w:t xml:space="preserve"> Report of a rare case,</w:t>
      </w:r>
      <w:r w:rsidR="00E82B05">
        <w:rPr>
          <w:rFonts w:ascii="Arial" w:hAnsi="Arial" w:cs="Arial"/>
          <w:b w:val="0"/>
          <w:sz w:val="20"/>
        </w:rPr>
        <w:t xml:space="preserve"> </w:t>
      </w:r>
      <w:r w:rsidR="00E82B05" w:rsidRPr="00E82B05">
        <w:rPr>
          <w:rFonts w:ascii="Arial" w:hAnsi="Arial" w:cs="Arial"/>
          <w:b w:val="0"/>
          <w:sz w:val="20"/>
        </w:rPr>
        <w:t>Asian Journal of Surgery,Volume 38, Issue 4,2015,Pages 239-241,ISSN 1015-9584,https://doi.org/10.1016/j.asjsur.2013.04.001.</w:t>
      </w:r>
    </w:p>
    <w:p w14:paraId="1BC3F2B1" w14:textId="2B756D7C" w:rsidR="004E2378" w:rsidRDefault="00B92A5F" w:rsidP="004E2378">
      <w:pPr>
        <w:pStyle w:val="Appendix"/>
        <w:jc w:val="both"/>
        <w:rPr>
          <w:rFonts w:ascii="Arial" w:hAnsi="Arial" w:cs="Arial"/>
          <w:b w:val="0"/>
          <w:sz w:val="20"/>
        </w:rPr>
      </w:pPr>
      <w:r>
        <w:rPr>
          <w:rFonts w:ascii="Arial" w:hAnsi="Arial" w:cs="Arial"/>
          <w:b w:val="0"/>
          <w:sz w:val="20"/>
        </w:rPr>
        <w:t>7</w:t>
      </w:r>
      <w:r w:rsidR="004E2378">
        <w:rPr>
          <w:rFonts w:ascii="Arial" w:hAnsi="Arial" w:cs="Arial"/>
          <w:b w:val="0"/>
          <w:sz w:val="20"/>
        </w:rPr>
        <w:t>.</w:t>
      </w:r>
      <w:r w:rsidR="004E2378" w:rsidRPr="004E2378">
        <w:rPr>
          <w:rFonts w:ascii="Bahnschrift" w:hAnsi="Bahnschrift"/>
          <w:b w:val="0"/>
          <w:caps w:val="0"/>
          <w:color w:val="333333"/>
          <w:sz w:val="25"/>
          <w:szCs w:val="25"/>
          <w:shd w:val="clear" w:color="auto" w:fill="FFFFFF"/>
        </w:rPr>
        <w:t xml:space="preserve"> </w:t>
      </w:r>
      <w:r w:rsidR="00E82B05" w:rsidRPr="00E82B05">
        <w:rPr>
          <w:rFonts w:ascii="Arial" w:hAnsi="Arial" w:cs="Arial"/>
          <w:b w:val="0"/>
          <w:sz w:val="20"/>
        </w:rPr>
        <w:t>Ozdemir K, Mantoglu B, Cakmak G, Dulger U, Bayhan Z, Eroz E. Double peptic ulcer perforation in a Covid-19 patient, extremely rare entity. Ulus Travma Acil Cerrahi Derg. 2023 Feb;29(2):252-254. doi: 10.14744/tjtes.2021.56346. PMID: 36748769; PMCID: PMC10198331.</w:t>
      </w:r>
    </w:p>
    <w:p w14:paraId="0831C94D" w14:textId="622B2973" w:rsidR="001C2E83" w:rsidRDefault="001C2E83" w:rsidP="004E2378">
      <w:pPr>
        <w:pStyle w:val="Appendix"/>
        <w:jc w:val="both"/>
        <w:rPr>
          <w:rFonts w:ascii="Arial" w:hAnsi="Arial" w:cs="Arial"/>
          <w:b w:val="0"/>
          <w:sz w:val="20"/>
        </w:rPr>
      </w:pPr>
      <w:r w:rsidRPr="001C2E83">
        <w:rPr>
          <w:rFonts w:ascii="Arial" w:hAnsi="Arial" w:cs="Arial"/>
          <w:b w:val="0"/>
          <w:sz w:val="20"/>
          <w:highlight w:val="yellow"/>
        </w:rPr>
        <w:t>8.</w:t>
      </w:r>
      <w:r w:rsidRPr="001C2E83">
        <w:rPr>
          <w:b w:val="0"/>
          <w:caps w:val="0"/>
          <w:sz w:val="20"/>
          <w:highlight w:val="yellow"/>
        </w:rPr>
        <w:t xml:space="preserve"> </w:t>
      </w:r>
      <w:r w:rsidRPr="001C2E83">
        <w:rPr>
          <w:rFonts w:ascii="Arial" w:hAnsi="Arial" w:cs="Arial"/>
          <w:b w:val="0"/>
          <w:sz w:val="20"/>
          <w:highlight w:val="yellow"/>
        </w:rPr>
        <w:t xml:space="preserve">Bhargav R, Acharya B. Double gastric perforation as a complication of peptic ulcer disease: a rare surgical entity. </w:t>
      </w:r>
      <w:r w:rsidRPr="001C2E83">
        <w:rPr>
          <w:rFonts w:ascii="Arial" w:hAnsi="Arial" w:cs="Arial"/>
          <w:b w:val="0"/>
          <w:i/>
          <w:iCs/>
          <w:sz w:val="20"/>
          <w:highlight w:val="yellow"/>
        </w:rPr>
        <w:t>Asian J Case Rep Surg</w:t>
      </w:r>
      <w:r w:rsidRPr="001C2E83">
        <w:rPr>
          <w:rFonts w:ascii="Arial" w:hAnsi="Arial" w:cs="Arial"/>
          <w:b w:val="0"/>
          <w:sz w:val="20"/>
          <w:highlight w:val="yellow"/>
        </w:rPr>
        <w:t>. 2023;6(1):202–</w:t>
      </w:r>
      <w:proofErr w:type="gramStart"/>
      <w:r w:rsidRPr="001C2E83">
        <w:rPr>
          <w:rFonts w:ascii="Arial" w:hAnsi="Arial" w:cs="Arial"/>
          <w:b w:val="0"/>
          <w:sz w:val="20"/>
          <w:highlight w:val="yellow"/>
        </w:rPr>
        <w:t>205 .</w:t>
      </w:r>
      <w:proofErr w:type="gramEnd"/>
    </w:p>
    <w:p w14:paraId="202201EC" w14:textId="58A02A8C" w:rsidR="004E2378" w:rsidRDefault="001C2E83" w:rsidP="004E2378">
      <w:pPr>
        <w:pStyle w:val="Appendix"/>
        <w:jc w:val="both"/>
        <w:rPr>
          <w:rFonts w:ascii="Arial" w:hAnsi="Arial" w:cs="Arial"/>
          <w:b w:val="0"/>
          <w:sz w:val="20"/>
        </w:rPr>
      </w:pPr>
      <w:r>
        <w:rPr>
          <w:rFonts w:ascii="Arial" w:hAnsi="Arial" w:cs="Arial"/>
          <w:b w:val="0"/>
          <w:sz w:val="20"/>
        </w:rPr>
        <w:t>9</w:t>
      </w:r>
      <w:r w:rsidR="004E2378">
        <w:rPr>
          <w:rFonts w:ascii="Arial" w:hAnsi="Arial" w:cs="Arial"/>
          <w:b w:val="0"/>
          <w:sz w:val="20"/>
        </w:rPr>
        <w:t>.</w:t>
      </w:r>
      <w:r w:rsidR="004E2378" w:rsidRPr="004E2378">
        <w:rPr>
          <w:rFonts w:ascii="Bahnschrift" w:hAnsi="Bahnschrift"/>
          <w:b w:val="0"/>
          <w:caps w:val="0"/>
          <w:color w:val="333333"/>
          <w:sz w:val="25"/>
          <w:szCs w:val="25"/>
          <w:shd w:val="clear" w:color="auto" w:fill="FFFFFF"/>
        </w:rPr>
        <w:t xml:space="preserve"> </w:t>
      </w:r>
      <w:r w:rsidR="00081583" w:rsidRPr="00081583">
        <w:rPr>
          <w:rFonts w:ascii="Arial" w:hAnsi="Arial" w:cs="Arial"/>
          <w:b w:val="0"/>
          <w:sz w:val="20"/>
        </w:rPr>
        <w:t>Conservative management of perforated peptic ulcer. Lancet. 1989 Dec 16;2(8677):1429-30. PMID: 2574364.</w:t>
      </w:r>
    </w:p>
    <w:p w14:paraId="4E32389F" w14:textId="5AEF6F0E" w:rsidR="00147437" w:rsidRDefault="001C2E83" w:rsidP="004E2378">
      <w:pPr>
        <w:pStyle w:val="Appendix"/>
        <w:jc w:val="both"/>
        <w:rPr>
          <w:rFonts w:ascii="Arial" w:hAnsi="Arial" w:cs="Arial"/>
          <w:b w:val="0"/>
          <w:sz w:val="20"/>
        </w:rPr>
      </w:pPr>
      <w:r>
        <w:rPr>
          <w:rFonts w:ascii="Arial" w:hAnsi="Arial" w:cs="Arial"/>
          <w:b w:val="0"/>
          <w:sz w:val="20"/>
          <w:highlight w:val="yellow"/>
        </w:rPr>
        <w:t>10</w:t>
      </w:r>
      <w:r w:rsidR="00147437" w:rsidRPr="00D22ED6">
        <w:rPr>
          <w:rFonts w:ascii="Arial" w:hAnsi="Arial" w:cs="Arial"/>
          <w:b w:val="0"/>
          <w:sz w:val="20"/>
          <w:highlight w:val="yellow"/>
        </w:rPr>
        <w:t>.</w:t>
      </w:r>
      <w:r w:rsidR="00147437" w:rsidRPr="00D22ED6">
        <w:rPr>
          <w:rFonts w:ascii="Segoe UI" w:hAnsi="Segoe UI" w:cs="Segoe UI"/>
          <w:b w:val="0"/>
          <w:caps w:val="0"/>
          <w:color w:val="212121"/>
          <w:sz w:val="20"/>
          <w:highlight w:val="yellow"/>
          <w:shd w:val="clear" w:color="auto" w:fill="FFFFFF"/>
        </w:rPr>
        <w:t xml:space="preserve"> </w:t>
      </w:r>
      <w:r w:rsidR="00147437" w:rsidRPr="00D22ED6">
        <w:rPr>
          <w:rFonts w:ascii="Arial" w:hAnsi="Arial" w:cs="Arial"/>
          <w:b w:val="0"/>
          <w:sz w:val="20"/>
          <w:highlight w:val="yellow"/>
        </w:rPr>
        <w:t>Abdalgalil HH, Ismail AS, Alshmaily HO, Alshammari DS. A Conservative Management of Perforated Peptic Ulcer: A Case Report. Cureus. 2024 Mar 19;16(3</w:t>
      </w:r>
      <w:proofErr w:type="gramStart"/>
      <w:r w:rsidR="00147437" w:rsidRPr="00D22ED6">
        <w:rPr>
          <w:rFonts w:ascii="Arial" w:hAnsi="Arial" w:cs="Arial"/>
          <w:b w:val="0"/>
          <w:sz w:val="20"/>
          <w:highlight w:val="yellow"/>
        </w:rPr>
        <w:t>):e</w:t>
      </w:r>
      <w:proofErr w:type="gramEnd"/>
      <w:r w:rsidR="00147437" w:rsidRPr="00D22ED6">
        <w:rPr>
          <w:rFonts w:ascii="Arial" w:hAnsi="Arial" w:cs="Arial"/>
          <w:b w:val="0"/>
          <w:sz w:val="20"/>
          <w:highlight w:val="yellow"/>
        </w:rPr>
        <w:t>56491. doi: 10.7759/cureus.56491. PMID: 38638727; PMCID: PMC11026102.</w:t>
      </w:r>
    </w:p>
    <w:p w14:paraId="196310A7" w14:textId="3B38E755" w:rsidR="00D22ED6" w:rsidRDefault="001C2E83" w:rsidP="004E2378">
      <w:pPr>
        <w:pStyle w:val="Appendix"/>
        <w:jc w:val="both"/>
        <w:rPr>
          <w:rFonts w:ascii="Arial" w:hAnsi="Arial" w:cs="Arial"/>
          <w:b w:val="0"/>
          <w:sz w:val="20"/>
        </w:rPr>
      </w:pPr>
      <w:r>
        <w:rPr>
          <w:rFonts w:ascii="Arial" w:hAnsi="Arial" w:cs="Arial"/>
          <w:b w:val="0"/>
          <w:sz w:val="20"/>
        </w:rPr>
        <w:t>11</w:t>
      </w:r>
      <w:r w:rsidR="00D22ED6" w:rsidRPr="00D22ED6">
        <w:rPr>
          <w:rFonts w:ascii="Arial" w:hAnsi="Arial" w:cs="Arial"/>
          <w:b w:val="0"/>
          <w:sz w:val="20"/>
          <w:highlight w:val="yellow"/>
        </w:rPr>
        <w:t>.</w:t>
      </w:r>
      <w:r w:rsidR="00D22ED6" w:rsidRPr="00D22ED6">
        <w:rPr>
          <w:rFonts w:ascii="Segoe UI" w:hAnsi="Segoe UI" w:cs="Segoe UI"/>
          <w:b w:val="0"/>
          <w:caps w:val="0"/>
          <w:color w:val="212121"/>
          <w:sz w:val="20"/>
          <w:highlight w:val="yellow"/>
          <w:shd w:val="clear" w:color="auto" w:fill="FFFFFF"/>
        </w:rPr>
        <w:t xml:space="preserve"> </w:t>
      </w:r>
      <w:r w:rsidR="00D22ED6" w:rsidRPr="00D22ED6">
        <w:rPr>
          <w:rFonts w:ascii="Arial" w:hAnsi="Arial" w:cs="Arial"/>
          <w:b w:val="0"/>
          <w:sz w:val="20"/>
          <w:highlight w:val="yellow"/>
        </w:rPr>
        <w:t>Nirula R. Gastroduodenal perforation. Surg Clin North Am. 2014 Feb;94(1):31-4. doi: 10.1016/j.suc.2013.10.002. Epub 2013 Nov 5. PMID: 24267494.</w:t>
      </w:r>
    </w:p>
    <w:p w14:paraId="395C0F33" w14:textId="77777777" w:rsidR="00D22ED6" w:rsidRDefault="00D22ED6" w:rsidP="004E2378">
      <w:pPr>
        <w:pStyle w:val="Appendix"/>
        <w:jc w:val="both"/>
        <w:rPr>
          <w:rFonts w:ascii="Arial" w:hAnsi="Arial" w:cs="Arial"/>
          <w:b w:val="0"/>
          <w:sz w:val="20"/>
        </w:rPr>
      </w:pPr>
    </w:p>
    <w:sectPr w:rsidR="00D22ED6" w:rsidSect="00343D52">
      <w:headerReference w:type="even" r:id="rId18"/>
      <w:headerReference w:type="default" r:id="rId19"/>
      <w:footerReference w:type="default" r:id="rId20"/>
      <w:headerReference w:type="first" r:id="rId2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7BDFDB" w14:textId="77777777" w:rsidR="00FD51F9" w:rsidRDefault="00FD51F9" w:rsidP="00C37E61">
      <w:r>
        <w:separator/>
      </w:r>
    </w:p>
  </w:endnote>
  <w:endnote w:type="continuationSeparator" w:id="0">
    <w:p w14:paraId="5A7056EF" w14:textId="77777777" w:rsidR="00FD51F9" w:rsidRDefault="00FD51F9"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1635F" w14:textId="77777777" w:rsidR="001D0AE0" w:rsidRDefault="001D0A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53F59" w14:textId="77777777" w:rsidR="001D0AE0" w:rsidRDefault="001D0A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4ED253" w14:textId="77777777" w:rsidR="009E048A" w:rsidRDefault="009E048A">
    <w:pPr>
      <w:pStyle w:val="Footer"/>
      <w:rPr>
        <w:rFonts w:ascii="Arial" w:hAnsi="Arial" w:cs="Arial"/>
        <w:sz w:val="16"/>
      </w:rPr>
    </w:pPr>
  </w:p>
  <w:p w14:paraId="5AE7768B"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7CBB9BC4" w14:textId="77777777" w:rsidR="009E048A" w:rsidRDefault="009E048A">
    <w:pPr>
      <w:pStyle w:val="Footer"/>
      <w:rPr>
        <w:rFonts w:ascii="Arial" w:hAnsi="Arial" w:cs="Arial"/>
        <w:sz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C4B30D"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30557B" w14:textId="77777777" w:rsidR="00FD51F9" w:rsidRDefault="00FD51F9" w:rsidP="00C37E61">
      <w:r>
        <w:separator/>
      </w:r>
    </w:p>
  </w:footnote>
  <w:footnote w:type="continuationSeparator" w:id="0">
    <w:p w14:paraId="18AFBD0F" w14:textId="77777777" w:rsidR="00FD51F9" w:rsidRDefault="00FD51F9"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C7A97" w14:textId="21BF0FDE" w:rsidR="001D0AE0" w:rsidRDefault="00FD51F9">
    <w:pPr>
      <w:pStyle w:val="Header"/>
    </w:pPr>
    <w:r>
      <w:rPr>
        <w:noProof/>
      </w:rPr>
      <w:pict w14:anchorId="4D3267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2430797"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75F40" w14:textId="4C666A1D" w:rsidR="001D0AE0" w:rsidRDefault="00FD51F9">
    <w:pPr>
      <w:pStyle w:val="Header"/>
    </w:pPr>
    <w:r>
      <w:rPr>
        <w:noProof/>
      </w:rPr>
      <w:pict w14:anchorId="5530CE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2430798"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A15CB" w14:textId="06978ED7" w:rsidR="00296529" w:rsidRPr="00296529" w:rsidRDefault="00FD51F9" w:rsidP="00296529">
    <w:pPr>
      <w:ind w:left="2160"/>
      <w:jc w:val="center"/>
      <w:rPr>
        <w:rFonts w:ascii="Times New Roman" w:eastAsia="Calibri" w:hAnsi="Times New Roman"/>
        <w:i/>
        <w:sz w:val="18"/>
        <w:szCs w:val="22"/>
      </w:rPr>
    </w:pPr>
    <w:r>
      <w:rPr>
        <w:noProof/>
      </w:rPr>
      <w:pict w14:anchorId="543EC1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2430796"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292D952"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6A8110E"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8A31FFF"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50F78A4"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D9400D9"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1F1536F"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D019FC" w14:textId="12EB87DB" w:rsidR="001D0AE0" w:rsidRDefault="00FD51F9">
    <w:pPr>
      <w:pStyle w:val="Header"/>
    </w:pPr>
    <w:r>
      <w:rPr>
        <w:noProof/>
      </w:rPr>
      <w:pict w14:anchorId="7FFFC9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2430800"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8B114D" w14:textId="0FAF3228" w:rsidR="001D0AE0" w:rsidRDefault="00FD51F9">
    <w:pPr>
      <w:pStyle w:val="Header"/>
    </w:pPr>
    <w:r>
      <w:rPr>
        <w:noProof/>
      </w:rPr>
      <w:pict w14:anchorId="0C0DFC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2430801"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BF6091" w14:textId="7961DE81" w:rsidR="001D0AE0" w:rsidRDefault="00FD51F9">
    <w:pPr>
      <w:pStyle w:val="Header"/>
    </w:pPr>
    <w:r>
      <w:rPr>
        <w:noProof/>
      </w:rPr>
      <w:pict w14:anchorId="61A105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2430799"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6A97E1B"/>
    <w:multiLevelType w:val="hybridMultilevel"/>
    <w:tmpl w:val="39AA9A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3"/>
  </w:num>
  <w:num w:numId="9">
    <w:abstractNumId w:val="26"/>
  </w:num>
  <w:num w:numId="10">
    <w:abstractNumId w:val="2"/>
  </w:num>
  <w:num w:numId="11">
    <w:abstractNumId w:val="19"/>
  </w:num>
  <w:num w:numId="12">
    <w:abstractNumId w:val="3"/>
  </w:num>
  <w:num w:numId="13">
    <w:abstractNumId w:val="18"/>
  </w:num>
  <w:num w:numId="14">
    <w:abstractNumId w:val="9"/>
  </w:num>
  <w:num w:numId="15">
    <w:abstractNumId w:val="22"/>
  </w:num>
  <w:num w:numId="16">
    <w:abstractNumId w:val="5"/>
  </w:num>
  <w:num w:numId="17">
    <w:abstractNumId w:val="23"/>
  </w:num>
  <w:num w:numId="18">
    <w:abstractNumId w:val="15"/>
  </w:num>
  <w:num w:numId="19">
    <w:abstractNumId w:val="29"/>
  </w:num>
  <w:num w:numId="20">
    <w:abstractNumId w:val="12"/>
  </w:num>
  <w:num w:numId="21">
    <w:abstractNumId w:val="10"/>
  </w:num>
  <w:num w:numId="22">
    <w:abstractNumId w:val="14"/>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1"/>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289C"/>
    <w:rsid w:val="00014350"/>
    <w:rsid w:val="00024A95"/>
    <w:rsid w:val="00030174"/>
    <w:rsid w:val="0004579C"/>
    <w:rsid w:val="00064275"/>
    <w:rsid w:val="00067916"/>
    <w:rsid w:val="0007260E"/>
    <w:rsid w:val="00081583"/>
    <w:rsid w:val="000822BB"/>
    <w:rsid w:val="000823D1"/>
    <w:rsid w:val="000A269C"/>
    <w:rsid w:val="000A47FA"/>
    <w:rsid w:val="000A65D3"/>
    <w:rsid w:val="000B1E33"/>
    <w:rsid w:val="000C0E1C"/>
    <w:rsid w:val="000D30F0"/>
    <w:rsid w:val="000D689F"/>
    <w:rsid w:val="000E7B7B"/>
    <w:rsid w:val="000E7D62"/>
    <w:rsid w:val="000F36C9"/>
    <w:rsid w:val="000F70D5"/>
    <w:rsid w:val="001027C1"/>
    <w:rsid w:val="00103357"/>
    <w:rsid w:val="00105734"/>
    <w:rsid w:val="00115C4A"/>
    <w:rsid w:val="001176DA"/>
    <w:rsid w:val="00123C9F"/>
    <w:rsid w:val="0012570E"/>
    <w:rsid w:val="00126190"/>
    <w:rsid w:val="00130F17"/>
    <w:rsid w:val="001320BF"/>
    <w:rsid w:val="00147437"/>
    <w:rsid w:val="0015328E"/>
    <w:rsid w:val="00153ABB"/>
    <w:rsid w:val="00163BC4"/>
    <w:rsid w:val="00191062"/>
    <w:rsid w:val="00192B72"/>
    <w:rsid w:val="001A29D8"/>
    <w:rsid w:val="001A5CAA"/>
    <w:rsid w:val="001A79D5"/>
    <w:rsid w:val="001B0427"/>
    <w:rsid w:val="001C2E83"/>
    <w:rsid w:val="001C4989"/>
    <w:rsid w:val="001C5036"/>
    <w:rsid w:val="001D07CB"/>
    <w:rsid w:val="001D0AE0"/>
    <w:rsid w:val="001D1C02"/>
    <w:rsid w:val="001D26A9"/>
    <w:rsid w:val="001D3A51"/>
    <w:rsid w:val="001E10D2"/>
    <w:rsid w:val="001E25B4"/>
    <w:rsid w:val="001E44FE"/>
    <w:rsid w:val="00200595"/>
    <w:rsid w:val="00204835"/>
    <w:rsid w:val="00205720"/>
    <w:rsid w:val="002135D1"/>
    <w:rsid w:val="002167EC"/>
    <w:rsid w:val="00231920"/>
    <w:rsid w:val="0023195C"/>
    <w:rsid w:val="0024282C"/>
    <w:rsid w:val="002442D9"/>
    <w:rsid w:val="002460DC"/>
    <w:rsid w:val="00250985"/>
    <w:rsid w:val="00253174"/>
    <w:rsid w:val="002556F6"/>
    <w:rsid w:val="00263C50"/>
    <w:rsid w:val="0026709A"/>
    <w:rsid w:val="00280008"/>
    <w:rsid w:val="00283105"/>
    <w:rsid w:val="00284C4C"/>
    <w:rsid w:val="00296529"/>
    <w:rsid w:val="002A0826"/>
    <w:rsid w:val="002B27FB"/>
    <w:rsid w:val="002B685A"/>
    <w:rsid w:val="002C57D2"/>
    <w:rsid w:val="002C7999"/>
    <w:rsid w:val="002D31CC"/>
    <w:rsid w:val="002D58E2"/>
    <w:rsid w:val="002E0D56"/>
    <w:rsid w:val="0030044E"/>
    <w:rsid w:val="00315186"/>
    <w:rsid w:val="00325503"/>
    <w:rsid w:val="0033343E"/>
    <w:rsid w:val="003334F4"/>
    <w:rsid w:val="00343D52"/>
    <w:rsid w:val="003512C2"/>
    <w:rsid w:val="00371FB6"/>
    <w:rsid w:val="00373B3D"/>
    <w:rsid w:val="003763C1"/>
    <w:rsid w:val="00376BBE"/>
    <w:rsid w:val="0039224F"/>
    <w:rsid w:val="003A43A4"/>
    <w:rsid w:val="003A5283"/>
    <w:rsid w:val="003A7E18"/>
    <w:rsid w:val="003C4C86"/>
    <w:rsid w:val="003C6258"/>
    <w:rsid w:val="003C7D1A"/>
    <w:rsid w:val="003D0854"/>
    <w:rsid w:val="003D294E"/>
    <w:rsid w:val="003E2904"/>
    <w:rsid w:val="00401927"/>
    <w:rsid w:val="0041027F"/>
    <w:rsid w:val="00412475"/>
    <w:rsid w:val="00423789"/>
    <w:rsid w:val="00440F43"/>
    <w:rsid w:val="00441B6F"/>
    <w:rsid w:val="00446221"/>
    <w:rsid w:val="00450E62"/>
    <w:rsid w:val="004539DB"/>
    <w:rsid w:val="00456338"/>
    <w:rsid w:val="00471A80"/>
    <w:rsid w:val="00477332"/>
    <w:rsid w:val="004A0E59"/>
    <w:rsid w:val="004B1B33"/>
    <w:rsid w:val="004C1D51"/>
    <w:rsid w:val="004D305E"/>
    <w:rsid w:val="004D4277"/>
    <w:rsid w:val="004D5095"/>
    <w:rsid w:val="004E2378"/>
    <w:rsid w:val="004E2D14"/>
    <w:rsid w:val="004F518F"/>
    <w:rsid w:val="00502516"/>
    <w:rsid w:val="00502E4B"/>
    <w:rsid w:val="00503C99"/>
    <w:rsid w:val="00505F06"/>
    <w:rsid w:val="00506828"/>
    <w:rsid w:val="00507911"/>
    <w:rsid w:val="0053056E"/>
    <w:rsid w:val="00533211"/>
    <w:rsid w:val="00533B70"/>
    <w:rsid w:val="00541AB3"/>
    <w:rsid w:val="00554FDA"/>
    <w:rsid w:val="0055571E"/>
    <w:rsid w:val="00557780"/>
    <w:rsid w:val="00564BA2"/>
    <w:rsid w:val="00596C45"/>
    <w:rsid w:val="005C4833"/>
    <w:rsid w:val="005C5FF7"/>
    <w:rsid w:val="005C784C"/>
    <w:rsid w:val="005D17F6"/>
    <w:rsid w:val="005E5539"/>
    <w:rsid w:val="00602BF5"/>
    <w:rsid w:val="00617FDD"/>
    <w:rsid w:val="00621C5A"/>
    <w:rsid w:val="00633614"/>
    <w:rsid w:val="00633F68"/>
    <w:rsid w:val="00636EB2"/>
    <w:rsid w:val="006375B8"/>
    <w:rsid w:val="0066379A"/>
    <w:rsid w:val="0066510A"/>
    <w:rsid w:val="00673F9F"/>
    <w:rsid w:val="00686953"/>
    <w:rsid w:val="00686D0F"/>
    <w:rsid w:val="00687DEA"/>
    <w:rsid w:val="00687E67"/>
    <w:rsid w:val="00693143"/>
    <w:rsid w:val="006967F7"/>
    <w:rsid w:val="006A06C0"/>
    <w:rsid w:val="006A250C"/>
    <w:rsid w:val="006B21D3"/>
    <w:rsid w:val="006B57D0"/>
    <w:rsid w:val="006D30FF"/>
    <w:rsid w:val="006D6940"/>
    <w:rsid w:val="006F11EC"/>
    <w:rsid w:val="007003D0"/>
    <w:rsid w:val="0070082C"/>
    <w:rsid w:val="007128F7"/>
    <w:rsid w:val="007369E6"/>
    <w:rsid w:val="00736CF8"/>
    <w:rsid w:val="00744368"/>
    <w:rsid w:val="00746E59"/>
    <w:rsid w:val="00754C9A"/>
    <w:rsid w:val="0075599A"/>
    <w:rsid w:val="00761D52"/>
    <w:rsid w:val="00773EF6"/>
    <w:rsid w:val="0077749E"/>
    <w:rsid w:val="00790ADA"/>
    <w:rsid w:val="007974F6"/>
    <w:rsid w:val="007C517A"/>
    <w:rsid w:val="007D2288"/>
    <w:rsid w:val="007E088F"/>
    <w:rsid w:val="007F4FDD"/>
    <w:rsid w:val="007F7B32"/>
    <w:rsid w:val="00804BC2"/>
    <w:rsid w:val="008127B3"/>
    <w:rsid w:val="0081431A"/>
    <w:rsid w:val="00826AF3"/>
    <w:rsid w:val="00831956"/>
    <w:rsid w:val="0083216F"/>
    <w:rsid w:val="0083357F"/>
    <w:rsid w:val="008350C7"/>
    <w:rsid w:val="00844586"/>
    <w:rsid w:val="00860000"/>
    <w:rsid w:val="00863BD3"/>
    <w:rsid w:val="00866D66"/>
    <w:rsid w:val="008671C6"/>
    <w:rsid w:val="00870CBB"/>
    <w:rsid w:val="008746BE"/>
    <w:rsid w:val="00875803"/>
    <w:rsid w:val="00880B6D"/>
    <w:rsid w:val="008B459E"/>
    <w:rsid w:val="008C207B"/>
    <w:rsid w:val="008C762F"/>
    <w:rsid w:val="008D5A7E"/>
    <w:rsid w:val="008E13AE"/>
    <w:rsid w:val="008E1506"/>
    <w:rsid w:val="008E710C"/>
    <w:rsid w:val="008F69D6"/>
    <w:rsid w:val="00902823"/>
    <w:rsid w:val="00915CA6"/>
    <w:rsid w:val="00923A9D"/>
    <w:rsid w:val="009259CF"/>
    <w:rsid w:val="00927834"/>
    <w:rsid w:val="009500A6"/>
    <w:rsid w:val="00954A07"/>
    <w:rsid w:val="00957C18"/>
    <w:rsid w:val="009655B1"/>
    <w:rsid w:val="009659BA"/>
    <w:rsid w:val="009800A4"/>
    <w:rsid w:val="00983040"/>
    <w:rsid w:val="00994FA6"/>
    <w:rsid w:val="009B3FB9"/>
    <w:rsid w:val="009C2465"/>
    <w:rsid w:val="009C7038"/>
    <w:rsid w:val="009D35A0"/>
    <w:rsid w:val="009D7EB7"/>
    <w:rsid w:val="009E048A"/>
    <w:rsid w:val="009E08E9"/>
    <w:rsid w:val="009E3DB9"/>
    <w:rsid w:val="009E6E35"/>
    <w:rsid w:val="009F0EDA"/>
    <w:rsid w:val="00A0273E"/>
    <w:rsid w:val="00A03B96"/>
    <w:rsid w:val="00A05B19"/>
    <w:rsid w:val="00A1134E"/>
    <w:rsid w:val="00A2123A"/>
    <w:rsid w:val="00A24E7E"/>
    <w:rsid w:val="00A258C3"/>
    <w:rsid w:val="00A347C0"/>
    <w:rsid w:val="00A51431"/>
    <w:rsid w:val="00A539AD"/>
    <w:rsid w:val="00A64409"/>
    <w:rsid w:val="00A65764"/>
    <w:rsid w:val="00A752F3"/>
    <w:rsid w:val="00A93888"/>
    <w:rsid w:val="00A94063"/>
    <w:rsid w:val="00AA551A"/>
    <w:rsid w:val="00AA6219"/>
    <w:rsid w:val="00AA74E0"/>
    <w:rsid w:val="00AB703F"/>
    <w:rsid w:val="00AC6BB8"/>
    <w:rsid w:val="00AD152C"/>
    <w:rsid w:val="00AD1F3E"/>
    <w:rsid w:val="00AD239B"/>
    <w:rsid w:val="00AD3282"/>
    <w:rsid w:val="00AD41A4"/>
    <w:rsid w:val="00AE008F"/>
    <w:rsid w:val="00AE06D9"/>
    <w:rsid w:val="00AE7E1D"/>
    <w:rsid w:val="00B01FCD"/>
    <w:rsid w:val="00B1776C"/>
    <w:rsid w:val="00B25A7C"/>
    <w:rsid w:val="00B27C58"/>
    <w:rsid w:val="00B52896"/>
    <w:rsid w:val="00B608C4"/>
    <w:rsid w:val="00B70AA7"/>
    <w:rsid w:val="00B71A34"/>
    <w:rsid w:val="00B92A5F"/>
    <w:rsid w:val="00B93D42"/>
    <w:rsid w:val="00B95236"/>
    <w:rsid w:val="00B96BD9"/>
    <w:rsid w:val="00BA1B01"/>
    <w:rsid w:val="00BA2641"/>
    <w:rsid w:val="00BB01E9"/>
    <w:rsid w:val="00BB37AA"/>
    <w:rsid w:val="00BC53A0"/>
    <w:rsid w:val="00BE62AD"/>
    <w:rsid w:val="00BF121F"/>
    <w:rsid w:val="00BF1F80"/>
    <w:rsid w:val="00C06D18"/>
    <w:rsid w:val="00C07BF0"/>
    <w:rsid w:val="00C166EF"/>
    <w:rsid w:val="00C17EB0"/>
    <w:rsid w:val="00C27F5F"/>
    <w:rsid w:val="00C30A0F"/>
    <w:rsid w:val="00C37E61"/>
    <w:rsid w:val="00C52172"/>
    <w:rsid w:val="00C70F1B"/>
    <w:rsid w:val="00C71A47"/>
    <w:rsid w:val="00C73636"/>
    <w:rsid w:val="00C7464C"/>
    <w:rsid w:val="00C85588"/>
    <w:rsid w:val="00C92F84"/>
    <w:rsid w:val="00CB4CAC"/>
    <w:rsid w:val="00CD6755"/>
    <w:rsid w:val="00CD6856"/>
    <w:rsid w:val="00CE0089"/>
    <w:rsid w:val="00CE44B8"/>
    <w:rsid w:val="00CE793C"/>
    <w:rsid w:val="00D1163E"/>
    <w:rsid w:val="00D158B2"/>
    <w:rsid w:val="00D16AE1"/>
    <w:rsid w:val="00D173F1"/>
    <w:rsid w:val="00D22ED6"/>
    <w:rsid w:val="00D36122"/>
    <w:rsid w:val="00D44CBF"/>
    <w:rsid w:val="00D61070"/>
    <w:rsid w:val="00D624DA"/>
    <w:rsid w:val="00D8295D"/>
    <w:rsid w:val="00D97DEE"/>
    <w:rsid w:val="00DA61AE"/>
    <w:rsid w:val="00DC0A18"/>
    <w:rsid w:val="00DC0BAA"/>
    <w:rsid w:val="00DC2A65"/>
    <w:rsid w:val="00DD10B6"/>
    <w:rsid w:val="00DE15F0"/>
    <w:rsid w:val="00DE5663"/>
    <w:rsid w:val="00DE78AA"/>
    <w:rsid w:val="00E053D0"/>
    <w:rsid w:val="00E15994"/>
    <w:rsid w:val="00E24E86"/>
    <w:rsid w:val="00E27A00"/>
    <w:rsid w:val="00E3114E"/>
    <w:rsid w:val="00E31A70"/>
    <w:rsid w:val="00E35B02"/>
    <w:rsid w:val="00E40122"/>
    <w:rsid w:val="00E51B50"/>
    <w:rsid w:val="00E52698"/>
    <w:rsid w:val="00E66496"/>
    <w:rsid w:val="00E66B35"/>
    <w:rsid w:val="00E66E10"/>
    <w:rsid w:val="00E769F6"/>
    <w:rsid w:val="00E82B05"/>
    <w:rsid w:val="00E8407C"/>
    <w:rsid w:val="00E84F3C"/>
    <w:rsid w:val="00EA012C"/>
    <w:rsid w:val="00EA7D31"/>
    <w:rsid w:val="00EB7A79"/>
    <w:rsid w:val="00ED0288"/>
    <w:rsid w:val="00ED127B"/>
    <w:rsid w:val="00ED5FD3"/>
    <w:rsid w:val="00EE2633"/>
    <w:rsid w:val="00EE52CB"/>
    <w:rsid w:val="00EF2A79"/>
    <w:rsid w:val="00EF581D"/>
    <w:rsid w:val="00EF7FD8"/>
    <w:rsid w:val="00F06F59"/>
    <w:rsid w:val="00F17988"/>
    <w:rsid w:val="00F23D9D"/>
    <w:rsid w:val="00F469F0"/>
    <w:rsid w:val="00F530D5"/>
    <w:rsid w:val="00F53273"/>
    <w:rsid w:val="00F55486"/>
    <w:rsid w:val="00F57DB3"/>
    <w:rsid w:val="00F74555"/>
    <w:rsid w:val="00F755E4"/>
    <w:rsid w:val="00F76E55"/>
    <w:rsid w:val="00F77D02"/>
    <w:rsid w:val="00F94791"/>
    <w:rsid w:val="00FB3A86"/>
    <w:rsid w:val="00FD36C8"/>
    <w:rsid w:val="00FD51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4D3E609F"/>
  <w15:docId w15:val="{601306A6-0A31-45F3-B1D1-D34E96A2A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B93D42"/>
    <w:rPr>
      <w:color w:val="605E5C"/>
      <w:shd w:val="clear" w:color="auto" w:fill="E1DFDD"/>
    </w:rPr>
  </w:style>
  <w:style w:type="character" w:customStyle="1" w:styleId="relative">
    <w:name w:val="relative"/>
    <w:basedOn w:val="DefaultParagraphFont"/>
    <w:rsid w:val="00C73636"/>
  </w:style>
  <w:style w:type="character" w:styleId="Strong">
    <w:name w:val="Strong"/>
    <w:basedOn w:val="DefaultParagraphFont"/>
    <w:uiPriority w:val="22"/>
    <w:qFormat/>
    <w:rsid w:val="001C503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54820255">
      <w:bodyDiv w:val="1"/>
      <w:marLeft w:val="0"/>
      <w:marRight w:val="0"/>
      <w:marTop w:val="0"/>
      <w:marBottom w:val="0"/>
      <w:divBdr>
        <w:top w:val="none" w:sz="0" w:space="0" w:color="auto"/>
        <w:left w:val="none" w:sz="0" w:space="0" w:color="auto"/>
        <w:bottom w:val="none" w:sz="0" w:space="0" w:color="auto"/>
        <w:right w:val="none" w:sz="0" w:space="0" w:color="auto"/>
      </w:divBdr>
      <w:divsChild>
        <w:div w:id="738947186">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49685676">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2588256">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14443416">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AD2014-7DC0-47F5-8B6C-DB8A0639A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402</TotalTime>
  <Pages>6</Pages>
  <Words>1454</Words>
  <Characters>8291</Characters>
  <Application>Microsoft Office Word</Application>
  <DocSecurity>0</DocSecurity>
  <Lines>69</Lines>
  <Paragraphs>19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9726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SDI 1089</cp:lastModifiedBy>
  <cp:revision>72</cp:revision>
  <cp:lastPrinted>1999-07-06T11:00:00Z</cp:lastPrinted>
  <dcterms:created xsi:type="dcterms:W3CDTF">2025-06-28T21:40:00Z</dcterms:created>
  <dcterms:modified xsi:type="dcterms:W3CDTF">2025-07-08T09:59:00Z</dcterms:modified>
</cp:coreProperties>
</file>