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2AB25" w14:textId="77777777" w:rsidR="0001044A" w:rsidRDefault="0001044A" w:rsidP="00441B6F">
      <w:pPr>
        <w:pStyle w:val="Author"/>
        <w:spacing w:line="240" w:lineRule="auto"/>
        <w:jc w:val="both"/>
        <w:rPr>
          <w:rFonts w:ascii="Times New Roman" w:hAnsi="Times New Roman"/>
          <w:bCs/>
        </w:rPr>
      </w:pPr>
      <w:bookmarkStart w:id="0" w:name="_Hlk202173151"/>
      <w:bookmarkStart w:id="1" w:name="_GoBack"/>
      <w:bookmarkEnd w:id="1"/>
    </w:p>
    <w:bookmarkEnd w:id="0"/>
    <w:p w14:paraId="09B9EE46" w14:textId="0AA8886E" w:rsidR="0001044A" w:rsidRPr="00E170FC" w:rsidRDefault="008F1B22" w:rsidP="00E170FC">
      <w:pPr>
        <w:spacing w:before="100" w:beforeAutospacing="1" w:after="120"/>
        <w:jc w:val="both"/>
        <w:outlineLvl w:val="0"/>
        <w:rPr>
          <w:rFonts w:ascii="Times New Roman" w:hAnsi="Times New Roman"/>
          <w:b/>
          <w:bCs/>
          <w:color w:val="1B1C1D"/>
          <w:kern w:val="36"/>
          <w:sz w:val="24"/>
          <w:szCs w:val="24"/>
          <w:lang w:eastAsia="en-GB"/>
        </w:rPr>
      </w:pPr>
      <w:r w:rsidRPr="008F1B22">
        <w:rPr>
          <w:rFonts w:ascii="Times New Roman" w:hAnsi="Times New Roman"/>
          <w:b/>
          <w:bCs/>
          <w:color w:val="1B1C1D"/>
          <w:kern w:val="36"/>
          <w:sz w:val="24"/>
          <w:szCs w:val="24"/>
          <w:lang w:eastAsia="en-GB"/>
        </w:rPr>
        <w:t>Renal Epithelioid Angiomyolipoma in a Rural Indian Setting: A Case Series Emphasizing Morphological Diagnosis and Malignant Potential Amidst Resource Constraints</w:t>
      </w:r>
    </w:p>
    <w:p w14:paraId="24AFBC09" w14:textId="15FBC912" w:rsidR="000E0ECB" w:rsidRPr="00AA6F20" w:rsidRDefault="000E0ECB" w:rsidP="009F3874">
      <w:pPr>
        <w:spacing w:line="276" w:lineRule="auto"/>
        <w:ind w:left="720"/>
        <w:rPr>
          <w:rFonts w:ascii="Times New Roman" w:hAnsi="Times New Roman"/>
        </w:rPr>
      </w:pPr>
    </w:p>
    <w:p w14:paraId="53D2933A" w14:textId="71BE08EB" w:rsidR="00B01FCD" w:rsidRPr="00FB3A86" w:rsidRDefault="00001A80" w:rsidP="00441B6F">
      <w:pPr>
        <w:pStyle w:val="Copyright"/>
        <w:spacing w:after="0" w:line="240" w:lineRule="auto"/>
        <w:jc w:val="both"/>
        <w:rPr>
          <w:rFonts w:ascii="Arial" w:hAnsi="Arial" w:cs="Arial"/>
        </w:rPr>
        <w:sectPr w:rsidR="00B01FCD" w:rsidRPr="00FB3A86" w:rsidSect="00603B9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GB" w:eastAsia="en-GB"/>
        </w:rPr>
        <mc:AlternateContent>
          <mc:Choice Requires="wps">
            <w:drawing>
              <wp:inline distT="0" distB="0" distL="0" distR="0" wp14:anchorId="3BE9259A" wp14:editId="78F88973">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9A304C6"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50670371" w14:textId="5BAF71C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AFBEB0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071B49E" w14:textId="77777777" w:rsidTr="001E44FE">
        <w:tc>
          <w:tcPr>
            <w:tcW w:w="9576" w:type="dxa"/>
            <w:shd w:val="clear" w:color="auto" w:fill="F2F2F2"/>
          </w:tcPr>
          <w:p w14:paraId="3BE3EB93" w14:textId="77777777" w:rsidR="007117EB" w:rsidRPr="00EF5E04" w:rsidRDefault="007117EB" w:rsidP="007117EB">
            <w:pPr>
              <w:rPr>
                <w:rFonts w:asciiTheme="minorHAnsi" w:hAnsiTheme="minorHAnsi" w:cstheme="minorHAnsi"/>
                <w:color w:val="1B1C1D"/>
                <w:sz w:val="22"/>
                <w:szCs w:val="22"/>
                <w:bdr w:val="none" w:sz="0" w:space="0" w:color="auto" w:frame="1"/>
                <w:lang w:val="en-IN" w:eastAsia="en-GB"/>
              </w:rPr>
            </w:pPr>
            <w:r w:rsidRPr="00EF5E04">
              <w:rPr>
                <w:rFonts w:asciiTheme="minorHAnsi" w:hAnsiTheme="minorHAnsi" w:cstheme="minorHAnsi"/>
                <w:color w:val="1B1C1D"/>
                <w:sz w:val="22"/>
                <w:szCs w:val="22"/>
                <w:lang w:eastAsia="en-GB"/>
              </w:rPr>
              <w:t>Epithelioid angiomyolipoma (EAML), a rare kinship within the perivascular epithelioid cell tumor (</w:t>
            </w:r>
            <w:proofErr w:type="spellStart"/>
            <w:r w:rsidRPr="00EF5E04">
              <w:rPr>
                <w:rFonts w:asciiTheme="minorHAnsi" w:hAnsiTheme="minorHAnsi" w:cstheme="minorHAnsi"/>
                <w:color w:val="1B1C1D"/>
                <w:sz w:val="22"/>
                <w:szCs w:val="22"/>
                <w:lang w:eastAsia="en-GB"/>
              </w:rPr>
              <w:t>PEComa</w:t>
            </w:r>
            <w:proofErr w:type="spellEnd"/>
            <w:r w:rsidRPr="00EF5E04">
              <w:rPr>
                <w:rFonts w:asciiTheme="minorHAnsi" w:hAnsiTheme="minorHAnsi" w:cstheme="minorHAnsi"/>
                <w:color w:val="1B1C1D"/>
                <w:sz w:val="22"/>
                <w:szCs w:val="22"/>
                <w:lang w:eastAsia="en-GB"/>
              </w:rPr>
              <w:t>) family, presents a diagnostic conundrum. Unlike its classical counterpart, EAML often lacks the tell-tale fatty signature on imaging and harbors a significant propensity for malignant behavior, frequently masquerading as renal cell carcinoma (RCC). This diagnostic obscurity poses a considerable clinical hurdle, particularly within the constraints of resource-limited healthcare environments</w:t>
            </w:r>
          </w:p>
          <w:p w14:paraId="68DDDEF2" w14:textId="77777777" w:rsidR="007117EB" w:rsidRDefault="007117EB" w:rsidP="007117EB">
            <w:pPr>
              <w:rPr>
                <w:rFonts w:asciiTheme="minorHAnsi" w:hAnsiTheme="minorHAnsi" w:cstheme="minorHAnsi"/>
                <w:b/>
                <w:bCs/>
                <w:color w:val="1B1C1D"/>
                <w:sz w:val="22"/>
                <w:szCs w:val="22"/>
                <w:bdr w:val="none" w:sz="0" w:space="0" w:color="auto" w:frame="1"/>
                <w:lang w:val="en-IN" w:eastAsia="en-GB"/>
              </w:rPr>
            </w:pPr>
          </w:p>
          <w:p w14:paraId="31D12BDD" w14:textId="77777777" w:rsidR="007117EB" w:rsidRPr="00EF5E04" w:rsidRDefault="007117EB" w:rsidP="007117EB">
            <w:pPr>
              <w:rPr>
                <w:rFonts w:asciiTheme="minorHAnsi" w:hAnsiTheme="minorHAnsi" w:cstheme="minorHAnsi"/>
                <w:sz w:val="22"/>
                <w:szCs w:val="22"/>
              </w:rPr>
            </w:pPr>
            <w:r w:rsidRPr="00EF5E04">
              <w:rPr>
                <w:rFonts w:asciiTheme="minorHAnsi" w:hAnsiTheme="minorHAnsi" w:cstheme="minorHAnsi"/>
                <w:b/>
                <w:bCs/>
                <w:color w:val="1B1C1D"/>
                <w:sz w:val="22"/>
                <w:szCs w:val="22"/>
                <w:bdr w:val="none" w:sz="0" w:space="0" w:color="auto" w:frame="1"/>
                <w:lang w:val="en-IN" w:eastAsia="en-GB"/>
              </w:rPr>
              <w:t>Objective:</w:t>
            </w:r>
            <w:r w:rsidRPr="00EF5E04">
              <w:rPr>
                <w:rFonts w:asciiTheme="minorHAnsi" w:hAnsiTheme="minorHAnsi" w:cstheme="minorHAnsi"/>
                <w:color w:val="1B1C1D"/>
                <w:sz w:val="22"/>
                <w:szCs w:val="22"/>
                <w:bdr w:val="none" w:sz="0" w:space="0" w:color="auto" w:frame="1"/>
                <w:lang w:val="en-IN" w:eastAsia="en-GB"/>
              </w:rPr>
              <w:br/>
              <w:t xml:space="preserve">To highlight the diagnostic difficulty of EAML and emphasize the critical role of histopathology in its identification, particularly in the absence of immunohistochemistry. The study also underlines the </w:t>
            </w:r>
            <w:proofErr w:type="spellStart"/>
            <w:r w:rsidRPr="00EF5E04">
              <w:rPr>
                <w:rFonts w:asciiTheme="minorHAnsi" w:hAnsiTheme="minorHAnsi" w:cstheme="minorHAnsi"/>
                <w:color w:val="1B1C1D"/>
                <w:sz w:val="22"/>
                <w:szCs w:val="22"/>
                <w:bdr w:val="none" w:sz="0" w:space="0" w:color="auto" w:frame="1"/>
                <w:lang w:val="en-IN" w:eastAsia="en-GB"/>
              </w:rPr>
              <w:t>tumor’s</w:t>
            </w:r>
            <w:proofErr w:type="spellEnd"/>
            <w:r w:rsidRPr="00EF5E04">
              <w:rPr>
                <w:rFonts w:asciiTheme="minorHAnsi" w:hAnsiTheme="minorHAnsi" w:cstheme="minorHAnsi"/>
                <w:color w:val="1B1C1D"/>
                <w:sz w:val="22"/>
                <w:szCs w:val="22"/>
                <w:bdr w:val="none" w:sz="0" w:space="0" w:color="auto" w:frame="1"/>
                <w:lang w:val="en-IN" w:eastAsia="en-GB"/>
              </w:rPr>
              <w:t xml:space="preserve"> malignant potential and the need for appropriate management.</w:t>
            </w:r>
            <w:r w:rsidRPr="00EF5E04">
              <w:rPr>
                <w:rFonts w:asciiTheme="minorHAnsi" w:hAnsiTheme="minorHAnsi" w:cstheme="minorHAnsi"/>
                <w:sz w:val="22"/>
                <w:szCs w:val="22"/>
              </w:rPr>
              <w:t xml:space="preserve"> Our study focuses on morphological histopathological findings of EAML in a resource-limiting setting, specifically in a tertiary care center of rural background in North India.</w:t>
            </w:r>
          </w:p>
          <w:p w14:paraId="408C7F5F" w14:textId="77777777" w:rsidR="007117EB" w:rsidRPr="00EF5E04" w:rsidRDefault="007117EB" w:rsidP="007117EB">
            <w:pPr>
              <w:spacing w:before="100" w:beforeAutospacing="1"/>
              <w:rPr>
                <w:rFonts w:asciiTheme="minorHAnsi" w:hAnsiTheme="minorHAnsi" w:cstheme="minorHAnsi"/>
                <w:color w:val="1B1C1D"/>
                <w:sz w:val="22"/>
                <w:szCs w:val="22"/>
                <w:bdr w:val="none" w:sz="0" w:space="0" w:color="auto" w:frame="1"/>
                <w:lang w:val="en-IN" w:eastAsia="en-GB"/>
              </w:rPr>
            </w:pPr>
            <w:r w:rsidRPr="00EF5E04">
              <w:rPr>
                <w:rFonts w:asciiTheme="minorHAnsi" w:hAnsiTheme="minorHAnsi" w:cstheme="minorHAnsi"/>
                <w:b/>
                <w:bCs/>
                <w:color w:val="1B1C1D"/>
                <w:sz w:val="22"/>
                <w:szCs w:val="22"/>
                <w:bdr w:val="none" w:sz="0" w:space="0" w:color="auto" w:frame="1"/>
                <w:lang w:val="en-IN" w:eastAsia="en-GB"/>
              </w:rPr>
              <w:t>Methods:</w:t>
            </w:r>
            <w:r w:rsidRPr="00EF5E04">
              <w:rPr>
                <w:rFonts w:asciiTheme="minorHAnsi" w:hAnsiTheme="minorHAnsi" w:cstheme="minorHAnsi"/>
                <w:color w:val="1B1C1D"/>
                <w:sz w:val="22"/>
                <w:szCs w:val="22"/>
                <w:bdr w:val="none" w:sz="0" w:space="0" w:color="auto" w:frame="1"/>
                <w:lang w:val="en-IN" w:eastAsia="en-GB"/>
              </w:rPr>
              <w:br/>
              <w:t xml:space="preserve">We report three cases of EAML in patients presenting with flank pain, </w:t>
            </w:r>
            <w:proofErr w:type="spellStart"/>
            <w:r w:rsidRPr="00EF5E04">
              <w:rPr>
                <w:rFonts w:asciiTheme="minorHAnsi" w:hAnsiTheme="minorHAnsi" w:cstheme="minorHAnsi"/>
                <w:color w:val="1B1C1D"/>
                <w:sz w:val="22"/>
                <w:szCs w:val="22"/>
                <w:bdr w:val="none" w:sz="0" w:space="0" w:color="auto" w:frame="1"/>
                <w:lang w:val="en-IN" w:eastAsia="en-GB"/>
              </w:rPr>
              <w:t>hematuria</w:t>
            </w:r>
            <w:proofErr w:type="spellEnd"/>
            <w:r w:rsidRPr="00EF5E04">
              <w:rPr>
                <w:rFonts w:asciiTheme="minorHAnsi" w:hAnsiTheme="minorHAnsi" w:cstheme="minorHAnsi"/>
                <w:color w:val="1B1C1D"/>
                <w:sz w:val="22"/>
                <w:szCs w:val="22"/>
                <w:bdr w:val="none" w:sz="0" w:space="0" w:color="auto" w:frame="1"/>
                <w:lang w:val="en-IN" w:eastAsia="en-GB"/>
              </w:rPr>
              <w:t xml:space="preserve">, or abdominal mass at a rural tertiary </w:t>
            </w:r>
            <w:proofErr w:type="spellStart"/>
            <w:r w:rsidRPr="00EF5E04">
              <w:rPr>
                <w:rFonts w:asciiTheme="minorHAnsi" w:hAnsiTheme="minorHAnsi" w:cstheme="minorHAnsi"/>
                <w:color w:val="1B1C1D"/>
                <w:sz w:val="22"/>
                <w:szCs w:val="22"/>
                <w:bdr w:val="none" w:sz="0" w:space="0" w:color="auto" w:frame="1"/>
                <w:lang w:val="en-IN" w:eastAsia="en-GB"/>
              </w:rPr>
              <w:t>center</w:t>
            </w:r>
            <w:proofErr w:type="spellEnd"/>
            <w:r w:rsidRPr="00EF5E04">
              <w:rPr>
                <w:rFonts w:asciiTheme="minorHAnsi" w:hAnsiTheme="minorHAnsi" w:cstheme="minorHAnsi"/>
                <w:color w:val="1B1C1D"/>
                <w:sz w:val="22"/>
                <w:szCs w:val="22"/>
                <w:bdr w:val="none" w:sz="0" w:space="0" w:color="auto" w:frame="1"/>
                <w:lang w:val="en-IN" w:eastAsia="en-GB"/>
              </w:rPr>
              <w:t xml:space="preserve"> in Uttar Pradesh, India. Contrast-enhanced CT showed solid renal masses without visible fat, leading to a provisional diagnosis of malignancy. One case involved bilateral kidneys. All patients underwent surgical excision due to lesion size and suspicious imaging features.</w:t>
            </w:r>
          </w:p>
          <w:p w14:paraId="68FF414A" w14:textId="77777777" w:rsidR="007117EB" w:rsidRPr="00EF5E04" w:rsidRDefault="007117EB" w:rsidP="007117EB">
            <w:pPr>
              <w:spacing w:before="100" w:beforeAutospacing="1"/>
              <w:rPr>
                <w:rFonts w:asciiTheme="minorHAnsi" w:hAnsiTheme="minorHAnsi" w:cstheme="minorHAnsi"/>
                <w:color w:val="1B1C1D"/>
                <w:sz w:val="22"/>
                <w:szCs w:val="22"/>
                <w:bdr w:val="none" w:sz="0" w:space="0" w:color="auto" w:frame="1"/>
                <w:lang w:val="en-IN" w:eastAsia="en-GB"/>
              </w:rPr>
            </w:pPr>
            <w:r w:rsidRPr="00EF5E04">
              <w:rPr>
                <w:rFonts w:asciiTheme="minorHAnsi" w:hAnsiTheme="minorHAnsi" w:cstheme="minorHAnsi"/>
                <w:b/>
                <w:bCs/>
                <w:color w:val="1B1C1D"/>
                <w:sz w:val="22"/>
                <w:szCs w:val="22"/>
                <w:bdr w:val="none" w:sz="0" w:space="0" w:color="auto" w:frame="1"/>
                <w:lang w:val="en-IN" w:eastAsia="en-GB"/>
              </w:rPr>
              <w:t>Results:</w:t>
            </w:r>
            <w:r w:rsidRPr="00EF5E04">
              <w:rPr>
                <w:rFonts w:asciiTheme="minorHAnsi" w:hAnsiTheme="minorHAnsi" w:cstheme="minorHAnsi"/>
                <w:color w:val="1B1C1D"/>
                <w:sz w:val="22"/>
                <w:szCs w:val="22"/>
                <w:bdr w:val="none" w:sz="0" w:space="0" w:color="auto" w:frame="1"/>
                <w:lang w:val="en-IN" w:eastAsia="en-GB"/>
              </w:rPr>
              <w:br/>
              <w:t>Histopathological examination confirmed EAML in all cases based solely on morphology, in the absence of immunohistochemical facilities. Distinct cellular features and growth patterns were diagnostic. Surgical resection was curative, with no recurrence or metastasis during follow-up.</w:t>
            </w:r>
          </w:p>
          <w:p w14:paraId="2378B5A9" w14:textId="77777777" w:rsidR="007117EB" w:rsidRPr="00EF5E04" w:rsidRDefault="007117EB" w:rsidP="007117EB">
            <w:pPr>
              <w:rPr>
                <w:rFonts w:asciiTheme="minorHAnsi" w:hAnsiTheme="minorHAnsi" w:cstheme="minorHAnsi"/>
                <w:sz w:val="22"/>
                <w:szCs w:val="22"/>
              </w:rPr>
            </w:pPr>
            <w:r w:rsidRPr="00EF5E04">
              <w:rPr>
                <w:rFonts w:asciiTheme="minorHAnsi" w:hAnsiTheme="minorHAnsi" w:cstheme="minorHAnsi"/>
                <w:b/>
                <w:bCs/>
                <w:color w:val="1B1C1D"/>
                <w:sz w:val="22"/>
                <w:szCs w:val="22"/>
                <w:bdr w:val="none" w:sz="0" w:space="0" w:color="auto" w:frame="1"/>
                <w:lang w:val="en-IN" w:eastAsia="en-GB"/>
              </w:rPr>
              <w:t>Conclusion:</w:t>
            </w:r>
            <w:r w:rsidRPr="00EF5E04">
              <w:rPr>
                <w:rFonts w:asciiTheme="minorHAnsi" w:hAnsiTheme="minorHAnsi" w:cstheme="minorHAnsi"/>
                <w:color w:val="1B1C1D"/>
                <w:sz w:val="22"/>
                <w:szCs w:val="22"/>
                <w:bdr w:val="none" w:sz="0" w:space="0" w:color="auto" w:frame="1"/>
                <w:lang w:val="en-IN" w:eastAsia="en-GB"/>
              </w:rPr>
              <w:br/>
              <w:t>EAML, though rare, must be considered in the differential diagnosis of fat-poor renal masses. Its malignant potential and ability to radiologically mimic RCC necessitate high clinical suspicion. In settings lacking immunohistochemistry, careful histopathological evaluation is essential. Surgery remains the mainstay of treatment, serving both diagnostic and therapeutic roles.</w:t>
            </w:r>
          </w:p>
          <w:p w14:paraId="64684D7E" w14:textId="7856FAE4" w:rsidR="00505F06" w:rsidRPr="007627B1" w:rsidRDefault="00505F06" w:rsidP="00E170FC">
            <w:pPr>
              <w:spacing w:before="100" w:beforeAutospacing="1"/>
              <w:rPr>
                <w:rFonts w:ascii="Arial" w:hAnsi="Arial" w:cs="Arial"/>
                <w:color w:val="1B1C1D"/>
                <w:bdr w:val="none" w:sz="0" w:space="0" w:color="auto" w:frame="1"/>
                <w:lang w:val="en-IN" w:eastAsia="en-GB"/>
              </w:rPr>
            </w:pPr>
          </w:p>
        </w:tc>
      </w:tr>
    </w:tbl>
    <w:p w14:paraId="752ABCB4" w14:textId="77777777" w:rsidR="00636EB2" w:rsidRDefault="00636EB2" w:rsidP="00441B6F">
      <w:pPr>
        <w:pStyle w:val="Body"/>
        <w:spacing w:after="0"/>
        <w:rPr>
          <w:rFonts w:ascii="Arial" w:hAnsi="Arial" w:cs="Arial"/>
          <w:i/>
        </w:rPr>
      </w:pPr>
    </w:p>
    <w:p w14:paraId="03964526" w14:textId="444AC16D" w:rsidR="00A24E7E" w:rsidRDefault="00A24E7E" w:rsidP="00441B6F">
      <w:pPr>
        <w:pStyle w:val="Body"/>
        <w:spacing w:after="0"/>
        <w:rPr>
          <w:rFonts w:ascii="Arial" w:hAnsi="Arial" w:cs="Arial"/>
          <w:i/>
        </w:rPr>
      </w:pPr>
      <w:r>
        <w:rPr>
          <w:rFonts w:ascii="Arial" w:hAnsi="Arial" w:cs="Arial"/>
          <w:i/>
        </w:rPr>
        <w:t xml:space="preserve">Keywords: </w:t>
      </w:r>
      <w:r w:rsidR="00EF3F8F" w:rsidRPr="00EF3F8F">
        <w:rPr>
          <w:rFonts w:ascii="Arial" w:hAnsi="Arial" w:cs="Arial"/>
          <w:i/>
          <w:iCs/>
          <w:color w:val="1B1C1D"/>
          <w:lang w:eastAsia="en-GB"/>
        </w:rPr>
        <w:t>Angiomyolipoma; Perivascular Epithelioid Cell Tumor; Histopathology; Renal Neoplasm; Contrast Tomography; Rural Healthcare; Malignant Potential; Local Aggression</w:t>
      </w:r>
      <w:r w:rsidR="00EF3F8F" w:rsidRPr="00EF3F8F">
        <w:rPr>
          <w:rFonts w:ascii="Arial" w:hAnsi="Arial" w:cs="Arial"/>
          <w:i/>
          <w:sz w:val="16"/>
          <w:szCs w:val="16"/>
        </w:rPr>
        <w:t xml:space="preserve"> </w:t>
      </w:r>
    </w:p>
    <w:p w14:paraId="442148A7" w14:textId="77777777" w:rsidR="0024282C" w:rsidRDefault="0024282C" w:rsidP="00441B6F">
      <w:pPr>
        <w:pStyle w:val="Body"/>
        <w:spacing w:after="0"/>
        <w:rPr>
          <w:rFonts w:ascii="Arial" w:hAnsi="Arial" w:cs="Arial"/>
          <w:i/>
          <w:sz w:val="18"/>
        </w:rPr>
      </w:pPr>
    </w:p>
    <w:p w14:paraId="61747D7D" w14:textId="0B3828F3"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CFF1327" w14:textId="77777777" w:rsidR="00790ADA" w:rsidRPr="00FB3A86" w:rsidRDefault="00790ADA" w:rsidP="00441B6F">
      <w:pPr>
        <w:pStyle w:val="AbstHead"/>
        <w:spacing w:after="0"/>
        <w:jc w:val="both"/>
        <w:rPr>
          <w:rFonts w:ascii="Arial" w:hAnsi="Arial" w:cs="Arial"/>
        </w:rPr>
      </w:pPr>
    </w:p>
    <w:p w14:paraId="58B639B1"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t xml:space="preserve">Renal angiomyolipoma (AML), a benign mesenchymal tumor, constitutes ~1% of surgically treated renal masses, with reported frequencies ranging from 0.3% to 3.0%¹. While most AMLs are asymptomatic and small, “giant” forms (&gt;10 cm) are rare, and those &gt;20 cm are exceptionally uncommon². AMLs belong to the perivascular epithelioid cell </w:t>
      </w:r>
      <w:proofErr w:type="spellStart"/>
      <w:r w:rsidRPr="007627B1">
        <w:rPr>
          <w:rFonts w:ascii="Arial" w:hAnsi="Arial" w:cs="Arial"/>
          <w:lang w:val="en-IN"/>
        </w:rPr>
        <w:t>tumor</w:t>
      </w:r>
      <w:proofErr w:type="spellEnd"/>
      <w:r w:rsidRPr="007627B1">
        <w:rPr>
          <w:rFonts w:ascii="Arial" w:hAnsi="Arial" w:cs="Arial"/>
          <w:lang w:val="en-IN"/>
        </w:rPr>
        <w:t xml:space="preserve"> (</w:t>
      </w:r>
      <w:proofErr w:type="spellStart"/>
      <w:r w:rsidRPr="007627B1">
        <w:rPr>
          <w:rFonts w:ascii="Arial" w:hAnsi="Arial" w:cs="Arial"/>
          <w:lang w:val="en-IN"/>
        </w:rPr>
        <w:t>PEComa</w:t>
      </w:r>
      <w:proofErr w:type="spellEnd"/>
      <w:r w:rsidRPr="007627B1">
        <w:rPr>
          <w:rFonts w:ascii="Arial" w:hAnsi="Arial" w:cs="Arial"/>
          <w:lang w:val="en-IN"/>
        </w:rPr>
        <w:t>) family, characterized by co-expression of melanocytic (HMB-45, Melan-A) and smooth muscle markers³.</w:t>
      </w:r>
    </w:p>
    <w:p w14:paraId="61D01B35"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t xml:space="preserve">The World Health Organization (WHO) classifies AMLs into classical and epithelioid types. Epithelioid angiomyolipoma (EAML), an infrequent but clinically significant variant, </w:t>
      </w:r>
      <w:proofErr w:type="spellStart"/>
      <w:r w:rsidRPr="007627B1">
        <w:rPr>
          <w:rFonts w:ascii="Arial" w:hAnsi="Arial" w:cs="Arial"/>
          <w:lang w:val="en-IN"/>
        </w:rPr>
        <w:t>harbors</w:t>
      </w:r>
      <w:proofErr w:type="spellEnd"/>
      <w:r w:rsidRPr="007627B1">
        <w:rPr>
          <w:rFonts w:ascii="Arial" w:hAnsi="Arial" w:cs="Arial"/>
          <w:lang w:val="en-IN"/>
        </w:rPr>
        <w:t xml:space="preserve"> malignant potential. It predominantly comprises epithelioid cells with minimal adipose tissue (&lt;5%), often making radiologic distinction from renal cell carcinoma (RCC) difficult⁴. Though primarily renal, extra-renal sites like liver, lung, and uterus have been reported⁵.</w:t>
      </w:r>
    </w:p>
    <w:p w14:paraId="07B0AD47"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t>Malignancy risk correlates with epithelioid cell content: &gt;95% epithelioid composition portends up to 51.5% progression risk⁶. Nese et al. outlined poor prognostic markers, including size &gt;7 cm, necrosis, renal vein/extra-renal extension, TSC association, and carcinoma-like growth⁷.</w:t>
      </w:r>
    </w:p>
    <w:p w14:paraId="1FF43B49"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t xml:space="preserve">Given its RCC mimicry and potential for aggression, accurate diagnosis hinges on histopathology. In resource-limited rural settings, where immunohistochemistry is often unavailable, careful </w:t>
      </w:r>
      <w:proofErr w:type="spellStart"/>
      <w:r w:rsidRPr="007627B1">
        <w:rPr>
          <w:rFonts w:ascii="Arial" w:hAnsi="Arial" w:cs="Arial"/>
          <w:lang w:val="en-IN"/>
        </w:rPr>
        <w:t>hematoxylin</w:t>
      </w:r>
      <w:proofErr w:type="spellEnd"/>
      <w:r w:rsidRPr="007627B1">
        <w:rPr>
          <w:rFonts w:ascii="Arial" w:hAnsi="Arial" w:cs="Arial"/>
          <w:lang w:val="en-IN"/>
        </w:rPr>
        <w:t xml:space="preserve"> and eosin (H&amp;E) evaluation becomes vital.</w:t>
      </w:r>
    </w:p>
    <w:p w14:paraId="779325B9" w14:textId="77777777" w:rsidR="007627B1" w:rsidRPr="007627B1" w:rsidRDefault="007627B1" w:rsidP="007627B1">
      <w:pPr>
        <w:pStyle w:val="Body"/>
        <w:spacing w:after="0"/>
        <w:rPr>
          <w:rFonts w:ascii="Arial" w:hAnsi="Arial" w:cs="Arial"/>
          <w:lang w:val="en-IN"/>
        </w:rPr>
      </w:pPr>
      <w:r w:rsidRPr="007627B1">
        <w:rPr>
          <w:rFonts w:ascii="Arial" w:hAnsi="Arial" w:cs="Arial"/>
          <w:lang w:val="en-IN"/>
        </w:rPr>
        <w:t xml:space="preserve">We present three renal EAML cases from a rural Indian tertiary care </w:t>
      </w:r>
      <w:proofErr w:type="spellStart"/>
      <w:r w:rsidRPr="007627B1">
        <w:rPr>
          <w:rFonts w:ascii="Arial" w:hAnsi="Arial" w:cs="Arial"/>
          <w:lang w:val="en-IN"/>
        </w:rPr>
        <w:t>center</w:t>
      </w:r>
      <w:proofErr w:type="spellEnd"/>
      <w:r w:rsidRPr="007627B1">
        <w:rPr>
          <w:rFonts w:ascii="Arial" w:hAnsi="Arial" w:cs="Arial"/>
          <w:lang w:val="en-IN"/>
        </w:rPr>
        <w:t>, emphasizing diagnosis based on detailed morphological assessment without IHC, and highlighting its diagnostic value in low-resource settings.</w:t>
      </w:r>
    </w:p>
    <w:p w14:paraId="361858E6" w14:textId="77777777" w:rsidR="00790ADA" w:rsidRPr="00FB3A86" w:rsidRDefault="00790ADA" w:rsidP="00441B6F">
      <w:pPr>
        <w:pStyle w:val="Body"/>
        <w:spacing w:after="0"/>
        <w:rPr>
          <w:rFonts w:ascii="Arial" w:hAnsi="Arial" w:cs="Arial"/>
        </w:rPr>
      </w:pPr>
    </w:p>
    <w:p w14:paraId="5F174126" w14:textId="0878E928" w:rsidR="007F7B32" w:rsidRDefault="00902823" w:rsidP="00441B6F">
      <w:pPr>
        <w:pStyle w:val="AbstHead"/>
        <w:spacing w:after="0"/>
        <w:jc w:val="both"/>
        <w:rPr>
          <w:rFonts w:ascii="Arial" w:hAnsi="Arial" w:cs="Arial"/>
        </w:rPr>
      </w:pPr>
      <w:r>
        <w:rPr>
          <w:rFonts w:ascii="Arial" w:hAnsi="Arial" w:cs="Arial"/>
        </w:rPr>
        <w:t xml:space="preserve">2. </w:t>
      </w:r>
      <w:r w:rsidR="00057112" w:rsidRPr="00057112">
        <w:rPr>
          <w:rFonts w:ascii="Arial" w:hAnsi="Arial" w:cs="Arial"/>
          <w:iCs/>
          <w:szCs w:val="24"/>
        </w:rPr>
        <w:t>Presentation of Case</w:t>
      </w:r>
    </w:p>
    <w:p w14:paraId="25D9DB0B" w14:textId="77777777" w:rsidR="003A3A0A" w:rsidRPr="003A3A0A" w:rsidRDefault="003A3A0A" w:rsidP="003A3A0A">
      <w:pPr>
        <w:spacing w:before="100" w:beforeAutospacing="1" w:after="120"/>
        <w:outlineLvl w:val="1"/>
        <w:rPr>
          <w:rFonts w:ascii="Arial" w:hAnsi="Arial" w:cs="Arial"/>
          <w:b/>
          <w:bCs/>
          <w:color w:val="1B1C1D"/>
          <w:lang w:val="en-IN" w:eastAsia="en-GB"/>
        </w:rPr>
      </w:pPr>
      <w:r w:rsidRPr="003A3A0A">
        <w:rPr>
          <w:rFonts w:ascii="Arial" w:hAnsi="Arial" w:cs="Arial"/>
          <w:b/>
          <w:bCs/>
          <w:color w:val="1B1C1D"/>
          <w:lang w:val="en-IN" w:eastAsia="en-GB"/>
        </w:rPr>
        <w:t>Case 1</w:t>
      </w:r>
    </w:p>
    <w:p w14:paraId="5A9B13B7" w14:textId="17DC99EB" w:rsidR="003A3A0A" w:rsidRPr="003A3A0A" w:rsidRDefault="003A3A0A" w:rsidP="003A3A0A">
      <w:pPr>
        <w:spacing w:before="100" w:beforeAutospacing="1" w:after="120"/>
        <w:jc w:val="both"/>
        <w:outlineLvl w:val="1"/>
        <w:rPr>
          <w:rFonts w:ascii="Arial" w:hAnsi="Arial" w:cs="Arial"/>
          <w:color w:val="1B1C1D"/>
          <w:lang w:val="en-IN" w:eastAsia="en-GB"/>
        </w:rPr>
      </w:pPr>
      <w:r w:rsidRPr="003A3A0A">
        <w:rPr>
          <w:rFonts w:ascii="Arial" w:hAnsi="Arial" w:cs="Arial"/>
          <w:color w:val="1B1C1D"/>
          <w:lang w:val="en-IN" w:eastAsia="en-GB"/>
        </w:rPr>
        <w:t>A 50-year-old male from rural Uttar Pradesh presented with dull abdominal pain, anorexia, and urinary hesitancy for 3 months. Examination revealed a 20×20 cm non-tender mass in the right renal region. Contrast-enhanced CT scan showed a 14×14×20 cm predominantly solid, fat-poor lesion arising from the lower pole of the right kidney, raising suspicion for epithelioid angiomyolipoma (EAML) versus renal cell carcinoma (RCC) (Figure 1</w:t>
      </w:r>
      <w:r>
        <w:rPr>
          <w:rFonts w:ascii="Arial" w:hAnsi="Arial" w:cs="Arial"/>
          <w:color w:val="1B1C1D"/>
          <w:lang w:val="en-IN" w:eastAsia="en-GB"/>
        </w:rPr>
        <w:t>a</w:t>
      </w:r>
      <w:r w:rsidRPr="003A3A0A">
        <w:rPr>
          <w:rFonts w:ascii="Arial" w:hAnsi="Arial" w:cs="Arial"/>
          <w:color w:val="1B1C1D"/>
          <w:lang w:val="en-IN" w:eastAsia="en-GB"/>
        </w:rPr>
        <w:t xml:space="preserve">). The patient underwent radical </w:t>
      </w:r>
      <w:proofErr w:type="spellStart"/>
      <w:r w:rsidRPr="003A3A0A">
        <w:rPr>
          <w:rFonts w:ascii="Arial" w:hAnsi="Arial" w:cs="Arial"/>
          <w:color w:val="1B1C1D"/>
          <w:lang w:val="en-IN" w:eastAsia="en-GB"/>
        </w:rPr>
        <w:t>nephrectomy.On</w:t>
      </w:r>
      <w:proofErr w:type="spellEnd"/>
      <w:r w:rsidRPr="003A3A0A">
        <w:rPr>
          <w:rFonts w:ascii="Arial" w:hAnsi="Arial" w:cs="Arial"/>
          <w:color w:val="1B1C1D"/>
          <w:lang w:val="en-IN" w:eastAsia="en-GB"/>
        </w:rPr>
        <w:t xml:space="preserve"> gross examination, the tumor was well-circumscribed with variegated yellowish to whitish areas with zones of hemorrhage and necrosis (Figure 1</w:t>
      </w:r>
      <w:r>
        <w:rPr>
          <w:rFonts w:ascii="Arial" w:hAnsi="Arial" w:cs="Arial"/>
          <w:color w:val="1B1C1D"/>
          <w:lang w:val="en-IN" w:eastAsia="en-GB"/>
        </w:rPr>
        <w:t>b</w:t>
      </w:r>
      <w:r w:rsidR="00656B92">
        <w:rPr>
          <w:rFonts w:ascii="Arial" w:hAnsi="Arial" w:cs="Arial"/>
          <w:color w:val="1B1C1D"/>
          <w:lang w:val="en-IN" w:eastAsia="en-GB"/>
        </w:rPr>
        <w:t xml:space="preserve">). </w:t>
      </w:r>
      <w:r w:rsidRPr="003A3A0A">
        <w:rPr>
          <w:rFonts w:ascii="Arial" w:hAnsi="Arial" w:cs="Arial"/>
          <w:color w:val="1B1C1D"/>
          <w:lang w:val="en-IN" w:eastAsia="en-GB"/>
        </w:rPr>
        <w:t>Low-power view showing adipose and epithelioid elements with perivascular arrangement). Microscopy revealed sheets of epithelioid cells with clear to granular eosinophilic cytoplasm, intermixed with mature adipocytes, thick-walled dysplastic blood vessels, and smooth muscle bundles</w:t>
      </w:r>
      <w:r w:rsidR="00656B92">
        <w:rPr>
          <w:rFonts w:ascii="Arial" w:hAnsi="Arial" w:cs="Arial"/>
          <w:color w:val="1B1C1D"/>
          <w:lang w:val="en-IN" w:eastAsia="en-GB"/>
        </w:rPr>
        <w:t xml:space="preserve"> (</w:t>
      </w:r>
      <w:r w:rsidR="00656B92" w:rsidRPr="003A3A0A">
        <w:rPr>
          <w:rFonts w:ascii="Arial" w:hAnsi="Arial" w:cs="Arial"/>
          <w:color w:val="1B1C1D"/>
          <w:lang w:val="en-IN" w:eastAsia="en-GB"/>
        </w:rPr>
        <w:t>Figure 1</w:t>
      </w:r>
      <w:r w:rsidR="00656B92">
        <w:rPr>
          <w:rFonts w:ascii="Arial" w:hAnsi="Arial" w:cs="Arial"/>
          <w:color w:val="1B1C1D"/>
          <w:lang w:val="en-IN" w:eastAsia="en-GB"/>
        </w:rPr>
        <w:t xml:space="preserve">c-h). </w:t>
      </w:r>
      <w:r w:rsidRPr="003A3A0A">
        <w:rPr>
          <w:rFonts w:ascii="Arial" w:hAnsi="Arial" w:cs="Arial"/>
          <w:color w:val="1B1C1D"/>
          <w:lang w:val="en-IN" w:eastAsia="en-GB"/>
        </w:rPr>
        <w:t>Despite the unavailability of immunohistochemistry, the classic histopathological triad, epithelioid morphology, large tumor size, and necrosis supported the diagnosis of EAML with aggressive potential. The postoperative recovery was uneventful, and no recurrence was noted at 3-month follow-up.</w:t>
      </w:r>
    </w:p>
    <w:p w14:paraId="0A502F6C" w14:textId="77777777" w:rsidR="003A3A0A" w:rsidRPr="003A3A0A" w:rsidRDefault="003A3A0A" w:rsidP="003A3A0A">
      <w:pPr>
        <w:spacing w:before="100" w:beforeAutospacing="1" w:after="120"/>
        <w:outlineLvl w:val="1"/>
        <w:rPr>
          <w:rFonts w:ascii="Arial" w:hAnsi="Arial" w:cs="Arial"/>
          <w:b/>
          <w:bCs/>
          <w:color w:val="1B1C1D"/>
          <w:lang w:val="en-IN" w:eastAsia="en-GB"/>
        </w:rPr>
      </w:pPr>
      <w:r w:rsidRPr="003A3A0A">
        <w:rPr>
          <w:rFonts w:ascii="Arial" w:hAnsi="Arial" w:cs="Arial"/>
          <w:b/>
          <w:bCs/>
          <w:color w:val="1B1C1D"/>
          <w:lang w:val="en-IN" w:eastAsia="en-GB"/>
        </w:rPr>
        <w:t>Case 2</w:t>
      </w:r>
    </w:p>
    <w:p w14:paraId="6BCD90F9" w14:textId="77777777" w:rsidR="00656B92" w:rsidRDefault="003A3A0A" w:rsidP="00656B92">
      <w:pPr>
        <w:spacing w:before="100" w:beforeAutospacing="1" w:after="120"/>
        <w:jc w:val="both"/>
        <w:outlineLvl w:val="1"/>
        <w:rPr>
          <w:rFonts w:ascii="Arial" w:hAnsi="Arial" w:cs="Arial"/>
          <w:color w:val="1B1C1D"/>
          <w:lang w:val="en-IN" w:eastAsia="en-GB"/>
        </w:rPr>
      </w:pPr>
      <w:r w:rsidRPr="003A3A0A">
        <w:rPr>
          <w:rFonts w:ascii="Arial" w:hAnsi="Arial" w:cs="Arial"/>
          <w:color w:val="1B1C1D"/>
          <w:lang w:val="en-IN" w:eastAsia="en-GB"/>
        </w:rPr>
        <w:t xml:space="preserve">A 60-year-old female presented with sudden severe left flank pain and gross </w:t>
      </w:r>
      <w:proofErr w:type="spellStart"/>
      <w:r w:rsidRPr="003A3A0A">
        <w:rPr>
          <w:rFonts w:ascii="Arial" w:hAnsi="Arial" w:cs="Arial"/>
          <w:color w:val="1B1C1D"/>
          <w:lang w:val="en-IN" w:eastAsia="en-GB"/>
        </w:rPr>
        <w:t>hematuria</w:t>
      </w:r>
      <w:proofErr w:type="spellEnd"/>
      <w:r w:rsidRPr="003A3A0A">
        <w:rPr>
          <w:rFonts w:ascii="Arial" w:hAnsi="Arial" w:cs="Arial"/>
          <w:color w:val="1B1C1D"/>
          <w:lang w:val="en-IN" w:eastAsia="en-GB"/>
        </w:rPr>
        <w:t>. Contrast-enhanced CT revealed a 48×38 mm hyperdense, slightly enhancing mass in the left kidney with invasion into the renal pelvis</w:t>
      </w:r>
      <w:r w:rsidR="00656B92" w:rsidRPr="00656B92">
        <w:rPr>
          <w:rFonts w:ascii="Arial" w:hAnsi="Arial" w:cs="Arial"/>
          <w:color w:val="1B1C1D"/>
          <w:lang w:val="en-IN" w:eastAsia="en-GB"/>
        </w:rPr>
        <w:t xml:space="preserve"> </w:t>
      </w:r>
      <w:r w:rsidR="00656B92">
        <w:rPr>
          <w:rFonts w:ascii="Arial" w:hAnsi="Arial" w:cs="Arial"/>
          <w:color w:val="1B1C1D"/>
          <w:lang w:val="en-IN" w:eastAsia="en-GB"/>
        </w:rPr>
        <w:t>(</w:t>
      </w:r>
      <w:r w:rsidR="00656B92" w:rsidRPr="003A3A0A">
        <w:rPr>
          <w:rFonts w:ascii="Arial" w:hAnsi="Arial" w:cs="Arial"/>
          <w:color w:val="1B1C1D"/>
          <w:lang w:val="en-IN" w:eastAsia="en-GB"/>
        </w:rPr>
        <w:t>Figure 2</w:t>
      </w:r>
      <w:r w:rsidR="00656B92">
        <w:rPr>
          <w:rFonts w:ascii="Arial" w:hAnsi="Arial" w:cs="Arial"/>
          <w:color w:val="1B1C1D"/>
          <w:lang w:val="en-IN" w:eastAsia="en-GB"/>
        </w:rPr>
        <w:t>a)</w:t>
      </w:r>
      <w:r w:rsidRPr="003A3A0A">
        <w:rPr>
          <w:rFonts w:ascii="Arial" w:hAnsi="Arial" w:cs="Arial"/>
          <w:color w:val="1B1C1D"/>
          <w:lang w:val="en-IN" w:eastAsia="en-GB"/>
        </w:rPr>
        <w:t xml:space="preserve">. </w:t>
      </w:r>
      <w:proofErr w:type="spellStart"/>
      <w:r w:rsidRPr="003A3A0A">
        <w:rPr>
          <w:rFonts w:ascii="Arial" w:hAnsi="Arial" w:cs="Arial"/>
          <w:color w:val="1B1C1D"/>
          <w:lang w:val="en-IN" w:eastAsia="en-GB"/>
        </w:rPr>
        <w:t>Hemorrhagic</w:t>
      </w:r>
      <w:proofErr w:type="spellEnd"/>
      <w:r w:rsidRPr="003A3A0A">
        <w:rPr>
          <w:rFonts w:ascii="Arial" w:hAnsi="Arial" w:cs="Arial"/>
          <w:color w:val="1B1C1D"/>
          <w:lang w:val="en-IN" w:eastAsia="en-GB"/>
        </w:rPr>
        <w:t xml:space="preserve"> angiomyolipoma was suspected. She underwent partial nephrectomy via retroperitoneal </w:t>
      </w:r>
      <w:proofErr w:type="spellStart"/>
      <w:r w:rsidRPr="003A3A0A">
        <w:rPr>
          <w:rFonts w:ascii="Arial" w:hAnsi="Arial" w:cs="Arial"/>
          <w:color w:val="1B1C1D"/>
          <w:lang w:val="en-IN" w:eastAsia="en-GB"/>
        </w:rPr>
        <w:t>laparoscopy.Grossly</w:t>
      </w:r>
      <w:proofErr w:type="spellEnd"/>
      <w:r w:rsidRPr="003A3A0A">
        <w:rPr>
          <w:rFonts w:ascii="Arial" w:hAnsi="Arial" w:cs="Arial"/>
          <w:color w:val="1B1C1D"/>
          <w:lang w:val="en-IN" w:eastAsia="en-GB"/>
        </w:rPr>
        <w:t xml:space="preserve">, the </w:t>
      </w:r>
      <w:proofErr w:type="spellStart"/>
      <w:r w:rsidRPr="003A3A0A">
        <w:rPr>
          <w:rFonts w:ascii="Arial" w:hAnsi="Arial" w:cs="Arial"/>
          <w:color w:val="1B1C1D"/>
          <w:lang w:val="en-IN" w:eastAsia="en-GB"/>
        </w:rPr>
        <w:t>tumor</w:t>
      </w:r>
      <w:proofErr w:type="spellEnd"/>
      <w:r w:rsidRPr="003A3A0A">
        <w:rPr>
          <w:rFonts w:ascii="Arial" w:hAnsi="Arial" w:cs="Arial"/>
          <w:color w:val="1B1C1D"/>
          <w:lang w:val="en-IN" w:eastAsia="en-GB"/>
        </w:rPr>
        <w:t xml:space="preserve"> was yellowish and well-circumscribed </w:t>
      </w:r>
      <w:r w:rsidR="00656B92">
        <w:rPr>
          <w:rFonts w:ascii="Arial" w:hAnsi="Arial" w:cs="Arial"/>
          <w:color w:val="1B1C1D"/>
          <w:lang w:val="en-IN" w:eastAsia="en-GB"/>
        </w:rPr>
        <w:t>(</w:t>
      </w:r>
      <w:r w:rsidRPr="003A3A0A">
        <w:rPr>
          <w:rFonts w:ascii="Arial" w:hAnsi="Arial" w:cs="Arial"/>
          <w:color w:val="1B1C1D"/>
          <w:lang w:val="en-IN" w:eastAsia="en-GB"/>
        </w:rPr>
        <w:t>Figure 2</w:t>
      </w:r>
      <w:r>
        <w:rPr>
          <w:rFonts w:ascii="Arial" w:hAnsi="Arial" w:cs="Arial"/>
          <w:color w:val="1B1C1D"/>
          <w:lang w:val="en-IN" w:eastAsia="en-GB"/>
        </w:rPr>
        <w:t>b</w:t>
      </w:r>
      <w:r w:rsidRPr="003A3A0A">
        <w:rPr>
          <w:rFonts w:ascii="Arial" w:hAnsi="Arial" w:cs="Arial"/>
          <w:color w:val="1B1C1D"/>
          <w:lang w:val="en-IN" w:eastAsia="en-GB"/>
        </w:rPr>
        <w:t>). Microscopy revealed an admixture of epithelioid and spindle cells, thick-walled dysplastic blood vessels, and focal adipose tissue (Figure 2</w:t>
      </w:r>
      <w:r>
        <w:rPr>
          <w:rFonts w:ascii="Arial" w:hAnsi="Arial" w:cs="Arial"/>
          <w:color w:val="1B1C1D"/>
          <w:lang w:val="en-IN" w:eastAsia="en-GB"/>
        </w:rPr>
        <w:t>c</w:t>
      </w:r>
      <w:r w:rsidR="00656B92">
        <w:rPr>
          <w:rFonts w:ascii="Arial" w:hAnsi="Arial" w:cs="Arial"/>
          <w:color w:val="1B1C1D"/>
          <w:lang w:val="en-IN" w:eastAsia="en-GB"/>
        </w:rPr>
        <w:t>-</w:t>
      </w:r>
      <w:r>
        <w:rPr>
          <w:rFonts w:ascii="Arial" w:hAnsi="Arial" w:cs="Arial"/>
          <w:color w:val="1B1C1D"/>
          <w:lang w:val="en-IN" w:eastAsia="en-GB"/>
        </w:rPr>
        <w:t>d</w:t>
      </w:r>
      <w:r w:rsidRPr="003A3A0A">
        <w:rPr>
          <w:rFonts w:ascii="Arial" w:hAnsi="Arial" w:cs="Arial"/>
          <w:color w:val="1B1C1D"/>
          <w:lang w:val="en-IN" w:eastAsia="en-GB"/>
        </w:rPr>
        <w:t>). Higher magnification revealed sheets of pleomorphic epithelioid cells with prominent nucleoli, mitoses, and focal tumor giant cells (Figure 2</w:t>
      </w:r>
      <w:r>
        <w:rPr>
          <w:rFonts w:ascii="Arial" w:hAnsi="Arial" w:cs="Arial"/>
          <w:color w:val="1B1C1D"/>
          <w:lang w:val="en-IN" w:eastAsia="en-GB"/>
        </w:rPr>
        <w:t>e</w:t>
      </w:r>
      <w:r w:rsidR="00656B92">
        <w:rPr>
          <w:rFonts w:ascii="Arial" w:hAnsi="Arial" w:cs="Arial"/>
          <w:color w:val="1B1C1D"/>
          <w:lang w:val="en-IN" w:eastAsia="en-GB"/>
        </w:rPr>
        <w:t xml:space="preserve">-g). </w:t>
      </w:r>
      <w:r w:rsidRPr="003A3A0A">
        <w:rPr>
          <w:rFonts w:ascii="Arial" w:hAnsi="Arial" w:cs="Arial"/>
          <w:color w:val="1B1C1D"/>
          <w:lang w:val="en-IN" w:eastAsia="en-GB"/>
        </w:rPr>
        <w:t>HMB-45 positivity confirm</w:t>
      </w:r>
      <w:r w:rsidR="00656B92">
        <w:rPr>
          <w:rFonts w:ascii="Arial" w:hAnsi="Arial" w:cs="Arial"/>
          <w:color w:val="1B1C1D"/>
          <w:lang w:val="en-IN" w:eastAsia="en-GB"/>
        </w:rPr>
        <w:t>ed</w:t>
      </w:r>
      <w:r w:rsidRPr="003A3A0A">
        <w:rPr>
          <w:rFonts w:ascii="Arial" w:hAnsi="Arial" w:cs="Arial"/>
          <w:color w:val="1B1C1D"/>
          <w:lang w:val="en-IN" w:eastAsia="en-GB"/>
        </w:rPr>
        <w:t xml:space="preserve"> melanocytic marker expression</w:t>
      </w:r>
      <w:r w:rsidR="00656B92">
        <w:rPr>
          <w:rFonts w:ascii="Arial" w:hAnsi="Arial" w:cs="Arial"/>
          <w:color w:val="1B1C1D"/>
          <w:lang w:val="en-IN" w:eastAsia="en-GB"/>
        </w:rPr>
        <w:t xml:space="preserve">. </w:t>
      </w:r>
      <w:r w:rsidRPr="003A3A0A">
        <w:rPr>
          <w:rFonts w:ascii="Arial" w:hAnsi="Arial" w:cs="Arial"/>
          <w:color w:val="1B1C1D"/>
          <w:lang w:val="en-IN" w:eastAsia="en-GB"/>
        </w:rPr>
        <w:t>The presence of renal pelvic invasion and moderate nuclear atypia suggested EAML with aggressive potential. The postoperative course was uneventful, and follow-up imaging has shown no recurrence.</w:t>
      </w:r>
    </w:p>
    <w:p w14:paraId="7C4FA14A" w14:textId="77777777" w:rsidR="00656B92" w:rsidRDefault="00057112" w:rsidP="00656B92">
      <w:pPr>
        <w:spacing w:before="100" w:beforeAutospacing="1" w:after="120"/>
        <w:jc w:val="both"/>
        <w:outlineLvl w:val="1"/>
        <w:rPr>
          <w:rFonts w:ascii="Arial" w:hAnsi="Arial" w:cs="Arial"/>
          <w:b/>
          <w:color w:val="1B1C1D"/>
          <w:lang w:val="en-IN" w:eastAsia="en-GB"/>
        </w:rPr>
      </w:pPr>
      <w:r w:rsidRPr="00CE1829">
        <w:rPr>
          <w:rFonts w:ascii="Arial" w:hAnsi="Arial" w:cs="Arial"/>
          <w:color w:val="1B1C1D"/>
          <w:lang w:val="en-IN" w:eastAsia="en-GB"/>
        </w:rPr>
        <w:br/>
      </w:r>
      <w:r w:rsidR="003A3A0A" w:rsidRPr="00656B92">
        <w:rPr>
          <w:rFonts w:ascii="Arial" w:hAnsi="Arial" w:cs="Arial"/>
          <w:b/>
          <w:color w:val="1B1C1D"/>
          <w:lang w:val="en-IN" w:eastAsia="en-GB"/>
        </w:rPr>
        <w:t>Case 3</w:t>
      </w:r>
    </w:p>
    <w:p w14:paraId="3EB1962A" w14:textId="7833F51F" w:rsidR="003A3A0A" w:rsidRPr="00656B92" w:rsidRDefault="003A3A0A" w:rsidP="00656B92">
      <w:pPr>
        <w:spacing w:before="100" w:beforeAutospacing="1" w:after="120"/>
        <w:jc w:val="both"/>
        <w:outlineLvl w:val="1"/>
        <w:rPr>
          <w:rFonts w:ascii="Arial" w:hAnsi="Arial" w:cs="Arial"/>
          <w:color w:val="1B1C1D"/>
          <w:lang w:val="en-IN" w:eastAsia="en-GB"/>
        </w:rPr>
      </w:pPr>
      <w:r w:rsidRPr="00656B92">
        <w:rPr>
          <w:rFonts w:ascii="Arial" w:hAnsi="Arial" w:cs="Arial"/>
          <w:b/>
          <w:color w:val="1B1C1D"/>
          <w:lang w:val="en-IN" w:eastAsia="en-GB"/>
        </w:rPr>
        <w:br/>
      </w:r>
      <w:r w:rsidRPr="003A3A0A">
        <w:rPr>
          <w:rFonts w:ascii="Arial" w:hAnsi="Arial" w:cs="Arial"/>
          <w:color w:val="1B1C1D"/>
          <w:lang w:val="en-IN" w:eastAsia="en-GB"/>
        </w:rPr>
        <w:t xml:space="preserve">A 70-year-old male with bilateral renal masses previously </w:t>
      </w:r>
      <w:proofErr w:type="spellStart"/>
      <w:r w:rsidRPr="003A3A0A">
        <w:rPr>
          <w:rFonts w:ascii="Arial" w:hAnsi="Arial" w:cs="Arial"/>
          <w:color w:val="1B1C1D"/>
          <w:lang w:val="en-IN" w:eastAsia="en-GB"/>
        </w:rPr>
        <w:t>labeled</w:t>
      </w:r>
      <w:proofErr w:type="spellEnd"/>
      <w:r w:rsidRPr="003A3A0A">
        <w:rPr>
          <w:rFonts w:ascii="Arial" w:hAnsi="Arial" w:cs="Arial"/>
          <w:color w:val="1B1C1D"/>
          <w:lang w:val="en-IN" w:eastAsia="en-GB"/>
        </w:rPr>
        <w:t xml:space="preserve"> as AMLs presented with </w:t>
      </w:r>
      <w:proofErr w:type="spellStart"/>
      <w:r w:rsidRPr="003A3A0A">
        <w:rPr>
          <w:rFonts w:ascii="Arial" w:hAnsi="Arial" w:cs="Arial"/>
          <w:color w:val="1B1C1D"/>
          <w:lang w:val="en-IN" w:eastAsia="en-GB"/>
        </w:rPr>
        <w:t>anemia</w:t>
      </w:r>
      <w:proofErr w:type="spellEnd"/>
      <w:r w:rsidRPr="003A3A0A">
        <w:rPr>
          <w:rFonts w:ascii="Arial" w:hAnsi="Arial" w:cs="Arial"/>
          <w:color w:val="1B1C1D"/>
          <w:lang w:val="en-IN" w:eastAsia="en-GB"/>
        </w:rPr>
        <w:t xml:space="preserve"> (Hb: 7.9 g/dL) and renal dysfunction (eGFR: 8 mL/min/1.73m²; serum creatinine: 512 µmol/L). There was no history of tuberous sclerosis complex (TSC). He underwent left partial nephrectomy. Grossly, the tumor was yellow-tan and well-circumscribed (</w:t>
      </w:r>
      <w:r w:rsidRPr="003A3A0A">
        <w:rPr>
          <w:rFonts w:ascii="Arial" w:hAnsi="Arial" w:cs="Arial"/>
          <w:bCs/>
          <w:color w:val="1B1C1D"/>
          <w:lang w:val="en-IN" w:eastAsia="en-GB"/>
        </w:rPr>
        <w:t>Figure 3b</w:t>
      </w:r>
      <w:r w:rsidRPr="003A3A0A">
        <w:rPr>
          <w:rFonts w:ascii="Arial" w:hAnsi="Arial" w:cs="Arial"/>
          <w:color w:val="1B1C1D"/>
          <w:lang w:val="en-IN" w:eastAsia="en-GB"/>
        </w:rPr>
        <w:t>). Microscopy showed minimal fat, with intervening smooth muscle and thick-walled blood vessels. Sheets of epithelioid cells confirmed the diagnosis of EAML (</w:t>
      </w:r>
      <w:r w:rsidRPr="003A3A0A">
        <w:rPr>
          <w:rFonts w:ascii="Arial" w:hAnsi="Arial" w:cs="Arial"/>
          <w:bCs/>
          <w:color w:val="1B1C1D"/>
          <w:lang w:val="en-IN" w:eastAsia="en-GB"/>
        </w:rPr>
        <w:t>Figure 3c–e</w:t>
      </w:r>
      <w:r w:rsidRPr="003A3A0A">
        <w:rPr>
          <w:rFonts w:ascii="Arial" w:hAnsi="Arial" w:cs="Arial"/>
          <w:color w:val="1B1C1D"/>
          <w:lang w:val="en-IN" w:eastAsia="en-GB"/>
        </w:rPr>
        <w:t>). Although IHC was not performed, morphology was sufficient for diagnosis. The contralateral lesion is being managed conservatively with multidisciplinary input due to his renal status.</w:t>
      </w:r>
    </w:p>
    <w:p w14:paraId="1139DE98" w14:textId="3C46673B" w:rsidR="00902823" w:rsidRPr="00656B92" w:rsidRDefault="00656B92" w:rsidP="003A3A0A">
      <w:pPr>
        <w:spacing w:before="100" w:beforeAutospacing="1" w:after="120"/>
        <w:outlineLvl w:val="1"/>
        <w:rPr>
          <w:rFonts w:ascii="Arial" w:hAnsi="Arial" w:cs="Arial"/>
          <w:b/>
          <w:bCs/>
          <w:sz w:val="22"/>
          <w:szCs w:val="22"/>
        </w:rPr>
      </w:pPr>
      <w:r w:rsidRPr="00656B92">
        <w:rPr>
          <w:rFonts w:ascii="Arial" w:hAnsi="Arial" w:cs="Arial"/>
          <w:b/>
          <w:bCs/>
          <w:sz w:val="22"/>
          <w:szCs w:val="22"/>
        </w:rPr>
        <w:t>3. DISCUSSION</w:t>
      </w:r>
    </w:p>
    <w:p w14:paraId="741D2543" w14:textId="77777777" w:rsidR="00790ADA" w:rsidRPr="00FB3A86" w:rsidRDefault="00790ADA" w:rsidP="00441B6F">
      <w:pPr>
        <w:pStyle w:val="Head1"/>
        <w:spacing w:after="0"/>
        <w:jc w:val="both"/>
        <w:rPr>
          <w:rFonts w:ascii="Arial" w:hAnsi="Arial" w:cs="Arial"/>
        </w:rPr>
      </w:pPr>
    </w:p>
    <w:p w14:paraId="6D178771" w14:textId="77777777" w:rsidR="00057112" w:rsidRPr="00057112" w:rsidRDefault="00057112" w:rsidP="00057112">
      <w:pPr>
        <w:pStyle w:val="Body"/>
        <w:spacing w:after="0"/>
        <w:rPr>
          <w:rFonts w:ascii="Arial" w:hAnsi="Arial" w:cs="Arial"/>
          <w:lang w:val="en-IN"/>
        </w:rPr>
      </w:pPr>
      <w:r w:rsidRPr="00057112">
        <w:rPr>
          <w:rFonts w:ascii="Arial" w:hAnsi="Arial" w:cs="Arial"/>
          <w:lang w:val="en-IN"/>
        </w:rPr>
        <w:t xml:space="preserve">Renal epithelioid angiomyolipoma (EAML) is a rare mesenchymal tumor classified under the perivascular epithelioid cell </w:t>
      </w:r>
      <w:proofErr w:type="spellStart"/>
      <w:r w:rsidRPr="00057112">
        <w:rPr>
          <w:rFonts w:ascii="Arial" w:hAnsi="Arial" w:cs="Arial"/>
          <w:lang w:val="en-IN"/>
        </w:rPr>
        <w:t>tumor</w:t>
      </w:r>
      <w:proofErr w:type="spellEnd"/>
      <w:r w:rsidRPr="00057112">
        <w:rPr>
          <w:rFonts w:ascii="Arial" w:hAnsi="Arial" w:cs="Arial"/>
          <w:lang w:val="en-IN"/>
        </w:rPr>
        <w:t xml:space="preserve"> (</w:t>
      </w:r>
      <w:proofErr w:type="spellStart"/>
      <w:r w:rsidRPr="00057112">
        <w:rPr>
          <w:rFonts w:ascii="Arial" w:hAnsi="Arial" w:cs="Arial"/>
          <w:lang w:val="en-IN"/>
        </w:rPr>
        <w:t>PEComa</w:t>
      </w:r>
      <w:proofErr w:type="spellEnd"/>
      <w:r w:rsidRPr="00057112">
        <w:rPr>
          <w:rFonts w:ascii="Arial" w:hAnsi="Arial" w:cs="Arial"/>
          <w:lang w:val="en-IN"/>
        </w:rPr>
        <w:t>) family [1,3]. Unlike conventional AML, which is fat-rich and often detected incidentally, EAML typically lacks macroscopic fat, making it radiologically indistinguishable from renal cell carcinoma (RCC) [2,4]. This diagnostic ambiguity is especially challenging in resource-limited settings, where advanced imaging and immunohistochemical (IHC) tools are often unavailable.</w:t>
      </w:r>
    </w:p>
    <w:p w14:paraId="3AB3E7BF" w14:textId="77777777" w:rsidR="00057112" w:rsidRPr="00057112" w:rsidRDefault="00057112" w:rsidP="00057112">
      <w:pPr>
        <w:pStyle w:val="Body"/>
        <w:spacing w:after="0"/>
        <w:rPr>
          <w:rFonts w:ascii="Arial" w:hAnsi="Arial" w:cs="Arial"/>
          <w:lang w:val="en-IN"/>
        </w:rPr>
      </w:pPr>
      <w:r w:rsidRPr="00057112">
        <w:rPr>
          <w:rFonts w:ascii="Arial" w:hAnsi="Arial" w:cs="Arial"/>
          <w:lang w:val="en-IN"/>
        </w:rPr>
        <w:t xml:space="preserve">Clinically, EAML presents with nonspecific symptoms—flank pain, </w:t>
      </w:r>
      <w:proofErr w:type="spellStart"/>
      <w:r w:rsidRPr="00057112">
        <w:rPr>
          <w:rFonts w:ascii="Arial" w:hAnsi="Arial" w:cs="Arial"/>
          <w:lang w:val="en-IN"/>
        </w:rPr>
        <w:t>hematuria</w:t>
      </w:r>
      <w:proofErr w:type="spellEnd"/>
      <w:r w:rsidRPr="00057112">
        <w:rPr>
          <w:rFonts w:ascii="Arial" w:hAnsi="Arial" w:cs="Arial"/>
          <w:lang w:val="en-IN"/>
        </w:rPr>
        <w:t>, or palpable mass. Metastatic cases may manifest systemic symptoms [1,5]. Imaging typically reveals a solid, fat-poor renal mass, often leading to a presumptive diagnosis of RCC [2,6]. In our series, the presence of enhancing renal masses without fat necessitated surgical management for both diagnosis and treatment.</w:t>
      </w:r>
    </w:p>
    <w:p w14:paraId="22CE613B" w14:textId="77777777" w:rsidR="00057112" w:rsidRPr="00057112" w:rsidRDefault="00057112" w:rsidP="00057112">
      <w:pPr>
        <w:pStyle w:val="Body"/>
        <w:spacing w:after="0"/>
        <w:rPr>
          <w:rFonts w:ascii="Arial" w:hAnsi="Arial" w:cs="Arial"/>
          <w:lang w:val="en-IN"/>
        </w:rPr>
      </w:pPr>
      <w:r w:rsidRPr="00057112">
        <w:rPr>
          <w:rFonts w:ascii="Arial" w:hAnsi="Arial" w:cs="Arial"/>
          <w:lang w:val="en-IN"/>
        </w:rPr>
        <w:t xml:space="preserve">Histologically, EAML comprises epithelioid cells with eosinophilic to clear cytoplasm, nuclear atypia, and a variable admixture of dysplastic blood vessels and adipocytes [1,4]. In our rural setup, lacking IHC facilities, diagnosis relied entirely on morphology using </w:t>
      </w:r>
      <w:proofErr w:type="spellStart"/>
      <w:r w:rsidRPr="00057112">
        <w:rPr>
          <w:rFonts w:ascii="Arial" w:hAnsi="Arial" w:cs="Arial"/>
          <w:lang w:val="en-IN"/>
        </w:rPr>
        <w:t>hematoxylin</w:t>
      </w:r>
      <w:proofErr w:type="spellEnd"/>
      <w:r w:rsidRPr="00057112">
        <w:rPr>
          <w:rFonts w:ascii="Arial" w:hAnsi="Arial" w:cs="Arial"/>
          <w:lang w:val="en-IN"/>
        </w:rPr>
        <w:t xml:space="preserve"> and eosin (H&amp;E) staining. Distinguishing features—intimate admixture of epithelioid cells, thick-walled vessels, and sparse adipocytes—enabled confident differentiation from RCC. While IHC confirms EAML via melanocytic markers (HMB-45, Melan-A) and absence of epithelial markers, our cases show that detailed morphological interpretation alone can suffice in expert hands.</w:t>
      </w:r>
    </w:p>
    <w:p w14:paraId="6274DBEA" w14:textId="7058B51D" w:rsidR="00057112" w:rsidRDefault="00057112" w:rsidP="00057112">
      <w:pPr>
        <w:pStyle w:val="Body"/>
        <w:spacing w:after="0"/>
        <w:rPr>
          <w:rFonts w:ascii="Arial" w:hAnsi="Arial" w:cs="Arial"/>
          <w:lang w:val="en-IN"/>
        </w:rPr>
      </w:pPr>
      <w:r w:rsidRPr="00057112">
        <w:rPr>
          <w:rFonts w:ascii="Arial" w:hAnsi="Arial" w:cs="Arial"/>
          <w:lang w:val="en-IN"/>
        </w:rPr>
        <w:t>EAML’s malignant potential is well-documented. Nese et al. outlined adverse features including tumor size &gt;7 cm, necrosis, TSC association, renal vein or extra-renal invasion, and carcinoma-like architecture [7]. In our cases, large tumor size (Case 1), necrosis (Figure 1C), and pelvicalyceal invasion (Case 2) reinforced the need for long-term monitoring. Literature also correlates poor outcomes with marked pleomorphism, high mitotic rate, and atypical mitoses.</w:t>
      </w:r>
    </w:p>
    <w:p w14:paraId="55AE3E28" w14:textId="77777777" w:rsidR="00BC0C58" w:rsidRPr="00057112" w:rsidRDefault="00BC0C58" w:rsidP="00057112">
      <w:pPr>
        <w:pStyle w:val="Body"/>
        <w:spacing w:after="0"/>
        <w:rPr>
          <w:rFonts w:ascii="Arial" w:hAnsi="Arial" w:cs="Arial"/>
          <w:lang w:val="en-IN"/>
        </w:rPr>
      </w:pPr>
    </w:p>
    <w:p w14:paraId="382584CA" w14:textId="16372F1D" w:rsidR="00057112" w:rsidRPr="00057112" w:rsidRDefault="00057112" w:rsidP="00057112">
      <w:pPr>
        <w:pStyle w:val="Body"/>
        <w:spacing w:after="0"/>
        <w:rPr>
          <w:rFonts w:ascii="Arial" w:hAnsi="Arial" w:cs="Arial"/>
          <w:lang w:val="en-IN"/>
        </w:rPr>
      </w:pPr>
      <w:r w:rsidRPr="00057112">
        <w:rPr>
          <w:rFonts w:ascii="Arial" w:hAnsi="Arial" w:cs="Arial"/>
          <w:lang w:val="en-IN"/>
        </w:rPr>
        <w:t xml:space="preserve">Surgical excision—radical or partial nephrectomy—remains the mainstay of treatment [3,6,9]. In unresectable or metastatic cases, mTOR inhibitors such as </w:t>
      </w:r>
      <w:proofErr w:type="spellStart"/>
      <w:r w:rsidRPr="00057112">
        <w:rPr>
          <w:rFonts w:ascii="Arial" w:hAnsi="Arial" w:cs="Arial"/>
          <w:lang w:val="en-IN"/>
        </w:rPr>
        <w:t>everolimus</w:t>
      </w:r>
      <w:proofErr w:type="spellEnd"/>
      <w:r w:rsidRPr="00057112">
        <w:rPr>
          <w:rFonts w:ascii="Arial" w:hAnsi="Arial" w:cs="Arial"/>
          <w:lang w:val="en-IN"/>
        </w:rPr>
        <w:t xml:space="preserve"> have shown efficacy [9]. Metastatic potential is well documented, with reports of lung, liver, lymph node, and bone involvement [3, 6, 13]. Saoud et al. emphasized that even histologically bland tumors may behave aggressively, underscoring the need for vigilant follow-up [11]. Though rare, pediatric cases also show potential for aggressive </w:t>
      </w:r>
      <w:proofErr w:type="spellStart"/>
      <w:r w:rsidRPr="00057112">
        <w:rPr>
          <w:rFonts w:ascii="Arial" w:hAnsi="Arial" w:cs="Arial"/>
          <w:lang w:val="en-IN"/>
        </w:rPr>
        <w:t>behavior</w:t>
      </w:r>
      <w:proofErr w:type="spellEnd"/>
      <w:r w:rsidRPr="00057112">
        <w:rPr>
          <w:rFonts w:ascii="Arial" w:hAnsi="Arial" w:cs="Arial"/>
          <w:lang w:val="en-IN"/>
        </w:rPr>
        <w:t xml:space="preserve"> [12].</w:t>
      </w:r>
    </w:p>
    <w:p w14:paraId="0CC5D495" w14:textId="0741FDF9" w:rsidR="00770537" w:rsidRDefault="00057112" w:rsidP="006C3E1F">
      <w:pPr>
        <w:pStyle w:val="Body"/>
        <w:spacing w:after="0"/>
        <w:rPr>
          <w:rFonts w:ascii="Arial" w:hAnsi="Arial" w:cs="Arial"/>
          <w:color w:val="1B1C1D"/>
          <w:bdr w:val="none" w:sz="0" w:space="0" w:color="auto" w:frame="1"/>
          <w:lang w:eastAsia="en-GB"/>
        </w:rPr>
      </w:pPr>
      <w:r w:rsidRPr="00057112">
        <w:rPr>
          <w:rFonts w:ascii="Arial" w:hAnsi="Arial" w:cs="Arial"/>
          <w:lang w:val="en-IN"/>
        </w:rPr>
        <w:t xml:space="preserve">Our series from a rural Indian tertiary </w:t>
      </w:r>
      <w:proofErr w:type="spellStart"/>
      <w:r w:rsidRPr="00057112">
        <w:rPr>
          <w:rFonts w:ascii="Arial" w:hAnsi="Arial" w:cs="Arial"/>
          <w:lang w:val="en-IN"/>
        </w:rPr>
        <w:t>center</w:t>
      </w:r>
      <w:proofErr w:type="spellEnd"/>
      <w:r w:rsidRPr="00057112">
        <w:rPr>
          <w:rFonts w:ascii="Arial" w:hAnsi="Arial" w:cs="Arial"/>
          <w:lang w:val="en-IN"/>
        </w:rPr>
        <w:t xml:space="preserve"> highlights that EAML, though infrequent, must be considered in fat-poor renal masses, even in the absence of classic risk factors for RCC. Critically, these cases affirm that with careful attention to histomorphology, definitive diagnosis is possible without IHC. Given its unpredictable course, vigilant clinical and radiological follow-up is essential. The role of the pathologist, particularly in resource-constrained settings, remains pivotal in identifying this aggressive but diagnosable neoplasm.</w:t>
      </w:r>
    </w:p>
    <w:p w14:paraId="50EAD0BC" w14:textId="77777777" w:rsidR="00EB35A5" w:rsidRPr="006C3E1F" w:rsidRDefault="00EB35A5" w:rsidP="006C3E1F">
      <w:pPr>
        <w:pStyle w:val="Body"/>
        <w:spacing w:after="0"/>
        <w:rPr>
          <w:rFonts w:ascii="Arial" w:hAnsi="Arial" w:cs="Arial"/>
          <w:lang w:val="en-IN"/>
        </w:rPr>
      </w:pPr>
    </w:p>
    <w:p w14:paraId="2970F32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D2E2CA9" w14:textId="77777777" w:rsidR="00790ADA" w:rsidRDefault="00790ADA" w:rsidP="00441B6F">
      <w:pPr>
        <w:pStyle w:val="ConcHead"/>
        <w:spacing w:after="0"/>
        <w:jc w:val="both"/>
        <w:rPr>
          <w:rFonts w:ascii="Arial" w:hAnsi="Arial" w:cs="Arial"/>
        </w:rPr>
      </w:pPr>
    </w:p>
    <w:p w14:paraId="1F744064" w14:textId="224B5E27" w:rsidR="00B01FCD" w:rsidRPr="00EB3373" w:rsidRDefault="0055479C" w:rsidP="00EB3373">
      <w:pPr>
        <w:pStyle w:val="ConcHead"/>
        <w:spacing w:after="0"/>
        <w:jc w:val="both"/>
        <w:rPr>
          <w:rFonts w:ascii="Arial" w:hAnsi="Arial" w:cs="Arial"/>
          <w:b w:val="0"/>
          <w:bCs/>
          <w:sz w:val="20"/>
          <w:szCs w:val="18"/>
        </w:rPr>
      </w:pPr>
      <w:r w:rsidRPr="0055479C">
        <w:rPr>
          <w:rFonts w:ascii="Arial" w:hAnsi="Arial" w:cs="Arial"/>
          <w:b w:val="0"/>
          <w:bCs/>
          <w:caps w:val="0"/>
          <w:sz w:val="20"/>
          <w:szCs w:val="18"/>
        </w:rPr>
        <w:t xml:space="preserve">Renal epithelioid angiomyolipoma (EAML), though rare, poses a significant diagnostic challenge due to its radiological resemblance to renal cell carcinoma and its malignant potential. In resource-limited rural settings where immunohistochemistry is unavailable, accurate diagnosis relies on meticulous interpretation of hematoxylin and eosin-stained sections. Our case series highlights that, with careful morphological evaluation, </w:t>
      </w:r>
      <w:r w:rsidR="00EB3373" w:rsidRPr="0055479C">
        <w:rPr>
          <w:rFonts w:ascii="Arial" w:hAnsi="Arial" w:cs="Arial"/>
          <w:b w:val="0"/>
          <w:bCs/>
          <w:caps w:val="0"/>
          <w:sz w:val="20"/>
          <w:szCs w:val="18"/>
        </w:rPr>
        <w:t xml:space="preserve">EAML </w:t>
      </w:r>
      <w:r w:rsidRPr="0055479C">
        <w:rPr>
          <w:rFonts w:ascii="Arial" w:hAnsi="Arial" w:cs="Arial"/>
          <w:b w:val="0"/>
          <w:bCs/>
          <w:caps w:val="0"/>
          <w:sz w:val="20"/>
          <w:szCs w:val="18"/>
        </w:rPr>
        <w:t xml:space="preserve">can be confidently diagnosed without ancillary tests. Given its unpredictable behavior and risk of recurrence or metastasis, long-term clinical and radiological follow-up is essential. This underscores the critical role of the pathologist in recognizing </w:t>
      </w:r>
      <w:r w:rsidR="00EB3373" w:rsidRPr="0055479C">
        <w:rPr>
          <w:rFonts w:ascii="Arial" w:hAnsi="Arial" w:cs="Arial"/>
          <w:b w:val="0"/>
          <w:bCs/>
          <w:caps w:val="0"/>
          <w:sz w:val="20"/>
          <w:szCs w:val="18"/>
        </w:rPr>
        <w:t xml:space="preserve">EAML </w:t>
      </w:r>
      <w:r w:rsidRPr="0055479C">
        <w:rPr>
          <w:rFonts w:ascii="Arial" w:hAnsi="Arial" w:cs="Arial"/>
          <w:b w:val="0"/>
          <w:bCs/>
          <w:caps w:val="0"/>
          <w:sz w:val="20"/>
          <w:szCs w:val="18"/>
        </w:rPr>
        <w:t>based on morphology alone to guide timely management and prognosis.</w:t>
      </w:r>
    </w:p>
    <w:p w14:paraId="49D6EC82" w14:textId="77777777" w:rsidR="00790ADA" w:rsidRPr="00FB3A86" w:rsidRDefault="00790ADA" w:rsidP="00441B6F">
      <w:pPr>
        <w:pStyle w:val="Body"/>
        <w:spacing w:after="0"/>
        <w:rPr>
          <w:rFonts w:ascii="Arial" w:hAnsi="Arial" w:cs="Arial"/>
        </w:rPr>
      </w:pPr>
    </w:p>
    <w:p w14:paraId="553C0932" w14:textId="77777777" w:rsidR="00B01FCD" w:rsidRDefault="00B01FCD" w:rsidP="00441B6F">
      <w:pPr>
        <w:pStyle w:val="AcknHead"/>
        <w:spacing w:after="0"/>
        <w:jc w:val="both"/>
        <w:rPr>
          <w:rFonts w:ascii="Arial" w:hAnsi="Arial" w:cs="Arial"/>
        </w:rPr>
      </w:pPr>
      <w:r w:rsidRPr="00FB3A86">
        <w:rPr>
          <w:rFonts w:ascii="Arial" w:hAnsi="Arial" w:cs="Arial"/>
        </w:rPr>
        <w:lastRenderedPageBreak/>
        <w:t>Acknowledg</w:t>
      </w:r>
      <w:r w:rsidR="003E2904">
        <w:rPr>
          <w:rFonts w:ascii="Arial" w:hAnsi="Arial" w:cs="Arial"/>
        </w:rPr>
        <w:t>E</w:t>
      </w:r>
      <w:r w:rsidRPr="00FB3A86">
        <w:rPr>
          <w:rFonts w:ascii="Arial" w:hAnsi="Arial" w:cs="Arial"/>
        </w:rPr>
        <w:t>ments</w:t>
      </w:r>
    </w:p>
    <w:p w14:paraId="7B39B86C" w14:textId="77777777" w:rsidR="00790ADA" w:rsidRPr="00FB3A86" w:rsidRDefault="00790ADA" w:rsidP="00441B6F">
      <w:pPr>
        <w:pStyle w:val="AcknHead"/>
        <w:spacing w:after="0"/>
        <w:jc w:val="both"/>
        <w:rPr>
          <w:rFonts w:ascii="Arial" w:hAnsi="Arial" w:cs="Arial"/>
        </w:rPr>
      </w:pPr>
    </w:p>
    <w:p w14:paraId="4BE2ACE7" w14:textId="77777777" w:rsidR="00057112" w:rsidRDefault="00057112" w:rsidP="00441B6F">
      <w:pPr>
        <w:pStyle w:val="ReferHead"/>
        <w:spacing w:after="0"/>
        <w:jc w:val="both"/>
        <w:rPr>
          <w:rFonts w:ascii="Arial" w:hAnsi="Arial" w:cs="Arial"/>
          <w:b w:val="0"/>
          <w:caps w:val="0"/>
          <w:sz w:val="20"/>
        </w:rPr>
      </w:pPr>
      <w:r w:rsidRPr="00057112">
        <w:rPr>
          <w:rFonts w:ascii="Arial" w:hAnsi="Arial" w:cs="Arial"/>
          <w:b w:val="0"/>
          <w:caps w:val="0"/>
          <w:sz w:val="20"/>
        </w:rPr>
        <w:t>None.</w:t>
      </w:r>
    </w:p>
    <w:p w14:paraId="4A460D46" w14:textId="77777777" w:rsidR="00057112" w:rsidRDefault="00057112" w:rsidP="00441B6F">
      <w:pPr>
        <w:pStyle w:val="ReferHead"/>
        <w:spacing w:after="0"/>
        <w:jc w:val="both"/>
        <w:rPr>
          <w:rFonts w:ascii="Arial" w:hAnsi="Arial" w:cs="Arial"/>
          <w:b w:val="0"/>
          <w:caps w:val="0"/>
          <w:sz w:val="20"/>
        </w:rPr>
      </w:pPr>
    </w:p>
    <w:p w14:paraId="4AC97FD7" w14:textId="34E1820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2F3A28CF" w14:textId="77777777" w:rsidR="00860000" w:rsidRPr="00786D36" w:rsidRDefault="00860000" w:rsidP="00441B6F">
      <w:pPr>
        <w:pStyle w:val="ReferHead"/>
        <w:spacing w:after="0"/>
        <w:jc w:val="both"/>
        <w:rPr>
          <w:rFonts w:ascii="Arial" w:hAnsi="Arial" w:cs="Arial"/>
        </w:rPr>
      </w:pPr>
    </w:p>
    <w:p w14:paraId="653C4E89" w14:textId="1B0D3452" w:rsidR="00860000" w:rsidRDefault="007627B1" w:rsidP="00441B6F">
      <w:pPr>
        <w:pStyle w:val="ReferHead"/>
        <w:spacing w:after="0"/>
        <w:jc w:val="both"/>
        <w:rPr>
          <w:rFonts w:ascii="Arial" w:hAnsi="Arial" w:cs="Arial"/>
          <w:b w:val="0"/>
          <w:caps w:val="0"/>
          <w:sz w:val="20"/>
        </w:rPr>
      </w:pPr>
      <w:r w:rsidRPr="007627B1">
        <w:rPr>
          <w:rFonts w:ascii="Arial" w:hAnsi="Arial" w:cs="Arial"/>
          <w:b w:val="0"/>
          <w:caps w:val="0"/>
          <w:sz w:val="20"/>
        </w:rPr>
        <w:t>The authors declare no conflicts of interest.</w:t>
      </w:r>
    </w:p>
    <w:p w14:paraId="559DC698" w14:textId="77777777" w:rsidR="00371FB6" w:rsidRDefault="00371FB6" w:rsidP="00441B6F">
      <w:pPr>
        <w:pStyle w:val="ReferHead"/>
        <w:spacing w:after="0"/>
        <w:jc w:val="both"/>
        <w:rPr>
          <w:rFonts w:ascii="Arial" w:hAnsi="Arial" w:cs="Arial"/>
          <w:b w:val="0"/>
          <w:caps w:val="0"/>
          <w:sz w:val="20"/>
        </w:rPr>
      </w:pPr>
    </w:p>
    <w:p w14:paraId="20D8937B"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2F9E9C7E" w14:textId="77777777" w:rsidR="00371FB6" w:rsidRPr="00371FB6" w:rsidRDefault="00371FB6" w:rsidP="00441B6F">
      <w:pPr>
        <w:pStyle w:val="ReferHead"/>
        <w:spacing w:after="0"/>
        <w:jc w:val="both"/>
        <w:rPr>
          <w:rFonts w:ascii="Arial" w:hAnsi="Arial" w:cs="Arial"/>
          <w:bCs/>
        </w:rPr>
      </w:pPr>
    </w:p>
    <w:p w14:paraId="72E65A33" w14:textId="4ABF063E" w:rsidR="00371FB6" w:rsidRPr="007627B1" w:rsidRDefault="007627B1" w:rsidP="00441B6F">
      <w:pPr>
        <w:pStyle w:val="ReferHead"/>
        <w:spacing w:after="0"/>
        <w:jc w:val="both"/>
        <w:rPr>
          <w:rFonts w:ascii="Arial" w:hAnsi="Arial" w:cs="Arial"/>
          <w:b w:val="0"/>
          <w:caps w:val="0"/>
          <w:sz w:val="20"/>
        </w:rPr>
      </w:pPr>
      <w:r w:rsidRPr="007627B1">
        <w:rPr>
          <w:rFonts w:ascii="Arial" w:hAnsi="Arial" w:cs="Arial"/>
          <w:b w:val="0"/>
          <w:caps w:val="0"/>
          <w:sz w:val="20"/>
        </w:rPr>
        <w:t xml:space="preserve">All authors contributed equally to the diagnosis, clinical management, literature review, and </w:t>
      </w:r>
      <w:r>
        <w:rPr>
          <w:rFonts w:ascii="Arial" w:hAnsi="Arial" w:cs="Arial"/>
          <w:b w:val="0"/>
          <w:caps w:val="0"/>
          <w:sz w:val="20"/>
        </w:rPr>
        <w:t xml:space="preserve">final </w:t>
      </w:r>
      <w:r w:rsidRPr="007627B1">
        <w:rPr>
          <w:rFonts w:ascii="Arial" w:hAnsi="Arial" w:cs="Arial"/>
          <w:b w:val="0"/>
          <w:caps w:val="0"/>
          <w:sz w:val="20"/>
        </w:rPr>
        <w:t>manuscript preparation.</w:t>
      </w:r>
    </w:p>
    <w:p w14:paraId="0A1F3ADC" w14:textId="77777777" w:rsidR="002B685A" w:rsidRDefault="002B685A" w:rsidP="00441B6F">
      <w:pPr>
        <w:pStyle w:val="ReferHead"/>
        <w:spacing w:after="0"/>
        <w:jc w:val="both"/>
        <w:rPr>
          <w:rFonts w:ascii="Arial" w:hAnsi="Arial" w:cs="Arial"/>
          <w:b w:val="0"/>
          <w:caps w:val="0"/>
          <w:sz w:val="20"/>
        </w:rPr>
      </w:pPr>
    </w:p>
    <w:p w14:paraId="6B21C5CA" w14:textId="618BEDF3"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9ADB53F" w14:textId="77777777" w:rsidR="002B685A" w:rsidRPr="002B685A" w:rsidRDefault="002B685A" w:rsidP="00441B6F">
      <w:pPr>
        <w:pStyle w:val="ReferHead"/>
        <w:spacing w:after="0"/>
        <w:jc w:val="both"/>
        <w:rPr>
          <w:rFonts w:ascii="Arial" w:hAnsi="Arial" w:cs="Arial"/>
          <w:bCs/>
        </w:rPr>
      </w:pPr>
    </w:p>
    <w:p w14:paraId="5C9B57D0" w14:textId="5484D2E4" w:rsidR="007627B1" w:rsidRPr="007627B1" w:rsidRDefault="007627B1" w:rsidP="007627B1">
      <w:pPr>
        <w:pStyle w:val="ReferHead"/>
        <w:spacing w:after="0"/>
        <w:jc w:val="both"/>
        <w:rPr>
          <w:rFonts w:ascii="Arial" w:hAnsi="Arial" w:cs="Arial"/>
          <w:b w:val="0"/>
          <w:bCs/>
          <w:sz w:val="20"/>
          <w:szCs w:val="18"/>
          <w:lang w:val="en-IN"/>
        </w:rPr>
      </w:pPr>
      <w:r w:rsidRPr="007627B1">
        <w:rPr>
          <w:rFonts w:ascii="Arial" w:hAnsi="Arial" w:cs="Arial"/>
          <w:b w:val="0"/>
          <w:bCs/>
          <w:caps w:val="0"/>
          <w:sz w:val="20"/>
          <w:szCs w:val="18"/>
          <w:lang w:val="en-IN"/>
        </w:rPr>
        <w:t>Informed written consent was obtained from all patients for the publication of their clinical details and images.</w:t>
      </w:r>
    </w:p>
    <w:p w14:paraId="0C6CFB79" w14:textId="77777777" w:rsidR="005C784C" w:rsidRDefault="005C784C" w:rsidP="00441B6F">
      <w:pPr>
        <w:pStyle w:val="ReferHead"/>
        <w:spacing w:after="0"/>
        <w:jc w:val="both"/>
        <w:rPr>
          <w:rFonts w:ascii="Arial" w:hAnsi="Arial" w:cs="Arial"/>
          <w:b w:val="0"/>
          <w:caps w:val="0"/>
          <w:sz w:val="20"/>
        </w:rPr>
      </w:pPr>
    </w:p>
    <w:p w14:paraId="02935120" w14:textId="5A8F980A" w:rsidR="009968DD" w:rsidRDefault="009968DD" w:rsidP="00441B6F">
      <w:pPr>
        <w:pStyle w:val="ReferHead"/>
        <w:spacing w:after="0"/>
        <w:jc w:val="both"/>
        <w:rPr>
          <w:rFonts w:ascii="Arial" w:hAnsi="Arial" w:cs="Arial"/>
          <w:b w:val="0"/>
          <w:caps w:val="0"/>
          <w:sz w:val="20"/>
        </w:rPr>
      </w:pPr>
    </w:p>
    <w:p w14:paraId="51C89D29" w14:textId="35FA7A99" w:rsidR="009968DD" w:rsidRDefault="009968DD" w:rsidP="00441B6F">
      <w:pPr>
        <w:pStyle w:val="ReferHead"/>
        <w:spacing w:after="0"/>
        <w:jc w:val="both"/>
        <w:rPr>
          <w:rFonts w:ascii="Arial" w:hAnsi="Arial" w:cs="Arial"/>
          <w:b w:val="0"/>
          <w:caps w:val="0"/>
          <w:sz w:val="20"/>
        </w:rPr>
      </w:pPr>
    </w:p>
    <w:p w14:paraId="653DFF0B" w14:textId="4F55D356" w:rsidR="009968DD" w:rsidRDefault="009968DD" w:rsidP="00441B6F">
      <w:pPr>
        <w:pStyle w:val="ReferHead"/>
        <w:spacing w:after="0"/>
        <w:jc w:val="both"/>
        <w:rPr>
          <w:rFonts w:ascii="Arial" w:hAnsi="Arial" w:cs="Arial"/>
          <w:b w:val="0"/>
          <w:caps w:val="0"/>
          <w:sz w:val="20"/>
        </w:rPr>
      </w:pPr>
    </w:p>
    <w:p w14:paraId="2A9961FC" w14:textId="1E52D256" w:rsidR="009968DD" w:rsidRDefault="009968DD" w:rsidP="00441B6F">
      <w:pPr>
        <w:pStyle w:val="ReferHead"/>
        <w:spacing w:after="0"/>
        <w:jc w:val="both"/>
        <w:rPr>
          <w:rFonts w:ascii="Arial" w:hAnsi="Arial" w:cs="Arial"/>
          <w:b w:val="0"/>
          <w:caps w:val="0"/>
          <w:sz w:val="20"/>
        </w:rPr>
      </w:pPr>
    </w:p>
    <w:p w14:paraId="6A5BE882" w14:textId="6030F448" w:rsidR="009968DD" w:rsidRDefault="009968DD" w:rsidP="00441B6F">
      <w:pPr>
        <w:pStyle w:val="ReferHead"/>
        <w:spacing w:after="0"/>
        <w:jc w:val="both"/>
        <w:rPr>
          <w:rFonts w:ascii="Arial" w:hAnsi="Arial" w:cs="Arial"/>
          <w:b w:val="0"/>
          <w:caps w:val="0"/>
          <w:sz w:val="20"/>
        </w:rPr>
      </w:pPr>
    </w:p>
    <w:p w14:paraId="51184B4B" w14:textId="77777777" w:rsidR="009968DD" w:rsidRDefault="009968DD" w:rsidP="00441B6F">
      <w:pPr>
        <w:pStyle w:val="ReferHead"/>
        <w:spacing w:after="0"/>
        <w:jc w:val="both"/>
        <w:rPr>
          <w:rFonts w:ascii="Arial" w:hAnsi="Arial" w:cs="Arial"/>
          <w:b w:val="0"/>
          <w:caps w:val="0"/>
          <w:sz w:val="20"/>
        </w:rPr>
      </w:pPr>
    </w:p>
    <w:p w14:paraId="5339E07E" w14:textId="77777777" w:rsidR="009968DD" w:rsidRPr="009968DD" w:rsidRDefault="009968DD" w:rsidP="009968DD">
      <w:pPr>
        <w:spacing w:after="200" w:line="276" w:lineRule="auto"/>
        <w:rPr>
          <w:rFonts w:ascii="Calibri" w:eastAsia="Calibri" w:hAnsi="Calibri"/>
          <w:kern w:val="2"/>
          <w:sz w:val="22"/>
          <w:szCs w:val="22"/>
          <w:highlight w:val="yellow"/>
        </w:rPr>
      </w:pPr>
      <w:bookmarkStart w:id="2" w:name="_Hlk197682619"/>
      <w:bookmarkStart w:id="3" w:name="_Hlk180402183"/>
      <w:bookmarkStart w:id="4" w:name="_Hlk183680988"/>
      <w:r w:rsidRPr="009968DD">
        <w:rPr>
          <w:rFonts w:ascii="Calibri" w:eastAsia="Calibri" w:hAnsi="Calibri"/>
          <w:kern w:val="2"/>
          <w:sz w:val="22"/>
          <w:szCs w:val="22"/>
          <w:highlight w:val="yellow"/>
        </w:rPr>
        <w:t>Disclaimer (Artificial intelligence)</w:t>
      </w:r>
    </w:p>
    <w:p w14:paraId="6E6626ED" w14:textId="77777777" w:rsidR="009968DD" w:rsidRPr="009968DD" w:rsidRDefault="009968DD" w:rsidP="009968DD">
      <w:pPr>
        <w:spacing w:after="200" w:line="276" w:lineRule="auto"/>
        <w:rPr>
          <w:rFonts w:ascii="Calibri" w:eastAsia="Calibri" w:hAnsi="Calibri"/>
          <w:kern w:val="2"/>
          <w:sz w:val="22"/>
          <w:szCs w:val="22"/>
          <w:highlight w:val="yellow"/>
        </w:rPr>
      </w:pPr>
      <w:r w:rsidRPr="009968DD">
        <w:rPr>
          <w:rFonts w:ascii="Calibri" w:eastAsia="Calibri" w:hAnsi="Calibri"/>
          <w:kern w:val="2"/>
          <w:sz w:val="22"/>
          <w:szCs w:val="22"/>
          <w:highlight w:val="yellow"/>
        </w:rPr>
        <w:t xml:space="preserve">Option 1: </w:t>
      </w:r>
    </w:p>
    <w:p w14:paraId="5FF0342D" w14:textId="77777777" w:rsidR="009968DD" w:rsidRPr="009968DD" w:rsidRDefault="009968DD" w:rsidP="009968DD">
      <w:pPr>
        <w:spacing w:after="200" w:line="276" w:lineRule="auto"/>
        <w:rPr>
          <w:rFonts w:ascii="Calibri" w:eastAsia="Calibri" w:hAnsi="Calibri"/>
          <w:kern w:val="2"/>
          <w:sz w:val="22"/>
          <w:szCs w:val="22"/>
          <w:highlight w:val="yellow"/>
        </w:rPr>
      </w:pPr>
      <w:r w:rsidRPr="009968DD">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14:paraId="35E0B6D4" w14:textId="77777777" w:rsidR="00B370AA" w:rsidRDefault="00B370AA" w:rsidP="00441B6F">
      <w:pPr>
        <w:pStyle w:val="ReferHead"/>
        <w:spacing w:after="0"/>
        <w:jc w:val="both"/>
        <w:rPr>
          <w:rFonts w:ascii="Arial" w:hAnsi="Arial" w:cs="Arial"/>
          <w:b w:val="0"/>
          <w:caps w:val="0"/>
          <w:sz w:val="20"/>
        </w:rPr>
      </w:pPr>
    </w:p>
    <w:p w14:paraId="6B6845D7" w14:textId="1BFA1E37" w:rsidR="00CD6856" w:rsidRDefault="00CD6856" w:rsidP="00441B6F">
      <w:pPr>
        <w:pStyle w:val="ReferHead"/>
        <w:spacing w:after="0"/>
        <w:jc w:val="both"/>
        <w:rPr>
          <w:rFonts w:ascii="Arial" w:hAnsi="Arial" w:cs="Arial"/>
          <w:b w:val="0"/>
          <w:caps w:val="0"/>
          <w:sz w:val="20"/>
        </w:rPr>
      </w:pPr>
    </w:p>
    <w:p w14:paraId="56985FE1" w14:textId="60150F99"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14F7B00A"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Park JH, Lee C, Suh JH, Kim G, Song B, Moon KC. Renal epithelioid angiomyolipoma: histopathologic review, immunohistochemical evaluation and prognostic significance. </w:t>
      </w:r>
      <w:proofErr w:type="spellStart"/>
      <w:r w:rsidRPr="007627B1">
        <w:rPr>
          <w:rFonts w:ascii="Arial" w:hAnsi="Arial" w:cs="Arial"/>
          <w:color w:val="1B1C1D"/>
          <w:lang w:eastAsia="en-GB"/>
        </w:rPr>
        <w:t>Pathol</w:t>
      </w:r>
      <w:proofErr w:type="spellEnd"/>
      <w:r w:rsidRPr="007627B1">
        <w:rPr>
          <w:rFonts w:ascii="Arial" w:hAnsi="Arial" w:cs="Arial"/>
          <w:color w:val="1B1C1D"/>
          <w:lang w:eastAsia="en-GB"/>
        </w:rPr>
        <w:t xml:space="preserve"> Int. 2016;66(10):571-577.</w:t>
      </w:r>
    </w:p>
    <w:p w14:paraId="7D2927AD"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Flum AS, Hamoui N, Said MA, et al. An update on the diagnosis and management of renal angiomyolipoma. J Urol. 2015;195(3):834-846.</w:t>
      </w:r>
    </w:p>
    <w:p w14:paraId="2EE412F5"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Guo B, Song H, Yue J, Li G. Malignant renal epithelioid angiomyolipoma: a case report and review of the literature. Oncol Lett. 2016;11(1):95-98.</w:t>
      </w:r>
    </w:p>
    <w:p w14:paraId="7EB80543"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Li H, Zhang X, Zhao Q, Wang J, Yang X, Huang S. Renal epithelioid angiomyolipoma: a case report. Oncol Lett. 2023;26(3):1-8.</w:t>
      </w:r>
    </w:p>
    <w:p w14:paraId="74AEC762"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Tsai HY, Kao Y, Chuang CK, Lee KH. Huge retroperitoneal epithelioid angiomyolipoma: a case report. </w:t>
      </w:r>
      <w:proofErr w:type="spellStart"/>
      <w:r w:rsidRPr="007627B1">
        <w:rPr>
          <w:rFonts w:ascii="Arial" w:hAnsi="Arial" w:cs="Arial"/>
          <w:color w:val="1B1C1D"/>
          <w:lang w:eastAsia="en-GB"/>
        </w:rPr>
        <w:t>Urol</w:t>
      </w:r>
      <w:proofErr w:type="spellEnd"/>
      <w:r w:rsidRPr="007627B1">
        <w:rPr>
          <w:rFonts w:ascii="Arial" w:hAnsi="Arial" w:cs="Arial"/>
          <w:color w:val="1B1C1D"/>
          <w:lang w:eastAsia="en-GB"/>
        </w:rPr>
        <w:t xml:space="preserve"> Case Rep. </w:t>
      </w:r>
      <w:proofErr w:type="gramStart"/>
      <w:r w:rsidRPr="007627B1">
        <w:rPr>
          <w:rFonts w:ascii="Arial" w:hAnsi="Arial" w:cs="Arial"/>
          <w:color w:val="1B1C1D"/>
          <w:lang w:eastAsia="en-GB"/>
        </w:rPr>
        <w:t>2017;17:10</w:t>
      </w:r>
      <w:proofErr w:type="gramEnd"/>
      <w:r w:rsidRPr="007627B1">
        <w:rPr>
          <w:rFonts w:ascii="Arial" w:hAnsi="Arial" w:cs="Arial"/>
          <w:color w:val="1B1C1D"/>
          <w:lang w:eastAsia="en-GB"/>
        </w:rPr>
        <w:t>-11.</w:t>
      </w:r>
    </w:p>
    <w:p w14:paraId="7023F81B"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Zhan R, Li YQ, Chen CY, Hu HY, Zhang C. Primary kidney malignant epithelioid angiomyolipoma: two cases report and review of literature. Medicine (Baltimore). 2018;97(32</w:t>
      </w:r>
      <w:proofErr w:type="gramStart"/>
      <w:r w:rsidRPr="007627B1">
        <w:rPr>
          <w:rFonts w:ascii="Arial" w:hAnsi="Arial" w:cs="Arial"/>
          <w:color w:val="1B1C1D"/>
          <w:lang w:eastAsia="en-GB"/>
        </w:rPr>
        <w:t>):e</w:t>
      </w:r>
      <w:proofErr w:type="gramEnd"/>
      <w:r w:rsidRPr="007627B1">
        <w:rPr>
          <w:rFonts w:ascii="Arial" w:hAnsi="Arial" w:cs="Arial"/>
          <w:color w:val="1B1C1D"/>
          <w:lang w:eastAsia="en-GB"/>
        </w:rPr>
        <w:t>11805.</w:t>
      </w:r>
    </w:p>
    <w:p w14:paraId="2EF2073D"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Nese N, Martignoni G, Fletcher CD, et al. Pure epithelioid </w:t>
      </w:r>
      <w:proofErr w:type="spellStart"/>
      <w:r w:rsidRPr="007627B1">
        <w:rPr>
          <w:rFonts w:ascii="Arial" w:hAnsi="Arial" w:cs="Arial"/>
          <w:color w:val="1B1C1D"/>
          <w:lang w:eastAsia="en-GB"/>
        </w:rPr>
        <w:t>PEComas</w:t>
      </w:r>
      <w:proofErr w:type="spellEnd"/>
      <w:r w:rsidRPr="007627B1">
        <w:rPr>
          <w:rFonts w:ascii="Arial" w:hAnsi="Arial" w:cs="Arial"/>
          <w:color w:val="1B1C1D"/>
          <w:lang w:eastAsia="en-GB"/>
        </w:rPr>
        <w:t xml:space="preserve"> (so-called epithelioid angiomyolipoma) of the kidney: a clinicopathologic study of 41 cases: detailed assessment of morphology and risk stratification. Am J Surg </w:t>
      </w:r>
      <w:proofErr w:type="spellStart"/>
      <w:r w:rsidRPr="007627B1">
        <w:rPr>
          <w:rFonts w:ascii="Arial" w:hAnsi="Arial" w:cs="Arial"/>
          <w:color w:val="1B1C1D"/>
          <w:lang w:eastAsia="en-GB"/>
        </w:rPr>
        <w:t>Pathol</w:t>
      </w:r>
      <w:proofErr w:type="spellEnd"/>
      <w:r w:rsidRPr="007627B1">
        <w:rPr>
          <w:rFonts w:ascii="Arial" w:hAnsi="Arial" w:cs="Arial"/>
          <w:color w:val="1B1C1D"/>
          <w:lang w:eastAsia="en-GB"/>
        </w:rPr>
        <w:t>. 2011;35(2):161-176.</w:t>
      </w:r>
    </w:p>
    <w:p w14:paraId="160C8A80"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Mai KT, Perkins DG, Collins JP. Epithelioid cell variant of renal angiomyolipoma. Histopathology. 1996;28(3):277-280.</w:t>
      </w:r>
    </w:p>
    <w:p w14:paraId="7A2A1415"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Tayal J, Doval DC, Kamboj M, Suryavanshi M. Case report of </w:t>
      </w:r>
      <w:proofErr w:type="spellStart"/>
      <w:r w:rsidRPr="007627B1">
        <w:rPr>
          <w:rFonts w:ascii="Arial" w:hAnsi="Arial" w:cs="Arial"/>
          <w:color w:val="1B1C1D"/>
          <w:lang w:eastAsia="en-GB"/>
        </w:rPr>
        <w:t>everolimus</w:t>
      </w:r>
      <w:proofErr w:type="spellEnd"/>
      <w:r w:rsidRPr="007627B1">
        <w:rPr>
          <w:rFonts w:ascii="Arial" w:hAnsi="Arial" w:cs="Arial"/>
          <w:color w:val="1B1C1D"/>
          <w:lang w:eastAsia="en-GB"/>
        </w:rPr>
        <w:t>-induced sustained partial response in metastatic renal epithelioid angiomyolipoma. Turk J Urol. 2019;45(Suppl 1</w:t>
      </w:r>
      <w:proofErr w:type="gramStart"/>
      <w:r w:rsidRPr="007627B1">
        <w:rPr>
          <w:rFonts w:ascii="Arial" w:hAnsi="Arial" w:cs="Arial"/>
          <w:color w:val="1B1C1D"/>
          <w:lang w:eastAsia="en-GB"/>
        </w:rPr>
        <w:t>):S</w:t>
      </w:r>
      <w:proofErr w:type="gramEnd"/>
      <w:r w:rsidRPr="007627B1">
        <w:rPr>
          <w:rFonts w:ascii="Arial" w:hAnsi="Arial" w:cs="Arial"/>
          <w:color w:val="1B1C1D"/>
          <w:lang w:eastAsia="en-GB"/>
        </w:rPr>
        <w:t>139-S142.</w:t>
      </w:r>
    </w:p>
    <w:p w14:paraId="3B5163B0"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Sun DZ, Campbell SC. Atypical epithelioid angiomyolipoma: a rare variant with malignant potential. Urology. </w:t>
      </w:r>
      <w:proofErr w:type="gramStart"/>
      <w:r w:rsidRPr="007627B1">
        <w:rPr>
          <w:rFonts w:ascii="Arial" w:hAnsi="Arial" w:cs="Arial"/>
          <w:color w:val="1B1C1D"/>
          <w:lang w:eastAsia="en-GB"/>
        </w:rPr>
        <w:t>2018;112:20</w:t>
      </w:r>
      <w:proofErr w:type="gramEnd"/>
      <w:r w:rsidRPr="007627B1">
        <w:rPr>
          <w:rFonts w:ascii="Arial" w:hAnsi="Arial" w:cs="Arial"/>
          <w:color w:val="1B1C1D"/>
          <w:lang w:eastAsia="en-GB"/>
        </w:rPr>
        <w:t>-22.</w:t>
      </w:r>
    </w:p>
    <w:p w14:paraId="3C6A2CBB"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lastRenderedPageBreak/>
        <w:t>Saoud R, Kristof TW, Judge C, et al. Clinical and pathological features of renal epithelioid angiomyolipoma (</w:t>
      </w:r>
      <w:proofErr w:type="spellStart"/>
      <w:r w:rsidRPr="007627B1">
        <w:rPr>
          <w:rFonts w:ascii="Arial" w:hAnsi="Arial" w:cs="Arial"/>
          <w:color w:val="1B1C1D"/>
          <w:lang w:eastAsia="en-GB"/>
        </w:rPr>
        <w:t>PEComa</w:t>
      </w:r>
      <w:proofErr w:type="spellEnd"/>
      <w:r w:rsidRPr="007627B1">
        <w:rPr>
          <w:rFonts w:ascii="Arial" w:hAnsi="Arial" w:cs="Arial"/>
          <w:color w:val="1B1C1D"/>
          <w:lang w:eastAsia="en-GB"/>
        </w:rPr>
        <w:t xml:space="preserve">): a single institution series. </w:t>
      </w:r>
      <w:proofErr w:type="spellStart"/>
      <w:r w:rsidRPr="007627B1">
        <w:rPr>
          <w:rFonts w:ascii="Arial" w:hAnsi="Arial" w:cs="Arial"/>
          <w:color w:val="1B1C1D"/>
          <w:lang w:eastAsia="en-GB"/>
        </w:rPr>
        <w:t>Urol</w:t>
      </w:r>
      <w:proofErr w:type="spellEnd"/>
      <w:r w:rsidRPr="007627B1">
        <w:rPr>
          <w:rFonts w:ascii="Arial" w:hAnsi="Arial" w:cs="Arial"/>
          <w:color w:val="1B1C1D"/>
          <w:lang w:eastAsia="en-GB"/>
        </w:rPr>
        <w:t xml:space="preserve"> Oncol. 2022;40(1):18-24.</w:t>
      </w:r>
    </w:p>
    <w:p w14:paraId="5042DAF3"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Mahajan D, Jain V, Agarwala S, Jana M, Ramteke PP. Renal epithelioid angiomyolipoma in children. J Kidney Cancer VHL. 2021;8(1):20-26.</w:t>
      </w:r>
    </w:p>
    <w:p w14:paraId="2FD66E07"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 xml:space="preserve">Sato K, Ueda Y, Tachibana H, et al. Malignant epithelioid angiomyolipoma of the kidney in a patient with tuberous sclerosis: an autopsy case report with p53 gene mutation analysis. </w:t>
      </w:r>
      <w:proofErr w:type="spellStart"/>
      <w:r w:rsidRPr="007627B1">
        <w:rPr>
          <w:rFonts w:ascii="Arial" w:hAnsi="Arial" w:cs="Arial"/>
          <w:color w:val="1B1C1D"/>
          <w:lang w:eastAsia="en-GB"/>
        </w:rPr>
        <w:t>Pathol</w:t>
      </w:r>
      <w:proofErr w:type="spellEnd"/>
      <w:r w:rsidRPr="007627B1">
        <w:rPr>
          <w:rFonts w:ascii="Arial" w:hAnsi="Arial" w:cs="Arial"/>
          <w:color w:val="1B1C1D"/>
          <w:lang w:eastAsia="en-GB"/>
        </w:rPr>
        <w:t xml:space="preserve"> Res </w:t>
      </w:r>
      <w:proofErr w:type="spellStart"/>
      <w:r w:rsidRPr="007627B1">
        <w:rPr>
          <w:rFonts w:ascii="Arial" w:hAnsi="Arial" w:cs="Arial"/>
          <w:color w:val="1B1C1D"/>
          <w:lang w:eastAsia="en-GB"/>
        </w:rPr>
        <w:t>Pract</w:t>
      </w:r>
      <w:proofErr w:type="spellEnd"/>
      <w:r w:rsidRPr="007627B1">
        <w:rPr>
          <w:rFonts w:ascii="Arial" w:hAnsi="Arial" w:cs="Arial"/>
          <w:color w:val="1B1C1D"/>
          <w:lang w:eastAsia="en-GB"/>
        </w:rPr>
        <w:t>. 2008;204(10):771-777.</w:t>
      </w:r>
    </w:p>
    <w:p w14:paraId="5047BC89"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proofErr w:type="spellStart"/>
      <w:r w:rsidRPr="007627B1">
        <w:rPr>
          <w:rFonts w:ascii="Arial" w:hAnsi="Arial" w:cs="Arial"/>
          <w:color w:val="1B1C1D"/>
          <w:lang w:eastAsia="en-GB"/>
        </w:rPr>
        <w:t>Brimo</w:t>
      </w:r>
      <w:proofErr w:type="spellEnd"/>
      <w:r w:rsidRPr="007627B1">
        <w:rPr>
          <w:rFonts w:ascii="Arial" w:hAnsi="Arial" w:cs="Arial"/>
          <w:color w:val="1B1C1D"/>
          <w:lang w:eastAsia="en-GB"/>
        </w:rPr>
        <w:t xml:space="preserve"> F, Guillot A, </w:t>
      </w:r>
      <w:proofErr w:type="spellStart"/>
      <w:r w:rsidRPr="007627B1">
        <w:rPr>
          <w:rFonts w:ascii="Arial" w:hAnsi="Arial" w:cs="Arial"/>
          <w:color w:val="1B1C1D"/>
          <w:lang w:eastAsia="en-GB"/>
        </w:rPr>
        <w:t>Camparo</w:t>
      </w:r>
      <w:proofErr w:type="spellEnd"/>
      <w:r w:rsidRPr="007627B1">
        <w:rPr>
          <w:rFonts w:ascii="Arial" w:hAnsi="Arial" w:cs="Arial"/>
          <w:color w:val="1B1C1D"/>
          <w:lang w:eastAsia="en-GB"/>
        </w:rPr>
        <w:t xml:space="preserve"> P, et al. Renal epithelioid angiomyolipoma with minimal fat: a series of 40 cases with outcome analysis. Am J Surg </w:t>
      </w:r>
      <w:proofErr w:type="spellStart"/>
      <w:r w:rsidRPr="007627B1">
        <w:rPr>
          <w:rFonts w:ascii="Arial" w:hAnsi="Arial" w:cs="Arial"/>
          <w:color w:val="1B1C1D"/>
          <w:lang w:eastAsia="en-GB"/>
        </w:rPr>
        <w:t>Pathol</w:t>
      </w:r>
      <w:proofErr w:type="spellEnd"/>
      <w:r w:rsidRPr="007627B1">
        <w:rPr>
          <w:rFonts w:ascii="Arial" w:hAnsi="Arial" w:cs="Arial"/>
          <w:color w:val="1B1C1D"/>
          <w:lang w:eastAsia="en-GB"/>
        </w:rPr>
        <w:t>. 2010;34(12):1726-1732.</w:t>
      </w:r>
    </w:p>
    <w:p w14:paraId="6B18C43C" w14:textId="77777777" w:rsidR="007627B1" w:rsidRPr="007627B1" w:rsidRDefault="007627B1" w:rsidP="007627B1">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Li Z, Zhang S, Liu B, et al. Clinicopathological characteristics and prognosis of renal epithelioid angiomyolipoma: a retrospective cohort study of 63 cases. World J Surg Oncol. 2022;20(1):402.</w:t>
      </w:r>
    </w:p>
    <w:p w14:paraId="5BC109BD" w14:textId="77777777" w:rsidR="00057112" w:rsidRDefault="007627B1" w:rsidP="00057112">
      <w:pPr>
        <w:numPr>
          <w:ilvl w:val="0"/>
          <w:numId w:val="32"/>
        </w:numPr>
        <w:spacing w:before="100" w:beforeAutospacing="1" w:after="120"/>
        <w:ind w:left="0"/>
        <w:rPr>
          <w:rFonts w:ascii="Arial" w:hAnsi="Arial" w:cs="Arial"/>
          <w:color w:val="1B1C1D"/>
          <w:lang w:eastAsia="en-GB"/>
        </w:rPr>
      </w:pPr>
      <w:r w:rsidRPr="007627B1">
        <w:rPr>
          <w:rFonts w:ascii="Arial" w:hAnsi="Arial" w:cs="Arial"/>
          <w:color w:val="1B1C1D"/>
          <w:lang w:eastAsia="en-GB"/>
        </w:rPr>
        <w:t>Zhou Y, Zhang Y, Qin B. Malignant renal epithelioid angiomyolipoma with metastasis to the abdominal cavity and liver: a case report and literature review. World J Clin Cases. 2023;11(11):2559-2567.</w:t>
      </w:r>
    </w:p>
    <w:p w14:paraId="7DF801B4" w14:textId="58D4189C" w:rsidR="00057112" w:rsidRPr="00057112" w:rsidRDefault="00057112" w:rsidP="00057112">
      <w:pPr>
        <w:spacing w:before="100" w:beforeAutospacing="1" w:after="120"/>
        <w:rPr>
          <w:rFonts w:ascii="Arial" w:hAnsi="Arial" w:cs="Arial"/>
          <w:color w:val="1B1C1D"/>
          <w:lang w:eastAsia="en-GB"/>
        </w:rPr>
      </w:pPr>
      <w:r w:rsidRPr="00057112">
        <w:rPr>
          <w:rFonts w:ascii="Arial" w:hAnsi="Arial" w:cs="Arial"/>
          <w:color w:val="1B1C1D"/>
          <w:bdr w:val="none" w:sz="0" w:space="0" w:color="auto" w:frame="1"/>
          <w:lang w:eastAsia="en-GB"/>
        </w:rPr>
        <w:t>Table 1: Clinical and Pathological Details of the Cases</w:t>
      </w:r>
    </w:p>
    <w:tbl>
      <w:tblPr>
        <w:tblStyle w:val="TableGrid"/>
        <w:tblW w:w="10278" w:type="dxa"/>
        <w:tblLook w:val="04A0" w:firstRow="1" w:lastRow="0" w:firstColumn="1" w:lastColumn="0" w:noHBand="0" w:noVBand="1"/>
      </w:tblPr>
      <w:tblGrid>
        <w:gridCol w:w="1439"/>
        <w:gridCol w:w="1457"/>
        <w:gridCol w:w="1461"/>
        <w:gridCol w:w="1492"/>
        <w:gridCol w:w="1677"/>
        <w:gridCol w:w="1523"/>
        <w:gridCol w:w="1229"/>
      </w:tblGrid>
      <w:tr w:rsidR="00057112" w:rsidRPr="00057112" w14:paraId="5812D969" w14:textId="77777777" w:rsidTr="00606AE9">
        <w:tc>
          <w:tcPr>
            <w:tcW w:w="1439" w:type="dxa"/>
            <w:vAlign w:val="center"/>
          </w:tcPr>
          <w:p w14:paraId="2E664CA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Patient</w:t>
            </w:r>
          </w:p>
        </w:tc>
        <w:tc>
          <w:tcPr>
            <w:tcW w:w="1457" w:type="dxa"/>
            <w:vAlign w:val="center"/>
          </w:tcPr>
          <w:p w14:paraId="2596883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Age/Sex</w:t>
            </w:r>
          </w:p>
        </w:tc>
        <w:tc>
          <w:tcPr>
            <w:tcW w:w="1461" w:type="dxa"/>
            <w:vAlign w:val="center"/>
          </w:tcPr>
          <w:p w14:paraId="1AF57E8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Location</w:t>
            </w:r>
          </w:p>
        </w:tc>
        <w:tc>
          <w:tcPr>
            <w:tcW w:w="1492" w:type="dxa"/>
            <w:vAlign w:val="center"/>
          </w:tcPr>
          <w:p w14:paraId="5702D56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Imaging Findings</w:t>
            </w:r>
          </w:p>
        </w:tc>
        <w:tc>
          <w:tcPr>
            <w:tcW w:w="1677" w:type="dxa"/>
            <w:vAlign w:val="center"/>
          </w:tcPr>
          <w:p w14:paraId="22C0E51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Histology (Morphology)</w:t>
            </w:r>
          </w:p>
        </w:tc>
        <w:tc>
          <w:tcPr>
            <w:tcW w:w="1523" w:type="dxa"/>
            <w:vAlign w:val="center"/>
          </w:tcPr>
          <w:p w14:paraId="5D22ABE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Surgery</w:t>
            </w:r>
          </w:p>
        </w:tc>
        <w:tc>
          <w:tcPr>
            <w:tcW w:w="0" w:type="auto"/>
            <w:vAlign w:val="center"/>
          </w:tcPr>
          <w:p w14:paraId="1629AE5D" w14:textId="77777777" w:rsidR="00057112" w:rsidRPr="00057112" w:rsidRDefault="00057112" w:rsidP="00606AE9">
            <w:pPr>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Outcome</w:t>
            </w:r>
          </w:p>
        </w:tc>
      </w:tr>
      <w:tr w:rsidR="00057112" w:rsidRPr="00057112" w14:paraId="0F3D9B08" w14:textId="77777777" w:rsidTr="00606AE9">
        <w:tc>
          <w:tcPr>
            <w:tcW w:w="1439" w:type="dxa"/>
            <w:vAlign w:val="center"/>
          </w:tcPr>
          <w:p w14:paraId="662B70C0"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Case 1</w:t>
            </w:r>
          </w:p>
        </w:tc>
        <w:tc>
          <w:tcPr>
            <w:tcW w:w="1457" w:type="dxa"/>
            <w:vAlign w:val="center"/>
          </w:tcPr>
          <w:p w14:paraId="2B916D43"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50/M</w:t>
            </w:r>
          </w:p>
        </w:tc>
        <w:tc>
          <w:tcPr>
            <w:tcW w:w="1461" w:type="dxa"/>
            <w:vAlign w:val="center"/>
          </w:tcPr>
          <w:p w14:paraId="05197251"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Right kidney</w:t>
            </w:r>
          </w:p>
        </w:tc>
        <w:tc>
          <w:tcPr>
            <w:tcW w:w="1492" w:type="dxa"/>
            <w:vAlign w:val="center"/>
          </w:tcPr>
          <w:p w14:paraId="3C435223"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Large, fat-poor mass (20×20 cm), raising suspicion for malignancy</w:t>
            </w:r>
          </w:p>
        </w:tc>
        <w:tc>
          <w:tcPr>
            <w:tcW w:w="1677" w:type="dxa"/>
            <w:vAlign w:val="center"/>
          </w:tcPr>
          <w:p w14:paraId="7DB2D1D7"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Predominantly Epithelioid + Fat + Vessels, with features concerning for aggressive behavior</w:t>
            </w:r>
          </w:p>
        </w:tc>
        <w:tc>
          <w:tcPr>
            <w:tcW w:w="1523" w:type="dxa"/>
            <w:vAlign w:val="center"/>
          </w:tcPr>
          <w:p w14:paraId="50293019"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Radical Nephrectomy</w:t>
            </w:r>
          </w:p>
        </w:tc>
        <w:tc>
          <w:tcPr>
            <w:tcW w:w="0" w:type="auto"/>
            <w:vAlign w:val="center"/>
          </w:tcPr>
          <w:p w14:paraId="572706D2" w14:textId="77777777" w:rsidR="00057112" w:rsidRPr="00057112" w:rsidRDefault="00057112" w:rsidP="00606AE9">
            <w:pPr>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No recurrence at 3 months</w:t>
            </w:r>
          </w:p>
        </w:tc>
      </w:tr>
      <w:tr w:rsidR="00057112" w:rsidRPr="00057112" w14:paraId="232C1302" w14:textId="77777777" w:rsidTr="00606AE9">
        <w:tc>
          <w:tcPr>
            <w:tcW w:w="1439" w:type="dxa"/>
            <w:vAlign w:val="center"/>
          </w:tcPr>
          <w:p w14:paraId="4971353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2</w:t>
            </w:r>
          </w:p>
        </w:tc>
        <w:tc>
          <w:tcPr>
            <w:tcW w:w="1457" w:type="dxa"/>
            <w:vAlign w:val="center"/>
          </w:tcPr>
          <w:p w14:paraId="1714028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60/F</w:t>
            </w:r>
          </w:p>
        </w:tc>
        <w:tc>
          <w:tcPr>
            <w:tcW w:w="1461" w:type="dxa"/>
            <w:vAlign w:val="center"/>
          </w:tcPr>
          <w:p w14:paraId="75B1FD0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Left kidney</w:t>
            </w:r>
          </w:p>
        </w:tc>
        <w:tc>
          <w:tcPr>
            <w:tcW w:w="1492" w:type="dxa"/>
            <w:vAlign w:val="center"/>
          </w:tcPr>
          <w:p w14:paraId="4845361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Enhancing mass (48×38 mm), evidence of pelvicalyceal invasion</w:t>
            </w:r>
          </w:p>
        </w:tc>
        <w:tc>
          <w:tcPr>
            <w:tcW w:w="1677" w:type="dxa"/>
            <w:vAlign w:val="center"/>
          </w:tcPr>
          <w:p w14:paraId="2239A31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Spindle + Epithelioid + Pleomorphism, consistent with aggressive EAML</w:t>
            </w:r>
          </w:p>
        </w:tc>
        <w:tc>
          <w:tcPr>
            <w:tcW w:w="1523" w:type="dxa"/>
            <w:vAlign w:val="center"/>
          </w:tcPr>
          <w:p w14:paraId="183392A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Partial Nephrectomy</w:t>
            </w:r>
          </w:p>
        </w:tc>
        <w:tc>
          <w:tcPr>
            <w:tcW w:w="0" w:type="auto"/>
            <w:vAlign w:val="center"/>
          </w:tcPr>
          <w:p w14:paraId="0D8E324B" w14:textId="77777777" w:rsidR="00057112" w:rsidRPr="00057112" w:rsidRDefault="00057112" w:rsidP="00606AE9">
            <w:pPr>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 recurrence</w:t>
            </w:r>
          </w:p>
        </w:tc>
      </w:tr>
      <w:tr w:rsidR="00057112" w:rsidRPr="00057112" w14:paraId="2657254D" w14:textId="77777777" w:rsidTr="00606AE9">
        <w:tc>
          <w:tcPr>
            <w:tcW w:w="1439" w:type="dxa"/>
            <w:vAlign w:val="center"/>
          </w:tcPr>
          <w:p w14:paraId="6CE1EA3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3</w:t>
            </w:r>
          </w:p>
        </w:tc>
        <w:tc>
          <w:tcPr>
            <w:tcW w:w="1457" w:type="dxa"/>
            <w:vAlign w:val="center"/>
          </w:tcPr>
          <w:p w14:paraId="31E282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70/M</w:t>
            </w:r>
          </w:p>
        </w:tc>
        <w:tc>
          <w:tcPr>
            <w:tcW w:w="1461" w:type="dxa"/>
            <w:vAlign w:val="center"/>
          </w:tcPr>
          <w:p w14:paraId="59B1047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Bilateral</w:t>
            </w:r>
          </w:p>
        </w:tc>
        <w:tc>
          <w:tcPr>
            <w:tcW w:w="1492" w:type="dxa"/>
            <w:vAlign w:val="center"/>
          </w:tcPr>
          <w:p w14:paraId="7705A77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Bilateral AMLs reported on outside imaging, large masses</w:t>
            </w:r>
          </w:p>
        </w:tc>
        <w:tc>
          <w:tcPr>
            <w:tcW w:w="1677" w:type="dxa"/>
            <w:vAlign w:val="center"/>
          </w:tcPr>
          <w:p w14:paraId="2EF676B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Epithelioid + Fat, confirming EAML with concern for malignant potential</w:t>
            </w:r>
          </w:p>
        </w:tc>
        <w:tc>
          <w:tcPr>
            <w:tcW w:w="1523" w:type="dxa"/>
            <w:vAlign w:val="center"/>
          </w:tcPr>
          <w:p w14:paraId="403444E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Left Nephrectomy</w:t>
            </w:r>
          </w:p>
        </w:tc>
        <w:tc>
          <w:tcPr>
            <w:tcW w:w="0" w:type="auto"/>
            <w:vAlign w:val="center"/>
          </w:tcPr>
          <w:p w14:paraId="3043711D" w14:textId="77777777" w:rsidR="00057112" w:rsidRPr="00057112" w:rsidRDefault="00057112" w:rsidP="00606AE9">
            <w:pPr>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Under ongoing evaluation</w:t>
            </w:r>
          </w:p>
        </w:tc>
      </w:tr>
    </w:tbl>
    <w:p w14:paraId="59E35997" w14:textId="77777777" w:rsidR="00057112" w:rsidRPr="00057112" w:rsidRDefault="00057112" w:rsidP="00057112">
      <w:pPr>
        <w:spacing w:before="100" w:beforeAutospacing="1"/>
        <w:rPr>
          <w:rFonts w:ascii="Arial" w:hAnsi="Arial" w:cs="Arial"/>
          <w:color w:val="1B1C1D"/>
          <w:bdr w:val="none" w:sz="0" w:space="0" w:color="auto" w:frame="1"/>
          <w:lang w:eastAsia="en-GB"/>
        </w:rPr>
      </w:pPr>
      <w:r w:rsidRPr="00057112">
        <w:rPr>
          <w:rFonts w:ascii="Arial" w:hAnsi="Arial" w:cs="Arial"/>
          <w:color w:val="1B1C1D"/>
          <w:bdr w:val="none" w:sz="0" w:space="0" w:color="auto" w:frame="1"/>
          <w:lang w:eastAsia="en-GB"/>
        </w:rPr>
        <w:t>Table 2: Summary of Literature Review on Epithelioid Angiomyolipoma (Highlighting Malignant Potential and Local Aggression)</w:t>
      </w:r>
    </w:p>
    <w:tbl>
      <w:tblPr>
        <w:tblStyle w:val="TableGrid"/>
        <w:tblW w:w="0" w:type="auto"/>
        <w:tblLayout w:type="fixed"/>
        <w:tblLook w:val="04A0" w:firstRow="1" w:lastRow="0" w:firstColumn="1" w:lastColumn="0" w:noHBand="0" w:noVBand="1"/>
      </w:tblPr>
      <w:tblGrid>
        <w:gridCol w:w="1129"/>
        <w:gridCol w:w="709"/>
        <w:gridCol w:w="1134"/>
        <w:gridCol w:w="992"/>
        <w:gridCol w:w="1276"/>
        <w:gridCol w:w="1134"/>
        <w:gridCol w:w="1134"/>
        <w:gridCol w:w="1508"/>
      </w:tblGrid>
      <w:tr w:rsidR="00057112" w:rsidRPr="00057112" w14:paraId="43C05AF4" w14:textId="77777777" w:rsidTr="00606AE9">
        <w:tc>
          <w:tcPr>
            <w:tcW w:w="1129" w:type="dxa"/>
            <w:vAlign w:val="center"/>
          </w:tcPr>
          <w:p w14:paraId="01F0E4E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Author details</w:t>
            </w:r>
          </w:p>
        </w:tc>
        <w:tc>
          <w:tcPr>
            <w:tcW w:w="709" w:type="dxa"/>
            <w:vAlign w:val="center"/>
          </w:tcPr>
          <w:p w14:paraId="118A2CB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Type of study</w:t>
            </w:r>
          </w:p>
        </w:tc>
        <w:tc>
          <w:tcPr>
            <w:tcW w:w="1134" w:type="dxa"/>
            <w:vAlign w:val="center"/>
          </w:tcPr>
          <w:p w14:paraId="7CE318B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Number of cases</w:t>
            </w:r>
          </w:p>
        </w:tc>
        <w:tc>
          <w:tcPr>
            <w:tcW w:w="992" w:type="dxa"/>
            <w:vAlign w:val="center"/>
          </w:tcPr>
          <w:p w14:paraId="2F371A7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Clinical features</w:t>
            </w:r>
          </w:p>
        </w:tc>
        <w:tc>
          <w:tcPr>
            <w:tcW w:w="1276" w:type="dxa"/>
            <w:vAlign w:val="center"/>
          </w:tcPr>
          <w:p w14:paraId="6FFF0AE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Radiology findings</w:t>
            </w:r>
          </w:p>
        </w:tc>
        <w:tc>
          <w:tcPr>
            <w:tcW w:w="1134" w:type="dxa"/>
            <w:vAlign w:val="center"/>
          </w:tcPr>
          <w:p w14:paraId="2651A77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Management</w:t>
            </w:r>
          </w:p>
        </w:tc>
        <w:tc>
          <w:tcPr>
            <w:tcW w:w="1134" w:type="dxa"/>
            <w:vAlign w:val="center"/>
          </w:tcPr>
          <w:p w14:paraId="25935E86"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Outcome</w:t>
            </w:r>
          </w:p>
        </w:tc>
        <w:tc>
          <w:tcPr>
            <w:tcW w:w="1508" w:type="dxa"/>
            <w:vAlign w:val="center"/>
          </w:tcPr>
          <w:p w14:paraId="219DF4A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bdr w:val="none" w:sz="0" w:space="0" w:color="auto" w:frame="1"/>
                <w:lang w:eastAsia="en-GB"/>
              </w:rPr>
              <w:t>Malignant/Aggressive Features Noted</w:t>
            </w:r>
          </w:p>
        </w:tc>
      </w:tr>
      <w:tr w:rsidR="00057112" w:rsidRPr="00057112" w14:paraId="684E0825" w14:textId="77777777" w:rsidTr="00606AE9">
        <w:tc>
          <w:tcPr>
            <w:tcW w:w="1129" w:type="dxa"/>
            <w:vAlign w:val="center"/>
          </w:tcPr>
          <w:p w14:paraId="456E0EC5"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val="en-GB" w:eastAsia="en-GB"/>
              </w:rPr>
              <w:t>Park JH et al. (2016) [1]</w:t>
            </w:r>
          </w:p>
        </w:tc>
        <w:tc>
          <w:tcPr>
            <w:tcW w:w="709" w:type="dxa"/>
            <w:vAlign w:val="center"/>
          </w:tcPr>
          <w:p w14:paraId="2A396406"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Retrospective review</w:t>
            </w:r>
          </w:p>
        </w:tc>
        <w:tc>
          <w:tcPr>
            <w:tcW w:w="1134" w:type="dxa"/>
            <w:vAlign w:val="center"/>
          </w:tcPr>
          <w:p w14:paraId="76BF0674"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41</w:t>
            </w:r>
          </w:p>
        </w:tc>
        <w:tc>
          <w:tcPr>
            <w:tcW w:w="992" w:type="dxa"/>
            <w:vAlign w:val="center"/>
          </w:tcPr>
          <w:p w14:paraId="19678CE6"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Flank pain, hematuria</w:t>
            </w:r>
          </w:p>
        </w:tc>
        <w:tc>
          <w:tcPr>
            <w:tcW w:w="1276" w:type="dxa"/>
            <w:vAlign w:val="center"/>
          </w:tcPr>
          <w:p w14:paraId="349517AA"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Fat-poor lesions mimicking RCC</w:t>
            </w:r>
          </w:p>
        </w:tc>
        <w:tc>
          <w:tcPr>
            <w:tcW w:w="1134" w:type="dxa"/>
            <w:vAlign w:val="center"/>
          </w:tcPr>
          <w:p w14:paraId="56B9B2DE"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Surgery</w:t>
            </w:r>
          </w:p>
        </w:tc>
        <w:tc>
          <w:tcPr>
            <w:tcW w:w="1134" w:type="dxa"/>
            <w:vAlign w:val="center"/>
          </w:tcPr>
          <w:p w14:paraId="2D0FCDE2"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Prognostic scoring attempted; malignant potential recognized</w:t>
            </w:r>
          </w:p>
        </w:tc>
        <w:tc>
          <w:tcPr>
            <w:tcW w:w="1508" w:type="dxa"/>
            <w:vAlign w:val="center"/>
          </w:tcPr>
          <w:p w14:paraId="525A2BC5" w14:textId="77777777" w:rsidR="00057112" w:rsidRPr="00057112" w:rsidRDefault="00057112" w:rsidP="00606AE9">
            <w:pPr>
              <w:spacing w:before="100" w:beforeAutospacing="1"/>
              <w:rPr>
                <w:rFonts w:ascii="Arial" w:eastAsia="Times New Roman" w:hAnsi="Arial" w:cs="Arial"/>
                <w:color w:val="1B1C1D"/>
                <w:sz w:val="20"/>
                <w:szCs w:val="20"/>
                <w:bdr w:val="none" w:sz="0" w:space="0" w:color="auto" w:frame="1"/>
                <w:lang w:eastAsia="en-GB"/>
              </w:rPr>
            </w:pPr>
            <w:r w:rsidRPr="00057112">
              <w:rPr>
                <w:rFonts w:ascii="Arial" w:eastAsia="Times New Roman" w:hAnsi="Arial" w:cs="Arial"/>
                <w:color w:val="1B1C1D"/>
                <w:sz w:val="20"/>
                <w:szCs w:val="20"/>
                <w:lang w:eastAsia="en-GB"/>
              </w:rPr>
              <w:t>High epithelioid component, necrosis, larger size correlated with increased risk of progression.</w:t>
            </w:r>
          </w:p>
        </w:tc>
      </w:tr>
      <w:tr w:rsidR="00057112" w:rsidRPr="00057112" w14:paraId="05572357" w14:textId="77777777" w:rsidTr="00606AE9">
        <w:tc>
          <w:tcPr>
            <w:tcW w:w="1129" w:type="dxa"/>
            <w:vAlign w:val="center"/>
          </w:tcPr>
          <w:p w14:paraId="149B5CA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Flum AS et al. (2015) [2]</w:t>
            </w:r>
          </w:p>
        </w:tc>
        <w:tc>
          <w:tcPr>
            <w:tcW w:w="709" w:type="dxa"/>
            <w:vAlign w:val="center"/>
          </w:tcPr>
          <w:p w14:paraId="273DDA5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Review article</w:t>
            </w:r>
          </w:p>
        </w:tc>
        <w:tc>
          <w:tcPr>
            <w:tcW w:w="1134" w:type="dxa"/>
            <w:vAlign w:val="center"/>
          </w:tcPr>
          <w:p w14:paraId="0AED2DF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w:t>
            </w:r>
          </w:p>
        </w:tc>
        <w:tc>
          <w:tcPr>
            <w:tcW w:w="992" w:type="dxa"/>
            <w:vAlign w:val="center"/>
          </w:tcPr>
          <w:p w14:paraId="480A379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w:t>
            </w:r>
          </w:p>
        </w:tc>
        <w:tc>
          <w:tcPr>
            <w:tcW w:w="1276" w:type="dxa"/>
            <w:vAlign w:val="center"/>
          </w:tcPr>
          <w:p w14:paraId="4B02D51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Fat-poor AMLs difficult to distinguish from RCC</w:t>
            </w:r>
          </w:p>
        </w:tc>
        <w:tc>
          <w:tcPr>
            <w:tcW w:w="1134" w:type="dxa"/>
            <w:vAlign w:val="center"/>
          </w:tcPr>
          <w:p w14:paraId="46B6F47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 mTOR inhibitors</w:t>
            </w:r>
          </w:p>
        </w:tc>
        <w:tc>
          <w:tcPr>
            <w:tcW w:w="1134" w:type="dxa"/>
            <w:vAlign w:val="center"/>
          </w:tcPr>
          <w:p w14:paraId="73CDF3F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Comprehensive diagnostic and managem</w:t>
            </w:r>
            <w:r w:rsidRPr="00057112">
              <w:rPr>
                <w:rFonts w:ascii="Arial" w:eastAsia="Times New Roman" w:hAnsi="Arial" w:cs="Arial"/>
                <w:color w:val="1B1C1D"/>
                <w:sz w:val="20"/>
                <w:szCs w:val="20"/>
                <w:lang w:eastAsia="en-GB"/>
              </w:rPr>
              <w:lastRenderedPageBreak/>
              <w:t>ent overview</w:t>
            </w:r>
          </w:p>
        </w:tc>
        <w:tc>
          <w:tcPr>
            <w:tcW w:w="1508" w:type="dxa"/>
            <w:vAlign w:val="center"/>
          </w:tcPr>
          <w:p w14:paraId="3F14358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lastRenderedPageBreak/>
              <w:t xml:space="preserve">Discusses aggressive clinical behavior, including local </w:t>
            </w:r>
            <w:r w:rsidRPr="00057112">
              <w:rPr>
                <w:rFonts w:ascii="Arial" w:eastAsia="Times New Roman" w:hAnsi="Arial" w:cs="Arial"/>
                <w:color w:val="1B1C1D"/>
                <w:sz w:val="20"/>
                <w:szCs w:val="20"/>
                <w:lang w:eastAsia="en-GB"/>
              </w:rPr>
              <w:lastRenderedPageBreak/>
              <w:t>invasion and the potential for distant metastasis.</w:t>
            </w:r>
          </w:p>
        </w:tc>
      </w:tr>
      <w:tr w:rsidR="00057112" w:rsidRPr="00057112" w14:paraId="07CF53C3" w14:textId="77777777" w:rsidTr="00606AE9">
        <w:tc>
          <w:tcPr>
            <w:tcW w:w="1129" w:type="dxa"/>
            <w:vAlign w:val="center"/>
          </w:tcPr>
          <w:p w14:paraId="7AF36E2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lastRenderedPageBreak/>
              <w:t>Guo B et al. (2016) [3]</w:t>
            </w:r>
          </w:p>
        </w:tc>
        <w:tc>
          <w:tcPr>
            <w:tcW w:w="709" w:type="dxa"/>
            <w:vAlign w:val="center"/>
          </w:tcPr>
          <w:p w14:paraId="67D6058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 + review</w:t>
            </w:r>
          </w:p>
        </w:tc>
        <w:tc>
          <w:tcPr>
            <w:tcW w:w="1134" w:type="dxa"/>
            <w:vAlign w:val="center"/>
          </w:tcPr>
          <w:p w14:paraId="189E851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146407D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Hematuria, abdominal mass</w:t>
            </w:r>
          </w:p>
        </w:tc>
        <w:tc>
          <w:tcPr>
            <w:tcW w:w="1276" w:type="dxa"/>
            <w:vAlign w:val="center"/>
          </w:tcPr>
          <w:p w14:paraId="5C8E7A9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Solid lesion without macroscopic fat</w:t>
            </w:r>
          </w:p>
        </w:tc>
        <w:tc>
          <w:tcPr>
            <w:tcW w:w="1134" w:type="dxa"/>
            <w:vAlign w:val="center"/>
          </w:tcPr>
          <w:p w14:paraId="6101830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Nephrectomy</w:t>
            </w:r>
          </w:p>
        </w:tc>
        <w:tc>
          <w:tcPr>
            <w:tcW w:w="1134" w:type="dxa"/>
            <w:vAlign w:val="center"/>
          </w:tcPr>
          <w:p w14:paraId="120CF97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Malignant behavior confirmed histologically</w:t>
            </w:r>
          </w:p>
        </w:tc>
        <w:tc>
          <w:tcPr>
            <w:tcW w:w="1508" w:type="dxa"/>
            <w:vAlign w:val="center"/>
          </w:tcPr>
          <w:p w14:paraId="16CB141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Direct extension into surrounding tissues, presence of distant metastasis, high mitotic index.</w:t>
            </w:r>
          </w:p>
        </w:tc>
      </w:tr>
      <w:tr w:rsidR="00057112" w:rsidRPr="00057112" w14:paraId="34291DEA" w14:textId="77777777" w:rsidTr="00606AE9">
        <w:tc>
          <w:tcPr>
            <w:tcW w:w="1129" w:type="dxa"/>
            <w:vAlign w:val="center"/>
          </w:tcPr>
          <w:p w14:paraId="37CD0E4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Li H et al. (2023) [4]</w:t>
            </w:r>
          </w:p>
        </w:tc>
        <w:tc>
          <w:tcPr>
            <w:tcW w:w="709" w:type="dxa"/>
            <w:vAlign w:val="center"/>
          </w:tcPr>
          <w:p w14:paraId="50AA44C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w:t>
            </w:r>
          </w:p>
        </w:tc>
        <w:tc>
          <w:tcPr>
            <w:tcW w:w="1134" w:type="dxa"/>
            <w:vAlign w:val="center"/>
          </w:tcPr>
          <w:p w14:paraId="2F1CCDC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7F0FE69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Gross hematuria</w:t>
            </w:r>
          </w:p>
        </w:tc>
        <w:tc>
          <w:tcPr>
            <w:tcW w:w="1276" w:type="dxa"/>
            <w:vAlign w:val="center"/>
          </w:tcPr>
          <w:p w14:paraId="200E4D1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 fat on imaging; suspicious for RCC</w:t>
            </w:r>
          </w:p>
        </w:tc>
        <w:tc>
          <w:tcPr>
            <w:tcW w:w="1134" w:type="dxa"/>
            <w:vAlign w:val="center"/>
          </w:tcPr>
          <w:p w14:paraId="5FB0D04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Radical nephrectomy</w:t>
            </w:r>
          </w:p>
        </w:tc>
        <w:tc>
          <w:tcPr>
            <w:tcW w:w="1134" w:type="dxa"/>
            <w:vAlign w:val="center"/>
          </w:tcPr>
          <w:p w14:paraId="1D3270C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Final diagnosis: EAML; uneventful postoperative recovery</w:t>
            </w:r>
          </w:p>
        </w:tc>
        <w:tc>
          <w:tcPr>
            <w:tcW w:w="1508" w:type="dxa"/>
            <w:vAlign w:val="center"/>
          </w:tcPr>
          <w:p w14:paraId="331E803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Absence of macroscopic fat, significant tumor size, and contrast enhancement pattern raised suspicion for malignancy.</w:t>
            </w:r>
          </w:p>
        </w:tc>
      </w:tr>
      <w:tr w:rsidR="00057112" w:rsidRPr="00057112" w14:paraId="182B9CBA" w14:textId="77777777" w:rsidTr="00606AE9">
        <w:tc>
          <w:tcPr>
            <w:tcW w:w="1129" w:type="dxa"/>
            <w:vAlign w:val="center"/>
          </w:tcPr>
          <w:p w14:paraId="286D576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Tsai HY et al. (2017) [5]</w:t>
            </w:r>
          </w:p>
        </w:tc>
        <w:tc>
          <w:tcPr>
            <w:tcW w:w="709" w:type="dxa"/>
            <w:vAlign w:val="center"/>
          </w:tcPr>
          <w:p w14:paraId="05BDCEA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w:t>
            </w:r>
          </w:p>
        </w:tc>
        <w:tc>
          <w:tcPr>
            <w:tcW w:w="1134" w:type="dxa"/>
            <w:vAlign w:val="center"/>
          </w:tcPr>
          <w:p w14:paraId="5DAD88C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6565F9C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Large retroperitoneal mass</w:t>
            </w:r>
          </w:p>
        </w:tc>
        <w:tc>
          <w:tcPr>
            <w:tcW w:w="1276" w:type="dxa"/>
            <w:vAlign w:val="center"/>
          </w:tcPr>
          <w:p w14:paraId="142C81A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Large solid lesion, radiologically malignant</w:t>
            </w:r>
          </w:p>
        </w:tc>
        <w:tc>
          <w:tcPr>
            <w:tcW w:w="1134" w:type="dxa"/>
            <w:vAlign w:val="center"/>
          </w:tcPr>
          <w:p w14:paraId="0A76407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Surgical resection</w:t>
            </w:r>
          </w:p>
        </w:tc>
        <w:tc>
          <w:tcPr>
            <w:tcW w:w="1134" w:type="dxa"/>
            <w:vAlign w:val="center"/>
          </w:tcPr>
          <w:p w14:paraId="75936DB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Histopathology diagnostic; good recovery</w:t>
            </w:r>
          </w:p>
        </w:tc>
        <w:tc>
          <w:tcPr>
            <w:tcW w:w="1508" w:type="dxa"/>
            <w:vAlign w:val="center"/>
          </w:tcPr>
          <w:p w14:paraId="33E5F66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Significant tumor size, infiltrative appearance on imaging suggestive of aggressive growth.</w:t>
            </w:r>
          </w:p>
        </w:tc>
      </w:tr>
      <w:tr w:rsidR="00057112" w:rsidRPr="00057112" w14:paraId="709A3F3C" w14:textId="77777777" w:rsidTr="00606AE9">
        <w:tc>
          <w:tcPr>
            <w:tcW w:w="1129" w:type="dxa"/>
            <w:vAlign w:val="center"/>
          </w:tcPr>
          <w:p w14:paraId="5C2838F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Zhan R et al. (2018) [6]</w:t>
            </w:r>
          </w:p>
        </w:tc>
        <w:tc>
          <w:tcPr>
            <w:tcW w:w="709" w:type="dxa"/>
            <w:vAlign w:val="center"/>
          </w:tcPr>
          <w:p w14:paraId="0E1EAB8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reports + review</w:t>
            </w:r>
          </w:p>
        </w:tc>
        <w:tc>
          <w:tcPr>
            <w:tcW w:w="1134" w:type="dxa"/>
            <w:vAlign w:val="center"/>
          </w:tcPr>
          <w:p w14:paraId="49A6682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2</w:t>
            </w:r>
          </w:p>
        </w:tc>
        <w:tc>
          <w:tcPr>
            <w:tcW w:w="992" w:type="dxa"/>
            <w:vAlign w:val="center"/>
          </w:tcPr>
          <w:p w14:paraId="0FF6766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Hematuria, palpable mass</w:t>
            </w:r>
          </w:p>
        </w:tc>
        <w:tc>
          <w:tcPr>
            <w:tcW w:w="1276" w:type="dxa"/>
            <w:vAlign w:val="center"/>
          </w:tcPr>
          <w:p w14:paraId="7D29769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 fat density; mimicked malignancy</w:t>
            </w:r>
          </w:p>
        </w:tc>
        <w:tc>
          <w:tcPr>
            <w:tcW w:w="1134" w:type="dxa"/>
            <w:vAlign w:val="center"/>
          </w:tcPr>
          <w:p w14:paraId="3AB7F7B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Nephrectomy</w:t>
            </w:r>
          </w:p>
        </w:tc>
        <w:tc>
          <w:tcPr>
            <w:tcW w:w="1134" w:type="dxa"/>
            <w:vAlign w:val="center"/>
          </w:tcPr>
          <w:p w14:paraId="3EA623F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Both cases confirmed malignant EAML</w:t>
            </w:r>
          </w:p>
        </w:tc>
        <w:tc>
          <w:tcPr>
            <w:tcW w:w="1508" w:type="dxa"/>
            <w:vAlign w:val="center"/>
          </w:tcPr>
          <w:p w14:paraId="06BF367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Local invasion into adjacent structures, development of distant metastases reported.</w:t>
            </w:r>
          </w:p>
        </w:tc>
      </w:tr>
      <w:tr w:rsidR="00057112" w:rsidRPr="00057112" w14:paraId="2BE306A7" w14:textId="77777777" w:rsidTr="00606AE9">
        <w:tc>
          <w:tcPr>
            <w:tcW w:w="1129" w:type="dxa"/>
            <w:vAlign w:val="center"/>
          </w:tcPr>
          <w:p w14:paraId="6878DB3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Nese N et al. (2011) [7]</w:t>
            </w:r>
          </w:p>
        </w:tc>
        <w:tc>
          <w:tcPr>
            <w:tcW w:w="709" w:type="dxa"/>
            <w:vAlign w:val="center"/>
          </w:tcPr>
          <w:p w14:paraId="7F7F38C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Clinicopathologic study</w:t>
            </w:r>
          </w:p>
        </w:tc>
        <w:tc>
          <w:tcPr>
            <w:tcW w:w="1134" w:type="dxa"/>
            <w:vAlign w:val="center"/>
          </w:tcPr>
          <w:p w14:paraId="4EB21C0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41</w:t>
            </w:r>
          </w:p>
        </w:tc>
        <w:tc>
          <w:tcPr>
            <w:tcW w:w="992" w:type="dxa"/>
            <w:vAlign w:val="center"/>
          </w:tcPr>
          <w:p w14:paraId="21EA54E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 some aggressive</w:t>
            </w:r>
          </w:p>
        </w:tc>
        <w:tc>
          <w:tcPr>
            <w:tcW w:w="1276" w:type="dxa"/>
            <w:vAlign w:val="center"/>
          </w:tcPr>
          <w:p w14:paraId="35C8986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Often lacks fat; confused with RCC</w:t>
            </w:r>
          </w:p>
        </w:tc>
        <w:tc>
          <w:tcPr>
            <w:tcW w:w="1134" w:type="dxa"/>
            <w:vAlign w:val="center"/>
          </w:tcPr>
          <w:p w14:paraId="6B8CA4B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w:t>
            </w:r>
          </w:p>
        </w:tc>
        <w:tc>
          <w:tcPr>
            <w:tcW w:w="1134" w:type="dxa"/>
            <w:vAlign w:val="center"/>
          </w:tcPr>
          <w:p w14:paraId="0D985B9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Risk stratification proposed based on morphology</w:t>
            </w:r>
          </w:p>
        </w:tc>
        <w:tc>
          <w:tcPr>
            <w:tcW w:w="1508" w:type="dxa"/>
            <w:vAlign w:val="center"/>
          </w:tcPr>
          <w:p w14:paraId="28FDCE6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Tumor size &gt; 7cm, presence of necrosis, extra-renal extension/renal vein involvement, carcinoma-like growth pattern identified as adverse prognostic factors.</w:t>
            </w:r>
          </w:p>
        </w:tc>
      </w:tr>
      <w:tr w:rsidR="00057112" w:rsidRPr="00057112" w14:paraId="6011D0D6" w14:textId="77777777" w:rsidTr="00606AE9">
        <w:tc>
          <w:tcPr>
            <w:tcW w:w="1129" w:type="dxa"/>
            <w:vAlign w:val="center"/>
          </w:tcPr>
          <w:p w14:paraId="3F82FCF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Mai KT et al. (1996) [8]</w:t>
            </w:r>
          </w:p>
        </w:tc>
        <w:tc>
          <w:tcPr>
            <w:tcW w:w="709" w:type="dxa"/>
            <w:vAlign w:val="center"/>
          </w:tcPr>
          <w:p w14:paraId="1F2FC12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series</w:t>
            </w:r>
          </w:p>
        </w:tc>
        <w:tc>
          <w:tcPr>
            <w:tcW w:w="1134" w:type="dxa"/>
            <w:vAlign w:val="center"/>
          </w:tcPr>
          <w:p w14:paraId="0612208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Not stated</w:t>
            </w:r>
          </w:p>
        </w:tc>
        <w:tc>
          <w:tcPr>
            <w:tcW w:w="992" w:type="dxa"/>
            <w:vAlign w:val="center"/>
          </w:tcPr>
          <w:p w14:paraId="0076C4B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Variable</w:t>
            </w:r>
          </w:p>
        </w:tc>
        <w:tc>
          <w:tcPr>
            <w:tcW w:w="1276" w:type="dxa"/>
            <w:vAlign w:val="center"/>
          </w:tcPr>
          <w:p w14:paraId="6764987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Mimics RCC</w:t>
            </w:r>
          </w:p>
        </w:tc>
        <w:tc>
          <w:tcPr>
            <w:tcW w:w="1134" w:type="dxa"/>
            <w:vAlign w:val="center"/>
          </w:tcPr>
          <w:p w14:paraId="193AB34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Surgical resection</w:t>
            </w:r>
          </w:p>
        </w:tc>
        <w:tc>
          <w:tcPr>
            <w:tcW w:w="1134" w:type="dxa"/>
            <w:vAlign w:val="center"/>
          </w:tcPr>
          <w:p w14:paraId="7BFB7A4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EAML proposed as a distinct entity</w:t>
            </w:r>
          </w:p>
        </w:tc>
        <w:tc>
          <w:tcPr>
            <w:tcW w:w="1508" w:type="dxa"/>
            <w:vAlign w:val="center"/>
          </w:tcPr>
          <w:p w14:paraId="798E3846"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 xml:space="preserve">Initial recognition of the distinct epithelioid morphology and its potential for atypical or </w:t>
            </w:r>
            <w:r w:rsidRPr="00057112">
              <w:rPr>
                <w:rFonts w:ascii="Arial" w:eastAsia="Times New Roman" w:hAnsi="Arial" w:cs="Arial"/>
                <w:color w:val="1B1C1D"/>
                <w:sz w:val="20"/>
                <w:szCs w:val="20"/>
                <w:lang w:eastAsia="en-GB"/>
              </w:rPr>
              <w:lastRenderedPageBreak/>
              <w:t>aggressive behavior.</w:t>
            </w:r>
          </w:p>
        </w:tc>
      </w:tr>
      <w:tr w:rsidR="00057112" w:rsidRPr="00057112" w14:paraId="1792B66D" w14:textId="77777777" w:rsidTr="00606AE9">
        <w:tc>
          <w:tcPr>
            <w:tcW w:w="1129" w:type="dxa"/>
            <w:vAlign w:val="center"/>
          </w:tcPr>
          <w:p w14:paraId="268581E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hAnsi="Arial" w:cs="Arial"/>
                <w:sz w:val="20"/>
                <w:szCs w:val="20"/>
                <w:lang w:val="en-GB"/>
              </w:rPr>
              <w:lastRenderedPageBreak/>
              <w:t>T</w:t>
            </w:r>
            <w:r w:rsidRPr="00057112">
              <w:rPr>
                <w:rFonts w:ascii="Arial" w:eastAsia="Times New Roman" w:hAnsi="Arial" w:cs="Arial"/>
                <w:color w:val="1B1C1D"/>
                <w:sz w:val="20"/>
                <w:szCs w:val="20"/>
                <w:lang w:val="en-GB" w:eastAsia="en-GB"/>
              </w:rPr>
              <w:t>ayal J et al. (2019) [9]</w:t>
            </w:r>
          </w:p>
        </w:tc>
        <w:tc>
          <w:tcPr>
            <w:tcW w:w="709" w:type="dxa"/>
            <w:vAlign w:val="center"/>
          </w:tcPr>
          <w:p w14:paraId="6AD449E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w:t>
            </w:r>
          </w:p>
        </w:tc>
        <w:tc>
          <w:tcPr>
            <w:tcW w:w="1134" w:type="dxa"/>
            <w:vAlign w:val="center"/>
          </w:tcPr>
          <w:p w14:paraId="6D2554A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4C2E5E9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Metastatic disease</w:t>
            </w:r>
          </w:p>
        </w:tc>
        <w:tc>
          <w:tcPr>
            <w:tcW w:w="1276" w:type="dxa"/>
            <w:vAlign w:val="center"/>
          </w:tcPr>
          <w:p w14:paraId="29F0B14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Multiple lesions</w:t>
            </w:r>
          </w:p>
        </w:tc>
        <w:tc>
          <w:tcPr>
            <w:tcW w:w="1134" w:type="dxa"/>
            <w:vAlign w:val="center"/>
          </w:tcPr>
          <w:p w14:paraId="11CE07DA" w14:textId="77777777" w:rsidR="00057112" w:rsidRPr="00057112" w:rsidRDefault="00057112" w:rsidP="00606AE9">
            <w:pPr>
              <w:spacing w:before="100" w:beforeAutospacing="1"/>
              <w:rPr>
                <w:rFonts w:ascii="Arial" w:eastAsia="Times New Roman" w:hAnsi="Arial" w:cs="Arial"/>
                <w:color w:val="1B1C1D"/>
                <w:sz w:val="20"/>
                <w:szCs w:val="20"/>
                <w:lang w:eastAsia="en-GB"/>
              </w:rPr>
            </w:pPr>
            <w:proofErr w:type="spellStart"/>
            <w:r w:rsidRPr="00057112">
              <w:rPr>
                <w:rFonts w:ascii="Arial" w:eastAsia="Times New Roman" w:hAnsi="Arial" w:cs="Arial"/>
                <w:color w:val="1B1C1D"/>
                <w:sz w:val="20"/>
                <w:szCs w:val="20"/>
                <w:lang w:eastAsia="en-GB"/>
              </w:rPr>
              <w:t>Everolimus</w:t>
            </w:r>
            <w:proofErr w:type="spellEnd"/>
            <w:r w:rsidRPr="00057112">
              <w:rPr>
                <w:rFonts w:ascii="Arial" w:eastAsia="Times New Roman" w:hAnsi="Arial" w:cs="Arial"/>
                <w:color w:val="1B1C1D"/>
                <w:sz w:val="20"/>
                <w:szCs w:val="20"/>
                <w:lang w:eastAsia="en-GB"/>
              </w:rPr>
              <w:t xml:space="preserve"> (</w:t>
            </w:r>
            <w:proofErr w:type="spellStart"/>
            <w:r w:rsidRPr="00057112">
              <w:rPr>
                <w:rFonts w:ascii="Arial" w:eastAsia="Times New Roman" w:hAnsi="Arial" w:cs="Arial"/>
                <w:color w:val="1B1C1D"/>
                <w:sz w:val="20"/>
                <w:szCs w:val="20"/>
                <w:lang w:eastAsia="en-GB"/>
              </w:rPr>
              <w:t>mTORi</w:t>
            </w:r>
            <w:proofErr w:type="spellEnd"/>
            <w:r w:rsidRPr="00057112">
              <w:rPr>
                <w:rFonts w:ascii="Arial" w:eastAsia="Times New Roman" w:hAnsi="Arial" w:cs="Arial"/>
                <w:color w:val="1B1C1D"/>
                <w:sz w:val="20"/>
                <w:szCs w:val="20"/>
                <w:lang w:eastAsia="en-GB"/>
              </w:rPr>
              <w:t>)</w:t>
            </w:r>
          </w:p>
        </w:tc>
        <w:tc>
          <w:tcPr>
            <w:tcW w:w="1134" w:type="dxa"/>
            <w:vAlign w:val="center"/>
          </w:tcPr>
          <w:p w14:paraId="280FF0D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Sustained partial response observed in metastatic disease</w:t>
            </w:r>
          </w:p>
        </w:tc>
        <w:tc>
          <w:tcPr>
            <w:tcW w:w="1508" w:type="dxa"/>
            <w:vAlign w:val="center"/>
          </w:tcPr>
          <w:p w14:paraId="069830B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Confirmed metastatic disease at presentation, treated with systemic targeted therapy.</w:t>
            </w:r>
          </w:p>
        </w:tc>
      </w:tr>
      <w:tr w:rsidR="00057112" w:rsidRPr="00057112" w14:paraId="4CBA541E" w14:textId="77777777" w:rsidTr="00606AE9">
        <w:tc>
          <w:tcPr>
            <w:tcW w:w="1129" w:type="dxa"/>
            <w:vAlign w:val="center"/>
          </w:tcPr>
          <w:p w14:paraId="726D3F6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Sun DZ et al. (2018) [10]</w:t>
            </w:r>
          </w:p>
        </w:tc>
        <w:tc>
          <w:tcPr>
            <w:tcW w:w="709" w:type="dxa"/>
            <w:vAlign w:val="center"/>
          </w:tcPr>
          <w:p w14:paraId="64270B8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w:t>
            </w:r>
          </w:p>
        </w:tc>
        <w:tc>
          <w:tcPr>
            <w:tcW w:w="1134" w:type="dxa"/>
            <w:vAlign w:val="center"/>
          </w:tcPr>
          <w:p w14:paraId="48F2B05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216388B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Asymptomatic renal mass</w:t>
            </w:r>
          </w:p>
        </w:tc>
        <w:tc>
          <w:tcPr>
            <w:tcW w:w="1276" w:type="dxa"/>
            <w:vAlign w:val="center"/>
          </w:tcPr>
          <w:p w14:paraId="0281AF07"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RCC-like appearance</w:t>
            </w:r>
          </w:p>
        </w:tc>
        <w:tc>
          <w:tcPr>
            <w:tcW w:w="1134" w:type="dxa"/>
            <w:vAlign w:val="center"/>
          </w:tcPr>
          <w:p w14:paraId="442456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Partial nephrectomy</w:t>
            </w:r>
          </w:p>
        </w:tc>
        <w:tc>
          <w:tcPr>
            <w:tcW w:w="1134" w:type="dxa"/>
            <w:vAlign w:val="center"/>
          </w:tcPr>
          <w:p w14:paraId="411312A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Pathology revealed atypical EAML</w:t>
            </w:r>
          </w:p>
        </w:tc>
        <w:tc>
          <w:tcPr>
            <w:tcW w:w="1508" w:type="dxa"/>
            <w:vAlign w:val="center"/>
          </w:tcPr>
          <w:p w14:paraId="13C020E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Atypical histological features raising suspicion for malignant potential.</w:t>
            </w:r>
          </w:p>
        </w:tc>
      </w:tr>
      <w:tr w:rsidR="00057112" w:rsidRPr="00057112" w14:paraId="48073C8D" w14:textId="77777777" w:rsidTr="00606AE9">
        <w:tc>
          <w:tcPr>
            <w:tcW w:w="1129" w:type="dxa"/>
            <w:vAlign w:val="center"/>
          </w:tcPr>
          <w:p w14:paraId="2339F0D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Saoud R et al. (2022) [11]</w:t>
            </w:r>
          </w:p>
        </w:tc>
        <w:tc>
          <w:tcPr>
            <w:tcW w:w="709" w:type="dxa"/>
            <w:vAlign w:val="center"/>
          </w:tcPr>
          <w:p w14:paraId="00D86DA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Institutional series</w:t>
            </w:r>
          </w:p>
        </w:tc>
        <w:tc>
          <w:tcPr>
            <w:tcW w:w="1134" w:type="dxa"/>
            <w:vAlign w:val="center"/>
          </w:tcPr>
          <w:p w14:paraId="09F440F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7</w:t>
            </w:r>
          </w:p>
        </w:tc>
        <w:tc>
          <w:tcPr>
            <w:tcW w:w="992" w:type="dxa"/>
            <w:vAlign w:val="center"/>
          </w:tcPr>
          <w:p w14:paraId="7A6D29A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Mass effect, hematuria</w:t>
            </w:r>
          </w:p>
        </w:tc>
        <w:tc>
          <w:tcPr>
            <w:tcW w:w="1276" w:type="dxa"/>
            <w:vAlign w:val="center"/>
          </w:tcPr>
          <w:p w14:paraId="48E312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Solid tumors, low fat</w:t>
            </w:r>
          </w:p>
        </w:tc>
        <w:tc>
          <w:tcPr>
            <w:tcW w:w="1134" w:type="dxa"/>
            <w:vAlign w:val="center"/>
          </w:tcPr>
          <w:p w14:paraId="4A45632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 ± surveillance</w:t>
            </w:r>
          </w:p>
        </w:tc>
        <w:tc>
          <w:tcPr>
            <w:tcW w:w="1134" w:type="dxa"/>
            <w:vAlign w:val="center"/>
          </w:tcPr>
          <w:p w14:paraId="62FA1E1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Some cases exhibited aggressive behavior</w:t>
            </w:r>
          </w:p>
        </w:tc>
        <w:tc>
          <w:tcPr>
            <w:tcW w:w="1508" w:type="dxa"/>
            <w:vAlign w:val="center"/>
          </w:tcPr>
          <w:p w14:paraId="3062594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Local recurrence and development of distant metastatic disease observed in a subset of cases.</w:t>
            </w:r>
          </w:p>
        </w:tc>
      </w:tr>
      <w:tr w:rsidR="00057112" w:rsidRPr="00057112" w14:paraId="06B58189" w14:textId="77777777" w:rsidTr="00606AE9">
        <w:tc>
          <w:tcPr>
            <w:tcW w:w="1129" w:type="dxa"/>
            <w:vAlign w:val="center"/>
          </w:tcPr>
          <w:p w14:paraId="58AAC59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Mahajan D et al. (2021) [12]</w:t>
            </w:r>
          </w:p>
        </w:tc>
        <w:tc>
          <w:tcPr>
            <w:tcW w:w="709" w:type="dxa"/>
            <w:vAlign w:val="center"/>
          </w:tcPr>
          <w:p w14:paraId="2A6A051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Pediatric case series</w:t>
            </w:r>
          </w:p>
        </w:tc>
        <w:tc>
          <w:tcPr>
            <w:tcW w:w="1134" w:type="dxa"/>
            <w:vAlign w:val="center"/>
          </w:tcPr>
          <w:p w14:paraId="405162A0"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2</w:t>
            </w:r>
          </w:p>
        </w:tc>
        <w:tc>
          <w:tcPr>
            <w:tcW w:w="992" w:type="dxa"/>
            <w:vAlign w:val="center"/>
          </w:tcPr>
          <w:p w14:paraId="0D415AD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Hematuria, palpable mass</w:t>
            </w:r>
          </w:p>
        </w:tc>
        <w:tc>
          <w:tcPr>
            <w:tcW w:w="1276" w:type="dxa"/>
            <w:vAlign w:val="center"/>
          </w:tcPr>
          <w:p w14:paraId="1F476F6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Solid renal tumors</w:t>
            </w:r>
          </w:p>
        </w:tc>
        <w:tc>
          <w:tcPr>
            <w:tcW w:w="1134" w:type="dxa"/>
            <w:vAlign w:val="center"/>
          </w:tcPr>
          <w:p w14:paraId="1288C4B1"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w:t>
            </w:r>
          </w:p>
        </w:tc>
        <w:tc>
          <w:tcPr>
            <w:tcW w:w="1134" w:type="dxa"/>
            <w:vAlign w:val="center"/>
          </w:tcPr>
          <w:p w14:paraId="23EE75B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Rare in children; diagnosis via morphology</w:t>
            </w:r>
          </w:p>
        </w:tc>
        <w:tc>
          <w:tcPr>
            <w:tcW w:w="1508" w:type="dxa"/>
            <w:vAlign w:val="center"/>
          </w:tcPr>
          <w:p w14:paraId="0E26EF42"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Aggressive clinical behavior reported in some pediatric cases of EAML.</w:t>
            </w:r>
          </w:p>
        </w:tc>
      </w:tr>
      <w:tr w:rsidR="00057112" w:rsidRPr="00057112" w14:paraId="0CB7421B" w14:textId="77777777" w:rsidTr="00606AE9">
        <w:tc>
          <w:tcPr>
            <w:tcW w:w="1129" w:type="dxa"/>
            <w:vAlign w:val="center"/>
          </w:tcPr>
          <w:p w14:paraId="7C370DF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Sato K et al. (2008) [13]</w:t>
            </w:r>
          </w:p>
        </w:tc>
        <w:tc>
          <w:tcPr>
            <w:tcW w:w="709" w:type="dxa"/>
            <w:vAlign w:val="center"/>
          </w:tcPr>
          <w:p w14:paraId="67202C46"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Autopsy case report</w:t>
            </w:r>
          </w:p>
        </w:tc>
        <w:tc>
          <w:tcPr>
            <w:tcW w:w="1134" w:type="dxa"/>
            <w:vAlign w:val="center"/>
          </w:tcPr>
          <w:p w14:paraId="584F6E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w:t>
            </w:r>
          </w:p>
        </w:tc>
        <w:tc>
          <w:tcPr>
            <w:tcW w:w="992" w:type="dxa"/>
            <w:vAlign w:val="center"/>
          </w:tcPr>
          <w:p w14:paraId="7A4AE0E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Rapid deterioration, metastases</w:t>
            </w:r>
          </w:p>
        </w:tc>
        <w:tc>
          <w:tcPr>
            <w:tcW w:w="1276" w:type="dxa"/>
            <w:vAlign w:val="center"/>
          </w:tcPr>
          <w:p w14:paraId="25A39B7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Not detailed</w:t>
            </w:r>
          </w:p>
        </w:tc>
        <w:tc>
          <w:tcPr>
            <w:tcW w:w="1134" w:type="dxa"/>
            <w:vAlign w:val="center"/>
          </w:tcPr>
          <w:p w14:paraId="10902D6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Autopsy only</w:t>
            </w:r>
          </w:p>
        </w:tc>
        <w:tc>
          <w:tcPr>
            <w:tcW w:w="1134" w:type="dxa"/>
            <w:vAlign w:val="center"/>
          </w:tcPr>
          <w:p w14:paraId="062B787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Malignant EAML with widespread metastases confirmed at autopsy</w:t>
            </w:r>
          </w:p>
        </w:tc>
        <w:tc>
          <w:tcPr>
            <w:tcW w:w="1508" w:type="dxa"/>
            <w:vAlign w:val="center"/>
          </w:tcPr>
          <w:p w14:paraId="4CB9BDE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Autopsy findings revealed extensive metastatic involvement of multiple organs, rapid clinical decline.</w:t>
            </w:r>
          </w:p>
        </w:tc>
      </w:tr>
      <w:tr w:rsidR="00057112" w:rsidRPr="00057112" w14:paraId="65158D8B" w14:textId="77777777" w:rsidTr="00606AE9">
        <w:tc>
          <w:tcPr>
            <w:tcW w:w="1129" w:type="dxa"/>
            <w:vAlign w:val="center"/>
          </w:tcPr>
          <w:p w14:paraId="6D6FAA9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Brimo F et al. (2010) [14]</w:t>
            </w:r>
          </w:p>
        </w:tc>
        <w:tc>
          <w:tcPr>
            <w:tcW w:w="709" w:type="dxa"/>
            <w:vAlign w:val="center"/>
          </w:tcPr>
          <w:p w14:paraId="6FF0908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Clinicopathologic study</w:t>
            </w:r>
          </w:p>
        </w:tc>
        <w:tc>
          <w:tcPr>
            <w:tcW w:w="1134" w:type="dxa"/>
            <w:vAlign w:val="center"/>
          </w:tcPr>
          <w:p w14:paraId="7AE5D9C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40</w:t>
            </w:r>
          </w:p>
        </w:tc>
        <w:tc>
          <w:tcPr>
            <w:tcW w:w="992" w:type="dxa"/>
            <w:vAlign w:val="center"/>
          </w:tcPr>
          <w:p w14:paraId="5EE03A1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w:t>
            </w:r>
          </w:p>
        </w:tc>
        <w:tc>
          <w:tcPr>
            <w:tcW w:w="1276" w:type="dxa"/>
            <w:vAlign w:val="center"/>
          </w:tcPr>
          <w:p w14:paraId="5B21C1B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w:t>
            </w:r>
          </w:p>
        </w:tc>
        <w:tc>
          <w:tcPr>
            <w:tcW w:w="1134" w:type="dxa"/>
            <w:vAlign w:val="center"/>
          </w:tcPr>
          <w:p w14:paraId="3910CA1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w:t>
            </w:r>
          </w:p>
        </w:tc>
        <w:tc>
          <w:tcPr>
            <w:tcW w:w="1134" w:type="dxa"/>
            <w:vAlign w:val="center"/>
          </w:tcPr>
          <w:p w14:paraId="5425BAEE"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Risk stratification based on morphology</w:t>
            </w:r>
          </w:p>
        </w:tc>
        <w:tc>
          <w:tcPr>
            <w:tcW w:w="1508" w:type="dxa"/>
            <w:vAlign w:val="center"/>
          </w:tcPr>
          <w:p w14:paraId="46812FD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Atypical epithelioid cell morphology (≥70%), mitotic activity (≥2 mitotic figures/10 HPF), presence of atypical mitoses, and necrosis as high-risk features.</w:t>
            </w:r>
          </w:p>
        </w:tc>
      </w:tr>
      <w:tr w:rsidR="00057112" w:rsidRPr="00057112" w14:paraId="4FDE1683" w14:textId="77777777" w:rsidTr="00606AE9">
        <w:tc>
          <w:tcPr>
            <w:tcW w:w="1129" w:type="dxa"/>
            <w:vAlign w:val="center"/>
          </w:tcPr>
          <w:p w14:paraId="06E3F50D"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lastRenderedPageBreak/>
              <w:t>Li Z et al. (2022) [15]</w:t>
            </w:r>
          </w:p>
        </w:tc>
        <w:tc>
          <w:tcPr>
            <w:tcW w:w="709" w:type="dxa"/>
            <w:vAlign w:val="center"/>
          </w:tcPr>
          <w:p w14:paraId="723CA83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Retrospective cohort</w:t>
            </w:r>
          </w:p>
        </w:tc>
        <w:tc>
          <w:tcPr>
            <w:tcW w:w="1134" w:type="dxa"/>
            <w:vAlign w:val="center"/>
          </w:tcPr>
          <w:p w14:paraId="1C0F5F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63</w:t>
            </w:r>
          </w:p>
        </w:tc>
        <w:tc>
          <w:tcPr>
            <w:tcW w:w="992" w:type="dxa"/>
            <w:vAlign w:val="center"/>
          </w:tcPr>
          <w:p w14:paraId="14CB4564"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w:t>
            </w:r>
          </w:p>
        </w:tc>
        <w:tc>
          <w:tcPr>
            <w:tcW w:w="1276" w:type="dxa"/>
            <w:vAlign w:val="center"/>
          </w:tcPr>
          <w:p w14:paraId="5531BA6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Varied</w:t>
            </w:r>
          </w:p>
        </w:tc>
        <w:tc>
          <w:tcPr>
            <w:tcW w:w="1134" w:type="dxa"/>
            <w:vAlign w:val="center"/>
          </w:tcPr>
          <w:p w14:paraId="6FCA1B7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w:t>
            </w:r>
          </w:p>
        </w:tc>
        <w:tc>
          <w:tcPr>
            <w:tcW w:w="1134" w:type="dxa"/>
            <w:vAlign w:val="center"/>
          </w:tcPr>
          <w:p w14:paraId="378DDBE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Recurrence or metastasis noted in a subset of patients</w:t>
            </w:r>
          </w:p>
        </w:tc>
        <w:tc>
          <w:tcPr>
            <w:tcW w:w="1508" w:type="dxa"/>
            <w:vAlign w:val="center"/>
          </w:tcPr>
          <w:p w14:paraId="583A4E63"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Larger tumor size, higher pathological T stage, presence of necrosis, severe nuclear atypia, higher mitotic count, and atypical mitoses associated with adverse outcomes.</w:t>
            </w:r>
          </w:p>
        </w:tc>
      </w:tr>
      <w:tr w:rsidR="00057112" w:rsidRPr="00057112" w14:paraId="35CA9847" w14:textId="77777777" w:rsidTr="00606AE9">
        <w:tc>
          <w:tcPr>
            <w:tcW w:w="1129" w:type="dxa"/>
            <w:vAlign w:val="center"/>
          </w:tcPr>
          <w:p w14:paraId="161284AC"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val="en-GB" w:eastAsia="en-GB"/>
              </w:rPr>
              <w:t>Zhou Y et al. (2023) [16]</w:t>
            </w:r>
          </w:p>
        </w:tc>
        <w:tc>
          <w:tcPr>
            <w:tcW w:w="709" w:type="dxa"/>
            <w:vAlign w:val="center"/>
          </w:tcPr>
          <w:p w14:paraId="5F786F3B"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Case report + review</w:t>
            </w:r>
          </w:p>
        </w:tc>
        <w:tc>
          <w:tcPr>
            <w:tcW w:w="1134" w:type="dxa"/>
            <w:vAlign w:val="center"/>
          </w:tcPr>
          <w:p w14:paraId="2A5025D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1 (+46 review)</w:t>
            </w:r>
          </w:p>
        </w:tc>
        <w:tc>
          <w:tcPr>
            <w:tcW w:w="992" w:type="dxa"/>
            <w:vAlign w:val="center"/>
          </w:tcPr>
          <w:p w14:paraId="5FC88929"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Abdominal mass, metastasis</w:t>
            </w:r>
          </w:p>
        </w:tc>
        <w:tc>
          <w:tcPr>
            <w:tcW w:w="1276" w:type="dxa"/>
            <w:vAlign w:val="center"/>
          </w:tcPr>
          <w:p w14:paraId="2B42E4DA"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Heterogeneous enhanced mass, blurred margins</w:t>
            </w:r>
          </w:p>
        </w:tc>
        <w:tc>
          <w:tcPr>
            <w:tcW w:w="1134" w:type="dxa"/>
            <w:vAlign w:val="center"/>
          </w:tcPr>
          <w:p w14:paraId="40525BCF"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Surgery + Targeted therapy</w:t>
            </w:r>
          </w:p>
        </w:tc>
        <w:tc>
          <w:tcPr>
            <w:tcW w:w="1134" w:type="dxa"/>
            <w:vAlign w:val="center"/>
          </w:tcPr>
          <w:p w14:paraId="3298DB28"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 xml:space="preserve">Sustained partial response with </w:t>
            </w:r>
            <w:proofErr w:type="spellStart"/>
            <w:r w:rsidRPr="00057112">
              <w:rPr>
                <w:rFonts w:ascii="Arial" w:eastAsia="Times New Roman" w:hAnsi="Arial" w:cs="Arial"/>
                <w:color w:val="1B1C1D"/>
                <w:sz w:val="20"/>
                <w:szCs w:val="20"/>
                <w:lang w:eastAsia="en-GB"/>
              </w:rPr>
              <w:t>apatinib</w:t>
            </w:r>
            <w:proofErr w:type="spellEnd"/>
            <w:r w:rsidRPr="00057112">
              <w:rPr>
                <w:rFonts w:ascii="Arial" w:eastAsia="Times New Roman" w:hAnsi="Arial" w:cs="Arial"/>
                <w:color w:val="1B1C1D"/>
                <w:sz w:val="20"/>
                <w:szCs w:val="20"/>
                <w:lang w:eastAsia="en-GB"/>
              </w:rPr>
              <w:t xml:space="preserve"> in a case with metastasis</w:t>
            </w:r>
          </w:p>
        </w:tc>
        <w:tc>
          <w:tcPr>
            <w:tcW w:w="1508" w:type="dxa"/>
            <w:vAlign w:val="center"/>
          </w:tcPr>
          <w:p w14:paraId="2D1C67E5" w14:textId="77777777" w:rsidR="00057112" w:rsidRPr="00057112" w:rsidRDefault="00057112" w:rsidP="00606AE9">
            <w:pPr>
              <w:spacing w:before="100" w:beforeAutospacing="1"/>
              <w:rPr>
                <w:rFonts w:ascii="Arial" w:eastAsia="Times New Roman" w:hAnsi="Arial" w:cs="Arial"/>
                <w:color w:val="1B1C1D"/>
                <w:sz w:val="20"/>
                <w:szCs w:val="20"/>
                <w:lang w:eastAsia="en-GB"/>
              </w:rPr>
            </w:pPr>
            <w:r w:rsidRPr="00057112">
              <w:rPr>
                <w:rFonts w:ascii="Arial" w:eastAsia="Times New Roman" w:hAnsi="Arial" w:cs="Arial"/>
                <w:color w:val="1B1C1D"/>
                <w:sz w:val="20"/>
                <w:szCs w:val="20"/>
                <w:lang w:eastAsia="en-GB"/>
              </w:rPr>
              <w:t>Presence of liver and abdominal metastases at diagnosis; review of literature highlighting aggressive progression in some cases.</w:t>
            </w:r>
          </w:p>
        </w:tc>
      </w:tr>
    </w:tbl>
    <w:p w14:paraId="0D4699B5" w14:textId="77777777" w:rsidR="009A756D" w:rsidRDefault="009A756D" w:rsidP="004B1806">
      <w:pPr>
        <w:spacing w:before="100" w:beforeAutospacing="1" w:after="120"/>
        <w:outlineLvl w:val="1"/>
        <w:rPr>
          <w:rFonts w:ascii="Arial" w:hAnsi="Arial" w:cs="Arial"/>
          <w:b/>
          <w:bCs/>
          <w:noProof/>
          <w:color w:val="1B1C1D"/>
          <w:lang w:val="en-IN" w:eastAsia="en-GB"/>
        </w:rPr>
      </w:pPr>
    </w:p>
    <w:p w14:paraId="15030872" w14:textId="77777777" w:rsidR="009A756D" w:rsidRDefault="009A756D" w:rsidP="004B1806">
      <w:pPr>
        <w:spacing w:before="100" w:beforeAutospacing="1" w:after="120"/>
        <w:outlineLvl w:val="1"/>
        <w:rPr>
          <w:rFonts w:ascii="Arial" w:hAnsi="Arial" w:cs="Arial"/>
          <w:b/>
          <w:bCs/>
          <w:noProof/>
          <w:color w:val="1B1C1D"/>
          <w:lang w:val="en-IN" w:eastAsia="en-GB"/>
        </w:rPr>
      </w:pPr>
    </w:p>
    <w:p w14:paraId="13C65A57" w14:textId="77777777" w:rsidR="009A756D" w:rsidRDefault="009A756D" w:rsidP="004B1806">
      <w:pPr>
        <w:spacing w:before="100" w:beforeAutospacing="1" w:after="120"/>
        <w:outlineLvl w:val="1"/>
        <w:rPr>
          <w:rFonts w:ascii="Arial" w:hAnsi="Arial" w:cs="Arial"/>
          <w:b/>
          <w:bCs/>
          <w:noProof/>
          <w:color w:val="1B1C1D"/>
          <w:lang w:val="en-IN" w:eastAsia="en-GB"/>
        </w:rPr>
      </w:pPr>
    </w:p>
    <w:p w14:paraId="656C4A5B" w14:textId="77777777" w:rsidR="009A756D" w:rsidRDefault="009A756D" w:rsidP="004B1806">
      <w:pPr>
        <w:spacing w:before="100" w:beforeAutospacing="1" w:after="120"/>
        <w:outlineLvl w:val="1"/>
        <w:rPr>
          <w:rFonts w:ascii="Arial" w:hAnsi="Arial" w:cs="Arial"/>
          <w:b/>
          <w:bCs/>
          <w:noProof/>
          <w:color w:val="1B1C1D"/>
          <w:lang w:val="en-IN" w:eastAsia="en-GB"/>
        </w:rPr>
      </w:pPr>
    </w:p>
    <w:p w14:paraId="2F7C3118" w14:textId="77777777" w:rsidR="009A756D" w:rsidRDefault="009A756D" w:rsidP="004B1806">
      <w:pPr>
        <w:spacing w:before="100" w:beforeAutospacing="1" w:after="120"/>
        <w:outlineLvl w:val="1"/>
        <w:rPr>
          <w:rFonts w:ascii="Arial" w:hAnsi="Arial" w:cs="Arial"/>
          <w:b/>
          <w:bCs/>
          <w:noProof/>
          <w:color w:val="1B1C1D"/>
          <w:lang w:val="en-IN" w:eastAsia="en-GB"/>
        </w:rPr>
      </w:pPr>
    </w:p>
    <w:p w14:paraId="687AC556" w14:textId="77777777" w:rsidR="009A756D" w:rsidRDefault="009A756D" w:rsidP="004B1806">
      <w:pPr>
        <w:spacing w:before="100" w:beforeAutospacing="1" w:after="120"/>
        <w:outlineLvl w:val="1"/>
        <w:rPr>
          <w:rFonts w:ascii="Arial" w:hAnsi="Arial" w:cs="Arial"/>
          <w:b/>
          <w:bCs/>
          <w:noProof/>
          <w:color w:val="1B1C1D"/>
          <w:lang w:val="en-IN" w:eastAsia="en-GB"/>
        </w:rPr>
      </w:pPr>
    </w:p>
    <w:p w14:paraId="6DB49D22" w14:textId="77777777" w:rsidR="009A756D" w:rsidRDefault="009A756D" w:rsidP="004B1806">
      <w:pPr>
        <w:spacing w:before="100" w:beforeAutospacing="1" w:after="120"/>
        <w:outlineLvl w:val="1"/>
        <w:rPr>
          <w:rFonts w:ascii="Arial" w:hAnsi="Arial" w:cs="Arial"/>
          <w:b/>
          <w:bCs/>
          <w:noProof/>
          <w:color w:val="1B1C1D"/>
          <w:lang w:val="en-IN" w:eastAsia="en-GB"/>
        </w:rPr>
      </w:pPr>
    </w:p>
    <w:p w14:paraId="3B765382" w14:textId="77777777" w:rsidR="009A756D" w:rsidRDefault="009A756D" w:rsidP="004B1806">
      <w:pPr>
        <w:spacing w:before="100" w:beforeAutospacing="1" w:after="120"/>
        <w:outlineLvl w:val="1"/>
        <w:rPr>
          <w:rFonts w:ascii="Arial" w:hAnsi="Arial" w:cs="Arial"/>
          <w:b/>
          <w:bCs/>
          <w:noProof/>
          <w:color w:val="1B1C1D"/>
          <w:lang w:val="en-IN" w:eastAsia="en-GB"/>
        </w:rPr>
      </w:pPr>
    </w:p>
    <w:p w14:paraId="3A816B91" w14:textId="77777777" w:rsidR="00D12E03" w:rsidRDefault="00D12E03" w:rsidP="004B1806">
      <w:pPr>
        <w:spacing w:before="100" w:beforeAutospacing="1" w:after="120"/>
        <w:outlineLvl w:val="1"/>
        <w:rPr>
          <w:rFonts w:ascii="Arial" w:hAnsi="Arial" w:cs="Arial"/>
          <w:b/>
          <w:bCs/>
          <w:noProof/>
          <w:color w:val="1B1C1D"/>
          <w:lang w:val="en-IN" w:eastAsia="en-GB"/>
        </w:rPr>
      </w:pPr>
    </w:p>
    <w:p w14:paraId="65C95FB8" w14:textId="77777777" w:rsidR="00D12E03" w:rsidRDefault="00D12E03" w:rsidP="004B1806">
      <w:pPr>
        <w:spacing w:before="100" w:beforeAutospacing="1" w:after="120"/>
        <w:outlineLvl w:val="1"/>
        <w:rPr>
          <w:rFonts w:ascii="Arial" w:hAnsi="Arial" w:cs="Arial"/>
          <w:b/>
          <w:bCs/>
          <w:noProof/>
          <w:color w:val="1B1C1D"/>
          <w:lang w:val="en-IN" w:eastAsia="en-GB"/>
        </w:rPr>
      </w:pPr>
    </w:p>
    <w:p w14:paraId="706A7AC0" w14:textId="77777777" w:rsidR="00D12E03" w:rsidRDefault="00D12E03" w:rsidP="004B1806">
      <w:pPr>
        <w:spacing w:before="100" w:beforeAutospacing="1" w:after="120"/>
        <w:outlineLvl w:val="1"/>
        <w:rPr>
          <w:rFonts w:ascii="Arial" w:hAnsi="Arial" w:cs="Arial"/>
          <w:b/>
          <w:bCs/>
          <w:noProof/>
          <w:color w:val="1B1C1D"/>
          <w:lang w:val="en-IN" w:eastAsia="en-GB"/>
        </w:rPr>
      </w:pPr>
    </w:p>
    <w:p w14:paraId="12CBF771" w14:textId="77777777" w:rsidR="00D12E03" w:rsidRDefault="00D12E03" w:rsidP="004B1806">
      <w:pPr>
        <w:spacing w:before="100" w:beforeAutospacing="1" w:after="120"/>
        <w:outlineLvl w:val="1"/>
        <w:rPr>
          <w:rFonts w:ascii="Arial" w:hAnsi="Arial" w:cs="Arial"/>
          <w:b/>
          <w:bCs/>
          <w:noProof/>
          <w:color w:val="1B1C1D"/>
          <w:lang w:val="en-IN" w:eastAsia="en-GB"/>
        </w:rPr>
      </w:pPr>
    </w:p>
    <w:p w14:paraId="7CC12695" w14:textId="77777777" w:rsidR="00D12E03" w:rsidRDefault="00D12E03" w:rsidP="004B1806">
      <w:pPr>
        <w:spacing w:before="100" w:beforeAutospacing="1" w:after="120"/>
        <w:outlineLvl w:val="1"/>
        <w:rPr>
          <w:rFonts w:ascii="Arial" w:hAnsi="Arial" w:cs="Arial"/>
          <w:b/>
          <w:bCs/>
          <w:noProof/>
          <w:color w:val="1B1C1D"/>
          <w:lang w:val="en-IN" w:eastAsia="en-GB"/>
        </w:rPr>
      </w:pPr>
    </w:p>
    <w:p w14:paraId="18C62F1D"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ECD16D2"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0203939"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6DF1B87" w14:textId="77777777" w:rsidR="00D12E03" w:rsidRDefault="00D12E03" w:rsidP="004B1806">
      <w:pPr>
        <w:spacing w:before="100" w:beforeAutospacing="1" w:after="120"/>
        <w:outlineLvl w:val="1"/>
        <w:rPr>
          <w:rFonts w:ascii="Arial" w:hAnsi="Arial" w:cs="Arial"/>
          <w:b/>
          <w:bCs/>
          <w:noProof/>
          <w:color w:val="1B1C1D"/>
          <w:lang w:val="en-IN" w:eastAsia="en-GB"/>
        </w:rPr>
      </w:pPr>
    </w:p>
    <w:p w14:paraId="5DDC2294" w14:textId="77777777" w:rsidR="00D12E03" w:rsidRDefault="00D12E03" w:rsidP="004B1806">
      <w:pPr>
        <w:spacing w:before="100" w:beforeAutospacing="1" w:after="120"/>
        <w:outlineLvl w:val="1"/>
        <w:rPr>
          <w:rFonts w:ascii="Arial" w:hAnsi="Arial" w:cs="Arial"/>
          <w:b/>
          <w:bCs/>
          <w:noProof/>
          <w:color w:val="1B1C1D"/>
          <w:lang w:val="en-IN" w:eastAsia="en-GB"/>
        </w:rPr>
      </w:pPr>
    </w:p>
    <w:p w14:paraId="3F56C34A"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812048D" w14:textId="77777777" w:rsidR="00D12E03" w:rsidRDefault="00D12E03" w:rsidP="004B1806">
      <w:pPr>
        <w:spacing w:before="100" w:beforeAutospacing="1" w:after="120"/>
        <w:outlineLvl w:val="1"/>
        <w:rPr>
          <w:rFonts w:ascii="Arial" w:hAnsi="Arial" w:cs="Arial"/>
          <w:b/>
          <w:bCs/>
          <w:noProof/>
          <w:color w:val="1B1C1D"/>
          <w:lang w:val="en-IN" w:eastAsia="en-GB"/>
        </w:rPr>
      </w:pPr>
    </w:p>
    <w:p w14:paraId="4DC23D7F" w14:textId="7E8ED1C2" w:rsidR="004B1806" w:rsidRPr="004B1806" w:rsidRDefault="004B1806" w:rsidP="004B1806">
      <w:pPr>
        <w:spacing w:before="100" w:beforeAutospacing="1" w:after="120"/>
        <w:outlineLvl w:val="1"/>
        <w:rPr>
          <w:rFonts w:ascii="Arial" w:hAnsi="Arial" w:cs="Arial"/>
          <w:b/>
          <w:bCs/>
          <w:noProof/>
          <w:color w:val="1B1C1D"/>
          <w:lang w:val="en-IN" w:eastAsia="en-GB"/>
        </w:rPr>
      </w:pPr>
      <w:r w:rsidRPr="004B1806">
        <w:rPr>
          <w:rFonts w:ascii="Arial" w:hAnsi="Arial" w:cs="Arial"/>
          <w:b/>
          <w:bCs/>
          <w:noProof/>
          <w:color w:val="1B1C1D"/>
          <w:lang w:val="en-IN" w:eastAsia="en-GB"/>
        </w:rPr>
        <w:t>Figure 1:</w:t>
      </w:r>
    </w:p>
    <w:p w14:paraId="6169D988" w14:textId="77777777" w:rsidR="004B1806" w:rsidRPr="004B1806" w:rsidRDefault="004B1806" w:rsidP="004B1806">
      <w:pPr>
        <w:spacing w:before="100" w:beforeAutospacing="1" w:after="120"/>
        <w:outlineLvl w:val="1"/>
        <w:rPr>
          <w:rFonts w:ascii="Arial" w:hAnsi="Arial" w:cs="Arial"/>
          <w:noProof/>
          <w:color w:val="1B1C1D"/>
          <w:lang w:val="en-IN" w:eastAsia="en-GB"/>
        </w:rPr>
      </w:pPr>
      <w:r w:rsidRPr="004B1806">
        <w:rPr>
          <w:rFonts w:ascii="Arial" w:hAnsi="Arial" w:cs="Arial"/>
          <w:noProof/>
          <w:color w:val="1B1C1D"/>
          <w:lang w:val="en-IN" w:eastAsia="en-GB"/>
        </w:rPr>
        <w:t>CT scan and gross specimen of a large right renal mass (a, b) with histopathology showing a mixture of epithelioid cells, adipocytes, thick-walled vessels, and smooth muscle (c–h), consistent with epithelioid angiomyolipoma (EAML) exhibiting features of aggressive behavior.</w:t>
      </w:r>
    </w:p>
    <w:p w14:paraId="2AC47A79" w14:textId="77777777" w:rsidR="004B1806" w:rsidRPr="004B1806" w:rsidRDefault="004B1806" w:rsidP="004B1806">
      <w:pPr>
        <w:spacing w:before="100" w:beforeAutospacing="1" w:after="120"/>
        <w:outlineLvl w:val="1"/>
        <w:rPr>
          <w:rFonts w:ascii="Times New Roman" w:hAnsi="Times New Roman"/>
          <w:noProof/>
          <w:color w:val="1B1C1D"/>
          <w:sz w:val="24"/>
          <w:szCs w:val="24"/>
          <w:lang w:val="en-IN" w:eastAsia="en-GB"/>
        </w:rPr>
      </w:pPr>
    </w:p>
    <w:p w14:paraId="37DA2989" w14:textId="77777777" w:rsidR="009A756D" w:rsidRDefault="00832F19" w:rsidP="00C1528F">
      <w:pPr>
        <w:spacing w:before="100" w:beforeAutospacing="1" w:after="120"/>
        <w:outlineLvl w:val="1"/>
        <w:rPr>
          <w:rFonts w:ascii="Arial" w:hAnsi="Arial" w:cs="Arial"/>
          <w:b/>
          <w:bCs/>
          <w:noProof/>
          <w:color w:val="1B1C1D"/>
          <w:lang w:val="en-IN" w:eastAsia="en-GB"/>
        </w:rPr>
      </w:pPr>
      <w:r>
        <w:rPr>
          <w:rFonts w:ascii="Times New Roman" w:hAnsi="Times New Roman"/>
          <w:b/>
          <w:bCs/>
          <w:noProof/>
          <w:color w:val="1B1C1D"/>
          <w:sz w:val="24"/>
          <w:szCs w:val="24"/>
          <w:lang w:val="en-GB" w:eastAsia="en-GB"/>
        </w:rPr>
        <w:drawing>
          <wp:inline distT="0" distB="0" distL="0" distR="0" wp14:anchorId="25FA51FA" wp14:editId="4FE487D6">
            <wp:extent cx="6858000" cy="4246880"/>
            <wp:effectExtent l="0" t="0" r="0" b="0"/>
            <wp:docPr id="124436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6842" name="Picture 1244368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246880"/>
                    </a:xfrm>
                    <a:prstGeom prst="rect">
                      <a:avLst/>
                    </a:prstGeom>
                  </pic:spPr>
                </pic:pic>
              </a:graphicData>
            </a:graphic>
          </wp:inline>
        </w:drawing>
      </w:r>
    </w:p>
    <w:p w14:paraId="683D2E41" w14:textId="77777777" w:rsidR="009A756D" w:rsidRDefault="009A756D" w:rsidP="00C1528F">
      <w:pPr>
        <w:spacing w:before="100" w:beforeAutospacing="1" w:after="120"/>
        <w:outlineLvl w:val="1"/>
        <w:rPr>
          <w:rFonts w:ascii="Arial" w:hAnsi="Arial" w:cs="Arial"/>
          <w:b/>
          <w:bCs/>
          <w:noProof/>
          <w:color w:val="1B1C1D"/>
          <w:lang w:val="en-IN" w:eastAsia="en-GB"/>
        </w:rPr>
      </w:pPr>
    </w:p>
    <w:p w14:paraId="227144AB" w14:textId="77777777" w:rsidR="009A756D" w:rsidRDefault="009A756D" w:rsidP="00C1528F">
      <w:pPr>
        <w:spacing w:before="100" w:beforeAutospacing="1" w:after="120"/>
        <w:outlineLvl w:val="1"/>
        <w:rPr>
          <w:rFonts w:ascii="Arial" w:hAnsi="Arial" w:cs="Arial"/>
          <w:b/>
          <w:bCs/>
          <w:noProof/>
          <w:color w:val="1B1C1D"/>
          <w:lang w:val="en-IN" w:eastAsia="en-GB"/>
        </w:rPr>
      </w:pPr>
    </w:p>
    <w:p w14:paraId="0FC91BA5" w14:textId="77777777" w:rsidR="009A756D" w:rsidRDefault="009A756D" w:rsidP="00C1528F">
      <w:pPr>
        <w:spacing w:before="100" w:beforeAutospacing="1" w:after="120"/>
        <w:outlineLvl w:val="1"/>
        <w:rPr>
          <w:rFonts w:ascii="Arial" w:hAnsi="Arial" w:cs="Arial"/>
          <w:b/>
          <w:bCs/>
          <w:noProof/>
          <w:color w:val="1B1C1D"/>
          <w:lang w:val="en-IN" w:eastAsia="en-GB"/>
        </w:rPr>
      </w:pPr>
    </w:p>
    <w:p w14:paraId="07DE3060" w14:textId="77777777" w:rsidR="009A756D" w:rsidRDefault="009A756D" w:rsidP="00C1528F">
      <w:pPr>
        <w:spacing w:before="100" w:beforeAutospacing="1" w:after="120"/>
        <w:outlineLvl w:val="1"/>
        <w:rPr>
          <w:rFonts w:ascii="Arial" w:hAnsi="Arial" w:cs="Arial"/>
          <w:b/>
          <w:bCs/>
          <w:noProof/>
          <w:color w:val="1B1C1D"/>
          <w:lang w:val="en-IN" w:eastAsia="en-GB"/>
        </w:rPr>
      </w:pPr>
    </w:p>
    <w:p w14:paraId="00F93249" w14:textId="77777777" w:rsidR="009A756D" w:rsidRDefault="009A756D" w:rsidP="00C1528F">
      <w:pPr>
        <w:spacing w:before="100" w:beforeAutospacing="1" w:after="120"/>
        <w:outlineLvl w:val="1"/>
        <w:rPr>
          <w:rFonts w:ascii="Arial" w:hAnsi="Arial" w:cs="Arial"/>
          <w:b/>
          <w:bCs/>
          <w:noProof/>
          <w:color w:val="1B1C1D"/>
          <w:lang w:val="en-IN" w:eastAsia="en-GB"/>
        </w:rPr>
      </w:pPr>
    </w:p>
    <w:p w14:paraId="7E4E9B2C"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19B7D30" w14:textId="77777777" w:rsidR="009A756D" w:rsidRDefault="009A756D" w:rsidP="00C1528F">
      <w:pPr>
        <w:spacing w:before="100" w:beforeAutospacing="1" w:after="120"/>
        <w:outlineLvl w:val="1"/>
        <w:rPr>
          <w:rFonts w:ascii="Arial" w:hAnsi="Arial" w:cs="Arial"/>
          <w:b/>
          <w:bCs/>
          <w:noProof/>
          <w:color w:val="1B1C1D"/>
          <w:lang w:val="en-IN" w:eastAsia="en-GB"/>
        </w:rPr>
      </w:pPr>
    </w:p>
    <w:p w14:paraId="6A4051E8" w14:textId="77777777" w:rsidR="009A756D" w:rsidRDefault="009A756D" w:rsidP="00C1528F">
      <w:pPr>
        <w:spacing w:before="100" w:beforeAutospacing="1" w:after="120"/>
        <w:outlineLvl w:val="1"/>
        <w:rPr>
          <w:rFonts w:ascii="Arial" w:hAnsi="Arial" w:cs="Arial"/>
          <w:b/>
          <w:bCs/>
          <w:noProof/>
          <w:color w:val="1B1C1D"/>
          <w:lang w:val="en-IN" w:eastAsia="en-GB"/>
        </w:rPr>
      </w:pPr>
    </w:p>
    <w:p w14:paraId="65CAC2A9" w14:textId="77777777" w:rsidR="009A756D" w:rsidRDefault="009A756D" w:rsidP="00C1528F">
      <w:pPr>
        <w:spacing w:before="100" w:beforeAutospacing="1" w:after="120"/>
        <w:outlineLvl w:val="1"/>
        <w:rPr>
          <w:rFonts w:ascii="Arial" w:hAnsi="Arial" w:cs="Arial"/>
          <w:b/>
          <w:bCs/>
          <w:noProof/>
          <w:color w:val="1B1C1D"/>
          <w:lang w:val="en-IN" w:eastAsia="en-GB"/>
        </w:rPr>
      </w:pPr>
    </w:p>
    <w:p w14:paraId="03B4596C"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33EF5C4" w14:textId="77777777" w:rsidR="009A756D" w:rsidRDefault="009A756D" w:rsidP="00C1528F">
      <w:pPr>
        <w:spacing w:before="100" w:beforeAutospacing="1" w:after="120"/>
        <w:outlineLvl w:val="1"/>
        <w:rPr>
          <w:rFonts w:ascii="Arial" w:hAnsi="Arial" w:cs="Arial"/>
          <w:b/>
          <w:bCs/>
          <w:noProof/>
          <w:color w:val="1B1C1D"/>
          <w:lang w:val="en-IN" w:eastAsia="en-GB"/>
        </w:rPr>
      </w:pPr>
    </w:p>
    <w:p w14:paraId="1F1140C4" w14:textId="38D735FD" w:rsidR="00C1528F" w:rsidRPr="004B1806" w:rsidRDefault="00C1528F" w:rsidP="00C1528F">
      <w:pPr>
        <w:spacing w:before="100" w:beforeAutospacing="1" w:after="120"/>
        <w:outlineLvl w:val="1"/>
        <w:rPr>
          <w:rFonts w:ascii="Times New Roman" w:hAnsi="Times New Roman"/>
          <w:b/>
          <w:bCs/>
          <w:color w:val="1B1C1D"/>
          <w:sz w:val="24"/>
          <w:szCs w:val="24"/>
          <w:lang w:val="en-IN" w:eastAsia="en-GB"/>
        </w:rPr>
      </w:pPr>
      <w:r w:rsidRPr="004B1806">
        <w:rPr>
          <w:rFonts w:ascii="Arial" w:hAnsi="Arial" w:cs="Arial"/>
          <w:b/>
          <w:bCs/>
          <w:noProof/>
          <w:color w:val="1B1C1D"/>
          <w:lang w:val="en-IN" w:eastAsia="en-GB"/>
        </w:rPr>
        <w:t>Figure 2:</w:t>
      </w:r>
      <w:r w:rsidRPr="004B1806">
        <w:rPr>
          <w:rFonts w:ascii="Arial" w:hAnsi="Arial" w:cs="Arial"/>
          <w:noProof/>
          <w:color w:val="1B1C1D"/>
          <w:lang w:val="en-IN" w:eastAsia="en-GB"/>
        </w:rPr>
        <w:br/>
        <w:t>Left renal EAML presenting with hematuria and renal pelvic invasion. CT and gross findings (a, b) with histology showing epithelioid and spindle cells, dysplastic vessels, adipose tissue (c–g), and HMB-45 positivity, suggestive of malignant potential.</w:t>
      </w:r>
    </w:p>
    <w:p w14:paraId="0D01DEB6" w14:textId="77777777" w:rsidR="00441B6F" w:rsidRDefault="00441B6F" w:rsidP="00441B6F">
      <w:pPr>
        <w:pStyle w:val="Body"/>
        <w:spacing w:after="0"/>
        <w:jc w:val="left"/>
      </w:pPr>
    </w:p>
    <w:p w14:paraId="1BC9A165" w14:textId="77777777" w:rsidR="00441B6F" w:rsidRDefault="00441B6F" w:rsidP="00441B6F">
      <w:pPr>
        <w:pStyle w:val="Body"/>
        <w:spacing w:after="0"/>
        <w:jc w:val="left"/>
        <w:rPr>
          <w:rFonts w:ascii="Arial" w:hAnsi="Arial" w:cs="Arial"/>
        </w:rPr>
      </w:pPr>
    </w:p>
    <w:p w14:paraId="214158CA" w14:textId="22952FFC" w:rsidR="00B01FCD" w:rsidRDefault="00832F19" w:rsidP="00441B6F">
      <w:pPr>
        <w:pStyle w:val="Reference"/>
        <w:numPr>
          <w:ilvl w:val="0"/>
          <w:numId w:val="0"/>
        </w:numPr>
        <w:spacing w:line="240" w:lineRule="auto"/>
        <w:rPr>
          <w:rFonts w:ascii="Arial" w:hAnsi="Arial" w:cs="Arial"/>
        </w:rPr>
      </w:pPr>
      <w:r>
        <w:rPr>
          <w:rFonts w:ascii="Arial" w:hAnsi="Arial" w:cs="Arial"/>
          <w:noProof/>
          <w:lang w:val="en-GB" w:eastAsia="en-GB"/>
        </w:rPr>
        <w:drawing>
          <wp:inline distT="0" distB="0" distL="0" distR="0" wp14:anchorId="505EA020" wp14:editId="5B93F637">
            <wp:extent cx="6858000" cy="3799840"/>
            <wp:effectExtent l="0" t="0" r="0" b="0"/>
            <wp:docPr id="1234349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49179" name="Picture 12343491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799840"/>
                    </a:xfrm>
                    <a:prstGeom prst="rect">
                      <a:avLst/>
                    </a:prstGeom>
                  </pic:spPr>
                </pic:pic>
              </a:graphicData>
            </a:graphic>
          </wp:inline>
        </w:drawing>
      </w:r>
    </w:p>
    <w:p w14:paraId="2945E9DA" w14:textId="39B24239" w:rsidR="00832F19" w:rsidRPr="00FB3A86" w:rsidRDefault="00832F19" w:rsidP="00441B6F">
      <w:pPr>
        <w:pStyle w:val="Reference"/>
        <w:numPr>
          <w:ilvl w:val="0"/>
          <w:numId w:val="0"/>
        </w:numPr>
        <w:spacing w:line="240" w:lineRule="auto"/>
        <w:rPr>
          <w:rFonts w:ascii="Arial" w:hAnsi="Arial" w:cs="Arial"/>
        </w:rPr>
      </w:pPr>
    </w:p>
    <w:p w14:paraId="09AFB095" w14:textId="77777777" w:rsidR="00817136" w:rsidRDefault="00817136" w:rsidP="00C1528F">
      <w:pPr>
        <w:spacing w:before="100" w:beforeAutospacing="1" w:after="120"/>
        <w:outlineLvl w:val="1"/>
        <w:rPr>
          <w:rFonts w:ascii="Arial" w:hAnsi="Arial" w:cs="Arial"/>
          <w:b/>
          <w:bCs/>
          <w:noProof/>
          <w:color w:val="1B1C1D"/>
          <w:lang w:val="en-IN" w:eastAsia="en-GB"/>
        </w:rPr>
      </w:pPr>
    </w:p>
    <w:p w14:paraId="3D0E4D7E" w14:textId="77777777" w:rsidR="009A756D" w:rsidRDefault="009A756D" w:rsidP="00C1528F">
      <w:pPr>
        <w:spacing w:before="100" w:beforeAutospacing="1" w:after="120"/>
        <w:outlineLvl w:val="1"/>
        <w:rPr>
          <w:rFonts w:ascii="Arial" w:hAnsi="Arial" w:cs="Arial"/>
          <w:b/>
          <w:bCs/>
          <w:noProof/>
          <w:color w:val="1B1C1D"/>
          <w:lang w:val="en-IN" w:eastAsia="en-GB"/>
        </w:rPr>
      </w:pPr>
    </w:p>
    <w:p w14:paraId="1C082DA7"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060601B"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2DB451C" w14:textId="77777777" w:rsidR="009A756D" w:rsidRDefault="009A756D" w:rsidP="00C1528F">
      <w:pPr>
        <w:spacing w:before="100" w:beforeAutospacing="1" w:after="120"/>
        <w:outlineLvl w:val="1"/>
        <w:rPr>
          <w:rFonts w:ascii="Arial" w:hAnsi="Arial" w:cs="Arial"/>
          <w:b/>
          <w:bCs/>
          <w:noProof/>
          <w:color w:val="1B1C1D"/>
          <w:lang w:val="en-IN" w:eastAsia="en-GB"/>
        </w:rPr>
      </w:pPr>
    </w:p>
    <w:p w14:paraId="441DC262"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95FB681" w14:textId="77777777" w:rsidR="009A756D" w:rsidRDefault="009A756D" w:rsidP="00C1528F">
      <w:pPr>
        <w:spacing w:before="100" w:beforeAutospacing="1" w:after="120"/>
        <w:outlineLvl w:val="1"/>
        <w:rPr>
          <w:rFonts w:ascii="Arial" w:hAnsi="Arial" w:cs="Arial"/>
          <w:b/>
          <w:bCs/>
          <w:noProof/>
          <w:color w:val="1B1C1D"/>
          <w:lang w:val="en-IN" w:eastAsia="en-GB"/>
        </w:rPr>
      </w:pPr>
    </w:p>
    <w:p w14:paraId="39A1048D" w14:textId="77777777" w:rsidR="009A756D" w:rsidRDefault="009A756D" w:rsidP="00C1528F">
      <w:pPr>
        <w:spacing w:before="100" w:beforeAutospacing="1" w:after="120"/>
        <w:outlineLvl w:val="1"/>
        <w:rPr>
          <w:rFonts w:ascii="Arial" w:hAnsi="Arial" w:cs="Arial"/>
          <w:b/>
          <w:bCs/>
          <w:noProof/>
          <w:color w:val="1B1C1D"/>
          <w:lang w:val="en-IN" w:eastAsia="en-GB"/>
        </w:rPr>
      </w:pPr>
    </w:p>
    <w:p w14:paraId="1A0CECE3" w14:textId="77777777" w:rsidR="009A756D" w:rsidRDefault="009A756D" w:rsidP="00C1528F">
      <w:pPr>
        <w:spacing w:before="100" w:beforeAutospacing="1" w:after="120"/>
        <w:outlineLvl w:val="1"/>
        <w:rPr>
          <w:rFonts w:ascii="Arial" w:hAnsi="Arial" w:cs="Arial"/>
          <w:b/>
          <w:bCs/>
          <w:noProof/>
          <w:color w:val="1B1C1D"/>
          <w:lang w:val="en-IN" w:eastAsia="en-GB"/>
        </w:rPr>
      </w:pPr>
    </w:p>
    <w:p w14:paraId="7FF090F9" w14:textId="77777777" w:rsidR="009A756D" w:rsidRDefault="009A756D" w:rsidP="00C1528F">
      <w:pPr>
        <w:spacing w:before="100" w:beforeAutospacing="1" w:after="120"/>
        <w:outlineLvl w:val="1"/>
        <w:rPr>
          <w:rFonts w:ascii="Arial" w:hAnsi="Arial" w:cs="Arial"/>
          <w:b/>
          <w:bCs/>
          <w:noProof/>
          <w:color w:val="1B1C1D"/>
          <w:lang w:val="en-IN" w:eastAsia="en-GB"/>
        </w:rPr>
      </w:pPr>
    </w:p>
    <w:p w14:paraId="72CEC184" w14:textId="77777777" w:rsidR="009A756D" w:rsidRDefault="009A756D" w:rsidP="00C1528F">
      <w:pPr>
        <w:spacing w:before="100" w:beforeAutospacing="1" w:after="120"/>
        <w:outlineLvl w:val="1"/>
        <w:rPr>
          <w:rFonts w:ascii="Arial" w:hAnsi="Arial" w:cs="Arial"/>
          <w:b/>
          <w:bCs/>
          <w:noProof/>
          <w:color w:val="1B1C1D"/>
          <w:lang w:val="en-IN" w:eastAsia="en-GB"/>
        </w:rPr>
      </w:pPr>
    </w:p>
    <w:p w14:paraId="1C6C969F" w14:textId="77777777" w:rsidR="009A756D" w:rsidRDefault="009A756D" w:rsidP="00C1528F">
      <w:pPr>
        <w:spacing w:before="100" w:beforeAutospacing="1" w:after="120"/>
        <w:outlineLvl w:val="1"/>
        <w:rPr>
          <w:rFonts w:ascii="Arial" w:hAnsi="Arial" w:cs="Arial"/>
          <w:b/>
          <w:bCs/>
          <w:noProof/>
          <w:color w:val="1B1C1D"/>
          <w:lang w:val="en-IN" w:eastAsia="en-GB"/>
        </w:rPr>
      </w:pPr>
    </w:p>
    <w:p w14:paraId="42B2F838" w14:textId="740AF707" w:rsidR="00C1528F" w:rsidRPr="004B1806" w:rsidRDefault="00C1528F" w:rsidP="00C1528F">
      <w:pPr>
        <w:spacing w:before="100" w:beforeAutospacing="1" w:after="120"/>
        <w:outlineLvl w:val="1"/>
        <w:rPr>
          <w:rFonts w:ascii="Arial" w:hAnsi="Arial" w:cs="Arial"/>
          <w:noProof/>
          <w:color w:val="1B1C1D"/>
          <w:lang w:val="en-IN" w:eastAsia="en-GB"/>
        </w:rPr>
      </w:pPr>
      <w:r w:rsidRPr="004B1806">
        <w:rPr>
          <w:rFonts w:ascii="Arial" w:hAnsi="Arial" w:cs="Arial"/>
          <w:b/>
          <w:bCs/>
          <w:noProof/>
          <w:color w:val="1B1C1D"/>
          <w:lang w:val="en-IN" w:eastAsia="en-GB"/>
        </w:rPr>
        <w:t>Figure 3:</w:t>
      </w:r>
      <w:r w:rsidRPr="004B1806">
        <w:rPr>
          <w:rFonts w:ascii="Arial" w:hAnsi="Arial" w:cs="Arial"/>
          <w:noProof/>
          <w:color w:val="1B1C1D"/>
          <w:lang w:val="en-IN" w:eastAsia="en-GB"/>
        </w:rPr>
        <w:br/>
        <w:t>Bilateral AMLs in a patient with renal dysfunction. Ultrasound and gross appearance of left-sided tumor (a, b), with classical triphasic histology comprising adipose tissue, smooth muscle, and vessels (c–e), confirming AML morphology with epithelioid areas.</w:t>
      </w:r>
    </w:p>
    <w:p w14:paraId="07326309" w14:textId="77777777" w:rsidR="00B01FCD" w:rsidRPr="00FB3A86" w:rsidRDefault="00B01FCD" w:rsidP="00441B6F">
      <w:pPr>
        <w:pStyle w:val="Appendix"/>
        <w:spacing w:after="0"/>
        <w:jc w:val="both"/>
        <w:rPr>
          <w:rFonts w:ascii="Arial" w:hAnsi="Arial" w:cs="Arial"/>
          <w:b w:val="0"/>
        </w:rPr>
      </w:pPr>
    </w:p>
    <w:p w14:paraId="0051163D" w14:textId="06A362E5" w:rsidR="00603B95" w:rsidRPr="00FB3A86" w:rsidRDefault="00817136">
      <w:pPr>
        <w:pStyle w:val="Appendix"/>
        <w:spacing w:after="0"/>
        <w:jc w:val="both"/>
        <w:rPr>
          <w:rFonts w:ascii="Arial" w:hAnsi="Arial" w:cs="Arial"/>
          <w:b w:val="0"/>
        </w:rPr>
      </w:pPr>
      <w:r>
        <w:rPr>
          <w:rFonts w:ascii="Arial" w:hAnsi="Arial" w:cs="Arial"/>
          <w:noProof/>
          <w:lang w:val="en-GB" w:eastAsia="en-GB"/>
        </w:rPr>
        <w:drawing>
          <wp:inline distT="0" distB="0" distL="0" distR="0" wp14:anchorId="4515AB08" wp14:editId="326234EE">
            <wp:extent cx="6858000" cy="3857625"/>
            <wp:effectExtent l="0" t="0" r="0" b="0"/>
            <wp:docPr id="1672654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54688" name="Picture 16726546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sectPr w:rsidR="00603B95" w:rsidRPr="00FB3A86" w:rsidSect="00603B95">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95679" w14:textId="77777777" w:rsidR="005C149B" w:rsidRDefault="005C149B" w:rsidP="00C37E61">
      <w:r>
        <w:separator/>
      </w:r>
    </w:p>
  </w:endnote>
  <w:endnote w:type="continuationSeparator" w:id="0">
    <w:p w14:paraId="1BE5C910" w14:textId="77777777" w:rsidR="005C149B" w:rsidRDefault="005C149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0405" w14:textId="77777777" w:rsidR="00C94830" w:rsidRDefault="00C9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CF7D9" w14:textId="77777777" w:rsidR="00C94830" w:rsidRDefault="00C948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AB520" w14:textId="664543F9" w:rsidR="00754C9A" w:rsidRPr="00603B95" w:rsidRDefault="00754C9A" w:rsidP="00603B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6F4F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6B9C0" w14:textId="77777777" w:rsidR="005C149B" w:rsidRDefault="005C149B" w:rsidP="00C37E61">
      <w:r>
        <w:separator/>
      </w:r>
    </w:p>
  </w:footnote>
  <w:footnote w:type="continuationSeparator" w:id="0">
    <w:p w14:paraId="405BE355" w14:textId="77777777" w:rsidR="005C149B" w:rsidRDefault="005C149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4956B" w14:textId="1836E0C5" w:rsidR="00C94830" w:rsidRDefault="005C149B">
    <w:pPr>
      <w:pStyle w:val="Header"/>
    </w:pPr>
    <w:r>
      <w:rPr>
        <w:noProof/>
      </w:rPr>
      <w:pict w14:anchorId="7FDB3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FDFF" w14:textId="640BA4C8" w:rsidR="00C94830" w:rsidRDefault="005C149B">
    <w:pPr>
      <w:pStyle w:val="Header"/>
    </w:pPr>
    <w:r>
      <w:rPr>
        <w:noProof/>
      </w:rPr>
      <w:pict w14:anchorId="0718F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0776A" w14:textId="68AAD321" w:rsidR="00296529" w:rsidRPr="00296529" w:rsidRDefault="005C149B" w:rsidP="00296529">
    <w:pPr>
      <w:ind w:left="2160"/>
      <w:jc w:val="center"/>
      <w:rPr>
        <w:rFonts w:ascii="Times New Roman" w:eastAsia="Calibri" w:hAnsi="Times New Roman"/>
        <w:i/>
        <w:sz w:val="18"/>
        <w:szCs w:val="22"/>
      </w:rPr>
    </w:pPr>
    <w:r>
      <w:rPr>
        <w:noProof/>
      </w:rPr>
      <w:pict w14:anchorId="29BD9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781F4A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9367A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FC92B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94510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F5C4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6FE5C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F5354" w14:textId="02A4075B" w:rsidR="00C94830" w:rsidRDefault="005C149B">
    <w:pPr>
      <w:pStyle w:val="Header"/>
    </w:pPr>
    <w:r>
      <w:rPr>
        <w:noProof/>
      </w:rPr>
      <w:pict w14:anchorId="50770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794D6" w14:textId="35F2783E" w:rsidR="00C94830" w:rsidRDefault="005C149B">
    <w:pPr>
      <w:pStyle w:val="Header"/>
    </w:pPr>
    <w:r>
      <w:rPr>
        <w:noProof/>
      </w:rPr>
      <w:pict w14:anchorId="571AB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8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15AE0" w14:textId="6B335360" w:rsidR="00C94830" w:rsidRDefault="005C149B">
    <w:pPr>
      <w:pStyle w:val="Header"/>
    </w:pPr>
    <w:r>
      <w:rPr>
        <w:noProof/>
      </w:rPr>
      <w:pict w14:anchorId="0B663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66887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7020811"/>
    <w:multiLevelType w:val="multilevel"/>
    <w:tmpl w:val="484E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993398"/>
    <w:multiLevelType w:val="multilevel"/>
    <w:tmpl w:val="0D9A4E96"/>
    <w:lvl w:ilvl="0">
      <w:start w:val="1"/>
      <w:numFmt w:val="decimal"/>
      <w:lvlText w:val="%1."/>
      <w:lvlJc w:val="left"/>
      <w:pPr>
        <w:tabs>
          <w:tab w:val="num" w:pos="1069"/>
        </w:tabs>
        <w:ind w:left="106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8"/>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1A80"/>
    <w:rsid w:val="0001044A"/>
    <w:rsid w:val="00030174"/>
    <w:rsid w:val="0004579C"/>
    <w:rsid w:val="00057112"/>
    <w:rsid w:val="000610C8"/>
    <w:rsid w:val="000839BB"/>
    <w:rsid w:val="000A47FA"/>
    <w:rsid w:val="000A65D3"/>
    <w:rsid w:val="000B1E33"/>
    <w:rsid w:val="000D689F"/>
    <w:rsid w:val="000E0ECB"/>
    <w:rsid w:val="000E7B7B"/>
    <w:rsid w:val="000E7D62"/>
    <w:rsid w:val="000F3BB2"/>
    <w:rsid w:val="00103357"/>
    <w:rsid w:val="00111C01"/>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36C0D"/>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740A"/>
    <w:rsid w:val="003512C2"/>
    <w:rsid w:val="00371FB6"/>
    <w:rsid w:val="003763C1"/>
    <w:rsid w:val="00376BBE"/>
    <w:rsid w:val="0039224F"/>
    <w:rsid w:val="003A3A0A"/>
    <w:rsid w:val="003A43A4"/>
    <w:rsid w:val="003A7E18"/>
    <w:rsid w:val="003C4C86"/>
    <w:rsid w:val="003C6258"/>
    <w:rsid w:val="003E2904"/>
    <w:rsid w:val="00401927"/>
    <w:rsid w:val="0041027F"/>
    <w:rsid w:val="00412475"/>
    <w:rsid w:val="00423789"/>
    <w:rsid w:val="00440F43"/>
    <w:rsid w:val="00441B6F"/>
    <w:rsid w:val="00446221"/>
    <w:rsid w:val="00450B86"/>
    <w:rsid w:val="00450E62"/>
    <w:rsid w:val="004539DB"/>
    <w:rsid w:val="00471A80"/>
    <w:rsid w:val="004B1806"/>
    <w:rsid w:val="004D305E"/>
    <w:rsid w:val="004D4277"/>
    <w:rsid w:val="00502516"/>
    <w:rsid w:val="00505F06"/>
    <w:rsid w:val="00506828"/>
    <w:rsid w:val="0053056E"/>
    <w:rsid w:val="0055479C"/>
    <w:rsid w:val="00554FDA"/>
    <w:rsid w:val="00566516"/>
    <w:rsid w:val="005703AD"/>
    <w:rsid w:val="005C149B"/>
    <w:rsid w:val="005C784C"/>
    <w:rsid w:val="005D17F6"/>
    <w:rsid w:val="005E5539"/>
    <w:rsid w:val="00602BF5"/>
    <w:rsid w:val="00603B95"/>
    <w:rsid w:val="00617FDD"/>
    <w:rsid w:val="00633614"/>
    <w:rsid w:val="00633F68"/>
    <w:rsid w:val="00634B92"/>
    <w:rsid w:val="00636EB2"/>
    <w:rsid w:val="006375B8"/>
    <w:rsid w:val="00643588"/>
    <w:rsid w:val="00656B92"/>
    <w:rsid w:val="0066168D"/>
    <w:rsid w:val="0066510A"/>
    <w:rsid w:val="00673F9F"/>
    <w:rsid w:val="00686953"/>
    <w:rsid w:val="00687DEA"/>
    <w:rsid w:val="00687E67"/>
    <w:rsid w:val="006967F7"/>
    <w:rsid w:val="006A250C"/>
    <w:rsid w:val="006B21D3"/>
    <w:rsid w:val="006B57D0"/>
    <w:rsid w:val="006C3E1F"/>
    <w:rsid w:val="006D30FF"/>
    <w:rsid w:val="006D6940"/>
    <w:rsid w:val="006F11EC"/>
    <w:rsid w:val="0070082C"/>
    <w:rsid w:val="007117EB"/>
    <w:rsid w:val="007369E6"/>
    <w:rsid w:val="00746E59"/>
    <w:rsid w:val="00754C9A"/>
    <w:rsid w:val="0075599A"/>
    <w:rsid w:val="00761D52"/>
    <w:rsid w:val="007627B1"/>
    <w:rsid w:val="00770537"/>
    <w:rsid w:val="0077749E"/>
    <w:rsid w:val="00790ADA"/>
    <w:rsid w:val="007D2288"/>
    <w:rsid w:val="007E088F"/>
    <w:rsid w:val="007F7B32"/>
    <w:rsid w:val="00804BC2"/>
    <w:rsid w:val="0081431A"/>
    <w:rsid w:val="00817136"/>
    <w:rsid w:val="008209A0"/>
    <w:rsid w:val="0083216F"/>
    <w:rsid w:val="00832F19"/>
    <w:rsid w:val="00860000"/>
    <w:rsid w:val="00863BD3"/>
    <w:rsid w:val="008641ED"/>
    <w:rsid w:val="00866D66"/>
    <w:rsid w:val="008671C6"/>
    <w:rsid w:val="00874B36"/>
    <w:rsid w:val="00875803"/>
    <w:rsid w:val="008B459E"/>
    <w:rsid w:val="008C35C9"/>
    <w:rsid w:val="008D5A88"/>
    <w:rsid w:val="008E13AE"/>
    <w:rsid w:val="008E1506"/>
    <w:rsid w:val="008E710C"/>
    <w:rsid w:val="008F1B22"/>
    <w:rsid w:val="008F69D6"/>
    <w:rsid w:val="00902823"/>
    <w:rsid w:val="00911995"/>
    <w:rsid w:val="00915CA6"/>
    <w:rsid w:val="00927834"/>
    <w:rsid w:val="009500A6"/>
    <w:rsid w:val="00957C18"/>
    <w:rsid w:val="009659BA"/>
    <w:rsid w:val="00983040"/>
    <w:rsid w:val="009968DD"/>
    <w:rsid w:val="009A756D"/>
    <w:rsid w:val="009B3FB9"/>
    <w:rsid w:val="009C2465"/>
    <w:rsid w:val="009D35A0"/>
    <w:rsid w:val="009D7EB7"/>
    <w:rsid w:val="009E048A"/>
    <w:rsid w:val="009E08E9"/>
    <w:rsid w:val="009E3DB9"/>
    <w:rsid w:val="009E6E35"/>
    <w:rsid w:val="009F0EDA"/>
    <w:rsid w:val="009F3378"/>
    <w:rsid w:val="009F3874"/>
    <w:rsid w:val="00A03B96"/>
    <w:rsid w:val="00A05B19"/>
    <w:rsid w:val="00A1134E"/>
    <w:rsid w:val="00A24E7E"/>
    <w:rsid w:val="00A258C3"/>
    <w:rsid w:val="00A347C0"/>
    <w:rsid w:val="00A51431"/>
    <w:rsid w:val="00A539AD"/>
    <w:rsid w:val="00A81461"/>
    <w:rsid w:val="00A94063"/>
    <w:rsid w:val="00AA6219"/>
    <w:rsid w:val="00AA74E0"/>
    <w:rsid w:val="00AB703F"/>
    <w:rsid w:val="00AC6BB8"/>
    <w:rsid w:val="00AE008F"/>
    <w:rsid w:val="00B01FCD"/>
    <w:rsid w:val="00B1776C"/>
    <w:rsid w:val="00B370AA"/>
    <w:rsid w:val="00B52583"/>
    <w:rsid w:val="00B52896"/>
    <w:rsid w:val="00B95236"/>
    <w:rsid w:val="00B96BD9"/>
    <w:rsid w:val="00BA1B01"/>
    <w:rsid w:val="00BA2641"/>
    <w:rsid w:val="00BB37AA"/>
    <w:rsid w:val="00BB7381"/>
    <w:rsid w:val="00BC0C58"/>
    <w:rsid w:val="00BC53A0"/>
    <w:rsid w:val="00BE62AD"/>
    <w:rsid w:val="00BF121F"/>
    <w:rsid w:val="00BF1F80"/>
    <w:rsid w:val="00C016CB"/>
    <w:rsid w:val="00C1528F"/>
    <w:rsid w:val="00C166EF"/>
    <w:rsid w:val="00C17EB0"/>
    <w:rsid w:val="00C27F5F"/>
    <w:rsid w:val="00C30A0F"/>
    <w:rsid w:val="00C37E61"/>
    <w:rsid w:val="00C70F1B"/>
    <w:rsid w:val="00C71A47"/>
    <w:rsid w:val="00C73F78"/>
    <w:rsid w:val="00C7464C"/>
    <w:rsid w:val="00C85588"/>
    <w:rsid w:val="00C94830"/>
    <w:rsid w:val="00CD6755"/>
    <w:rsid w:val="00CD6856"/>
    <w:rsid w:val="00CE0089"/>
    <w:rsid w:val="00CE793C"/>
    <w:rsid w:val="00CF193C"/>
    <w:rsid w:val="00D12E03"/>
    <w:rsid w:val="00D173F1"/>
    <w:rsid w:val="00D74CB0"/>
    <w:rsid w:val="00D8295D"/>
    <w:rsid w:val="00DC2A65"/>
    <w:rsid w:val="00DD49FA"/>
    <w:rsid w:val="00DE15F0"/>
    <w:rsid w:val="00DE5663"/>
    <w:rsid w:val="00DE78AA"/>
    <w:rsid w:val="00E00E2A"/>
    <w:rsid w:val="00E053D0"/>
    <w:rsid w:val="00E15994"/>
    <w:rsid w:val="00E170FC"/>
    <w:rsid w:val="00E3114E"/>
    <w:rsid w:val="00E31A70"/>
    <w:rsid w:val="00E35B02"/>
    <w:rsid w:val="00E66496"/>
    <w:rsid w:val="00E66B35"/>
    <w:rsid w:val="00E66E10"/>
    <w:rsid w:val="00E769F6"/>
    <w:rsid w:val="00E8407C"/>
    <w:rsid w:val="00E84F3C"/>
    <w:rsid w:val="00EA012C"/>
    <w:rsid w:val="00EB3373"/>
    <w:rsid w:val="00EB35A5"/>
    <w:rsid w:val="00EC6A55"/>
    <w:rsid w:val="00ED0288"/>
    <w:rsid w:val="00EE52CB"/>
    <w:rsid w:val="00EE7B21"/>
    <w:rsid w:val="00EF3F8F"/>
    <w:rsid w:val="00EF581D"/>
    <w:rsid w:val="00EF7FD8"/>
    <w:rsid w:val="00F06F59"/>
    <w:rsid w:val="00F17988"/>
    <w:rsid w:val="00F376D8"/>
    <w:rsid w:val="00F469F0"/>
    <w:rsid w:val="00F53273"/>
    <w:rsid w:val="00F755E4"/>
    <w:rsid w:val="00F77D02"/>
    <w:rsid w:val="00F801D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33705A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E0EC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A3A0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0E0EC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057112"/>
    <w:pPr>
      <w:ind w:left="720"/>
      <w:contextualSpacing/>
    </w:pPr>
  </w:style>
  <w:style w:type="character" w:customStyle="1" w:styleId="Heading3Char">
    <w:name w:val="Heading 3 Char"/>
    <w:basedOn w:val="DefaultParagraphFont"/>
    <w:link w:val="Heading3"/>
    <w:semiHidden/>
    <w:rsid w:val="003A3A0A"/>
    <w:rPr>
      <w:rFonts w:asciiTheme="majorHAnsi" w:eastAsiaTheme="majorEastAsia" w:hAnsiTheme="majorHAnsi" w:cstheme="majorBidi"/>
      <w:color w:val="243F60" w:themeColor="accent1" w:themeShade="7F"/>
      <w:sz w:val="24"/>
      <w:szCs w:val="24"/>
    </w:rPr>
  </w:style>
  <w:style w:type="paragraph" w:styleId="NormalWeb">
    <w:name w:val="Normal (Web)"/>
    <w:basedOn w:val="Normal"/>
    <w:semiHidden/>
    <w:unhideWhenUsed/>
    <w:rsid w:val="003A3A0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5973402">
      <w:bodyDiv w:val="1"/>
      <w:marLeft w:val="0"/>
      <w:marRight w:val="0"/>
      <w:marTop w:val="0"/>
      <w:marBottom w:val="0"/>
      <w:divBdr>
        <w:top w:val="none" w:sz="0" w:space="0" w:color="auto"/>
        <w:left w:val="none" w:sz="0" w:space="0" w:color="auto"/>
        <w:bottom w:val="none" w:sz="0" w:space="0" w:color="auto"/>
        <w:right w:val="none" w:sz="0" w:space="0" w:color="auto"/>
      </w:divBdr>
    </w:div>
    <w:div w:id="13083370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744662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3296491">
      <w:bodyDiv w:val="1"/>
      <w:marLeft w:val="0"/>
      <w:marRight w:val="0"/>
      <w:marTop w:val="0"/>
      <w:marBottom w:val="0"/>
      <w:divBdr>
        <w:top w:val="none" w:sz="0" w:space="0" w:color="auto"/>
        <w:left w:val="none" w:sz="0" w:space="0" w:color="auto"/>
        <w:bottom w:val="none" w:sz="0" w:space="0" w:color="auto"/>
        <w:right w:val="none" w:sz="0" w:space="0" w:color="auto"/>
      </w:divBdr>
    </w:div>
    <w:div w:id="250437343">
      <w:bodyDiv w:val="1"/>
      <w:marLeft w:val="0"/>
      <w:marRight w:val="0"/>
      <w:marTop w:val="0"/>
      <w:marBottom w:val="0"/>
      <w:divBdr>
        <w:top w:val="none" w:sz="0" w:space="0" w:color="auto"/>
        <w:left w:val="none" w:sz="0" w:space="0" w:color="auto"/>
        <w:bottom w:val="none" w:sz="0" w:space="0" w:color="auto"/>
        <w:right w:val="none" w:sz="0" w:space="0" w:color="auto"/>
      </w:divBdr>
    </w:div>
    <w:div w:id="406809588">
      <w:bodyDiv w:val="1"/>
      <w:marLeft w:val="0"/>
      <w:marRight w:val="0"/>
      <w:marTop w:val="0"/>
      <w:marBottom w:val="0"/>
      <w:divBdr>
        <w:top w:val="none" w:sz="0" w:space="0" w:color="auto"/>
        <w:left w:val="none" w:sz="0" w:space="0" w:color="auto"/>
        <w:bottom w:val="none" w:sz="0" w:space="0" w:color="auto"/>
        <w:right w:val="none" w:sz="0" w:space="0" w:color="auto"/>
      </w:divBdr>
      <w:divsChild>
        <w:div w:id="444006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0982555">
      <w:bodyDiv w:val="1"/>
      <w:marLeft w:val="0"/>
      <w:marRight w:val="0"/>
      <w:marTop w:val="0"/>
      <w:marBottom w:val="0"/>
      <w:divBdr>
        <w:top w:val="none" w:sz="0" w:space="0" w:color="auto"/>
        <w:left w:val="none" w:sz="0" w:space="0" w:color="auto"/>
        <w:bottom w:val="none" w:sz="0" w:space="0" w:color="auto"/>
        <w:right w:val="none" w:sz="0" w:space="0" w:color="auto"/>
      </w:divBdr>
    </w:div>
    <w:div w:id="60404595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1468722">
      <w:bodyDiv w:val="1"/>
      <w:marLeft w:val="0"/>
      <w:marRight w:val="0"/>
      <w:marTop w:val="0"/>
      <w:marBottom w:val="0"/>
      <w:divBdr>
        <w:top w:val="none" w:sz="0" w:space="0" w:color="auto"/>
        <w:left w:val="none" w:sz="0" w:space="0" w:color="auto"/>
        <w:bottom w:val="none" w:sz="0" w:space="0" w:color="auto"/>
        <w:right w:val="none" w:sz="0" w:space="0" w:color="auto"/>
      </w:divBdr>
    </w:div>
    <w:div w:id="89235155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9043810">
      <w:bodyDiv w:val="1"/>
      <w:marLeft w:val="0"/>
      <w:marRight w:val="0"/>
      <w:marTop w:val="0"/>
      <w:marBottom w:val="0"/>
      <w:divBdr>
        <w:top w:val="none" w:sz="0" w:space="0" w:color="auto"/>
        <w:left w:val="none" w:sz="0" w:space="0" w:color="auto"/>
        <w:bottom w:val="none" w:sz="0" w:space="0" w:color="auto"/>
        <w:right w:val="none" w:sz="0" w:space="0" w:color="auto"/>
      </w:divBdr>
      <w:divsChild>
        <w:div w:id="349532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8853468">
      <w:bodyDiv w:val="1"/>
      <w:marLeft w:val="0"/>
      <w:marRight w:val="0"/>
      <w:marTop w:val="0"/>
      <w:marBottom w:val="0"/>
      <w:divBdr>
        <w:top w:val="none" w:sz="0" w:space="0" w:color="auto"/>
        <w:left w:val="none" w:sz="0" w:space="0" w:color="auto"/>
        <w:bottom w:val="none" w:sz="0" w:space="0" w:color="auto"/>
        <w:right w:val="none" w:sz="0" w:space="0" w:color="auto"/>
      </w:divBdr>
    </w:div>
    <w:div w:id="1293901347">
      <w:bodyDiv w:val="1"/>
      <w:marLeft w:val="0"/>
      <w:marRight w:val="0"/>
      <w:marTop w:val="0"/>
      <w:marBottom w:val="0"/>
      <w:divBdr>
        <w:top w:val="none" w:sz="0" w:space="0" w:color="auto"/>
        <w:left w:val="none" w:sz="0" w:space="0" w:color="auto"/>
        <w:bottom w:val="none" w:sz="0" w:space="0" w:color="auto"/>
        <w:right w:val="none" w:sz="0" w:space="0" w:color="auto"/>
      </w:divBdr>
    </w:div>
    <w:div w:id="1343161970">
      <w:bodyDiv w:val="1"/>
      <w:marLeft w:val="0"/>
      <w:marRight w:val="0"/>
      <w:marTop w:val="0"/>
      <w:marBottom w:val="0"/>
      <w:divBdr>
        <w:top w:val="none" w:sz="0" w:space="0" w:color="auto"/>
        <w:left w:val="none" w:sz="0" w:space="0" w:color="auto"/>
        <w:bottom w:val="none" w:sz="0" w:space="0" w:color="auto"/>
        <w:right w:val="none" w:sz="0" w:space="0" w:color="auto"/>
      </w:divBdr>
    </w:div>
    <w:div w:id="1367948554">
      <w:bodyDiv w:val="1"/>
      <w:marLeft w:val="0"/>
      <w:marRight w:val="0"/>
      <w:marTop w:val="0"/>
      <w:marBottom w:val="0"/>
      <w:divBdr>
        <w:top w:val="none" w:sz="0" w:space="0" w:color="auto"/>
        <w:left w:val="none" w:sz="0" w:space="0" w:color="auto"/>
        <w:bottom w:val="none" w:sz="0" w:space="0" w:color="auto"/>
        <w:right w:val="none" w:sz="0" w:space="0" w:color="auto"/>
      </w:divBdr>
    </w:div>
    <w:div w:id="1418020283">
      <w:bodyDiv w:val="1"/>
      <w:marLeft w:val="0"/>
      <w:marRight w:val="0"/>
      <w:marTop w:val="0"/>
      <w:marBottom w:val="0"/>
      <w:divBdr>
        <w:top w:val="none" w:sz="0" w:space="0" w:color="auto"/>
        <w:left w:val="none" w:sz="0" w:space="0" w:color="auto"/>
        <w:bottom w:val="none" w:sz="0" w:space="0" w:color="auto"/>
        <w:right w:val="none" w:sz="0" w:space="0" w:color="auto"/>
      </w:divBdr>
    </w:div>
    <w:div w:id="142842344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1834145">
      <w:bodyDiv w:val="1"/>
      <w:marLeft w:val="0"/>
      <w:marRight w:val="0"/>
      <w:marTop w:val="0"/>
      <w:marBottom w:val="0"/>
      <w:divBdr>
        <w:top w:val="none" w:sz="0" w:space="0" w:color="auto"/>
        <w:left w:val="none" w:sz="0" w:space="0" w:color="auto"/>
        <w:bottom w:val="none" w:sz="0" w:space="0" w:color="auto"/>
        <w:right w:val="none" w:sz="0" w:space="0" w:color="auto"/>
      </w:divBdr>
    </w:div>
    <w:div w:id="194283606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29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93905-856A-4844-A58A-6948C278F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11</Pages>
  <Words>3047</Words>
  <Characters>17373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20380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7</cp:revision>
  <cp:lastPrinted>1999-07-06T11:00:00Z</cp:lastPrinted>
  <dcterms:created xsi:type="dcterms:W3CDTF">2025-07-09T14:44:00Z</dcterms:created>
  <dcterms:modified xsi:type="dcterms:W3CDTF">2025-07-11T07:43:00Z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f6df0039-a8bf-45d5-9e85-037afb8e5c9c</vt:lpwstr>
  </property>
</Properties>
</file>