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3F9CE" w14:textId="77777777" w:rsidR="004A2D0B" w:rsidRDefault="004A2D0B" w:rsidP="00774442">
      <w:pPr>
        <w:jc w:val="both"/>
        <w:rPr>
          <w:rFonts w:ascii="Times New Roman" w:hAnsi="Times New Roman" w:cs="Times New Roman"/>
          <w:b/>
          <w:bCs/>
        </w:rPr>
      </w:pPr>
    </w:p>
    <w:p w14:paraId="01A8DFA3" w14:textId="6E474E4E" w:rsidR="00455D5E" w:rsidRDefault="007E55B1" w:rsidP="00774442">
      <w:pPr>
        <w:jc w:val="both"/>
        <w:rPr>
          <w:rFonts w:ascii="Times New Roman" w:hAnsi="Times New Roman" w:cs="Times New Roman"/>
          <w:b/>
          <w:bCs/>
        </w:rPr>
      </w:pPr>
      <w:r w:rsidRPr="00036AA6">
        <w:rPr>
          <w:rFonts w:ascii="Times New Roman" w:hAnsi="Times New Roman" w:cs="Times New Roman"/>
          <w:b/>
          <w:bCs/>
        </w:rPr>
        <w:t xml:space="preserve">Long-Term Impact of Saroglitazar on </w:t>
      </w:r>
      <w:r w:rsidR="00EE7484">
        <w:rPr>
          <w:rFonts w:ascii="Times New Roman" w:hAnsi="Times New Roman" w:cs="Times New Roman"/>
          <w:b/>
          <w:bCs/>
        </w:rPr>
        <w:t xml:space="preserve">Advanced </w:t>
      </w:r>
      <w:r w:rsidRPr="00036AA6">
        <w:rPr>
          <w:rFonts w:ascii="Times New Roman" w:hAnsi="Times New Roman" w:cs="Times New Roman"/>
          <w:b/>
          <w:bCs/>
        </w:rPr>
        <w:t xml:space="preserve">Hepatic Fibrosis and Metabolic Dysfunction in MASLD </w:t>
      </w:r>
      <w:r w:rsidR="00EE7484">
        <w:rPr>
          <w:rFonts w:ascii="Times New Roman" w:hAnsi="Times New Roman" w:cs="Times New Roman"/>
          <w:b/>
          <w:bCs/>
        </w:rPr>
        <w:t>patients</w:t>
      </w:r>
      <w:r w:rsidRPr="00036AA6">
        <w:rPr>
          <w:rFonts w:ascii="Times New Roman" w:hAnsi="Times New Roman" w:cs="Times New Roman"/>
          <w:b/>
          <w:bCs/>
        </w:rPr>
        <w:t xml:space="preserve">: A </w:t>
      </w:r>
      <w:r w:rsidR="00455D5E" w:rsidRPr="00036AA6">
        <w:rPr>
          <w:rFonts w:ascii="Times New Roman" w:hAnsi="Times New Roman" w:cs="Times New Roman"/>
          <w:b/>
          <w:bCs/>
        </w:rPr>
        <w:t>Two-Year Case Series</w:t>
      </w:r>
    </w:p>
    <w:p w14:paraId="47755845" w14:textId="77777777" w:rsidR="00944C80" w:rsidRDefault="00944C80" w:rsidP="00774442">
      <w:pPr>
        <w:jc w:val="both"/>
        <w:rPr>
          <w:rFonts w:ascii="Times New Roman" w:hAnsi="Times New Roman" w:cs="Times New Roman"/>
          <w:b/>
          <w:bCs/>
        </w:rPr>
      </w:pPr>
    </w:p>
    <w:p w14:paraId="74CB9E1F" w14:textId="1FB86FE1" w:rsidR="00774442" w:rsidRPr="00036AA6" w:rsidRDefault="00774442" w:rsidP="00774442">
      <w:pPr>
        <w:jc w:val="both"/>
        <w:rPr>
          <w:rFonts w:ascii="Times New Roman" w:hAnsi="Times New Roman" w:cs="Times New Roman"/>
          <w:b/>
          <w:bCs/>
        </w:rPr>
      </w:pPr>
      <w:r w:rsidRPr="00036AA6">
        <w:rPr>
          <w:rFonts w:ascii="Times New Roman" w:hAnsi="Times New Roman" w:cs="Times New Roman"/>
          <w:b/>
          <w:bCs/>
        </w:rPr>
        <w:t>Abstract</w:t>
      </w:r>
    </w:p>
    <w:p w14:paraId="3D4799C5" w14:textId="77777777" w:rsidR="00837A81" w:rsidRPr="00036AA6" w:rsidRDefault="00837A81" w:rsidP="00837A81">
      <w:pPr>
        <w:jc w:val="both"/>
        <w:rPr>
          <w:rFonts w:ascii="Times New Roman" w:hAnsi="Times New Roman" w:cs="Times New Roman"/>
          <w:b/>
          <w:bCs/>
        </w:rPr>
      </w:pPr>
      <w:r w:rsidRPr="00036AA6">
        <w:rPr>
          <w:rFonts w:ascii="Times New Roman" w:hAnsi="Times New Roman" w:cs="Times New Roman"/>
          <w:b/>
          <w:bCs/>
        </w:rPr>
        <w:t>Background:</w:t>
      </w:r>
    </w:p>
    <w:p w14:paraId="44748B19" w14:textId="2397845A" w:rsidR="00837A81" w:rsidRPr="00036AA6" w:rsidRDefault="00A10FBB" w:rsidP="00837A81">
      <w:pPr>
        <w:jc w:val="both"/>
        <w:rPr>
          <w:rFonts w:ascii="Times New Roman" w:hAnsi="Times New Roman" w:cs="Times New Roman"/>
          <w:b/>
          <w:bCs/>
        </w:rPr>
      </w:pPr>
      <w:r w:rsidRPr="0068709F">
        <w:rPr>
          <w:rFonts w:ascii="Times New Roman" w:hAnsi="Times New Roman" w:cs="Times New Roman"/>
          <w:highlight w:val="yellow"/>
        </w:rPr>
        <w:t xml:space="preserve">Metabolic dysfunction-associated </w:t>
      </w:r>
      <w:proofErr w:type="spellStart"/>
      <w:r w:rsidRPr="0068709F">
        <w:rPr>
          <w:rFonts w:ascii="Times New Roman" w:hAnsi="Times New Roman" w:cs="Times New Roman"/>
          <w:highlight w:val="yellow"/>
        </w:rPr>
        <w:t>steatotic</w:t>
      </w:r>
      <w:proofErr w:type="spellEnd"/>
      <w:r w:rsidRPr="0068709F">
        <w:rPr>
          <w:rFonts w:ascii="Times New Roman" w:hAnsi="Times New Roman" w:cs="Times New Roman"/>
          <w:highlight w:val="yellow"/>
        </w:rPr>
        <w:t xml:space="preserve"> liver disease (MASLD) is highly prevalent in individuals with type 2 diabetes mellitus (T2DM). However, it remains an often overlooked hepatic comorbidity in this population.</w:t>
      </w:r>
      <w:r>
        <w:rPr>
          <w:rFonts w:ascii="Times New Roman" w:hAnsi="Times New Roman" w:cs="Times New Roman"/>
        </w:rPr>
        <w:t xml:space="preserve"> </w:t>
      </w:r>
      <w:r w:rsidR="00837A81" w:rsidRPr="00036AA6">
        <w:rPr>
          <w:rFonts w:ascii="Times New Roman" w:hAnsi="Times New Roman" w:cs="Times New Roman"/>
        </w:rPr>
        <w:t xml:space="preserve">This case </w:t>
      </w:r>
      <w:r w:rsidR="00C85EBF" w:rsidRPr="00944C80">
        <w:rPr>
          <w:rFonts w:ascii="Times New Roman" w:hAnsi="Times New Roman" w:cs="Times New Roman"/>
        </w:rPr>
        <w:t>series</w:t>
      </w:r>
      <w:r w:rsidR="00837A81" w:rsidRPr="00944C80">
        <w:rPr>
          <w:rFonts w:ascii="Times New Roman" w:hAnsi="Times New Roman" w:cs="Times New Roman"/>
        </w:rPr>
        <w:t xml:space="preserve"> contributes to the literature by presenting real-world, longitudinal evidence of hepatic fibrosis regression and </w:t>
      </w:r>
      <w:r w:rsidR="00EE7484" w:rsidRPr="00944C80">
        <w:rPr>
          <w:rFonts w:ascii="Times New Roman" w:hAnsi="Times New Roman" w:cs="Times New Roman"/>
        </w:rPr>
        <w:t>glucometabolic</w:t>
      </w:r>
      <w:r w:rsidR="00837A81" w:rsidRPr="00944C80">
        <w:rPr>
          <w:rFonts w:ascii="Times New Roman" w:hAnsi="Times New Roman" w:cs="Times New Roman"/>
        </w:rPr>
        <w:t xml:space="preserve"> improvement with saroglitazar, a dual PPAR-α/γ agonist</w:t>
      </w:r>
      <w:r w:rsidR="00CC3986" w:rsidRPr="00944C80">
        <w:rPr>
          <w:rFonts w:ascii="Times New Roman" w:hAnsi="Times New Roman" w:cs="Times New Roman"/>
        </w:rPr>
        <w:t xml:space="preserve"> in combination with oral semaglutide</w:t>
      </w:r>
      <w:r w:rsidR="00B56D3E" w:rsidRPr="00944C80">
        <w:rPr>
          <w:rFonts w:ascii="Times New Roman" w:hAnsi="Times New Roman" w:cs="Times New Roman"/>
        </w:rPr>
        <w:t xml:space="preserve"> </w:t>
      </w:r>
      <w:r w:rsidR="000117D3" w:rsidRPr="00944C80">
        <w:rPr>
          <w:rFonts w:ascii="Times New Roman" w:hAnsi="Times New Roman" w:cs="Times New Roman"/>
        </w:rPr>
        <w:t>(7 mg or 14 mg as tolerated)</w:t>
      </w:r>
      <w:r w:rsidR="00837A81" w:rsidRPr="00944C80">
        <w:rPr>
          <w:rFonts w:ascii="Times New Roman" w:hAnsi="Times New Roman" w:cs="Times New Roman"/>
        </w:rPr>
        <w:t>,</w:t>
      </w:r>
      <w:r w:rsidR="00CC3986" w:rsidRPr="00944C80">
        <w:t xml:space="preserve"> </w:t>
      </w:r>
      <w:r w:rsidR="00CC3986" w:rsidRPr="00944C80">
        <w:rPr>
          <w:rFonts w:ascii="Times New Roman" w:hAnsi="Times New Roman" w:cs="Times New Roman"/>
        </w:rPr>
        <w:t>a GLP-1 receptor agonist</w:t>
      </w:r>
      <w:r w:rsidR="00837A81" w:rsidRPr="00944C80">
        <w:rPr>
          <w:rFonts w:ascii="Times New Roman" w:hAnsi="Times New Roman" w:cs="Times New Roman"/>
        </w:rPr>
        <w:t xml:space="preserve"> in T2DM patients with MASLD over a 2-year follow-up period.</w:t>
      </w:r>
    </w:p>
    <w:p w14:paraId="25056DC9" w14:textId="77777777" w:rsidR="00837A81" w:rsidRPr="00036AA6" w:rsidRDefault="00837A81" w:rsidP="00837A81">
      <w:pPr>
        <w:jc w:val="both"/>
        <w:rPr>
          <w:rFonts w:ascii="Times New Roman" w:hAnsi="Times New Roman" w:cs="Times New Roman"/>
          <w:b/>
          <w:bCs/>
        </w:rPr>
      </w:pPr>
      <w:r w:rsidRPr="00036AA6">
        <w:rPr>
          <w:rFonts w:ascii="Times New Roman" w:hAnsi="Times New Roman" w:cs="Times New Roman"/>
          <w:b/>
          <w:bCs/>
        </w:rPr>
        <w:t>Case Summary:</w:t>
      </w:r>
    </w:p>
    <w:p w14:paraId="54065138" w14:textId="5F8A09A9" w:rsidR="005A2EA3" w:rsidRPr="00036AA6" w:rsidRDefault="009B6834" w:rsidP="00837A81">
      <w:pPr>
        <w:jc w:val="both"/>
        <w:rPr>
          <w:rFonts w:ascii="Times New Roman" w:hAnsi="Times New Roman" w:cs="Times New Roman"/>
        </w:rPr>
      </w:pPr>
      <w:r w:rsidRPr="00036AA6">
        <w:rPr>
          <w:rFonts w:ascii="Times New Roman" w:hAnsi="Times New Roman" w:cs="Times New Roman"/>
        </w:rPr>
        <w:t>Saroglitazar 4 mg once daily was initiated in four adult patients with T2DM and imaging-confirmed MASLD</w:t>
      </w:r>
      <w:r w:rsidR="00837A81" w:rsidRPr="00036AA6">
        <w:rPr>
          <w:rFonts w:ascii="Times New Roman" w:hAnsi="Times New Roman" w:cs="Times New Roman"/>
        </w:rPr>
        <w:t>.</w:t>
      </w:r>
      <w:r w:rsidRPr="00036AA6">
        <w:rPr>
          <w:rFonts w:ascii="Times New Roman" w:hAnsi="Times New Roman" w:cs="Times New Roman"/>
        </w:rPr>
        <w:t xml:space="preserve"> </w:t>
      </w:r>
      <w:r w:rsidR="000E6FD6" w:rsidRPr="00036AA6">
        <w:rPr>
          <w:rFonts w:ascii="Times New Roman" w:hAnsi="Times New Roman" w:cs="Times New Roman"/>
        </w:rPr>
        <w:t>Baseline assessments revealed elevated HbA1c (6.4–8.2%), hypertriglyceridemia, and evidence of hepatic steatosis and fibrosis on transient elastography. CAP values ranged from 257 to 347 dB/m, corresponding to S1–S3 steatosis grades, while LSM values ranged from 14.3 to 38.5 kPa, indicative of F3–F4 fibrosis stages</w:t>
      </w:r>
      <w:r w:rsidR="00837A81" w:rsidRPr="00036AA6">
        <w:rPr>
          <w:rFonts w:ascii="Times New Roman" w:hAnsi="Times New Roman" w:cs="Times New Roman"/>
        </w:rPr>
        <w:t xml:space="preserve">. No other hepatoprotective or antidiabetic agents with hepatic benefit were used. All patients experienced </w:t>
      </w:r>
      <w:r w:rsidR="00B9113A" w:rsidRPr="00611B38">
        <w:rPr>
          <w:rFonts w:ascii="Times New Roman" w:hAnsi="Times New Roman" w:cs="Times New Roman"/>
          <w:highlight w:val="yellow"/>
        </w:rPr>
        <w:t>marked reductions</w:t>
      </w:r>
      <w:r w:rsidR="00B9113A" w:rsidRPr="00036AA6">
        <w:rPr>
          <w:rFonts w:ascii="Times New Roman" w:hAnsi="Times New Roman" w:cs="Times New Roman"/>
        </w:rPr>
        <w:t xml:space="preserve"> </w:t>
      </w:r>
      <w:r w:rsidR="00837A81" w:rsidRPr="00036AA6">
        <w:rPr>
          <w:rFonts w:ascii="Times New Roman" w:hAnsi="Times New Roman" w:cs="Times New Roman"/>
        </w:rPr>
        <w:t>in HbA1c, triglycerides, ALT, and AST</w:t>
      </w:r>
      <w:r w:rsidR="007C613C" w:rsidRPr="00036AA6">
        <w:rPr>
          <w:rFonts w:ascii="Times New Roman" w:hAnsi="Times New Roman" w:cs="Times New Roman"/>
        </w:rPr>
        <w:t xml:space="preserve"> </w:t>
      </w:r>
      <w:r w:rsidR="00E5418D" w:rsidRPr="00055C85">
        <w:rPr>
          <w:rFonts w:ascii="Times New Roman" w:hAnsi="Times New Roman" w:cs="Times New Roman"/>
          <w:highlight w:val="yellow"/>
        </w:rPr>
        <w:t xml:space="preserve">after two years of </w:t>
      </w:r>
      <w:r w:rsidR="00E5418D">
        <w:rPr>
          <w:rFonts w:ascii="Times New Roman" w:hAnsi="Times New Roman" w:cs="Times New Roman"/>
          <w:highlight w:val="yellow"/>
        </w:rPr>
        <w:t>S</w:t>
      </w:r>
      <w:r w:rsidR="00E5418D" w:rsidRPr="00055C85">
        <w:rPr>
          <w:rFonts w:ascii="Times New Roman" w:hAnsi="Times New Roman" w:cs="Times New Roman"/>
          <w:highlight w:val="yellow"/>
        </w:rPr>
        <w:t>aroglitazar 4 mg therapy.</w:t>
      </w:r>
      <w:r w:rsidR="00837A81" w:rsidRPr="00036AA6">
        <w:rPr>
          <w:rFonts w:ascii="Times New Roman" w:hAnsi="Times New Roman" w:cs="Times New Roman"/>
        </w:rPr>
        <w:t xml:space="preserve"> </w:t>
      </w:r>
      <w:r w:rsidR="00773351">
        <w:rPr>
          <w:rFonts w:ascii="Times New Roman" w:hAnsi="Times New Roman" w:cs="Times New Roman"/>
        </w:rPr>
        <w:t>T</w:t>
      </w:r>
      <w:r w:rsidR="005A2EA3" w:rsidRPr="00036AA6">
        <w:rPr>
          <w:rFonts w:ascii="Times New Roman" w:hAnsi="Times New Roman" w:cs="Times New Roman"/>
        </w:rPr>
        <w:t>hree patients demonstrated improvement in hepatic steatosis (from S2–S3 to S0–S1) and fibrosis (from F2–F3 to F0–F1); notably, one patient showed marked regression from advanced fibrosis (F3) to no fibrosis (F0). The therapy was well tolerated, with no adverse effects reported.</w:t>
      </w:r>
    </w:p>
    <w:p w14:paraId="64F7BDBE" w14:textId="61F6CC3E" w:rsidR="00837A81" w:rsidRPr="00036AA6" w:rsidRDefault="00837A81" w:rsidP="00837A81">
      <w:pPr>
        <w:jc w:val="both"/>
        <w:rPr>
          <w:rFonts w:ascii="Times New Roman" w:hAnsi="Times New Roman" w:cs="Times New Roman"/>
          <w:b/>
          <w:bCs/>
        </w:rPr>
      </w:pPr>
      <w:r w:rsidRPr="00036AA6">
        <w:rPr>
          <w:rFonts w:ascii="Times New Roman" w:hAnsi="Times New Roman" w:cs="Times New Roman"/>
          <w:b/>
          <w:bCs/>
        </w:rPr>
        <w:t>Conclusion:</w:t>
      </w:r>
    </w:p>
    <w:p w14:paraId="7388A91A" w14:textId="6A1883CF" w:rsidR="00837A81" w:rsidRPr="00036AA6" w:rsidRDefault="00837A81" w:rsidP="006340CA">
      <w:pPr>
        <w:jc w:val="both"/>
        <w:rPr>
          <w:rFonts w:ascii="Times New Roman" w:hAnsi="Times New Roman" w:cs="Times New Roman"/>
        </w:rPr>
      </w:pPr>
      <w:r w:rsidRPr="00036AA6">
        <w:rPr>
          <w:rFonts w:ascii="Times New Roman" w:hAnsi="Times New Roman" w:cs="Times New Roman"/>
        </w:rPr>
        <w:t>This case series highlights the potential of saroglitazar as a dual</w:t>
      </w:r>
      <w:r w:rsidR="00596FFA">
        <w:rPr>
          <w:rFonts w:ascii="Times New Roman" w:hAnsi="Times New Roman" w:cs="Times New Roman"/>
        </w:rPr>
        <w:t xml:space="preserve"> PPAR</w:t>
      </w:r>
      <w:r w:rsidRPr="00036AA6">
        <w:rPr>
          <w:rFonts w:ascii="Times New Roman" w:hAnsi="Times New Roman" w:cs="Times New Roman"/>
        </w:rPr>
        <w:t xml:space="preserve"> agent</w:t>
      </w:r>
      <w:r w:rsidR="00596FFA">
        <w:rPr>
          <w:rFonts w:ascii="Times New Roman" w:hAnsi="Times New Roman" w:cs="Times New Roman"/>
        </w:rPr>
        <w:t xml:space="preserve"> with semaglutide</w:t>
      </w:r>
      <w:r w:rsidRPr="00036AA6">
        <w:rPr>
          <w:rFonts w:ascii="Times New Roman" w:hAnsi="Times New Roman" w:cs="Times New Roman"/>
        </w:rPr>
        <w:t xml:space="preserve"> addressing both metabolic and hepatic derangements in MASLD associated with T2DM. The observed improvements in liver stiffness and glycemic-lipid profiles over two years, independent of weight loss or adjunct therapies, suggest a disease-modifying role. Clinicians managing diabetic patients should be vigilant for coexisting MASLD and consider saroglitazar as a promising therapeutic option pending further confirmatory trials.</w:t>
      </w:r>
    </w:p>
    <w:p w14:paraId="08B6073F" w14:textId="65F54CB0" w:rsidR="006340CA" w:rsidRPr="00036AA6" w:rsidRDefault="006340CA" w:rsidP="00F62B0E">
      <w:pPr>
        <w:jc w:val="both"/>
        <w:rPr>
          <w:rFonts w:ascii="Times New Roman" w:hAnsi="Times New Roman" w:cs="Times New Roman"/>
          <w:b/>
          <w:bCs/>
        </w:rPr>
      </w:pPr>
      <w:r w:rsidRPr="00036AA6">
        <w:rPr>
          <w:rFonts w:ascii="Times New Roman" w:hAnsi="Times New Roman" w:cs="Times New Roman"/>
          <w:b/>
          <w:bCs/>
        </w:rPr>
        <w:t xml:space="preserve">Keywords: </w:t>
      </w:r>
      <w:r w:rsidR="00390D13" w:rsidRPr="00390D13">
        <w:rPr>
          <w:rFonts w:ascii="Times New Roman" w:hAnsi="Times New Roman" w:cs="Times New Roman"/>
          <w:highlight w:val="yellow"/>
        </w:rPr>
        <w:t>PPAR agonist, liver stiffness measurement, transient elastography, diabetic dyslipidemia, non-invasive biomarkers, fibrosis regression, GLP-1 receptor agonist</w:t>
      </w:r>
    </w:p>
    <w:p w14:paraId="4EDE7720" w14:textId="77777777" w:rsidR="00837A81" w:rsidRPr="00036AA6" w:rsidRDefault="00837A81" w:rsidP="00F62B0E">
      <w:pPr>
        <w:jc w:val="both"/>
        <w:rPr>
          <w:rFonts w:ascii="Times New Roman" w:hAnsi="Times New Roman" w:cs="Times New Roman"/>
          <w:b/>
          <w:bCs/>
        </w:rPr>
      </w:pPr>
    </w:p>
    <w:p w14:paraId="1E89B6FA" w14:textId="77777777" w:rsidR="00390D13" w:rsidRDefault="00390D13" w:rsidP="00F62B0E">
      <w:pPr>
        <w:jc w:val="both"/>
        <w:rPr>
          <w:rFonts w:ascii="Times New Roman" w:hAnsi="Times New Roman" w:cs="Times New Roman"/>
          <w:b/>
          <w:bCs/>
        </w:rPr>
      </w:pPr>
    </w:p>
    <w:p w14:paraId="13AC8871" w14:textId="12E9630D" w:rsidR="00DF33A7" w:rsidRPr="00036AA6" w:rsidRDefault="00DF33A7" w:rsidP="00F62B0E">
      <w:pPr>
        <w:jc w:val="both"/>
        <w:rPr>
          <w:rFonts w:ascii="Times New Roman" w:hAnsi="Times New Roman" w:cs="Times New Roman"/>
          <w:b/>
          <w:bCs/>
        </w:rPr>
      </w:pPr>
      <w:r w:rsidRPr="00036AA6">
        <w:rPr>
          <w:rFonts w:ascii="Times New Roman" w:hAnsi="Times New Roman" w:cs="Times New Roman"/>
          <w:b/>
          <w:bCs/>
        </w:rPr>
        <w:t>INTRODUCTION</w:t>
      </w:r>
    </w:p>
    <w:p w14:paraId="33892D2B" w14:textId="12ECA301" w:rsidR="00F62B0E" w:rsidRPr="00036AA6" w:rsidRDefault="00F62B0E" w:rsidP="00F62B0E">
      <w:pPr>
        <w:jc w:val="both"/>
        <w:rPr>
          <w:rFonts w:ascii="Times New Roman" w:hAnsi="Times New Roman" w:cs="Times New Roman"/>
        </w:rPr>
      </w:pPr>
      <w:r w:rsidRPr="00036AA6">
        <w:rPr>
          <w:rFonts w:ascii="Times New Roman" w:hAnsi="Times New Roman" w:cs="Times New Roman"/>
        </w:rPr>
        <w:lastRenderedPageBreak/>
        <w:t>Type 2 diabetes mellitus (T2DM) is a rapidly escalating global health concern, projected to affect over 629 million individuals by 2045</w:t>
      </w:r>
      <w:r w:rsidR="00871781" w:rsidRPr="00036AA6">
        <w:rPr>
          <w:rFonts w:ascii="Times New Roman" w:hAnsi="Times New Roman" w:cs="Times New Roman"/>
        </w:rPr>
        <w:t xml:space="preserve"> </w:t>
      </w:r>
      <w:r w:rsidRPr="00036AA6">
        <w:rPr>
          <w:rFonts w:ascii="Times New Roman" w:hAnsi="Times New Roman" w:cs="Times New Roman"/>
        </w:rPr>
        <w:fldChar w:fldCharType="begin"/>
      </w:r>
      <w:r w:rsidRPr="00036AA6">
        <w:rPr>
          <w:rFonts w:ascii="Times New Roman" w:hAnsi="Times New Roman" w:cs="Times New Roman"/>
        </w:rPr>
        <w:instrText xml:space="preserve"> ADDIN ZOTERO_ITEM CSL_CITATION {"citationID":"iKXq0Rwe","properties":{"formattedCitation":"[1]","plainCitation":"[1]","noteIndex":0},"citationItems":[{"id":1475,"uris":["http://zotero.org/users/local/kKCyaFRY/items/XYMA372Q"],"itemData":{"id":1475,"type":"post-weblog","abstract":"Patients living with diabetes are at risk of CVD. As such, the WHF have set out a roadmap on the prevention of cardiovascular disease among people living with diabetes.","container-title":"World Heart Federation","language":"en-GB","title":"CVD &amp; Diabetes | CVD Roadmaps","URL":"https://world-heart-federation.org/cvd-roadmaps/whf-global-roadmaps/cvd-diabetes/","accessed":{"date-parts":[["2025",4,4]]}}}],"schema":"https://github.com/citation-style-language/schema/raw/master/csl-citation.json"} </w:instrText>
      </w:r>
      <w:r w:rsidRPr="00036AA6">
        <w:rPr>
          <w:rFonts w:ascii="Times New Roman" w:hAnsi="Times New Roman" w:cs="Times New Roman"/>
        </w:rPr>
        <w:fldChar w:fldCharType="separate"/>
      </w:r>
      <w:r w:rsidRPr="00036AA6">
        <w:rPr>
          <w:rFonts w:ascii="Times New Roman" w:hAnsi="Times New Roman" w:cs="Times New Roman"/>
        </w:rPr>
        <w:t>[1]</w:t>
      </w:r>
      <w:r w:rsidRPr="00036AA6">
        <w:rPr>
          <w:rFonts w:ascii="Times New Roman" w:hAnsi="Times New Roman" w:cs="Times New Roman"/>
        </w:rPr>
        <w:fldChar w:fldCharType="end"/>
      </w:r>
      <w:r w:rsidRPr="00036AA6">
        <w:rPr>
          <w:rFonts w:ascii="Times New Roman" w:hAnsi="Times New Roman" w:cs="Times New Roman"/>
        </w:rPr>
        <w:t>. Characterized by chronic hyperglycemia and insulin resistance, T2DM not only predisposes individuals to cardiovascular, renal, and neuropathic complications but also significantly increases the risk of hepatic involvement. One of the most frequent and underrecognized hepatic manifestations is steatotic liver disease SLD</w:t>
      </w:r>
      <w:r w:rsidR="00871781" w:rsidRPr="00036AA6">
        <w:rPr>
          <w:rFonts w:ascii="Times New Roman" w:hAnsi="Times New Roman" w:cs="Times New Roman"/>
        </w:rPr>
        <w:t xml:space="preserve"> </w:t>
      </w:r>
      <w:r w:rsidR="00DA599F" w:rsidRPr="00036AA6">
        <w:rPr>
          <w:rFonts w:ascii="Times New Roman" w:hAnsi="Times New Roman" w:cs="Times New Roman"/>
        </w:rPr>
        <w:fldChar w:fldCharType="begin"/>
      </w:r>
      <w:r w:rsidR="00DA599F" w:rsidRPr="00036AA6">
        <w:rPr>
          <w:rFonts w:ascii="Times New Roman" w:hAnsi="Times New Roman" w:cs="Times New Roman"/>
        </w:rPr>
        <w:instrText xml:space="preserve"> ADDIN ZOTERO_ITEM CSL_CITATION {"citationID":"58OXZZsw","properties":{"formattedCitation":"[2]","plainCitation":"[2]","noteIndex":0},"citationItems":[{"id":1477,"uris":["http://zotero.org/users/local/kKCyaFRY/items/X45PNW8Y"],"itemData":{"id":1477,"type":"article-journal","abstract":"Background and Aims\nDiabetes is recognized as a significant factor in both mortality and morbidity worldwide, affecting various demographics regardless of geographic location, age group, or gender. This correspondence aims to express concern and draw the attention of leaders and policymakers worldwide to this critical public health issue.\n\nMethods\nA thorough literature search was conducted utilizing various databases, including Google Scholar, PubMed, Science Direct, and the International Diabetes Federation (IDF) website, to collect the required data. Keywords were strategically applied to enhance search results, with preference given to English‐language articles containing pertinent information.\n\nResults\nAccording to the 2021 report by the IDF, approximately 537 million individuals globally were affected with diabetes, constituting roughly 10.5% of the world's populace. This condition incurred healthcare expenditures totaling $966 billion. Projections indicate a surge in diabetes cases to 783 million by 2045, with associated healthcare costs estimated to surpass $1054 billion. However, almost half of all people with diabetes are unaware of their medical condition, with the highest prevalence of undiagnosed diabetes Mellitus (DM) found in low and middle‐income countries (LMICs) of the regions of Africa, the Western Pacific, and Southeast Asia.\n\nConclusion\nCollaborating with the World Health Organization (WHO), LMIC governments should improve healthcare accessibility, including more frequent diabetes screenings for individuals aged ≥ 45 years and younger individuals at elevated risk of having a family history.","container-title":"Health Science Reports","DOI":"10.1002/hsr2.2004","ISSN":"2398-8835","issue":"3","journalAbbreviation":"Health Sci Rep","note":"PMID: 38524769\nPMCID: PMC10958528","page":"e2004","source":"PubMed Central","title":"Diabetes mellitus, the fastest growing global public health concern: Early detection should be focused","title-short":"Diabetes mellitus, the fastest growing global public health concern","volume":"7","author":[{"family":"Hossain","given":"Md. Jamal"},{"family":"Al‐Mamun","given":"Md."},{"family":"Islam","given":"Md. Rabiul"}],"issued":{"date-parts":[["2024",3,22]]}}}],"schema":"https://github.com/citation-style-language/schema/raw/master/csl-citation.json"} </w:instrText>
      </w:r>
      <w:r w:rsidR="00DA599F" w:rsidRPr="00036AA6">
        <w:rPr>
          <w:rFonts w:ascii="Times New Roman" w:hAnsi="Times New Roman" w:cs="Times New Roman"/>
        </w:rPr>
        <w:fldChar w:fldCharType="separate"/>
      </w:r>
      <w:r w:rsidR="00DA599F" w:rsidRPr="00036AA6">
        <w:rPr>
          <w:rFonts w:ascii="Times New Roman" w:hAnsi="Times New Roman" w:cs="Times New Roman"/>
        </w:rPr>
        <w:t>[2]</w:t>
      </w:r>
      <w:r w:rsidR="00DA599F" w:rsidRPr="00036AA6">
        <w:rPr>
          <w:rFonts w:ascii="Times New Roman" w:hAnsi="Times New Roman" w:cs="Times New Roman"/>
        </w:rPr>
        <w:fldChar w:fldCharType="end"/>
      </w:r>
      <w:r w:rsidRPr="00036AA6">
        <w:rPr>
          <w:rFonts w:ascii="Times New Roman" w:hAnsi="Times New Roman" w:cs="Times New Roman"/>
        </w:rPr>
        <w:t>.</w:t>
      </w:r>
      <w:r w:rsidR="00DC2137" w:rsidRPr="00036AA6">
        <w:rPr>
          <w:rFonts w:ascii="Times New Roman" w:hAnsi="Times New Roman" w:cs="Times New Roman"/>
        </w:rPr>
        <w:t xml:space="preserve"> </w:t>
      </w:r>
      <w:r w:rsidR="00124285" w:rsidRPr="00036AA6">
        <w:rPr>
          <w:rFonts w:ascii="Times New Roman" w:hAnsi="Times New Roman" w:cs="Times New Roman"/>
        </w:rPr>
        <w:t>Over the past decade, substantial evidence has emerged linking type 2 diabetes mellitus (T2DM) with steatotic liver disease through overlapping metabolic mechanisms such as insulin resistance and dyslipidemia. In this context, metabolic dysfunction-associated steatotic liver disease (MASLD) is</w:t>
      </w:r>
      <w:r w:rsidR="008370A4" w:rsidRPr="00036AA6">
        <w:rPr>
          <w:rFonts w:ascii="Times New Roman" w:hAnsi="Times New Roman" w:cs="Times New Roman"/>
        </w:rPr>
        <w:t xml:space="preserve"> being</w:t>
      </w:r>
      <w:r w:rsidR="00124285" w:rsidRPr="00036AA6">
        <w:rPr>
          <w:rFonts w:ascii="Times New Roman" w:hAnsi="Times New Roman" w:cs="Times New Roman"/>
        </w:rPr>
        <w:t xml:space="preserve"> increasingly recognized as the</w:t>
      </w:r>
      <w:r w:rsidR="00145C87" w:rsidRPr="00036AA6">
        <w:rPr>
          <w:rFonts w:ascii="Times New Roman" w:hAnsi="Times New Roman" w:cs="Times New Roman"/>
        </w:rPr>
        <w:t xml:space="preserve"> most common</w:t>
      </w:r>
      <w:r w:rsidR="00124285" w:rsidRPr="00036AA6">
        <w:rPr>
          <w:rFonts w:ascii="Times New Roman" w:hAnsi="Times New Roman" w:cs="Times New Roman"/>
        </w:rPr>
        <w:t xml:space="preserve"> hepatic manifestation of metabolic syndrome. </w:t>
      </w:r>
      <w:r w:rsidR="0076746C" w:rsidRPr="00036AA6">
        <w:rPr>
          <w:rFonts w:ascii="Times New Roman" w:hAnsi="Times New Roman" w:cs="Times New Roman"/>
        </w:rPr>
        <w:fldChar w:fldCharType="begin"/>
      </w:r>
      <w:r w:rsidR="0076746C" w:rsidRPr="00036AA6">
        <w:rPr>
          <w:rFonts w:ascii="Times New Roman" w:hAnsi="Times New Roman" w:cs="Times New Roman"/>
        </w:rPr>
        <w:instrText xml:space="preserve"> ADDIN ZOTERO_ITEM CSL_CITATION {"citationID":"7f9CoZkx","properties":{"formattedCitation":"[3,4]","plainCitation":"[3,4]","noteIndex":0},"citationItems":[{"id":1480,"uris":["http://zotero.org/users/local/kKCyaFRY/items/HUTA3HGQ"],"itemData":{"id":1480,"type":"article-journal","abstract":"The global epidemic of metabolic dysfunction-associated steatotic liver disease (MASLD) is increasing worldwide. People with MASLD can progress to cirrhosis and hepatocellular carcinoma and are at increased risk of developing type 2 diabetes, cardiovascular disease, chronic kidney disease, and extrahepatic cancers. Most people with MASLD die from cardiac-related causes. This outcome is attributed to the shared pathogenesis of MASLD and cardiometabolic diseases, involving unhealthy dietary habits, dysfunctional adipose tissue, insulin resistance, and subclinical inflammation. In addition, the steatotic and inflamed liver affects the vasculature and heart via increased glucose production and release of procoagulant factors, dyslipidaemia, and dysregulated release of hepatokines and microRNAs. However, there is substantial heterogeneity in the contributors to the pathophysiology of MASLD, which might influence its rate of progression, its relationship with cardiometabolic diseases, and the response to therapy. The most effective non-pharmacological treatment approaches for people with MASLD include weight loss. Paradoxically, some effective pharmacological approaches to improve liver health in people with MASLD are associated with no change in bodyweight or even with weight gain, and similar response heterogeneity has been observed for changes in cardiometabolic risk factors. In this Review, we address the heterogeneity of MASLD with respect to its pathogenesis, outcomes, and metabolism-based treatment responses. Although there is currently insufficient evidence for the implementation of precision medicine for risk prediction, prevention, and treatment of MASLD, we discuss whether knowledge about this heterogeneity might help achieving this goal in the future.","container-title":"The Lancet Diabetes &amp; Endocrinology","DOI":"10.1016/S2213-8587(24)00318-8","ISSN":"2213-8587","issue":"2","journalAbbreviation":"The Lancet Diabetes &amp; Endocrinology","page":"134-148","source":"ScienceDirect","title":"Metabolic dysfunction-associated steatotic liver disease: heterogeneous pathomechanisms and effectiveness of metabolism-based treatment","title-short":"Metabolic dysfunction-associated steatotic liver disease","volume":"13","author":[{"family":"Stefan","given":"Norbert"},{"family":"Yki-Järvinen","given":"Hannele"},{"family":"Neuschwander-Tetri","given":"Brent A"}],"issued":{"date-parts":[["2025",2,1]]}},"label":"page"},{"id":2040,"uris":["http://zotero.org/users/local/kKCyaFRY/items/VV5RYMSA"],"itemData":{"id":2040,"type":"article-journal","container-title":"Diabetes Research and Clinical Practice","DOI":"10.1016/j.diabres.2025.112151","ISSN":"0168-8227, 1872-8227","journalAbbreviation":"Diabetes Research and Clinical Practice","language":"English","note":"publisher: Elsevier\nPMID: 40209901","source":"www.diabetesresearchclinicalpractice.com","title":"7. Management of metabolic dysfunction-associated steatotic liver disease (MASLD) in type 2 diabetes","URL":"https://www.diabetesresearchclinicalpractice.com/article/S0168-8227%2825%2900165-2/fulltext?utm_source=chatgpt.com","volume":"222","author":[{"family":"Colagiuri","given":"Stephen"},{"family":"Ceriello","given":"Antonio"}],"accessed":{"date-parts":[["2025",6,11]]},"issued":{"date-parts":[["2025",4,1]]}},"label":"page"}],"schema":"https://github.com/citation-style-language/schema/raw/master/csl-citation.json"} </w:instrText>
      </w:r>
      <w:r w:rsidR="0076746C" w:rsidRPr="00036AA6">
        <w:rPr>
          <w:rFonts w:ascii="Times New Roman" w:hAnsi="Times New Roman" w:cs="Times New Roman"/>
        </w:rPr>
        <w:fldChar w:fldCharType="separate"/>
      </w:r>
      <w:r w:rsidR="0076746C" w:rsidRPr="00036AA6">
        <w:rPr>
          <w:rFonts w:ascii="Times New Roman" w:hAnsi="Times New Roman" w:cs="Times New Roman"/>
        </w:rPr>
        <w:t>[3,4]</w:t>
      </w:r>
      <w:r w:rsidR="0076746C" w:rsidRPr="00036AA6">
        <w:rPr>
          <w:rFonts w:ascii="Times New Roman" w:hAnsi="Times New Roman" w:cs="Times New Roman"/>
        </w:rPr>
        <w:fldChar w:fldCharType="end"/>
      </w:r>
    </w:p>
    <w:p w14:paraId="3096A7C2" w14:textId="4AEC94D4" w:rsidR="00F62B0E" w:rsidRPr="00036AA6" w:rsidRDefault="00605E83" w:rsidP="00F62B0E">
      <w:pPr>
        <w:jc w:val="both"/>
        <w:rPr>
          <w:rFonts w:ascii="Times New Roman" w:hAnsi="Times New Roman" w:cs="Times New Roman"/>
        </w:rPr>
      </w:pPr>
      <w:r w:rsidRPr="001B754F">
        <w:rPr>
          <w:rFonts w:ascii="Times New Roman" w:hAnsi="Times New Roman" w:cs="Times New Roman"/>
          <w:highlight w:val="yellow"/>
        </w:rPr>
        <w:t>There are substantial therapeutic gaps in the management of MASLD, primarily due to lack of approved treatments.</w:t>
      </w:r>
      <w:r>
        <w:rPr>
          <w:rFonts w:ascii="Times New Roman" w:hAnsi="Times New Roman" w:cs="Times New Roman"/>
        </w:rPr>
        <w:t xml:space="preserve"> </w:t>
      </w:r>
      <w:r w:rsidR="00F62B0E" w:rsidRPr="00036AA6">
        <w:rPr>
          <w:rFonts w:ascii="Times New Roman" w:hAnsi="Times New Roman" w:cs="Times New Roman"/>
        </w:rPr>
        <w:t>While lifestyle interventions</w:t>
      </w:r>
      <w:r w:rsidR="00DA599F" w:rsidRPr="00036AA6">
        <w:rPr>
          <w:rFonts w:ascii="Times New Roman" w:hAnsi="Times New Roman" w:cs="Times New Roman"/>
        </w:rPr>
        <w:t xml:space="preserve"> </w:t>
      </w:r>
      <w:r w:rsidR="00F62B0E" w:rsidRPr="00036AA6">
        <w:rPr>
          <w:rFonts w:ascii="Times New Roman" w:hAnsi="Times New Roman" w:cs="Times New Roman"/>
        </w:rPr>
        <w:t>including calori</w:t>
      </w:r>
      <w:r w:rsidR="00126F52" w:rsidRPr="00036AA6">
        <w:rPr>
          <w:rFonts w:ascii="Times New Roman" w:hAnsi="Times New Roman" w:cs="Times New Roman"/>
        </w:rPr>
        <w:t>c</w:t>
      </w:r>
      <w:r w:rsidR="00F62B0E" w:rsidRPr="00036AA6">
        <w:rPr>
          <w:rFonts w:ascii="Times New Roman" w:hAnsi="Times New Roman" w:cs="Times New Roman"/>
        </w:rPr>
        <w:t xml:space="preserve"> restriction, physical activity, and weight reduction</w:t>
      </w:r>
      <w:r w:rsidR="00DA599F" w:rsidRPr="00036AA6">
        <w:rPr>
          <w:rFonts w:ascii="Times New Roman" w:hAnsi="Times New Roman" w:cs="Times New Roman"/>
        </w:rPr>
        <w:t xml:space="preserve"> </w:t>
      </w:r>
      <w:r w:rsidR="00F62B0E" w:rsidRPr="00036AA6">
        <w:rPr>
          <w:rFonts w:ascii="Times New Roman" w:hAnsi="Times New Roman" w:cs="Times New Roman"/>
        </w:rPr>
        <w:t>remain the cornerstone of therapy, real-world adherence and long-term sustainability are often suboptimal.</w:t>
      </w:r>
      <w:r w:rsidR="00DB0D04">
        <w:rPr>
          <w:rFonts w:ascii="Times New Roman" w:hAnsi="Times New Roman" w:cs="Times New Roman"/>
        </w:rPr>
        <w:t xml:space="preserve"> </w:t>
      </w:r>
      <w:r w:rsidR="004A6C96" w:rsidRPr="00036AA6">
        <w:rPr>
          <w:rFonts w:ascii="Times New Roman" w:hAnsi="Times New Roman" w:cs="Times New Roman"/>
        </w:rPr>
        <w:fldChar w:fldCharType="begin"/>
      </w:r>
      <w:r w:rsidR="004A6C96" w:rsidRPr="00036AA6">
        <w:rPr>
          <w:rFonts w:ascii="Times New Roman" w:hAnsi="Times New Roman" w:cs="Times New Roman"/>
        </w:rPr>
        <w:instrText xml:space="preserve"> ADDIN ZOTERO_ITEM CSL_CITATION {"citationID":"5vaxaPkP","properties":{"formattedCitation":"[5,6]","plainCitation":"[5,6]","noteIndex":0},"citationItems":[{"id":2043,"uris":["http://zotero.org/users/local/kKCyaFRY/items/NS7U2JUX"],"itemData":{"id":2043,"type":"webpage","title":"Factors associated with engagement and adherence to a low-energy diet to promote 10% weight loss in patients with clinically significant non-alcoholic fatty liver disease | BMJ Open Gastroenterology","URL":"https://bmjopengastro.bmj.com/content/8/1/e000678?utm_source=chatgpt.com","accessed":{"date-parts":[["2025",6,11]]}},"label":"page"},{"id":2045,"uris":["http://zotero.org/users/local/kKCyaFRY/items/NZCFHKMP"],"itemData":{"id":2045,"type":"article-journal","abstract":"Metabolic dysfunction–associated steatotic liver disease (MASLD) and its aggressive form, metabolic dysfunction-associated steatohepatitis (MASH), are highly prevalent and can lead to fibrosis, cirrhosis, hepatocellular carcinoma, and liver failure. Currently, there is no approved pharmacological treatment for MASLD. In this review, we aim to summarize recent data on therapeutic agents under study in phase 2 and 3 trials.","container-title":"Current Hepatology Reports","DOI":"10.1007/s11901-023-00629-0","ISSN":"2195-9595","issue":"1","journalAbbreviation":"Curr Hepatology Rep","language":"en","page":"204-219","source":"Springer Link","title":"Emerging Drug Therapies for Metabolic Dysfunction-Associated Steatotic Liver Disease: A Glimpse into the Horizon","title-short":"Emerging Drug Therapies for Metabolic Dysfunction-Associated Steatotic Liver Disease","volume":"23","author":[{"family":"Arnold","given":"Jorge"},{"family":"Idalsoaga","given":"Francisco"},{"family":"Díaz","given":"Luis Antonio"},{"family":"Cabrera","given":"Daniel"},{"family":"Barrera","given":"Francisco"},{"family":"Arab","given":"Juan Pablo"},{"family":"Arrese","given":"Marco"}],"issued":{"date-parts":[["2024",3,1]]}},"label":"page"}],"schema":"https://github.com/citation-style-language/schema/raw/master/csl-citation.json"} </w:instrText>
      </w:r>
      <w:r w:rsidR="004A6C96" w:rsidRPr="00036AA6">
        <w:rPr>
          <w:rFonts w:ascii="Times New Roman" w:hAnsi="Times New Roman" w:cs="Times New Roman"/>
        </w:rPr>
        <w:fldChar w:fldCharType="separate"/>
      </w:r>
      <w:r w:rsidR="004A6C96" w:rsidRPr="00036AA6">
        <w:rPr>
          <w:rFonts w:ascii="Times New Roman" w:hAnsi="Times New Roman" w:cs="Times New Roman"/>
        </w:rPr>
        <w:t>[5,6]</w:t>
      </w:r>
      <w:r w:rsidR="004A6C96" w:rsidRPr="00036AA6">
        <w:rPr>
          <w:rFonts w:ascii="Times New Roman" w:hAnsi="Times New Roman" w:cs="Times New Roman"/>
        </w:rPr>
        <w:fldChar w:fldCharType="end"/>
      </w:r>
      <w:r w:rsidR="005351AF" w:rsidRPr="00036AA6">
        <w:rPr>
          <w:rFonts w:ascii="Times New Roman" w:hAnsi="Times New Roman" w:cs="Times New Roman"/>
        </w:rPr>
        <w:t xml:space="preserve"> </w:t>
      </w:r>
      <w:r w:rsidR="00F62B0E" w:rsidRPr="00036AA6">
        <w:rPr>
          <w:rFonts w:ascii="Times New Roman" w:hAnsi="Times New Roman" w:cs="Times New Roman"/>
        </w:rPr>
        <w:t xml:space="preserve"> American Association for the Study of Liver Diseases (AASLD) and </w:t>
      </w:r>
      <w:r w:rsidR="009A3C16" w:rsidRPr="00FB104F">
        <w:rPr>
          <w:rFonts w:ascii="Times New Roman" w:hAnsi="Times New Roman" w:cs="Times New Roman"/>
          <w:highlight w:val="yellow"/>
        </w:rPr>
        <w:t>the</w:t>
      </w:r>
      <w:r w:rsidR="009A3C16">
        <w:rPr>
          <w:rFonts w:ascii="Times New Roman" w:hAnsi="Times New Roman" w:cs="Times New Roman"/>
        </w:rPr>
        <w:t xml:space="preserve"> </w:t>
      </w:r>
      <w:r w:rsidR="00455D5E" w:rsidRPr="00036AA6">
        <w:rPr>
          <w:rFonts w:ascii="Times New Roman" w:hAnsi="Times New Roman" w:cs="Times New Roman"/>
        </w:rPr>
        <w:t>European Association for the Study of the Liver (</w:t>
      </w:r>
      <w:r w:rsidR="00F62B0E" w:rsidRPr="00036AA6">
        <w:rPr>
          <w:rFonts w:ascii="Times New Roman" w:hAnsi="Times New Roman" w:cs="Times New Roman"/>
        </w:rPr>
        <w:t>EASL</w:t>
      </w:r>
      <w:r w:rsidR="00455D5E" w:rsidRPr="00036AA6">
        <w:rPr>
          <w:rFonts w:ascii="Times New Roman" w:hAnsi="Times New Roman" w:cs="Times New Roman"/>
        </w:rPr>
        <w:t>)</w:t>
      </w:r>
      <w:r w:rsidR="00F62B0E" w:rsidRPr="00036AA6">
        <w:rPr>
          <w:rFonts w:ascii="Times New Roman" w:hAnsi="Times New Roman" w:cs="Times New Roman"/>
        </w:rPr>
        <w:t xml:space="preserve">, acknowledge this challenge and recommend adjunctive pharmacotherapy in high-risk populations, particularly those with T2DM and hepatic fibrosis </w:t>
      </w:r>
      <w:r w:rsidR="00DA599F" w:rsidRPr="00036AA6">
        <w:rPr>
          <w:rFonts w:ascii="Times New Roman" w:hAnsi="Times New Roman" w:cs="Times New Roman"/>
        </w:rPr>
        <w:fldChar w:fldCharType="begin"/>
      </w:r>
      <w:r w:rsidR="004A6C96" w:rsidRPr="00036AA6">
        <w:rPr>
          <w:rFonts w:ascii="Times New Roman" w:hAnsi="Times New Roman" w:cs="Times New Roman"/>
        </w:rPr>
        <w:instrText xml:space="preserve"> ADDIN ZOTERO_ITEM CSL_CITATION {"citationID":"IXn8a2ld","properties":{"formattedCitation":"[7]","plainCitation":"[7]","noteIndex":0},"citationItems":[{"id":1484,"uris":["http://zotero.org/users/local/kKCyaFRY/items/XFRHMU2F"],"itemData":{"id":1484,"type":"article-journal","container-title":"Endocrine Practice","DOI":"10.1016/j.eprac.2022.03.010","ISSN":"1530-891X, 1934-2403","issue":"5","journalAbbreviation":"Endocrine Practice","language":"English","note":"publisher: Elsevier","page":"528-562","source":"www.endocrinepractice.org","title":"American Association of Clinical Endocrinology Clinical Practice Guideline for the Diagnosis and Management of Nonalcoholic Fatty Liver Disease in Primary Care and Endocrinology Clinical Settings: Co-Sponsored by the American Association for the Study of Liver Diseases (AASLD)","title-short":"American Association of Clinical Endocrinology Clinical Practice Guideline for the Diagnosis and Management of Nonalcoholic Fatty Liver Disease in Primary Care and Endocrinology Clinical Settings","volume":"28","author":[{"family":"Cusi","given":"Kenneth"},{"family":"Isaacs","given":"Scott"},{"family":"Barb","given":"Diana"},{"family":"Basu","given":"Rita"},{"family":"Caprio","given":"Sonia"},{"family":"Garvey","given":"W. Timothy"},{"family":"Kashyap","given":"Sangeeta"},{"family":"Mechanick","given":"Jeffrey I."},{"family":"Mouzaki","given":"Marialena"},{"family":"Nadolsky","given":"Karl"},{"family":"Rinella","given":"Mary E."},{"family":"Vos","given":"Miriam B."},{"family":"Younossi","given":"Zobair"}],"issued":{"date-parts":[["2022",5,1]]}}}],"schema":"https://github.com/citation-style-language/schema/raw/master/csl-citation.json"} </w:instrText>
      </w:r>
      <w:r w:rsidR="00DA599F" w:rsidRPr="00036AA6">
        <w:rPr>
          <w:rFonts w:ascii="Times New Roman" w:hAnsi="Times New Roman" w:cs="Times New Roman"/>
        </w:rPr>
        <w:fldChar w:fldCharType="separate"/>
      </w:r>
      <w:r w:rsidR="004A6C96" w:rsidRPr="00036AA6">
        <w:rPr>
          <w:rFonts w:ascii="Times New Roman" w:hAnsi="Times New Roman" w:cs="Times New Roman"/>
        </w:rPr>
        <w:t>[7]</w:t>
      </w:r>
      <w:r w:rsidR="00DA599F" w:rsidRPr="00036AA6">
        <w:rPr>
          <w:rFonts w:ascii="Times New Roman" w:hAnsi="Times New Roman" w:cs="Times New Roman"/>
        </w:rPr>
        <w:fldChar w:fldCharType="end"/>
      </w:r>
      <w:r w:rsidR="00455D5E" w:rsidRPr="00036AA6">
        <w:rPr>
          <w:rFonts w:ascii="Times New Roman" w:hAnsi="Times New Roman" w:cs="Times New Roman"/>
        </w:rPr>
        <w:t>.</w:t>
      </w:r>
    </w:p>
    <w:p w14:paraId="24A59DF8" w14:textId="7D0298B4" w:rsidR="008569D7" w:rsidRPr="00036AA6" w:rsidRDefault="003070FC" w:rsidP="00F62B0E">
      <w:pPr>
        <w:jc w:val="both"/>
        <w:rPr>
          <w:rFonts w:ascii="Times New Roman" w:hAnsi="Times New Roman" w:cs="Times New Roman"/>
        </w:rPr>
      </w:pPr>
      <w:r w:rsidRPr="00036AA6">
        <w:rPr>
          <w:rFonts w:ascii="Times New Roman" w:hAnsi="Times New Roman" w:cs="Times New Roman"/>
        </w:rPr>
        <w:t>Given the limited long-term success of lifestyle interventions, therapeutic focus has shifted toward molecular targets that address the core metabolic dysfunctions of MASLD. Among these, peroxisome proliferator-activated receptors (PPARs) are of particular interest. PPAR-α enhances fatty acid oxidation and reduces hepatic steatosis, while PPAR-γ improves insulin sensitivity and regulates adipokine activity. Saroglitazar, a dual PPAR α/γ agonist, offers a unified approach to these pathways and has shown benefits in glycemic control, lipid modulation, and liver-related biomarkers</w:t>
      </w:r>
      <w:r w:rsidR="00742245" w:rsidRPr="00036AA6">
        <w:rPr>
          <w:rFonts w:ascii="Times New Roman" w:hAnsi="Times New Roman" w:cs="Times New Roman"/>
        </w:rPr>
        <w:t xml:space="preserve"> </w:t>
      </w:r>
      <w:r w:rsidR="00FD3E25" w:rsidRPr="00036AA6">
        <w:rPr>
          <w:rFonts w:ascii="Times New Roman" w:hAnsi="Times New Roman" w:cs="Times New Roman"/>
        </w:rPr>
        <w:fldChar w:fldCharType="begin"/>
      </w:r>
      <w:r w:rsidR="004A6C96" w:rsidRPr="00036AA6">
        <w:rPr>
          <w:rFonts w:ascii="Times New Roman" w:hAnsi="Times New Roman" w:cs="Times New Roman"/>
        </w:rPr>
        <w:instrText xml:space="preserve"> ADDIN ZOTERO_ITEM CSL_CITATION {"citationID":"MLJ8IayD","properties":{"formattedCitation":"[8]","plainCitation":"[8]","noteIndex":0},"citationItems":[{"id":1486,"uris":["http://zotero.org/users/local/kKCyaFRY/items/MHP2N9JY"],"itemData":{"id":1486,"type":"article-journal","abstract":"Peroxisome proliferator-activated receptors (PPARs) are fatty acid-activated transcription factors of nuclear hormone receptor superfamily that regulate energy metabolism. Currently, three PPAR subtypes have been identified: PPARα, PPARγ, and PPARβ/δ. PPARα and PPARδ are highly expressed in oxidative tissues and regulate genes involved in substrate delivery and oxidative phosphorylation (OXPHOS) and regulation of energy homeostasis. In contrast, PPARγ is more important in lipogenesis and lipid synthesis, with highest expression levels in white adipose tissue (WAT). In addition to tissues regulating whole body energy homeostasis, PPARs are expressed in immune cells and have an emerging critical role in immune cell differentiation and fate commitment. In this review, we discuss the actions of PPARs in the function of the innate and the adaptive immune system and their implications in immune-mediated inflammatory conditions.","container-title":"Metabolism: clinical and experimental","DOI":"10.1016/j.metabol.2020.154338","ISSN":"0026-0495","journalAbbreviation":"Metabolism","note":"PMID: 32791172\nPMCID: PMC7736084","page":"154338","source":"PubMed Central","title":"The role of Peroxisome Proliferator-Activated Receptors (PPAR) in immune responses","volume":"114","author":[{"family":"Christofides","given":"Anthos"},{"family":"Konstantinidou","given":"Eirini"},{"family":"Jani","given":"Chinmay"},{"family":"Boussiotis","given":"Vassiliki A."}],"issued":{"date-parts":[["2021",1]]}}}],"schema":"https://github.com/citation-style-language/schema/raw/master/csl-citation.json"} </w:instrText>
      </w:r>
      <w:r w:rsidR="00FD3E25" w:rsidRPr="00036AA6">
        <w:rPr>
          <w:rFonts w:ascii="Times New Roman" w:hAnsi="Times New Roman" w:cs="Times New Roman"/>
        </w:rPr>
        <w:fldChar w:fldCharType="separate"/>
      </w:r>
      <w:r w:rsidR="004A6C96" w:rsidRPr="00036AA6">
        <w:rPr>
          <w:rFonts w:ascii="Times New Roman" w:hAnsi="Times New Roman" w:cs="Times New Roman"/>
        </w:rPr>
        <w:t>[8]</w:t>
      </w:r>
      <w:r w:rsidR="00FD3E25" w:rsidRPr="00036AA6">
        <w:rPr>
          <w:rFonts w:ascii="Times New Roman" w:hAnsi="Times New Roman" w:cs="Times New Roman"/>
        </w:rPr>
        <w:fldChar w:fldCharType="end"/>
      </w:r>
      <w:r w:rsidR="00F62B0E" w:rsidRPr="00036AA6">
        <w:rPr>
          <w:rFonts w:ascii="Times New Roman" w:hAnsi="Times New Roman" w:cs="Times New Roman"/>
        </w:rPr>
        <w:t xml:space="preserve"> . </w:t>
      </w:r>
      <w:r w:rsidRPr="00036AA6">
        <w:rPr>
          <w:rFonts w:ascii="Times New Roman" w:hAnsi="Times New Roman" w:cs="Times New Roman"/>
        </w:rPr>
        <w:t>First approved in India in 2013 for the treatment of diabetic dyslipidemia, saroglitazar was subsequently granted regulatory approval in 2020 for MASLD and metabolic dysfunction-associated steatohepatitis (MASH), reflecting growing recognition of its multi-targeted therapeutic potential</w:t>
      </w:r>
      <w:r w:rsidR="00742245" w:rsidRPr="00036AA6">
        <w:rPr>
          <w:rFonts w:ascii="Times New Roman" w:hAnsi="Times New Roman" w:cs="Times New Roman"/>
        </w:rPr>
        <w:t xml:space="preserve"> </w:t>
      </w:r>
      <w:r w:rsidR="00FD3E25" w:rsidRPr="00036AA6">
        <w:rPr>
          <w:rFonts w:ascii="Times New Roman" w:hAnsi="Times New Roman" w:cs="Times New Roman"/>
        </w:rPr>
        <w:fldChar w:fldCharType="begin"/>
      </w:r>
      <w:r w:rsidR="004A6C96" w:rsidRPr="00036AA6">
        <w:rPr>
          <w:rFonts w:ascii="Times New Roman" w:hAnsi="Times New Roman" w:cs="Times New Roman"/>
        </w:rPr>
        <w:instrText xml:space="preserve"> ADDIN ZOTERO_ITEM CSL_CITATION {"citationID":"yR2oTTz0","properties":{"formattedCitation":"[9]","plainCitation":"[9]","noteIndex":0},"citationItems":[{"id":1489,"uris":["http://zotero.org/users/local/kKCyaFRY/items/AIQDW3FP"],"itemData":{"id":1489,"type":"article-journal","abstract":"The potential for PPAR agonists to positively affect risk of cardiovascular disease in patients with type 2 diabetes (T2DM) is of persistent attention. The PRESS XII study primarily aimed to evaluate the efficacy and safety of saroglitazar (2 mg and 4 mg) as compared to pioglitazone 30 mg on glycemic control in patients with type 2 diabetes mellitus.","container-title":"Cardiovascular Diabetology","DOI":"10.1186/s12933-020-01073-w","ISSN":"1475-2840","issue":"1","journalAbbreviation":"Cardiovascular Diabetology","page":"93","source":"BioMed Central","title":"Effect of saroglitazar 2 mg and 4 mg on glycemic control, lipid profile and cardiovascular disease risk in patients with type 2 diabetes mellitus: a 56-week, randomized, double blind, phase 3 study (PRESS XII study)","title-short":"Effect of saroglitazar 2 mg and 4 mg on glycemic control, lipid profile and cardiovascular disease risk in patients with type 2 diabetes mellitus","volume":"19","author":[{"family":"Krishnappa","given":"Manjunath"},{"family":"Patil","given":"Kishor"},{"family":"Parmar","given":"Krupi"},{"family":"Trivedi","given":"Purav"},{"family":"Mody","given":"Nirali"},{"family":"Shah","given":"Chintan"},{"family":"Faldu","given":"Khushboo"},{"family":"Maroo","given":"Sanjay"},{"family":"Desai","given":"Piyush"},{"family":"Fatania","given":"Kamlesh"},{"family":"Murthy","given":"Satyanarayan"},{"family":"Balamurugan","given":"R."},{"family":"Agarwal","given":"Manish"},{"family":"Singh","given":"K. P."},{"family":"Kalra","given":"G. S."},{"family":"Khandelwal","given":"Vipul"},{"family":"Singwala","given":"Ashish"},{"family":"Thacker","given":"Hemant"},{"family":"Tulle","given":"Rahul"},{"family":"Rao","given":"Harish"},{"family":"Kumbla","given":"Mukund"},{"family":"Singh","given":"Parminder"},{"family":"Khatri","given":"Ashok"},{"family":"Agrawal","given":"Sumit"},{"family":"Sarkar","given":"R. N."},{"family":"Agarwal","given":"Dinesh"},{"family":"Bhatia","given":"Girish"},{"family":"Agarwal","given":"R. P."},{"family":"Kumar","given":"Surender"},{"family":"Vamsi Krishna","given":"P. R."},{"family":"Ajmani","given":"Ajay Kumar"},{"family":"Asalkar","given":"Amit"},{"family":"Basu","given":"Indraneel"},{"family":"Chatterjee","given":"Sudip"},{"family":"Pavithran","given":"Vinod Kumar"},{"family":"Das","given":"Rupam"},{"family":"Dharmadhikari","given":"Aniruddha"},{"family":"Vardhan","given":"Vikram"},{"family":"Madusudhan Babu","given":"M."},{"family":"Sengupta","given":"Nilanjan"},{"family":"Abkari","given":"Srirang"},{"family":"Harikrishna","given":"R."},{"family":"Chovatia","given":"Rashmi"},{"family":"Parmar","given":"Deven"},{"literal":"for the PRESS XII study group"}],"issued":{"date-parts":[["2020",6,19]]}}}],"schema":"https://github.com/citation-style-language/schema/raw/master/csl-citation.json"} </w:instrText>
      </w:r>
      <w:r w:rsidR="00FD3E25" w:rsidRPr="00036AA6">
        <w:rPr>
          <w:rFonts w:ascii="Times New Roman" w:hAnsi="Times New Roman" w:cs="Times New Roman"/>
        </w:rPr>
        <w:fldChar w:fldCharType="separate"/>
      </w:r>
      <w:r w:rsidR="004A6C96" w:rsidRPr="00036AA6">
        <w:rPr>
          <w:rFonts w:ascii="Times New Roman" w:hAnsi="Times New Roman" w:cs="Times New Roman"/>
        </w:rPr>
        <w:t>[9]</w:t>
      </w:r>
      <w:r w:rsidR="00FD3E25" w:rsidRPr="00036AA6">
        <w:rPr>
          <w:rFonts w:ascii="Times New Roman" w:hAnsi="Times New Roman" w:cs="Times New Roman"/>
        </w:rPr>
        <w:fldChar w:fldCharType="end"/>
      </w:r>
      <w:r w:rsidR="00F62B0E" w:rsidRPr="00036AA6">
        <w:rPr>
          <w:rFonts w:ascii="Times New Roman" w:hAnsi="Times New Roman" w:cs="Times New Roman"/>
        </w:rPr>
        <w:t>.</w:t>
      </w:r>
      <w:r w:rsidRPr="00036AA6">
        <w:t xml:space="preserve"> </w:t>
      </w:r>
      <w:r w:rsidRPr="00036AA6">
        <w:rPr>
          <w:rFonts w:ascii="Times New Roman" w:hAnsi="Times New Roman" w:cs="Times New Roman"/>
        </w:rPr>
        <w:t>This case series aims to present real-world, longitudinal evidence evaluating the hepatic and metabolic benefits of saroglitazar in patients with MASLD and type 2 diabetes, highlighting its potential role in addressing the current therapeutic gaps.</w:t>
      </w:r>
    </w:p>
    <w:p w14:paraId="18A4CE87" w14:textId="5ACFC716" w:rsidR="00F60AB6" w:rsidRPr="00036AA6" w:rsidRDefault="00F60AB6" w:rsidP="00762747">
      <w:pPr>
        <w:jc w:val="both"/>
        <w:rPr>
          <w:rFonts w:ascii="Times New Roman" w:hAnsi="Times New Roman" w:cs="Times New Roman"/>
          <w:b/>
          <w:bCs/>
          <w:i/>
          <w:iCs/>
        </w:rPr>
      </w:pPr>
      <w:r w:rsidRPr="00036AA6">
        <w:rPr>
          <w:rFonts w:ascii="Times New Roman" w:hAnsi="Times New Roman" w:cs="Times New Roman"/>
          <w:b/>
          <w:bCs/>
          <w:i/>
          <w:iCs/>
        </w:rPr>
        <w:t>Methodology</w:t>
      </w:r>
    </w:p>
    <w:p w14:paraId="5A768CC2" w14:textId="3230EEFA" w:rsidR="00762747" w:rsidRPr="00762747" w:rsidRDefault="004F1335" w:rsidP="00762747">
      <w:pPr>
        <w:jc w:val="both"/>
        <w:rPr>
          <w:rFonts w:ascii="Times New Roman" w:hAnsi="Times New Roman" w:cs="Times New Roman"/>
        </w:rPr>
      </w:pPr>
      <w:r w:rsidRPr="00036AA6">
        <w:rPr>
          <w:rFonts w:ascii="Times New Roman" w:hAnsi="Times New Roman" w:cs="Times New Roman"/>
        </w:rPr>
        <w:t xml:space="preserve">This </w:t>
      </w:r>
      <w:r w:rsidR="00F63CD1" w:rsidRPr="00036AA6">
        <w:rPr>
          <w:rFonts w:ascii="Times New Roman" w:hAnsi="Times New Roman" w:cs="Times New Roman"/>
        </w:rPr>
        <w:t xml:space="preserve">observational </w:t>
      </w:r>
      <w:r w:rsidRPr="00036AA6">
        <w:rPr>
          <w:rFonts w:ascii="Times New Roman" w:hAnsi="Times New Roman" w:cs="Times New Roman"/>
        </w:rPr>
        <w:t xml:space="preserve">case series was </w:t>
      </w:r>
      <w:r w:rsidR="00F63CD1" w:rsidRPr="00036AA6">
        <w:rPr>
          <w:rFonts w:ascii="Times New Roman" w:hAnsi="Times New Roman" w:cs="Times New Roman"/>
        </w:rPr>
        <w:t>carried</w:t>
      </w:r>
      <w:r w:rsidRPr="00036AA6">
        <w:rPr>
          <w:rFonts w:ascii="Times New Roman" w:hAnsi="Times New Roman" w:cs="Times New Roman"/>
        </w:rPr>
        <w:t xml:space="preserve"> over a </w:t>
      </w:r>
      <w:r w:rsidR="00235D47" w:rsidRPr="00B459EE">
        <w:rPr>
          <w:rFonts w:ascii="Times New Roman" w:hAnsi="Times New Roman" w:cs="Times New Roman"/>
          <w:highlight w:val="yellow"/>
        </w:rPr>
        <w:t>two-year period</w:t>
      </w:r>
      <w:r w:rsidR="00235D47" w:rsidRPr="00036AA6">
        <w:rPr>
          <w:rFonts w:ascii="Times New Roman" w:hAnsi="Times New Roman" w:cs="Times New Roman"/>
        </w:rPr>
        <w:t xml:space="preserve"> </w:t>
      </w:r>
      <w:r w:rsidRPr="00036AA6">
        <w:rPr>
          <w:rFonts w:ascii="Times New Roman" w:hAnsi="Times New Roman" w:cs="Times New Roman"/>
        </w:rPr>
        <w:t>at Dr. Dang’s Diabetes Clinic</w:t>
      </w:r>
      <w:r w:rsidR="008C46D7" w:rsidRPr="00036AA6">
        <w:rPr>
          <w:rFonts w:ascii="Times New Roman" w:hAnsi="Times New Roman" w:cs="Times New Roman"/>
        </w:rPr>
        <w:t xml:space="preserve">, </w:t>
      </w:r>
      <w:r w:rsidRPr="00036AA6">
        <w:rPr>
          <w:rFonts w:ascii="Times New Roman" w:hAnsi="Times New Roman" w:cs="Times New Roman"/>
        </w:rPr>
        <w:t xml:space="preserve">Ghaziabad, Uttar Pradesh, </w:t>
      </w:r>
      <w:r w:rsidR="00871B8F" w:rsidRPr="00036AA6">
        <w:rPr>
          <w:rFonts w:ascii="Times New Roman" w:hAnsi="Times New Roman" w:cs="Times New Roman"/>
        </w:rPr>
        <w:t>India. Between</w:t>
      </w:r>
      <w:r w:rsidR="00B161A1">
        <w:rPr>
          <w:rFonts w:ascii="Times New Roman" w:hAnsi="Times New Roman" w:cs="Times New Roman"/>
        </w:rPr>
        <w:t xml:space="preserve"> March 2023 to April 2025, </w:t>
      </w:r>
      <w:r w:rsidR="00A96AC5" w:rsidRPr="00036AA6">
        <w:rPr>
          <w:rFonts w:ascii="Times New Roman" w:hAnsi="Times New Roman" w:cs="Times New Roman"/>
        </w:rPr>
        <w:t xml:space="preserve">with </w:t>
      </w:r>
      <w:r w:rsidRPr="00036AA6">
        <w:rPr>
          <w:rFonts w:ascii="Times New Roman" w:hAnsi="Times New Roman" w:cs="Times New Roman"/>
        </w:rPr>
        <w:t>four adult patients presenting to the outpatient department were screened for eligibility.</w:t>
      </w:r>
      <w:r w:rsidR="00762747" w:rsidRPr="00762747">
        <w:t xml:space="preserve"> </w:t>
      </w:r>
      <w:r w:rsidR="00762747" w:rsidRPr="00762747">
        <w:rPr>
          <w:rFonts w:ascii="Times New Roman" w:hAnsi="Times New Roman" w:cs="Times New Roman"/>
        </w:rPr>
        <w:t>All four patients were also initiated on oral semaglutide in doses of 7 mg or 14 mg once daily, titrated based on individual tolerance and glycemic targets. This combination regimen</w:t>
      </w:r>
      <w:r w:rsidR="00E65720">
        <w:rPr>
          <w:rFonts w:ascii="Times New Roman" w:hAnsi="Times New Roman" w:cs="Times New Roman"/>
        </w:rPr>
        <w:t xml:space="preserve"> </w:t>
      </w:r>
      <w:r w:rsidR="00E65720" w:rsidRPr="00E65720">
        <w:rPr>
          <w:rFonts w:ascii="Times New Roman" w:hAnsi="Times New Roman" w:cs="Times New Roman"/>
          <w:highlight w:val="yellow"/>
        </w:rPr>
        <w:t>of</w:t>
      </w:r>
      <w:r w:rsidR="00762747">
        <w:rPr>
          <w:rFonts w:ascii="Times New Roman" w:hAnsi="Times New Roman" w:cs="Times New Roman"/>
        </w:rPr>
        <w:t xml:space="preserve"> </w:t>
      </w:r>
      <w:r w:rsidR="00762747" w:rsidRPr="00762747">
        <w:rPr>
          <w:rFonts w:ascii="Times New Roman" w:hAnsi="Times New Roman" w:cs="Times New Roman"/>
        </w:rPr>
        <w:t>saroglitazar 4 mg with semaglutide</w:t>
      </w:r>
      <w:r w:rsidR="00762747">
        <w:rPr>
          <w:rFonts w:ascii="Times New Roman" w:hAnsi="Times New Roman" w:cs="Times New Roman"/>
        </w:rPr>
        <w:t xml:space="preserve"> </w:t>
      </w:r>
      <w:r w:rsidR="00762747" w:rsidRPr="00762747">
        <w:rPr>
          <w:rFonts w:ascii="Times New Roman" w:hAnsi="Times New Roman" w:cs="Times New Roman"/>
        </w:rPr>
        <w:t>was used consistently throughout the study period.</w:t>
      </w:r>
    </w:p>
    <w:p w14:paraId="0F2A5B62" w14:textId="4B3B2767" w:rsidR="004F1335" w:rsidRPr="00036AA6" w:rsidRDefault="004F1335" w:rsidP="004F1335">
      <w:pPr>
        <w:jc w:val="both"/>
        <w:rPr>
          <w:rFonts w:ascii="Times New Roman" w:hAnsi="Times New Roman" w:cs="Times New Roman"/>
        </w:rPr>
      </w:pPr>
      <w:r w:rsidRPr="00036AA6">
        <w:rPr>
          <w:rFonts w:ascii="Times New Roman" w:hAnsi="Times New Roman" w:cs="Times New Roman"/>
        </w:rPr>
        <w:t xml:space="preserve"> All participants were between 18 and 70 years of </w:t>
      </w:r>
      <w:r w:rsidR="00913ECB" w:rsidRPr="00036AA6">
        <w:rPr>
          <w:rFonts w:ascii="Times New Roman" w:hAnsi="Times New Roman" w:cs="Times New Roman"/>
        </w:rPr>
        <w:t>age and</w:t>
      </w:r>
      <w:r w:rsidRPr="00036AA6">
        <w:rPr>
          <w:rFonts w:ascii="Times New Roman" w:hAnsi="Times New Roman" w:cs="Times New Roman"/>
        </w:rPr>
        <w:t xml:space="preserve"> had a confirmed diagnosis of T2DM based on the diagnostic criteria of the American Diabetes Association (ADA)</w:t>
      </w:r>
      <w:r w:rsidR="00540759" w:rsidRPr="00036AA6">
        <w:rPr>
          <w:rFonts w:ascii="Times New Roman" w:hAnsi="Times New Roman" w:cs="Times New Roman"/>
        </w:rPr>
        <w:t xml:space="preserve"> </w:t>
      </w:r>
      <w:r w:rsidR="00E42513"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{"citationID":"DsilnyGN","properties":{"formattedCitation":"[10]","plainCitation":"[10]","noteIndex":0},"citationItems":[{"id":2046,"uris":["http://zotero.org/users/local/kKCyaFRY/items/LBPII878"],"itemData":{"id":2046,"type":"webpage","title":"2. Diagnosis and Classification of Diabetes: Standards of Care in Diabetes—2025 | Diabetes Care | American Diabetes Association","URL":"https://diabetesjournals.org/care/article/48/Supplement_1/S27/157566/2-Diagnosis-and-Classification-of-Diabetes","accessed":{"date-parts":[["2025",6,11]]}}}],"schema":"https://github.com/citation-style-language/schema/raw/master/csl-citation.json"} </w:instrText>
      </w:r>
      <w:r w:rsidR="00E42513" w:rsidRPr="00036AA6">
        <w:rPr>
          <w:rFonts w:ascii="Times New Roman" w:hAnsi="Times New Roman" w:cs="Times New Roman"/>
        </w:rPr>
        <w:fldChar w:fldCharType="separate"/>
      </w:r>
      <w:r w:rsidR="00E42513" w:rsidRPr="00036AA6">
        <w:rPr>
          <w:rFonts w:ascii="Times New Roman" w:hAnsi="Times New Roman" w:cs="Times New Roman"/>
        </w:rPr>
        <w:t>[10]</w:t>
      </w:r>
      <w:r w:rsidR="00E42513" w:rsidRPr="00036AA6">
        <w:rPr>
          <w:rFonts w:ascii="Times New Roman" w:hAnsi="Times New Roman" w:cs="Times New Roman"/>
        </w:rPr>
        <w:fldChar w:fldCharType="end"/>
      </w:r>
      <w:r w:rsidR="00CC3986">
        <w:rPr>
          <w:rFonts w:ascii="Times New Roman" w:hAnsi="Times New Roman" w:cs="Times New Roman"/>
        </w:rPr>
        <w:t>.</w:t>
      </w:r>
      <w:r w:rsidRPr="00036AA6">
        <w:rPr>
          <w:rFonts w:ascii="Times New Roman" w:hAnsi="Times New Roman" w:cs="Times New Roman"/>
        </w:rPr>
        <w:t xml:space="preserve"> Hepatic steatosis greater than Grade I was confirmed</w:t>
      </w:r>
      <w:r w:rsidR="004B2849" w:rsidRPr="00036AA6">
        <w:rPr>
          <w:rFonts w:ascii="Times New Roman" w:hAnsi="Times New Roman" w:cs="Times New Roman"/>
        </w:rPr>
        <w:t xml:space="preserve"> </w:t>
      </w:r>
      <w:r w:rsidRPr="00036AA6">
        <w:rPr>
          <w:rFonts w:ascii="Times New Roman" w:hAnsi="Times New Roman" w:cs="Times New Roman"/>
        </w:rPr>
        <w:t>in all enrolled individuals via abdominal ultrasonography.</w:t>
      </w:r>
    </w:p>
    <w:p w14:paraId="67006EC7" w14:textId="77777777" w:rsidR="004F1335" w:rsidRPr="00036AA6" w:rsidRDefault="004F1335" w:rsidP="004F1335">
      <w:pPr>
        <w:jc w:val="both"/>
        <w:rPr>
          <w:rFonts w:ascii="Times New Roman" w:hAnsi="Times New Roman" w:cs="Times New Roman"/>
        </w:rPr>
      </w:pPr>
      <w:r w:rsidRPr="00036AA6">
        <w:rPr>
          <w:rFonts w:ascii="Times New Roman" w:hAnsi="Times New Roman" w:cs="Times New Roman"/>
        </w:rPr>
        <w:lastRenderedPageBreak/>
        <w:t>Additional eligibility requirements included the presence of obesity (as per WHO Asian cut-offs), hypertriglyceridemia, and elevated hepatic fat and stiffness indices. Hepatic steatosis severity and fibrosis assessment were performed using transient elastography, with Controlled Attenuation Parameter (CAP) and Liver Stiffness Measurement (LSM) values used to quantify liver involvement. All patients provided written informed consent prior to inclusion, in compliance with institutional ethics policies.</w:t>
      </w:r>
    </w:p>
    <w:p w14:paraId="16A6C0A1" w14:textId="1B0322C5" w:rsidR="004F1335" w:rsidRDefault="004F1335" w:rsidP="004F1335">
      <w:pPr>
        <w:jc w:val="both"/>
        <w:rPr>
          <w:rFonts w:ascii="Times New Roman" w:hAnsi="Times New Roman" w:cs="Times New Roman"/>
        </w:rPr>
      </w:pPr>
      <w:r w:rsidRPr="00036AA6">
        <w:rPr>
          <w:rFonts w:ascii="Times New Roman" w:hAnsi="Times New Roman" w:cs="Times New Roman"/>
        </w:rPr>
        <w:t>Patients were excluded if they had a history of liver injury attributable to chemical agents or hepatotoxic medications within the 9 months preceding assessment. Use of glucagon-like peptide-1 receptor agonists (GLP-1 RAs), sodium-glucose co-transporter-2 (SGLT2) inhibitors, or pioglitazone within 3 months prior to enrollment or during the study period was also a contraindication for participation. Individuals with positive serology for hepatitis B surface antigen or hepatitis C virus antibodies were excluded. Any other comorbid conditions or factors deemed likely to interfere with study assessments or compromise patient safety were considered exclusionary</w:t>
      </w:r>
      <w:r w:rsidR="00CC3986">
        <w:rPr>
          <w:rFonts w:ascii="Times New Roman" w:hAnsi="Times New Roman" w:cs="Times New Roman"/>
        </w:rPr>
        <w:t>.</w:t>
      </w:r>
    </w:p>
    <w:p w14:paraId="558A04F3" w14:textId="46B8B7B7" w:rsidR="00CC3986" w:rsidRDefault="00CC3986" w:rsidP="00CC3986">
      <w:pPr>
        <w:jc w:val="both"/>
        <w:rPr>
          <w:rFonts w:ascii="Times New Roman" w:hAnsi="Times New Roman" w:cs="Times New Roman"/>
        </w:rPr>
      </w:pPr>
      <w:r w:rsidRPr="00E43B5F">
        <w:rPr>
          <w:rFonts w:ascii="Times New Roman" w:hAnsi="Times New Roman" w:cs="Times New Roman"/>
        </w:rPr>
        <w:t>All four patients were also initiated on oral semaglutide as part of their standard diabetic management</w:t>
      </w:r>
      <w:r w:rsidR="008C0423" w:rsidRPr="00E43B5F">
        <w:rPr>
          <w:rFonts w:ascii="Times New Roman" w:hAnsi="Times New Roman" w:cs="Times New Roman"/>
        </w:rPr>
        <w:t>.</w:t>
      </w:r>
      <w:r w:rsidRPr="00E43B5F">
        <w:rPr>
          <w:rFonts w:ascii="Times New Roman" w:hAnsi="Times New Roman" w:cs="Times New Roman"/>
        </w:rPr>
        <w:t xml:space="preserve"> No other hepatoprotective or metabolic agents with known hepatic benefits were used during the observation period.</w:t>
      </w:r>
    </w:p>
    <w:p w14:paraId="297701BA" w14:textId="77777777" w:rsidR="00CC3986" w:rsidRDefault="00CC3986" w:rsidP="00CC3986">
      <w:pPr>
        <w:jc w:val="both"/>
        <w:rPr>
          <w:rFonts w:ascii="Times New Roman" w:hAnsi="Times New Roman" w:cs="Times New Roman"/>
          <w:b/>
          <w:bCs/>
        </w:rPr>
      </w:pPr>
    </w:p>
    <w:p w14:paraId="16F14D4C" w14:textId="4300FB95" w:rsidR="00CC3986" w:rsidRPr="00983147" w:rsidRDefault="00CC3986" w:rsidP="004F1335">
      <w:pPr>
        <w:jc w:val="both"/>
        <w:rPr>
          <w:rFonts w:ascii="Times New Roman" w:hAnsi="Times New Roman" w:cs="Times New Roman"/>
          <w:b/>
          <w:bCs/>
        </w:rPr>
      </w:pPr>
      <w:r w:rsidRPr="00036AA6">
        <w:rPr>
          <w:rFonts w:ascii="Times New Roman" w:hAnsi="Times New Roman" w:cs="Times New Roman"/>
          <w:b/>
          <w:bCs/>
        </w:rPr>
        <w:t>Case Presentation:</w:t>
      </w:r>
    </w:p>
    <w:p w14:paraId="5B24D2A8" w14:textId="3931A4DA" w:rsidR="0039558F" w:rsidRPr="00036AA6" w:rsidRDefault="0039558F" w:rsidP="00B57705">
      <w:pPr>
        <w:jc w:val="both"/>
        <w:rPr>
          <w:rFonts w:ascii="Times New Roman" w:hAnsi="Times New Roman" w:cs="Times New Roman"/>
        </w:rPr>
      </w:pPr>
      <w:r w:rsidRPr="00036AA6">
        <w:rPr>
          <w:rFonts w:ascii="Times New Roman" w:hAnsi="Times New Roman" w:cs="Times New Roman"/>
          <w:b/>
          <w:bCs/>
        </w:rPr>
        <w:t>Case 1</w:t>
      </w:r>
      <w:r w:rsidR="00B57705" w:rsidRPr="00036AA6">
        <w:rPr>
          <w:rFonts w:ascii="Times New Roman" w:hAnsi="Times New Roman" w:cs="Times New Roman"/>
        </w:rPr>
        <w:t xml:space="preserve">: </w:t>
      </w:r>
      <w:r w:rsidRPr="00036AA6">
        <w:rPr>
          <w:rFonts w:ascii="Times New Roman" w:hAnsi="Times New Roman" w:cs="Times New Roman"/>
        </w:rPr>
        <w:t xml:space="preserve">A </w:t>
      </w:r>
      <w:r w:rsidR="007B7B87">
        <w:rPr>
          <w:rFonts w:ascii="Times New Roman" w:hAnsi="Times New Roman" w:cs="Times New Roman"/>
        </w:rPr>
        <w:t>39</w:t>
      </w:r>
      <w:r w:rsidRPr="00036AA6">
        <w:rPr>
          <w:rFonts w:ascii="Times New Roman" w:hAnsi="Times New Roman" w:cs="Times New Roman"/>
        </w:rPr>
        <w:t>-year-old male with type 2 diabetes mellitus presented with obesity and laboratory evidence of dyslipidemia. At baseline</w:t>
      </w:r>
      <w:r w:rsidR="006E588A">
        <w:rPr>
          <w:rFonts w:ascii="Times New Roman" w:hAnsi="Times New Roman" w:cs="Times New Roman"/>
        </w:rPr>
        <w:t xml:space="preserve">, </w:t>
      </w:r>
      <w:r w:rsidRPr="00036AA6">
        <w:rPr>
          <w:rFonts w:ascii="Times New Roman" w:hAnsi="Times New Roman" w:cs="Times New Roman"/>
        </w:rPr>
        <w:t>HbA1c was 6.4%, fasting glucose was 110 mg/dL, and triglycerides were elevated at 190 mg/dL.</w:t>
      </w:r>
      <w:r w:rsidR="00493FA8">
        <w:rPr>
          <w:rFonts w:ascii="Times New Roman" w:hAnsi="Times New Roman" w:cs="Times New Roman"/>
        </w:rPr>
        <w:t xml:space="preserve"> </w:t>
      </w:r>
      <w:r w:rsidR="00E21880" w:rsidRPr="00EF04AD">
        <w:rPr>
          <w:rFonts w:ascii="Times New Roman" w:hAnsi="Times New Roman" w:cs="Times New Roman"/>
          <w:highlight w:val="yellow"/>
        </w:rPr>
        <w:t>The</w:t>
      </w:r>
      <w:r w:rsidR="00E21880">
        <w:rPr>
          <w:rFonts w:ascii="Times New Roman" w:hAnsi="Times New Roman" w:cs="Times New Roman"/>
        </w:rPr>
        <w:t xml:space="preserve"> </w:t>
      </w:r>
      <w:r w:rsidRPr="00036AA6">
        <w:rPr>
          <w:rFonts w:ascii="Times New Roman" w:hAnsi="Times New Roman" w:cs="Times New Roman"/>
        </w:rPr>
        <w:t xml:space="preserve">CAP score was 328 dB/m and liver stiffness measurement (LSM) </w:t>
      </w:r>
      <w:r w:rsidR="00871B8F" w:rsidRPr="00276865">
        <w:rPr>
          <w:rFonts w:ascii="Times New Roman" w:hAnsi="Times New Roman" w:cs="Times New Roman"/>
          <w:highlight w:val="yellow"/>
        </w:rPr>
        <w:t>w</w:t>
      </w:r>
      <w:r w:rsidR="00276865" w:rsidRPr="00276865">
        <w:rPr>
          <w:rFonts w:ascii="Times New Roman" w:hAnsi="Times New Roman" w:cs="Times New Roman"/>
          <w:highlight w:val="yellow"/>
        </w:rPr>
        <w:t>as</w:t>
      </w:r>
      <w:r w:rsidR="00276865">
        <w:rPr>
          <w:rFonts w:ascii="Times New Roman" w:hAnsi="Times New Roman" w:cs="Times New Roman"/>
        </w:rPr>
        <w:t xml:space="preserve"> </w:t>
      </w:r>
      <w:r w:rsidRPr="00036AA6">
        <w:rPr>
          <w:rFonts w:ascii="Times New Roman" w:hAnsi="Times New Roman" w:cs="Times New Roman"/>
        </w:rPr>
        <w:t>15.7 kPa</w:t>
      </w:r>
      <w:r w:rsidR="00ED60B4" w:rsidRPr="00036AA6">
        <w:rPr>
          <w:rFonts w:ascii="Times New Roman" w:hAnsi="Times New Roman" w:cs="Times New Roman"/>
        </w:rPr>
        <w:t xml:space="preserve"> </w:t>
      </w:r>
      <w:r w:rsidR="00E50FA4" w:rsidRPr="00E50FA4">
        <w:rPr>
          <w:rFonts w:ascii="Times New Roman" w:hAnsi="Times New Roman" w:cs="Times New Roman"/>
          <w:highlight w:val="yellow"/>
        </w:rPr>
        <w:t>at</w:t>
      </w:r>
      <w:r w:rsidR="00913ECB" w:rsidRPr="00036AA6">
        <w:rPr>
          <w:rFonts w:ascii="Times New Roman" w:hAnsi="Times New Roman" w:cs="Times New Roman"/>
        </w:rPr>
        <w:t xml:space="preserve"> baseline</w:t>
      </w:r>
      <w:r w:rsidRPr="00036AA6">
        <w:rPr>
          <w:rFonts w:ascii="Times New Roman" w:hAnsi="Times New Roman" w:cs="Times New Roman"/>
        </w:rPr>
        <w:t xml:space="preserve">, corresponding to Fibrosis Stage F3. Follow-up assessments over 32 weeks revealed progressive improvement in metabolic and hepatic parameters. HbA1c had decreased to 5.6%, triglycerides to 128 mg/dL, and LSM had normalized to 4.3 kPa (F0). </w:t>
      </w:r>
      <w:r w:rsidR="00253948" w:rsidRPr="00253948">
        <w:rPr>
          <w:rFonts w:ascii="Times New Roman" w:hAnsi="Times New Roman" w:cs="Times New Roman"/>
          <w:highlight w:val="yellow"/>
        </w:rPr>
        <w:t>The</w:t>
      </w:r>
      <w:r w:rsidR="00253948">
        <w:rPr>
          <w:rFonts w:ascii="Times New Roman" w:hAnsi="Times New Roman" w:cs="Times New Roman"/>
        </w:rPr>
        <w:t xml:space="preserve"> </w:t>
      </w:r>
      <w:r w:rsidRPr="00036AA6">
        <w:rPr>
          <w:rFonts w:ascii="Times New Roman" w:hAnsi="Times New Roman" w:cs="Times New Roman"/>
        </w:rPr>
        <w:t>CAP score declined to 225 dB/m, reflecting reduced hepatic steatosis</w:t>
      </w:r>
      <w:r w:rsidR="00A96AC5" w:rsidRPr="00036AA6">
        <w:rPr>
          <w:rFonts w:ascii="Times New Roman" w:hAnsi="Times New Roman" w:cs="Times New Roman"/>
        </w:rPr>
        <w:t xml:space="preserve"> at 32 weeks</w:t>
      </w:r>
      <w:r w:rsidRPr="00036AA6">
        <w:rPr>
          <w:rFonts w:ascii="Times New Roman" w:hAnsi="Times New Roman" w:cs="Times New Roman"/>
        </w:rPr>
        <w:t>.</w:t>
      </w:r>
    </w:p>
    <w:p w14:paraId="2EB26840" w14:textId="7C64E729" w:rsidR="0039558F" w:rsidRPr="00036AA6" w:rsidRDefault="00114933" w:rsidP="00B57705">
      <w:pPr>
        <w:jc w:val="both"/>
        <w:rPr>
          <w:rFonts w:ascii="Times New Roman" w:hAnsi="Times New Roman" w:cs="Times New Roman"/>
          <w:b/>
          <w:bCs/>
        </w:rPr>
      </w:pPr>
      <w:r w:rsidRPr="00036AA6">
        <w:rPr>
          <w:rFonts w:ascii="Times New Roman" w:hAnsi="Times New Roman" w:cs="Times New Roman"/>
          <w:b/>
          <w:bCs/>
        </w:rPr>
        <w:t>Case</w:t>
      </w:r>
      <w:r w:rsidR="0039558F" w:rsidRPr="00036AA6">
        <w:rPr>
          <w:rFonts w:ascii="Times New Roman" w:hAnsi="Times New Roman" w:cs="Times New Roman"/>
          <w:b/>
          <w:bCs/>
        </w:rPr>
        <w:t xml:space="preserve"> 2</w:t>
      </w:r>
      <w:r w:rsidR="00B57705" w:rsidRPr="00036AA6">
        <w:rPr>
          <w:rFonts w:ascii="Times New Roman" w:hAnsi="Times New Roman" w:cs="Times New Roman"/>
          <w:b/>
          <w:bCs/>
        </w:rPr>
        <w:t xml:space="preserve">: </w:t>
      </w:r>
      <w:r w:rsidR="0039558F" w:rsidRPr="00036AA6">
        <w:rPr>
          <w:rFonts w:ascii="Times New Roman" w:hAnsi="Times New Roman" w:cs="Times New Roman"/>
        </w:rPr>
        <w:t xml:space="preserve">A </w:t>
      </w:r>
      <w:r w:rsidR="003D7B69">
        <w:rPr>
          <w:rFonts w:ascii="Times New Roman" w:hAnsi="Times New Roman" w:cs="Times New Roman"/>
        </w:rPr>
        <w:t>61</w:t>
      </w:r>
      <w:r w:rsidR="0039558F" w:rsidRPr="00036AA6">
        <w:rPr>
          <w:rFonts w:ascii="Times New Roman" w:hAnsi="Times New Roman" w:cs="Times New Roman"/>
        </w:rPr>
        <w:t>-year-old male with poorly controlled T2DM at baseline (HbA1c 7.1%) and features suggestive of advanced hepatic fibrosis was enrolle</w:t>
      </w:r>
      <w:r w:rsidR="006E588A">
        <w:rPr>
          <w:rFonts w:ascii="Times New Roman" w:hAnsi="Times New Roman" w:cs="Times New Roman"/>
        </w:rPr>
        <w:t>d</w:t>
      </w:r>
      <w:r w:rsidR="0039558F" w:rsidRPr="00036AA6">
        <w:rPr>
          <w:rFonts w:ascii="Times New Roman" w:hAnsi="Times New Roman" w:cs="Times New Roman"/>
        </w:rPr>
        <w:t xml:space="preserve">. Initial LSM was markedly elevated at 38.5 kPa, with a CAP score of 257 dB/m. Over the 2-year follow-up, </w:t>
      </w:r>
      <w:r w:rsidR="0039558F" w:rsidRPr="009652F5">
        <w:rPr>
          <w:rFonts w:ascii="Times New Roman" w:hAnsi="Times New Roman" w:cs="Times New Roman"/>
          <w:highlight w:val="yellow"/>
        </w:rPr>
        <w:t>glycemic</w:t>
      </w:r>
      <w:r w:rsidR="0039558F" w:rsidRPr="00036AA6">
        <w:rPr>
          <w:rFonts w:ascii="Times New Roman" w:hAnsi="Times New Roman" w:cs="Times New Roman"/>
        </w:rPr>
        <w:t xml:space="preserve"> control improved substantially (HbA1c reduced to 5.5%), with corresponding declines in LSM to 25.8 kPa and CAP to 231 dB/m. Liver enzyme levels remained within normal limits throughout the study period.</w:t>
      </w:r>
    </w:p>
    <w:p w14:paraId="0D562456" w14:textId="39D8FE25" w:rsidR="0039558F" w:rsidRPr="00036AA6" w:rsidRDefault="00114933" w:rsidP="00B57705">
      <w:pPr>
        <w:jc w:val="both"/>
        <w:rPr>
          <w:rFonts w:ascii="Times New Roman" w:hAnsi="Times New Roman" w:cs="Times New Roman"/>
        </w:rPr>
      </w:pPr>
      <w:r w:rsidRPr="00036AA6">
        <w:rPr>
          <w:rFonts w:ascii="Times New Roman" w:hAnsi="Times New Roman" w:cs="Times New Roman"/>
          <w:b/>
          <w:bCs/>
        </w:rPr>
        <w:t>Case 3</w:t>
      </w:r>
      <w:r w:rsidR="00B57705" w:rsidRPr="00036AA6">
        <w:rPr>
          <w:rFonts w:ascii="Times New Roman" w:hAnsi="Times New Roman" w:cs="Times New Roman"/>
        </w:rPr>
        <w:t xml:space="preserve">: </w:t>
      </w:r>
      <w:r w:rsidR="0039558F" w:rsidRPr="00036AA6">
        <w:rPr>
          <w:rFonts w:ascii="Times New Roman" w:hAnsi="Times New Roman" w:cs="Times New Roman"/>
        </w:rPr>
        <w:t>A 56-year-old male with long-standing T2DM and severe dyslipidemia was evaluate</w:t>
      </w:r>
      <w:r w:rsidR="006E588A">
        <w:rPr>
          <w:rFonts w:ascii="Times New Roman" w:hAnsi="Times New Roman" w:cs="Times New Roman"/>
        </w:rPr>
        <w:t>d</w:t>
      </w:r>
      <w:r w:rsidR="0039558F" w:rsidRPr="00036AA6">
        <w:rPr>
          <w:rFonts w:ascii="Times New Roman" w:hAnsi="Times New Roman" w:cs="Times New Roman"/>
        </w:rPr>
        <w:t xml:space="preserve">. At baseline, HbA1c was 8.2%, fasting glucose 163 mg/dL, triglycerides 298 mg/dL, and CAP and LSM were elevated at 347 dB/m and 14.3 kPa, respectively. </w:t>
      </w:r>
      <w:r w:rsidR="00783B8F" w:rsidRPr="00036AA6">
        <w:rPr>
          <w:rFonts w:ascii="Times New Roman" w:hAnsi="Times New Roman" w:cs="Times New Roman"/>
        </w:rPr>
        <w:t>After 2 years,</w:t>
      </w:r>
      <w:r w:rsidR="0039558F" w:rsidRPr="00036AA6">
        <w:rPr>
          <w:rFonts w:ascii="Times New Roman" w:hAnsi="Times New Roman" w:cs="Times New Roman"/>
        </w:rPr>
        <w:t xml:space="preserve"> HbA1c had reduced to 6.2%, triglycerides to 141 mg/dL, and CAP and LSM values</w:t>
      </w:r>
      <w:r w:rsidR="00783B8F" w:rsidRPr="00036AA6">
        <w:rPr>
          <w:rFonts w:ascii="Times New Roman" w:hAnsi="Times New Roman" w:cs="Times New Roman"/>
        </w:rPr>
        <w:t xml:space="preserve"> reduced </w:t>
      </w:r>
      <w:r w:rsidR="00983147" w:rsidRPr="00036AA6">
        <w:rPr>
          <w:rFonts w:ascii="Times New Roman" w:hAnsi="Times New Roman" w:cs="Times New Roman"/>
        </w:rPr>
        <w:t>to 238</w:t>
      </w:r>
      <w:r w:rsidR="00EC0312">
        <w:rPr>
          <w:rFonts w:ascii="Times New Roman" w:hAnsi="Times New Roman" w:cs="Times New Roman"/>
        </w:rPr>
        <w:t xml:space="preserve"> </w:t>
      </w:r>
      <w:r w:rsidR="0039558F" w:rsidRPr="00036AA6">
        <w:rPr>
          <w:rFonts w:ascii="Times New Roman" w:hAnsi="Times New Roman" w:cs="Times New Roman"/>
        </w:rPr>
        <w:t xml:space="preserve">dB/m and </w:t>
      </w:r>
      <w:r w:rsidR="00EC0312">
        <w:rPr>
          <w:rFonts w:ascii="Times New Roman" w:hAnsi="Times New Roman" w:cs="Times New Roman"/>
        </w:rPr>
        <w:t>5</w:t>
      </w:r>
      <w:r w:rsidR="0039558F" w:rsidRPr="00036AA6">
        <w:rPr>
          <w:rFonts w:ascii="Times New Roman" w:hAnsi="Times New Roman" w:cs="Times New Roman"/>
        </w:rPr>
        <w:t xml:space="preserve"> kPa, respectively. Liver enzymes also showed a consistent downward trend.</w:t>
      </w:r>
    </w:p>
    <w:p w14:paraId="0A389D2C" w14:textId="39E3EA08" w:rsidR="003415E0" w:rsidRPr="008C0423" w:rsidRDefault="00114933" w:rsidP="008C0423">
      <w:pPr>
        <w:jc w:val="both"/>
        <w:rPr>
          <w:rFonts w:ascii="Times New Roman" w:hAnsi="Times New Roman" w:cs="Times New Roman"/>
        </w:rPr>
      </w:pPr>
      <w:r w:rsidRPr="00036AA6">
        <w:rPr>
          <w:rFonts w:ascii="Times New Roman" w:hAnsi="Times New Roman" w:cs="Times New Roman"/>
          <w:b/>
          <w:bCs/>
        </w:rPr>
        <w:lastRenderedPageBreak/>
        <w:t>Case 4</w:t>
      </w:r>
      <w:r w:rsidR="00B57705" w:rsidRPr="00036AA6">
        <w:rPr>
          <w:rFonts w:ascii="Times New Roman" w:hAnsi="Times New Roman" w:cs="Times New Roman"/>
        </w:rPr>
        <w:t xml:space="preserve">: </w:t>
      </w:r>
      <w:r w:rsidR="0039558F" w:rsidRPr="00036AA6">
        <w:rPr>
          <w:rFonts w:ascii="Times New Roman" w:hAnsi="Times New Roman" w:cs="Times New Roman"/>
        </w:rPr>
        <w:t xml:space="preserve">A </w:t>
      </w:r>
      <w:r w:rsidR="00BA309F">
        <w:rPr>
          <w:rFonts w:ascii="Times New Roman" w:hAnsi="Times New Roman" w:cs="Times New Roman"/>
        </w:rPr>
        <w:t>4</w:t>
      </w:r>
      <w:r w:rsidR="0039558F" w:rsidRPr="00036AA6">
        <w:rPr>
          <w:rFonts w:ascii="Times New Roman" w:hAnsi="Times New Roman" w:cs="Times New Roman"/>
        </w:rPr>
        <w:t>8-year-old woman with uncontrolled T2DM (HbA1c 8.2%) and hepatic steatosis was enrolled. Baseline CAP and LSM were 321 dB/m and 28.7 kPa, respectively.</w:t>
      </w:r>
      <w:r w:rsidR="00F17A9B" w:rsidRPr="00036AA6">
        <w:rPr>
          <w:rFonts w:ascii="Times New Roman" w:hAnsi="Times New Roman" w:cs="Times New Roman"/>
        </w:rPr>
        <w:t xml:space="preserve"> After 1 </w:t>
      </w:r>
      <w:r w:rsidR="00504DD9" w:rsidRPr="00036AA6">
        <w:rPr>
          <w:rFonts w:ascii="Times New Roman" w:hAnsi="Times New Roman" w:cs="Times New Roman"/>
        </w:rPr>
        <w:t>year, there</w:t>
      </w:r>
      <w:r w:rsidR="0039558F" w:rsidRPr="00036AA6">
        <w:rPr>
          <w:rFonts w:ascii="Times New Roman" w:hAnsi="Times New Roman" w:cs="Times New Roman"/>
        </w:rPr>
        <w:t xml:space="preserve"> was an appreciable reduction in HbA1c to 7.1%, CAP to 291 dB/m, and LSM to </w:t>
      </w:r>
      <w:r w:rsidR="007B7B87">
        <w:rPr>
          <w:rFonts w:ascii="Times New Roman" w:hAnsi="Times New Roman" w:cs="Times New Roman"/>
        </w:rPr>
        <w:t xml:space="preserve">15.3 </w:t>
      </w:r>
      <w:r w:rsidR="0039558F" w:rsidRPr="00036AA6">
        <w:rPr>
          <w:rFonts w:ascii="Times New Roman" w:hAnsi="Times New Roman" w:cs="Times New Roman"/>
        </w:rPr>
        <w:t>kPa. Liver transaminases declined progressively, and LDL cholesterol improved from 75 mg/dL to 61 mg/dL over the 8-month follow-up.</w:t>
      </w:r>
      <w:r w:rsidRPr="00036AA6">
        <w:rPr>
          <w:rFonts w:ascii="Times New Roman" w:hAnsi="Times New Roman" w:cs="Times New Roman"/>
        </w:rPr>
        <w:t xml:space="preserve"> </w:t>
      </w:r>
    </w:p>
    <w:p w14:paraId="0D6D5CE9" w14:textId="5E76AF86" w:rsidR="00E54B60" w:rsidRPr="00036AA6" w:rsidRDefault="00E4107B" w:rsidP="0039558F">
      <w:pPr>
        <w:rPr>
          <w:rFonts w:ascii="Times New Roman" w:hAnsi="Times New Roman" w:cs="Times New Roman"/>
        </w:rPr>
      </w:pPr>
      <w:r w:rsidRPr="00036AA6">
        <w:rPr>
          <w:rFonts w:ascii="Times New Roman" w:hAnsi="Times New Roman" w:cs="Times New Roman"/>
          <w:b/>
          <w:bCs/>
        </w:rPr>
        <w:t>Table 1:</w:t>
      </w:r>
      <w:r w:rsidRPr="00036AA6">
        <w:rPr>
          <w:rFonts w:ascii="Times New Roman" w:hAnsi="Times New Roman" w:cs="Times New Roman"/>
        </w:rPr>
        <w:t xml:space="preserve"> Changes in Hepatic and Metabolic Parameters Over a Two-Year Period Following Saroglitazar Therapy in Patients with MASLD and Type 2 Diabetes.</w:t>
      </w:r>
    </w:p>
    <w:tbl>
      <w:tblPr>
        <w:tblStyle w:val="PlainTable3"/>
        <w:tblW w:w="0" w:type="auto"/>
        <w:tblLook w:val="04A0" w:firstRow="1" w:lastRow="0" w:firstColumn="1" w:lastColumn="0" w:noHBand="0" w:noVBand="1"/>
      </w:tblPr>
      <w:tblGrid>
        <w:gridCol w:w="2376"/>
        <w:gridCol w:w="1588"/>
        <w:gridCol w:w="1243"/>
        <w:gridCol w:w="1273"/>
        <w:gridCol w:w="1273"/>
        <w:gridCol w:w="1273"/>
      </w:tblGrid>
      <w:tr w:rsidR="00913ECB" w:rsidRPr="00036AA6" w14:paraId="0519D1E7" w14:textId="77777777" w:rsidTr="00B635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0A25228E"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Parameter</w:t>
            </w:r>
          </w:p>
        </w:tc>
        <w:tc>
          <w:tcPr>
            <w:tcW w:w="1588" w:type="dxa"/>
            <w:hideMark/>
          </w:tcPr>
          <w:p w14:paraId="4DAB5775"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Visit</w:t>
            </w:r>
          </w:p>
        </w:tc>
        <w:tc>
          <w:tcPr>
            <w:tcW w:w="804" w:type="dxa"/>
            <w:hideMark/>
          </w:tcPr>
          <w:p w14:paraId="41471459"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Patient 1</w:t>
            </w:r>
          </w:p>
        </w:tc>
        <w:tc>
          <w:tcPr>
            <w:tcW w:w="0" w:type="auto"/>
            <w:hideMark/>
          </w:tcPr>
          <w:p w14:paraId="5EE462F0"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Patient 2</w:t>
            </w:r>
          </w:p>
        </w:tc>
        <w:tc>
          <w:tcPr>
            <w:tcW w:w="0" w:type="auto"/>
            <w:hideMark/>
          </w:tcPr>
          <w:p w14:paraId="7AB46B66"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Patient 3</w:t>
            </w:r>
          </w:p>
        </w:tc>
        <w:tc>
          <w:tcPr>
            <w:tcW w:w="0" w:type="auto"/>
            <w:hideMark/>
          </w:tcPr>
          <w:p w14:paraId="76891C91"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Patient 4</w:t>
            </w:r>
          </w:p>
        </w:tc>
      </w:tr>
      <w:tr w:rsidR="00913ECB" w:rsidRPr="00036AA6" w14:paraId="06D473D3"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963BB2"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CAP (dB/m)</w:t>
            </w:r>
          </w:p>
        </w:tc>
        <w:tc>
          <w:tcPr>
            <w:tcW w:w="1588" w:type="dxa"/>
            <w:hideMark/>
          </w:tcPr>
          <w:p w14:paraId="007CFF0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5650371C"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328</w:t>
            </w:r>
          </w:p>
        </w:tc>
        <w:tc>
          <w:tcPr>
            <w:tcW w:w="0" w:type="auto"/>
            <w:hideMark/>
          </w:tcPr>
          <w:p w14:paraId="5E5F144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257</w:t>
            </w:r>
          </w:p>
        </w:tc>
        <w:tc>
          <w:tcPr>
            <w:tcW w:w="0" w:type="auto"/>
            <w:hideMark/>
          </w:tcPr>
          <w:p w14:paraId="0099A45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347</w:t>
            </w:r>
          </w:p>
        </w:tc>
        <w:tc>
          <w:tcPr>
            <w:tcW w:w="0" w:type="auto"/>
            <w:hideMark/>
          </w:tcPr>
          <w:p w14:paraId="21424818"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321</w:t>
            </w:r>
          </w:p>
        </w:tc>
      </w:tr>
      <w:tr w:rsidR="00913ECB" w:rsidRPr="00036AA6" w14:paraId="69DBFAA3"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1F6C1FFD"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1213DCD4"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1F0B7DC8"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310</w:t>
            </w:r>
          </w:p>
        </w:tc>
        <w:tc>
          <w:tcPr>
            <w:tcW w:w="0" w:type="auto"/>
            <w:hideMark/>
          </w:tcPr>
          <w:p w14:paraId="16E52BC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248</w:t>
            </w:r>
          </w:p>
        </w:tc>
        <w:tc>
          <w:tcPr>
            <w:tcW w:w="0" w:type="auto"/>
            <w:hideMark/>
          </w:tcPr>
          <w:p w14:paraId="70CE13E6"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329</w:t>
            </w:r>
          </w:p>
        </w:tc>
        <w:tc>
          <w:tcPr>
            <w:tcW w:w="0" w:type="auto"/>
            <w:hideMark/>
          </w:tcPr>
          <w:p w14:paraId="2CDE5E7F"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300</w:t>
            </w:r>
          </w:p>
        </w:tc>
      </w:tr>
      <w:tr w:rsidR="00913ECB" w:rsidRPr="00036AA6" w14:paraId="458CBE9B"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2B2A83"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0E0AC1A1"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4DB2EF6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290</w:t>
            </w:r>
          </w:p>
        </w:tc>
        <w:tc>
          <w:tcPr>
            <w:tcW w:w="0" w:type="auto"/>
            <w:hideMark/>
          </w:tcPr>
          <w:p w14:paraId="6496A81E"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260</w:t>
            </w:r>
          </w:p>
        </w:tc>
        <w:tc>
          <w:tcPr>
            <w:tcW w:w="0" w:type="auto"/>
            <w:hideMark/>
          </w:tcPr>
          <w:p w14:paraId="02BC6A1C"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342</w:t>
            </w:r>
          </w:p>
        </w:tc>
        <w:tc>
          <w:tcPr>
            <w:tcW w:w="0" w:type="auto"/>
            <w:hideMark/>
          </w:tcPr>
          <w:p w14:paraId="113F542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291</w:t>
            </w:r>
          </w:p>
        </w:tc>
      </w:tr>
      <w:tr w:rsidR="00913ECB" w:rsidRPr="00036AA6" w14:paraId="449E0FE1"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437907A4"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1526F56C"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12A1F7B8"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225</w:t>
            </w:r>
          </w:p>
        </w:tc>
        <w:tc>
          <w:tcPr>
            <w:tcW w:w="0" w:type="auto"/>
            <w:hideMark/>
          </w:tcPr>
          <w:p w14:paraId="6AA90C42"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231</w:t>
            </w:r>
          </w:p>
        </w:tc>
        <w:tc>
          <w:tcPr>
            <w:tcW w:w="0" w:type="auto"/>
            <w:hideMark/>
          </w:tcPr>
          <w:p w14:paraId="72482594" w14:textId="7B21B8A1" w:rsidR="00B6356E" w:rsidRPr="00036AA6" w:rsidRDefault="00EC0312"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238</w:t>
            </w:r>
          </w:p>
        </w:tc>
        <w:tc>
          <w:tcPr>
            <w:tcW w:w="0" w:type="auto"/>
            <w:hideMark/>
          </w:tcPr>
          <w:p w14:paraId="54D6844B" w14:textId="7CF4F4F6" w:rsidR="00B6356E" w:rsidRPr="00036AA6" w:rsidRDefault="003D7B69"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281</w:t>
            </w:r>
          </w:p>
        </w:tc>
      </w:tr>
      <w:tr w:rsidR="00913ECB" w:rsidRPr="00036AA6" w14:paraId="1BDEF2A9"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D41462"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LSM (kPa)</w:t>
            </w:r>
          </w:p>
        </w:tc>
        <w:tc>
          <w:tcPr>
            <w:tcW w:w="1588" w:type="dxa"/>
            <w:hideMark/>
          </w:tcPr>
          <w:p w14:paraId="291EF82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2422B01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15.7</w:t>
            </w:r>
          </w:p>
        </w:tc>
        <w:tc>
          <w:tcPr>
            <w:tcW w:w="0" w:type="auto"/>
            <w:hideMark/>
          </w:tcPr>
          <w:p w14:paraId="61C9ED2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38.5</w:t>
            </w:r>
          </w:p>
        </w:tc>
        <w:tc>
          <w:tcPr>
            <w:tcW w:w="0" w:type="auto"/>
            <w:hideMark/>
          </w:tcPr>
          <w:p w14:paraId="1A9B844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14.3</w:t>
            </w:r>
          </w:p>
        </w:tc>
        <w:tc>
          <w:tcPr>
            <w:tcW w:w="0" w:type="auto"/>
            <w:hideMark/>
          </w:tcPr>
          <w:p w14:paraId="5B2E577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28.7</w:t>
            </w:r>
          </w:p>
        </w:tc>
      </w:tr>
      <w:tr w:rsidR="00913ECB" w:rsidRPr="00036AA6" w14:paraId="4D140DC1"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310033A"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2858AD00"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6CF1A62C"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22.03</w:t>
            </w:r>
          </w:p>
        </w:tc>
        <w:tc>
          <w:tcPr>
            <w:tcW w:w="0" w:type="auto"/>
            <w:hideMark/>
          </w:tcPr>
          <w:p w14:paraId="0D80E9A3"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52.6</w:t>
            </w:r>
          </w:p>
        </w:tc>
        <w:tc>
          <w:tcPr>
            <w:tcW w:w="0" w:type="auto"/>
            <w:hideMark/>
          </w:tcPr>
          <w:p w14:paraId="258FCB3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11.8</w:t>
            </w:r>
          </w:p>
        </w:tc>
        <w:tc>
          <w:tcPr>
            <w:tcW w:w="0" w:type="auto"/>
            <w:hideMark/>
          </w:tcPr>
          <w:p w14:paraId="18749F68"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25.6</w:t>
            </w:r>
          </w:p>
        </w:tc>
      </w:tr>
      <w:tr w:rsidR="00913ECB" w:rsidRPr="00036AA6" w14:paraId="5AE0590B"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608F11"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345D2C8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75814CF1"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22.03</w:t>
            </w:r>
          </w:p>
        </w:tc>
        <w:tc>
          <w:tcPr>
            <w:tcW w:w="0" w:type="auto"/>
            <w:hideMark/>
          </w:tcPr>
          <w:p w14:paraId="7C71B1F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33.2</w:t>
            </w:r>
          </w:p>
        </w:tc>
        <w:tc>
          <w:tcPr>
            <w:tcW w:w="0" w:type="auto"/>
            <w:hideMark/>
          </w:tcPr>
          <w:p w14:paraId="30C50050"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10.7</w:t>
            </w:r>
          </w:p>
        </w:tc>
        <w:tc>
          <w:tcPr>
            <w:tcW w:w="0" w:type="auto"/>
            <w:hideMark/>
          </w:tcPr>
          <w:p w14:paraId="10A9BDB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18.8</w:t>
            </w:r>
          </w:p>
        </w:tc>
      </w:tr>
      <w:tr w:rsidR="00913ECB" w:rsidRPr="00036AA6" w14:paraId="6EDB87E8"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6BC4D7FB"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799EA1FB"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55B9064E"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4.3</w:t>
            </w:r>
          </w:p>
        </w:tc>
        <w:tc>
          <w:tcPr>
            <w:tcW w:w="0" w:type="auto"/>
            <w:hideMark/>
          </w:tcPr>
          <w:p w14:paraId="3633BC5F"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25.8</w:t>
            </w:r>
          </w:p>
        </w:tc>
        <w:tc>
          <w:tcPr>
            <w:tcW w:w="0" w:type="auto"/>
            <w:hideMark/>
          </w:tcPr>
          <w:p w14:paraId="79CE60C6" w14:textId="6B330943" w:rsidR="00B6356E" w:rsidRPr="00036AA6" w:rsidRDefault="004B3AFB"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0" w:type="auto"/>
            <w:hideMark/>
          </w:tcPr>
          <w:p w14:paraId="7D638B14" w14:textId="24ADFD3C"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15.3</w:t>
            </w:r>
          </w:p>
        </w:tc>
      </w:tr>
      <w:tr w:rsidR="00913ECB" w:rsidRPr="00036AA6" w14:paraId="5DCE6BDC"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F9C30B" w14:textId="3255950F"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H</w:t>
            </w:r>
            <w:r w:rsidR="00A24905" w:rsidRPr="00036AA6">
              <w:rPr>
                <w:rFonts w:ascii="Times New Roman" w:hAnsi="Times New Roman" w:cs="Times New Roman"/>
              </w:rPr>
              <w:t>b</w:t>
            </w:r>
            <w:r w:rsidRPr="00036AA6">
              <w:rPr>
                <w:rFonts w:ascii="Times New Roman" w:hAnsi="Times New Roman" w:cs="Times New Roman"/>
              </w:rPr>
              <w:t>A1c (%)</w:t>
            </w:r>
          </w:p>
        </w:tc>
        <w:tc>
          <w:tcPr>
            <w:tcW w:w="1588" w:type="dxa"/>
            <w:hideMark/>
          </w:tcPr>
          <w:p w14:paraId="66BC6F4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6605375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6.4</w:t>
            </w:r>
          </w:p>
        </w:tc>
        <w:tc>
          <w:tcPr>
            <w:tcW w:w="0" w:type="auto"/>
            <w:hideMark/>
          </w:tcPr>
          <w:p w14:paraId="7128711F"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7.1</w:t>
            </w:r>
          </w:p>
        </w:tc>
        <w:tc>
          <w:tcPr>
            <w:tcW w:w="0" w:type="auto"/>
            <w:hideMark/>
          </w:tcPr>
          <w:p w14:paraId="3788A9C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8.2</w:t>
            </w:r>
          </w:p>
        </w:tc>
        <w:tc>
          <w:tcPr>
            <w:tcW w:w="0" w:type="auto"/>
            <w:hideMark/>
          </w:tcPr>
          <w:p w14:paraId="10E5DFF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8.2</w:t>
            </w:r>
          </w:p>
        </w:tc>
      </w:tr>
      <w:tr w:rsidR="00913ECB" w:rsidRPr="00036AA6" w14:paraId="51F55F6E"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30CC24B"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2B869C40"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66251764"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5.8</w:t>
            </w:r>
          </w:p>
        </w:tc>
        <w:tc>
          <w:tcPr>
            <w:tcW w:w="0" w:type="auto"/>
            <w:hideMark/>
          </w:tcPr>
          <w:p w14:paraId="37FF56DB"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7.0</w:t>
            </w:r>
          </w:p>
        </w:tc>
        <w:tc>
          <w:tcPr>
            <w:tcW w:w="0" w:type="auto"/>
            <w:hideMark/>
          </w:tcPr>
          <w:p w14:paraId="59B3EF3E"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7.3</w:t>
            </w:r>
          </w:p>
        </w:tc>
        <w:tc>
          <w:tcPr>
            <w:tcW w:w="0" w:type="auto"/>
            <w:hideMark/>
          </w:tcPr>
          <w:p w14:paraId="66EDF5A3"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7.6</w:t>
            </w:r>
          </w:p>
        </w:tc>
      </w:tr>
      <w:tr w:rsidR="00913ECB" w:rsidRPr="00036AA6" w14:paraId="04662891"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5AEA68"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33DF83C1"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20CE532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5.8</w:t>
            </w:r>
          </w:p>
        </w:tc>
        <w:tc>
          <w:tcPr>
            <w:tcW w:w="0" w:type="auto"/>
            <w:hideMark/>
          </w:tcPr>
          <w:p w14:paraId="26583F4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5.6</w:t>
            </w:r>
          </w:p>
        </w:tc>
        <w:tc>
          <w:tcPr>
            <w:tcW w:w="0" w:type="auto"/>
            <w:hideMark/>
          </w:tcPr>
          <w:p w14:paraId="227F7CC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6.8</w:t>
            </w:r>
          </w:p>
        </w:tc>
        <w:tc>
          <w:tcPr>
            <w:tcW w:w="0" w:type="auto"/>
            <w:hideMark/>
          </w:tcPr>
          <w:p w14:paraId="0FE2A1CE"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7.1</w:t>
            </w:r>
          </w:p>
        </w:tc>
      </w:tr>
      <w:tr w:rsidR="00913ECB" w:rsidRPr="00036AA6" w14:paraId="7CABC20D"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E2EF626"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4AA607D7"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5E879C7E"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5.6</w:t>
            </w:r>
          </w:p>
        </w:tc>
        <w:tc>
          <w:tcPr>
            <w:tcW w:w="0" w:type="auto"/>
            <w:hideMark/>
          </w:tcPr>
          <w:p w14:paraId="138B825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5.5</w:t>
            </w:r>
          </w:p>
        </w:tc>
        <w:tc>
          <w:tcPr>
            <w:tcW w:w="0" w:type="auto"/>
            <w:hideMark/>
          </w:tcPr>
          <w:p w14:paraId="6A14F58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6.2</w:t>
            </w:r>
          </w:p>
        </w:tc>
        <w:tc>
          <w:tcPr>
            <w:tcW w:w="0" w:type="auto"/>
            <w:hideMark/>
          </w:tcPr>
          <w:p w14:paraId="411C7B1C" w14:textId="5129A9E7"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6.9</w:t>
            </w:r>
          </w:p>
        </w:tc>
      </w:tr>
      <w:tr w:rsidR="00913ECB" w:rsidRPr="00036AA6" w14:paraId="0D445A51"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40679A"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Triglycerides (mg/dL)</w:t>
            </w:r>
          </w:p>
        </w:tc>
        <w:tc>
          <w:tcPr>
            <w:tcW w:w="1588" w:type="dxa"/>
            <w:hideMark/>
          </w:tcPr>
          <w:p w14:paraId="15D37AF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6D20ADB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190</w:t>
            </w:r>
          </w:p>
        </w:tc>
        <w:tc>
          <w:tcPr>
            <w:tcW w:w="0" w:type="auto"/>
            <w:hideMark/>
          </w:tcPr>
          <w:p w14:paraId="19B545D6" w14:textId="0D5E2E72" w:rsidR="00B6356E" w:rsidRPr="00036AA6" w:rsidRDefault="00F7003D"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209</w:t>
            </w:r>
          </w:p>
        </w:tc>
        <w:tc>
          <w:tcPr>
            <w:tcW w:w="0" w:type="auto"/>
            <w:hideMark/>
          </w:tcPr>
          <w:p w14:paraId="5A44DC10"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298</w:t>
            </w:r>
          </w:p>
        </w:tc>
        <w:tc>
          <w:tcPr>
            <w:tcW w:w="0" w:type="auto"/>
            <w:hideMark/>
          </w:tcPr>
          <w:p w14:paraId="1EBB29EE" w14:textId="58DDCEA8" w:rsidR="00B6356E" w:rsidRPr="00036AA6" w:rsidRDefault="00F7003D"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210</w:t>
            </w:r>
          </w:p>
        </w:tc>
      </w:tr>
      <w:tr w:rsidR="00913ECB" w:rsidRPr="00036AA6" w14:paraId="644C7B2D"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12499A83"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2CB95933"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5D9FC98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140</w:t>
            </w:r>
          </w:p>
        </w:tc>
        <w:tc>
          <w:tcPr>
            <w:tcW w:w="0" w:type="auto"/>
            <w:hideMark/>
          </w:tcPr>
          <w:p w14:paraId="5603FFC3" w14:textId="1563A00C"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198</w:t>
            </w:r>
          </w:p>
        </w:tc>
        <w:tc>
          <w:tcPr>
            <w:tcW w:w="0" w:type="auto"/>
            <w:hideMark/>
          </w:tcPr>
          <w:p w14:paraId="7277B800"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244</w:t>
            </w:r>
          </w:p>
        </w:tc>
        <w:tc>
          <w:tcPr>
            <w:tcW w:w="0" w:type="auto"/>
            <w:hideMark/>
          </w:tcPr>
          <w:p w14:paraId="75DAC1DF" w14:textId="02550482"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184</w:t>
            </w:r>
          </w:p>
        </w:tc>
      </w:tr>
      <w:tr w:rsidR="00913ECB" w:rsidRPr="00036AA6" w14:paraId="132D8A75"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1E4E3A"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56AC01F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1FD3C349" w14:textId="0C19FD70"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w:t>
            </w:r>
            <w:r w:rsidR="00F7003D">
              <w:rPr>
                <w:rFonts w:ascii="Times New Roman" w:hAnsi="Times New Roman" w:cs="Times New Roman"/>
              </w:rPr>
              <w:t>32</w:t>
            </w:r>
          </w:p>
        </w:tc>
        <w:tc>
          <w:tcPr>
            <w:tcW w:w="0" w:type="auto"/>
            <w:hideMark/>
          </w:tcPr>
          <w:p w14:paraId="19F7929A" w14:textId="3565A9D5" w:rsidR="00B6356E" w:rsidRPr="00036AA6" w:rsidRDefault="00F7003D"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189</w:t>
            </w:r>
          </w:p>
        </w:tc>
        <w:tc>
          <w:tcPr>
            <w:tcW w:w="0" w:type="auto"/>
            <w:hideMark/>
          </w:tcPr>
          <w:p w14:paraId="49BFD19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172</w:t>
            </w:r>
          </w:p>
        </w:tc>
        <w:tc>
          <w:tcPr>
            <w:tcW w:w="0" w:type="auto"/>
            <w:hideMark/>
          </w:tcPr>
          <w:p w14:paraId="5ED7ADA5" w14:textId="57F4064D" w:rsidR="00B6356E" w:rsidRPr="00036AA6" w:rsidRDefault="00F7003D"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172</w:t>
            </w:r>
          </w:p>
        </w:tc>
      </w:tr>
      <w:tr w:rsidR="00913ECB" w:rsidRPr="00036AA6" w14:paraId="797B4F5C"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525531D"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13F26A9C"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55F0ABC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128</w:t>
            </w:r>
          </w:p>
        </w:tc>
        <w:tc>
          <w:tcPr>
            <w:tcW w:w="0" w:type="auto"/>
            <w:hideMark/>
          </w:tcPr>
          <w:p w14:paraId="0CFBBC1B" w14:textId="4DF51DCF"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176</w:t>
            </w:r>
          </w:p>
        </w:tc>
        <w:tc>
          <w:tcPr>
            <w:tcW w:w="0" w:type="auto"/>
            <w:hideMark/>
          </w:tcPr>
          <w:p w14:paraId="306C091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141</w:t>
            </w:r>
          </w:p>
        </w:tc>
        <w:tc>
          <w:tcPr>
            <w:tcW w:w="0" w:type="auto"/>
            <w:hideMark/>
          </w:tcPr>
          <w:p w14:paraId="3BA664F1" w14:textId="4D4EA88A"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160</w:t>
            </w:r>
          </w:p>
        </w:tc>
      </w:tr>
      <w:tr w:rsidR="00913ECB" w:rsidRPr="00036AA6" w14:paraId="65F64871"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A06626"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ALT (U/L)</w:t>
            </w:r>
          </w:p>
        </w:tc>
        <w:tc>
          <w:tcPr>
            <w:tcW w:w="1588" w:type="dxa"/>
            <w:hideMark/>
          </w:tcPr>
          <w:p w14:paraId="467B7EA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0AB74F2D"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26</w:t>
            </w:r>
          </w:p>
        </w:tc>
        <w:tc>
          <w:tcPr>
            <w:tcW w:w="0" w:type="auto"/>
            <w:hideMark/>
          </w:tcPr>
          <w:p w14:paraId="356517C9"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w:t>
            </w:r>
          </w:p>
        </w:tc>
        <w:tc>
          <w:tcPr>
            <w:tcW w:w="0" w:type="auto"/>
            <w:hideMark/>
          </w:tcPr>
          <w:p w14:paraId="024E5AD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68</w:t>
            </w:r>
          </w:p>
        </w:tc>
        <w:tc>
          <w:tcPr>
            <w:tcW w:w="0" w:type="auto"/>
            <w:hideMark/>
          </w:tcPr>
          <w:p w14:paraId="12FF449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33</w:t>
            </w:r>
          </w:p>
        </w:tc>
      </w:tr>
      <w:tr w:rsidR="00913ECB" w:rsidRPr="00036AA6" w14:paraId="6136A906"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3445F8C2"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7B64FEEB"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6C947268"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23</w:t>
            </w:r>
          </w:p>
        </w:tc>
        <w:tc>
          <w:tcPr>
            <w:tcW w:w="0" w:type="auto"/>
            <w:hideMark/>
          </w:tcPr>
          <w:p w14:paraId="15F5F57F"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23</w:t>
            </w:r>
          </w:p>
        </w:tc>
        <w:tc>
          <w:tcPr>
            <w:tcW w:w="0" w:type="auto"/>
            <w:hideMark/>
          </w:tcPr>
          <w:p w14:paraId="17D7CA67"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52</w:t>
            </w:r>
          </w:p>
        </w:tc>
        <w:tc>
          <w:tcPr>
            <w:tcW w:w="0" w:type="auto"/>
            <w:hideMark/>
          </w:tcPr>
          <w:p w14:paraId="4C7C8CE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28</w:t>
            </w:r>
          </w:p>
        </w:tc>
      </w:tr>
      <w:tr w:rsidR="00913ECB" w:rsidRPr="00036AA6" w14:paraId="243306B4"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FF37FB"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421341C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77CEF52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23</w:t>
            </w:r>
          </w:p>
        </w:tc>
        <w:tc>
          <w:tcPr>
            <w:tcW w:w="0" w:type="auto"/>
            <w:hideMark/>
          </w:tcPr>
          <w:p w14:paraId="599F1FFF"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20</w:t>
            </w:r>
          </w:p>
        </w:tc>
        <w:tc>
          <w:tcPr>
            <w:tcW w:w="0" w:type="auto"/>
            <w:hideMark/>
          </w:tcPr>
          <w:p w14:paraId="489B633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30</w:t>
            </w:r>
          </w:p>
        </w:tc>
        <w:tc>
          <w:tcPr>
            <w:tcW w:w="0" w:type="auto"/>
            <w:hideMark/>
          </w:tcPr>
          <w:p w14:paraId="0C39E5D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26</w:t>
            </w:r>
          </w:p>
        </w:tc>
      </w:tr>
      <w:tr w:rsidR="00913ECB" w:rsidRPr="00036AA6" w14:paraId="21924316"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494F790"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71EA36C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4144B74E"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w:t>
            </w:r>
          </w:p>
        </w:tc>
        <w:tc>
          <w:tcPr>
            <w:tcW w:w="0" w:type="auto"/>
            <w:hideMark/>
          </w:tcPr>
          <w:p w14:paraId="0438EF9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24</w:t>
            </w:r>
          </w:p>
        </w:tc>
        <w:tc>
          <w:tcPr>
            <w:tcW w:w="0" w:type="auto"/>
            <w:hideMark/>
          </w:tcPr>
          <w:p w14:paraId="174C8645"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28</w:t>
            </w:r>
          </w:p>
        </w:tc>
        <w:tc>
          <w:tcPr>
            <w:tcW w:w="0" w:type="auto"/>
            <w:hideMark/>
          </w:tcPr>
          <w:p w14:paraId="6DC7B5B1" w14:textId="72CA89BA"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w:t>
            </w:r>
          </w:p>
        </w:tc>
      </w:tr>
      <w:tr w:rsidR="00913ECB" w:rsidRPr="00036AA6" w14:paraId="3EAE97AA"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24592B"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AST (U/L)</w:t>
            </w:r>
          </w:p>
        </w:tc>
        <w:tc>
          <w:tcPr>
            <w:tcW w:w="1588" w:type="dxa"/>
            <w:hideMark/>
          </w:tcPr>
          <w:p w14:paraId="247D869D"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7EA1ED28"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w:t>
            </w:r>
          </w:p>
        </w:tc>
        <w:tc>
          <w:tcPr>
            <w:tcW w:w="0" w:type="auto"/>
            <w:hideMark/>
          </w:tcPr>
          <w:p w14:paraId="25140A40"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30</w:t>
            </w:r>
          </w:p>
        </w:tc>
        <w:tc>
          <w:tcPr>
            <w:tcW w:w="0" w:type="auto"/>
            <w:hideMark/>
          </w:tcPr>
          <w:p w14:paraId="0CD9F053"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54</w:t>
            </w:r>
          </w:p>
        </w:tc>
        <w:tc>
          <w:tcPr>
            <w:tcW w:w="0" w:type="auto"/>
            <w:hideMark/>
          </w:tcPr>
          <w:p w14:paraId="1FE56709"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44</w:t>
            </w:r>
          </w:p>
        </w:tc>
      </w:tr>
      <w:tr w:rsidR="00913ECB" w:rsidRPr="00036AA6" w14:paraId="3C1A1EEF"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4AFD34F7"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6EE5CA42"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008D40B7"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18</w:t>
            </w:r>
          </w:p>
        </w:tc>
        <w:tc>
          <w:tcPr>
            <w:tcW w:w="0" w:type="auto"/>
            <w:hideMark/>
          </w:tcPr>
          <w:p w14:paraId="45F84DF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w:t>
            </w:r>
          </w:p>
        </w:tc>
        <w:tc>
          <w:tcPr>
            <w:tcW w:w="0" w:type="auto"/>
            <w:hideMark/>
          </w:tcPr>
          <w:p w14:paraId="61D42AB7"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41</w:t>
            </w:r>
          </w:p>
        </w:tc>
        <w:tc>
          <w:tcPr>
            <w:tcW w:w="0" w:type="auto"/>
            <w:hideMark/>
          </w:tcPr>
          <w:p w14:paraId="23778AF2"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39</w:t>
            </w:r>
          </w:p>
        </w:tc>
      </w:tr>
      <w:tr w:rsidR="00913ECB" w:rsidRPr="00036AA6" w14:paraId="2CB884D0"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21996E"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1107EC4D"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7801098E"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18</w:t>
            </w:r>
          </w:p>
        </w:tc>
        <w:tc>
          <w:tcPr>
            <w:tcW w:w="0" w:type="auto"/>
            <w:hideMark/>
          </w:tcPr>
          <w:p w14:paraId="5AD886A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27</w:t>
            </w:r>
          </w:p>
        </w:tc>
        <w:tc>
          <w:tcPr>
            <w:tcW w:w="0" w:type="auto"/>
            <w:hideMark/>
          </w:tcPr>
          <w:p w14:paraId="3FB23DBC"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w:t>
            </w:r>
          </w:p>
        </w:tc>
        <w:tc>
          <w:tcPr>
            <w:tcW w:w="0" w:type="auto"/>
            <w:hideMark/>
          </w:tcPr>
          <w:p w14:paraId="33F72E50"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34</w:t>
            </w:r>
          </w:p>
        </w:tc>
      </w:tr>
      <w:tr w:rsidR="00913ECB" w:rsidRPr="00036AA6" w14:paraId="2EB87B8D"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3DCBD98F"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50660D0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760F9E36"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19</w:t>
            </w:r>
          </w:p>
        </w:tc>
        <w:tc>
          <w:tcPr>
            <w:tcW w:w="0" w:type="auto"/>
            <w:hideMark/>
          </w:tcPr>
          <w:p w14:paraId="50356C6F"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24</w:t>
            </w:r>
          </w:p>
        </w:tc>
        <w:tc>
          <w:tcPr>
            <w:tcW w:w="0" w:type="auto"/>
            <w:hideMark/>
          </w:tcPr>
          <w:p w14:paraId="2C8DD10A"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29</w:t>
            </w:r>
          </w:p>
        </w:tc>
        <w:tc>
          <w:tcPr>
            <w:tcW w:w="0" w:type="auto"/>
            <w:hideMark/>
          </w:tcPr>
          <w:p w14:paraId="579949FE" w14:textId="09B3D16B"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28</w:t>
            </w:r>
          </w:p>
        </w:tc>
      </w:tr>
    </w:tbl>
    <w:p w14:paraId="4D322BD5" w14:textId="77777777" w:rsidR="00237F40" w:rsidRPr="00036AA6" w:rsidRDefault="00237F40" w:rsidP="00237F40">
      <w:pPr>
        <w:spacing w:before="240"/>
        <w:jc w:val="both"/>
        <w:rPr>
          <w:rFonts w:ascii="Times New Roman" w:hAnsi="Times New Roman" w:cs="Times New Roman"/>
          <w:b/>
          <w:bCs/>
        </w:rPr>
      </w:pPr>
    </w:p>
    <w:p w14:paraId="171AB1FF" w14:textId="18C8760E" w:rsidR="00A76E79" w:rsidRPr="00036AA6" w:rsidRDefault="005441FB" w:rsidP="00237F40">
      <w:pPr>
        <w:spacing w:before="240"/>
        <w:jc w:val="both"/>
        <w:rPr>
          <w:rFonts w:ascii="Times New Roman" w:hAnsi="Times New Roman" w:cs="Times New Roman"/>
          <w:b/>
          <w:bCs/>
        </w:rPr>
      </w:pPr>
      <w:r w:rsidRPr="00036AA6">
        <w:rPr>
          <w:rFonts w:ascii="Times New Roman" w:hAnsi="Times New Roman" w:cs="Times New Roman"/>
          <w:b/>
          <w:bCs/>
        </w:rPr>
        <w:t>DISCUSSION</w:t>
      </w:r>
    </w:p>
    <w:p w14:paraId="249A5D3D" w14:textId="77777777" w:rsidR="00E46039" w:rsidRPr="004752C8" w:rsidRDefault="00E46039" w:rsidP="00E46039">
      <w:pPr>
        <w:jc w:val="both"/>
        <w:rPr>
          <w:rFonts w:ascii="Times New Roman" w:hAnsi="Times New Roman" w:cs="Times New Roman"/>
        </w:rPr>
      </w:pPr>
      <w:r w:rsidRPr="004752C8">
        <w:rPr>
          <w:rFonts w:ascii="Times New Roman" w:hAnsi="Times New Roman" w:cs="Times New Roman"/>
          <w:highlight w:val="yellow"/>
        </w:rPr>
        <w:t xml:space="preserve">This case series presents real-world evidence on the efficacy of saroglitazar in patients with T2DM and MASLD. Substantial improvements were observed in hepatic fibrosis, steatosis, and cardiometabolic parameters with the addition of oral </w:t>
      </w:r>
      <w:proofErr w:type="spellStart"/>
      <w:r w:rsidRPr="004752C8">
        <w:rPr>
          <w:rFonts w:ascii="Times New Roman" w:hAnsi="Times New Roman" w:cs="Times New Roman"/>
          <w:highlight w:val="yellow"/>
        </w:rPr>
        <w:t>semaglutide</w:t>
      </w:r>
      <w:proofErr w:type="spellEnd"/>
      <w:r w:rsidRPr="004752C8">
        <w:rPr>
          <w:rFonts w:ascii="Times New Roman" w:hAnsi="Times New Roman" w:cs="Times New Roman"/>
          <w:highlight w:val="yellow"/>
        </w:rPr>
        <w:t xml:space="preserve"> over a follow-up period extending up to two </w:t>
      </w:r>
      <w:r w:rsidRPr="000C6156">
        <w:rPr>
          <w:rFonts w:ascii="Times New Roman" w:hAnsi="Times New Roman" w:cs="Times New Roman"/>
          <w:highlight w:val="yellow"/>
        </w:rPr>
        <w:t>years.</w:t>
      </w:r>
      <w:r w:rsidRPr="00CC3986">
        <w:t xml:space="preserve"> </w:t>
      </w:r>
    </w:p>
    <w:p w14:paraId="33536B62" w14:textId="47A8DD44" w:rsidR="00B27F8B" w:rsidRPr="00036AA6" w:rsidRDefault="008C46D7" w:rsidP="00B27F8B">
      <w:pPr>
        <w:jc w:val="both"/>
        <w:rPr>
          <w:rFonts w:ascii="Times New Roman" w:hAnsi="Times New Roman" w:cs="Times New Roman"/>
        </w:rPr>
      </w:pPr>
      <w:r w:rsidRPr="00036AA6">
        <w:rPr>
          <w:rFonts w:ascii="Times New Roman" w:hAnsi="Times New Roman" w:cs="Times New Roman"/>
        </w:rPr>
        <w:t xml:space="preserve">Patients experienced marked reductions in LSM, with one patient showing </w:t>
      </w:r>
      <w:r w:rsidR="00B57705" w:rsidRPr="00036AA6">
        <w:rPr>
          <w:rFonts w:ascii="Times New Roman" w:hAnsi="Times New Roman" w:cs="Times New Roman"/>
        </w:rPr>
        <w:t>improvement</w:t>
      </w:r>
      <w:r w:rsidRPr="00036AA6">
        <w:rPr>
          <w:rFonts w:ascii="Times New Roman" w:hAnsi="Times New Roman" w:cs="Times New Roman"/>
        </w:rPr>
        <w:t xml:space="preserve"> from advanced fibrosis (15.7 kPa) to no fibrosis (4.3 kPa). This trend is consistent with prior real-world studies such as Chaudhuri et al.</w:t>
      </w:r>
      <w:r w:rsidR="00F60D40" w:rsidRPr="00036AA6">
        <w:rPr>
          <w:rFonts w:ascii="Times New Roman" w:hAnsi="Times New Roman" w:cs="Times New Roman"/>
        </w:rPr>
        <w:t xml:space="preserve"> (2023)</w:t>
      </w:r>
      <w:r w:rsidRPr="00036AA6">
        <w:rPr>
          <w:rFonts w:ascii="Times New Roman" w:hAnsi="Times New Roman" w:cs="Times New Roman"/>
        </w:rPr>
        <w:t>, which reported a 22% mean reduction in LSM at 52 weeks, including in patients with compensated cirrhosis (F4), and Goyal et al.</w:t>
      </w:r>
      <w:r w:rsidR="00F60D40" w:rsidRPr="00036AA6">
        <w:rPr>
          <w:rFonts w:ascii="Times New Roman" w:hAnsi="Times New Roman" w:cs="Times New Roman"/>
        </w:rPr>
        <w:t xml:space="preserve"> (2020)</w:t>
      </w:r>
      <w:r w:rsidRPr="00036AA6">
        <w:rPr>
          <w:rFonts w:ascii="Times New Roman" w:hAnsi="Times New Roman" w:cs="Times New Roman"/>
        </w:rPr>
        <w:t xml:space="preserve">, who observed a smaller but statistically significant reduction </w:t>
      </w:r>
      <w:r w:rsidR="00074B5E" w:rsidRPr="00036AA6">
        <w:rPr>
          <w:rFonts w:ascii="Times New Roman" w:hAnsi="Times New Roman" w:cs="Times New Roman"/>
        </w:rPr>
        <w:t xml:space="preserve">of from 8.4 (7.1-9.3) to 7.5 (6.4-8.4) (p = 0.0261) </w:t>
      </w:r>
      <w:r w:rsidRPr="00036AA6">
        <w:rPr>
          <w:rFonts w:ascii="Times New Roman" w:hAnsi="Times New Roman" w:cs="Times New Roman"/>
        </w:rPr>
        <w:t>over 24 weeks</w:t>
      </w:r>
      <w:r w:rsidR="00B27F8B" w:rsidRPr="00036AA6">
        <w:rPr>
          <w:rFonts w:ascii="Times New Roman" w:hAnsi="Times New Roman" w:cs="Times New Roman"/>
        </w:rPr>
        <w:t>.</w:t>
      </w:r>
      <w:r w:rsidRPr="00036AA6">
        <w:rPr>
          <w:rFonts w:ascii="Times New Roman" w:hAnsi="Times New Roman" w:cs="Times New Roman"/>
        </w:rPr>
        <w:t xml:space="preserve"> </w:t>
      </w:r>
      <w:r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{"citationID":"uB6WHEVH","properties":{"formattedCitation":"[11,12]","plainCitation":"[11,12]","noteIndex":0},"citationItems":[{"id":2017,"uris":["http://zotero.org/users/local/kKCyaFRY/items/DPRQNI4B"],"itemData":{"id":2017,"type":"article-journal","abstract":"BACKGROUND AND AIM: Saroglitazar, a dual PPAR α/γ agonist, is useful in management of NAFLD and diabetic dyslipidemia. Here, we report the safety and efficacy of saroglitazar in NAFLD patients with or without diabetes including compensated cirrhosis.\nMETHODS: Patients, started on saroglitazar 4 mg were prospectively evaluated for 52 weeks in a tertiary care center in Eastern India. Effectiveness was measured in terms of anthropometric measurements, fasting blood glucose, LFT, lipid profile, HbA1c, and elastography parameters (LSM and CAP) measured at baseline, 24, and 52 weeks. Adverse drug reactions were monitored.\nRESULTS: A total of 112 patients were enrolled in the study, of whom 63 patients were taken up for per-protocol analysis. Mean age was 49.11 ± 11.09 years and 46(73%) were male. Thirty-four (54%) were nondiabetic. Eleven patients had compensated cirrhosis. There was significant improvement of LSM from baseline (11.03 ± 7.19 kPa) to 24-week (9.29 ± 6.39 kPa) and 52-week (8.59 ± 6.35 kPa) values respectively (P &lt; 0.001). Significant reduction was also seen in CAP values, ALT, AST, HbA1c, LDL, total cholesterol, and triglyceride values. There was no significant weight change along the study interval. Pruritus occurred in one patient who required treatment discontinuation and another patient had mild symptomatic loose motion.\nCONCLUSIONS: Saroglitazar is effective and safe in improving biochemical parameters and LSM and CAP values irrespective of weight reduction. It may be used in compensated cirrhotics with close monitoring for side effects.","container-title":"JGH open: an open access journal of gastroenterology and hepatology","DOI":"10.1002/jgh3.12878","ISSN":"2397-9070","issue":"3","journalAbbreviation":"JGH Open","language":"eng","note":"PMID: 36968568\nPMCID: PMC10037031","page":"215-220","source":"PubMed","title":"Efficacy and safety of saroglitazar in real-world patients of non-alcoholic fatty liver disease with or without diabetes including compensated cirrhosis: A tertiary care center experience","title-short":"Efficacy and safety of saroglitazar in real-world patients of non-alcoholic fatty liver disease with or without diabetes including compensated cirrhosis","volume":"7","author":[{"family":"Chaudhuri","given":"Sujit"},{"family":"Dutta","given":"Agnibha"},{"family":"Chakraborty","given":"Sunil Baran Das"}],"issued":{"date-parts":[["2023",3]]}},"label":"page"},{"id":2014,"uris":["http://zotero.org/users/local/kKCyaFRY/items/8W5NS3KP"],"itemData":{"id":2014,"type":"article-journal","abstract":"Saroglitazar, a dual peroxisome proliferator activated receptor α/γ agonist, approved for diabetic dyslipidemia (DD), is potential therapeutic option for non-alcoholic fatty liver disease (NAFLD). This prospective, observational, real-world study aimed to determine efficacy and safety of Saroglitazar in patients with NAFLD and DD. We included patients with DD and NAFLD who received Saroglitazar 4 mg once daily for 24 weeks. Blood investigations, liver stiffness measurement (LSM) and controlled attenuation parameter (CAP) (FibroScan) were compared at baseline and 24 weeks. Of 163 patients screened, 107 were included, and 101 completed 24 weeks treatment (mean age 50.4 ± 12.3 years, 78.5% males, mean body mass index 28.8 ± 4.2). After 24 weeks, alanine transaminase (ALT) reduced significantly from 94 (47-122) to 39 (31-49) (p &lt; 0.0001) and aspartate aminotransferase (AST) (U/L) from 89 (43-114) to 37 (30-47) (p &lt; 0.0001) and LSM (kPa) from 8.4 (7.1-9.3) to 7.5 (6.4-8.4) (p = 0.0261). CAP, glycated hemoglobin and lipid parameters also improved significantly. On linear regression, there was significant association between percent change in ALT and AST with TG reduction after treatment (p = 0.024 and 0.037 respectively).We conclude that Saroglitazar leads to significant improvement in transaminases, LSM, and CAP in NAFLD patients with DD.","container-title":"Scientific Reports","DOI":"10.1038/s41598-020-78342-x","ISSN":"2045-2322","issue":"1","journalAbbreviation":"Sci Rep","language":"eng","note":"PMID: 33273703\nPMCID: PMC7713236","page":"21117","source":"PubMed","title":"Saroglitazar in patients with non-alcoholic fatty liver disease and diabetic dyslipidemia: a prospective, observational, real world study","title-short":"Saroglitazar in patients with non-alcoholic fatty liver disease and diabetic dyslipidemia","volume":"10","author":[{"family":"Goyal","given":"Omesh"},{"family":"Nohria","given":"Sahil"},{"family":"Goyal","given":"Prerna"},{"family":"Kaur","given":"Jaskirat"},{"family":"Sharma","given":"Sarit"},{"family":"Sood","given":"Ajit"},{"family":"Chhina","given":"Rajoo Singh"}],"issued":{"date-parts":[["2020",12,3]]}},"label":"page"}],"schema":"https://github.com/citation-style-language/schema/raw/master/csl-citation.json"} </w:instrText>
      </w:r>
      <w:r w:rsidRPr="00036AA6">
        <w:rPr>
          <w:rFonts w:ascii="Times New Roman" w:hAnsi="Times New Roman" w:cs="Times New Roman"/>
        </w:rPr>
        <w:fldChar w:fldCharType="separate"/>
      </w:r>
      <w:r w:rsidR="00E42513" w:rsidRPr="00036AA6">
        <w:rPr>
          <w:rFonts w:ascii="Times New Roman" w:hAnsi="Times New Roman" w:cs="Times New Roman"/>
        </w:rPr>
        <w:t>[11,12]</w:t>
      </w:r>
      <w:r w:rsidRPr="00036AA6">
        <w:rPr>
          <w:rFonts w:ascii="Times New Roman" w:hAnsi="Times New Roman" w:cs="Times New Roman"/>
        </w:rPr>
        <w:fldChar w:fldCharType="end"/>
      </w:r>
      <w:r w:rsidR="00B27F8B" w:rsidRPr="00036AA6">
        <w:rPr>
          <w:rFonts w:ascii="Times New Roman" w:hAnsi="Times New Roman" w:cs="Times New Roman"/>
        </w:rPr>
        <w:t xml:space="preserve"> Our study further supports the emerging view that saroglitazar may contribute to fibrosis regression even in higher LSM ranges</w:t>
      </w:r>
      <w:r w:rsidRPr="00036AA6">
        <w:rPr>
          <w:rFonts w:ascii="Times New Roman" w:hAnsi="Times New Roman" w:cs="Times New Roman"/>
        </w:rPr>
        <w:t xml:space="preserve"> </w:t>
      </w:r>
      <w:r w:rsidR="00B27F8B" w:rsidRPr="00036AA6">
        <w:rPr>
          <w:rFonts w:ascii="Times New Roman" w:hAnsi="Times New Roman" w:cs="Times New Roman"/>
        </w:rPr>
        <w:t>(38.5 → 25.8 kPa).</w:t>
      </w:r>
    </w:p>
    <w:p w14:paraId="3F3DDEE5" w14:textId="2A895539" w:rsidR="00B27F8B" w:rsidRPr="00036AA6" w:rsidRDefault="00B27F8B" w:rsidP="00B27F8B">
      <w:pPr>
        <w:jc w:val="both"/>
        <w:rPr>
          <w:rFonts w:ascii="Times New Roman" w:hAnsi="Times New Roman" w:cs="Times New Roman"/>
        </w:rPr>
      </w:pPr>
      <w:r w:rsidRPr="00036AA6">
        <w:rPr>
          <w:rFonts w:ascii="Times New Roman" w:hAnsi="Times New Roman" w:cs="Times New Roman"/>
        </w:rPr>
        <w:t>CAP</w:t>
      </w:r>
      <w:r w:rsidR="00EF26B0" w:rsidRPr="00036AA6">
        <w:rPr>
          <w:rFonts w:ascii="Times New Roman" w:hAnsi="Times New Roman" w:cs="Times New Roman"/>
        </w:rPr>
        <w:t xml:space="preserve"> </w:t>
      </w:r>
      <w:r w:rsidRPr="00036AA6">
        <w:rPr>
          <w:rFonts w:ascii="Times New Roman" w:hAnsi="Times New Roman" w:cs="Times New Roman"/>
        </w:rPr>
        <w:t>improved in 3 out of 4 patients</w:t>
      </w:r>
      <w:r w:rsidR="002F0C6C" w:rsidRPr="00036AA6">
        <w:rPr>
          <w:rFonts w:ascii="Times New Roman" w:hAnsi="Times New Roman" w:cs="Times New Roman"/>
        </w:rPr>
        <w:t xml:space="preserve">. </w:t>
      </w:r>
      <w:r w:rsidRPr="00036AA6">
        <w:rPr>
          <w:rFonts w:ascii="Times New Roman" w:hAnsi="Times New Roman" w:cs="Times New Roman"/>
        </w:rPr>
        <w:t>This aligns with data from Goyal et al.</w:t>
      </w:r>
      <w:r w:rsidR="00F60D40" w:rsidRPr="00036AA6">
        <w:rPr>
          <w:rFonts w:ascii="Times New Roman" w:hAnsi="Times New Roman" w:cs="Times New Roman"/>
        </w:rPr>
        <w:t xml:space="preserve"> (2020)</w:t>
      </w:r>
      <w:r w:rsidRPr="00036AA6">
        <w:rPr>
          <w:rFonts w:ascii="Times New Roman" w:hAnsi="Times New Roman" w:cs="Times New Roman"/>
        </w:rPr>
        <w:t xml:space="preserve"> (from 335 to 256 dB/m) and Chaudhuri et al.</w:t>
      </w:r>
      <w:r w:rsidR="00F60D40" w:rsidRPr="00036AA6">
        <w:rPr>
          <w:rFonts w:ascii="Times New Roman" w:hAnsi="Times New Roman" w:cs="Times New Roman"/>
        </w:rPr>
        <w:t xml:space="preserve"> (2023)</w:t>
      </w:r>
      <w:r w:rsidRPr="00036AA6">
        <w:rPr>
          <w:rFonts w:ascii="Times New Roman" w:hAnsi="Times New Roman" w:cs="Times New Roman"/>
        </w:rPr>
        <w:t xml:space="preserve"> </w:t>
      </w:r>
      <w:r w:rsidR="002F0C6C" w:rsidRPr="00036AA6">
        <w:rPr>
          <w:rFonts w:ascii="Times New Roman" w:hAnsi="Times New Roman" w:cs="Times New Roman"/>
        </w:rPr>
        <w:t>(from</w:t>
      </w:r>
      <w:r w:rsidRPr="00036AA6">
        <w:rPr>
          <w:rFonts w:ascii="Times New Roman" w:hAnsi="Times New Roman" w:cs="Times New Roman"/>
        </w:rPr>
        <w:t xml:space="preserve"> 328 to 287 dB/m)</w:t>
      </w:r>
      <w:r w:rsidR="00CD67B1" w:rsidRPr="00036AA6">
        <w:rPr>
          <w:rFonts w:ascii="Times New Roman" w:hAnsi="Times New Roman" w:cs="Times New Roman"/>
        </w:rPr>
        <w:t xml:space="preserve"> </w:t>
      </w:r>
      <w:r w:rsidR="002F0C6C"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{"citationID":"we0iFhhX","properties":{"formattedCitation":"[11,12]","plainCitation":"[11,12]","noteIndex":0},"citationItems":[{"id":2014,"uris":["http://zotero.org/users/local/kKCyaFRY/items/8W5NS3KP"],"itemData":{"id":2014,"type":"article-journal","abstract":"Saroglitazar, a dual peroxisome proliferator activated receptor α/γ agonist, approved for diabetic dyslipidemia (DD), is potential therapeutic option for non-alcoholic fatty liver disease (NAFLD). This prospective, observational, real-world study aimed to determine efficacy and safety of Saroglitazar in patients with NAFLD and DD. We included patients with DD and NAFLD who received Saroglitazar 4 mg once daily for 24 weeks. Blood investigations, liver stiffness measurement (LSM) and controlled attenuation parameter (CAP) (FibroScan) were compared at baseline and 24 weeks. Of 163 patients screened, 107 were included, and 101 completed 24 weeks treatment (mean age 50.4 ± 12.3 years, 78.5% males, mean body mass index 28.8 ± 4.2). After 24 weeks, alanine transaminase (ALT) reduced significantly from 94 (47-122) to 39 (31-49) (p &lt; 0.0001) and aspartate aminotransferase (AST) (U/L) from 89 (43-114) to 37 (30-47) (p &lt; 0.0001) and LSM (kPa) from 8.4 (7.1-9.3) to 7.5 (6.4-8.4) (p = 0.0261). CAP, glycated hemoglobin and lipid parameters also improved significantly. On linear regression, there was significant association between percent change in ALT and AST with TG reduction after treatment (p = 0.024 and 0.037 respectively).We conclude that Saroglitazar leads to significant improvement in transaminases, LSM, and CAP in NAFLD patients with DD.","container-title":"Scientific Reports","DOI":"10.1038/s41598-020-78342-x","ISSN":"2045-2322","issue":"1","journalAbbreviation":"Sci Rep","language":"eng","note":"PMID: 33273703\nPMCID: PMC7713236","page":"21117","source":"PubMed","title":"Saroglitazar in patients with non-alcoholic fatty liver disease and diabetic dyslipidemia: a prospective, observational, real world study","title-short":"Saroglitazar in patients with non-alcoholic fatty liver disease and diabetic dyslipidemia","volume":"10","author":[{"family":"Goyal","given":"Omesh"},{"family":"Nohria","given":"Sahil"},{"family":"Goyal","given":"Prerna"},{"family":"Kaur","given":"Jaskirat"},{"family":"Sharma","given":"Sarit"},{"family":"Sood","given":"Ajit"},{"family":"Chhina","given":"Rajoo Singh"}],"issued":{"date-parts":[["2020",12,3]]}},"label":"page"},{"id":2017,"uris":["http://zotero.org/users/local/kKCyaFRY/items/DPRQNI4B"],"itemData":{"id":2017,"type":"article-journal","abstract":"BACKGROUND AND AIM: Saroglitazar, a dual PPAR α/γ agonist, is useful in management of NAFLD and diabetic dyslipidemia. Here, we report the safety and efficacy of saroglitazar in NAFLD patients with or without diabetes including compensated cirrhosis.\nMETHODS: Patients, started on saroglitazar 4 mg were prospectively evaluated for 52 weeks in a tertiary care center in Eastern India. Effectiveness was measured in terms of anthropometric measurements, fasting blood glucose, LFT, lipid profile, HbA1c, and elastography parameters (LSM and CAP) measured at baseline, 24, and 52 weeks. Adverse drug reactions were monitored.\nRESULTS: A total of 112 patients were enrolled in the study, of whom 63 patients were taken up for per-protocol analysis. Mean age was 49.11 ± 11.09 years and 46(73%) were male. Thirty-four (54%) were nondiabetic. Eleven patients had compensated cirrhosis. There was significant improvement of LSM from baseline (11.03 ± 7.19 kPa) to 24-week (9.29 ± 6.39 kPa) and 52-week (8.59 ± 6.35 kPa) values respectively (P &lt; 0.001). Significant reduction was also seen in CAP values, ALT, AST, HbA1c, LDL, total cholesterol, and triglyceride values. There was no significant weight change along the study interval. Pruritus occurred in one patient who required treatment discontinuation and another patient had mild symptomatic loose motion.\nCONCLUSIONS: Saroglitazar is effective and safe in improving biochemical parameters and LSM and CAP values irrespective of weight reduction. It may be used in compensated cirrhotics with close monitoring for side effects.","container-title":"JGH open: an open access journal of gastroenterology and hepatology","DOI":"10.1002/jgh3.12878","ISSN":"2397-9070","issue":"3","journalAbbreviation":"JGH Open","language":"eng","note":"PMID: 36968568\nPMCID: PMC10037031","page":"215-220","source":"PubMed","title":"Efficacy and safety of saroglitazar in real-world patients of non-alcoholic fatty liver disease with or without diabetes including compensated cirrhosis: A tertiary care center experience","title-short":"Efficacy and safety of saroglitazar in real-world patients of non-alcoholic fatty liver disease with or without diabetes including compensated cirrhosis","volume":"7","author":[{"family":"Chaudhuri","given":"Sujit"},{"family":"Dutta","given":"Agnibha"},{"family":"Chakraborty","given":"Sunil Baran Das"}],"issued":{"date-parts":[["2023",3]]}},"label":"page"}],"schema":"https://github.com/citation-style-language/schema/raw/master/csl-citation.json"} </w:instrText>
      </w:r>
      <w:r w:rsidR="002F0C6C" w:rsidRPr="00036AA6">
        <w:rPr>
          <w:rFonts w:ascii="Times New Roman" w:hAnsi="Times New Roman" w:cs="Times New Roman"/>
        </w:rPr>
        <w:fldChar w:fldCharType="separate"/>
      </w:r>
      <w:r w:rsidR="00E42513" w:rsidRPr="00036AA6">
        <w:rPr>
          <w:rFonts w:ascii="Times New Roman" w:hAnsi="Times New Roman" w:cs="Times New Roman"/>
        </w:rPr>
        <w:t>[11,12]</w:t>
      </w:r>
      <w:r w:rsidR="002F0C6C" w:rsidRPr="00036AA6">
        <w:rPr>
          <w:rFonts w:ascii="Times New Roman" w:hAnsi="Times New Roman" w:cs="Times New Roman"/>
        </w:rPr>
        <w:fldChar w:fldCharType="end"/>
      </w:r>
      <w:r w:rsidR="008C46D7" w:rsidRPr="00036AA6">
        <w:rPr>
          <w:rFonts w:ascii="Times New Roman" w:hAnsi="Times New Roman" w:cs="Times New Roman"/>
        </w:rPr>
        <w:t>.</w:t>
      </w:r>
      <w:r w:rsidR="002F0C6C" w:rsidRPr="00036AA6">
        <w:rPr>
          <w:rFonts w:ascii="Times New Roman" w:hAnsi="Times New Roman" w:cs="Times New Roman"/>
        </w:rPr>
        <w:t xml:space="preserve"> </w:t>
      </w:r>
      <w:r w:rsidRPr="00036AA6">
        <w:rPr>
          <w:rFonts w:ascii="Times New Roman" w:hAnsi="Times New Roman" w:cs="Times New Roman"/>
        </w:rPr>
        <w:t>All patients demonstrated consistent and clinically meaningful reductions in ALT and AST. The enzyme declines mirror those reported by Goyal et al. and Chaudhuri et al., where ALT and AST levels decreased by 50% and 40%</w:t>
      </w:r>
      <w:r w:rsidR="003B3377">
        <w:rPr>
          <w:rFonts w:ascii="Times New Roman" w:hAnsi="Times New Roman" w:cs="Times New Roman"/>
        </w:rPr>
        <w:t>,</w:t>
      </w:r>
      <w:r w:rsidRPr="00036AA6">
        <w:rPr>
          <w:rFonts w:ascii="Times New Roman" w:hAnsi="Times New Roman" w:cs="Times New Roman"/>
        </w:rPr>
        <w:t xml:space="preserve"> respectively</w:t>
      </w:r>
      <w:r w:rsidR="004C4C3C">
        <w:rPr>
          <w:rFonts w:ascii="Times New Roman" w:hAnsi="Times New Roman" w:cs="Times New Roman"/>
        </w:rPr>
        <w:t>,</w:t>
      </w:r>
      <w:r w:rsidRPr="00036AA6">
        <w:rPr>
          <w:rFonts w:ascii="Times New Roman" w:hAnsi="Times New Roman" w:cs="Times New Roman"/>
        </w:rPr>
        <w:t xml:space="preserve"> over 24–52 weeks.</w:t>
      </w:r>
      <w:r w:rsidR="005F4475">
        <w:rPr>
          <w:rFonts w:ascii="Times New Roman" w:hAnsi="Times New Roman" w:cs="Times New Roman"/>
        </w:rPr>
        <w:t xml:space="preserve"> </w:t>
      </w:r>
      <w:r w:rsidR="002F0C6C"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{"citationID":"37LrfYHk","properties":{"formattedCitation":"[11,12]","plainCitation":"[11,12]","noteIndex":0},"citationItems":[{"id":2014,"uris":["http://zotero.org/users/local/kKCyaFRY/items/8W5NS3KP"],"itemData":{"id":2014,"type":"article-journal","abstract":"Saroglitazar, a dual peroxisome proliferator activated receptor α/γ agonist, approved for diabetic dyslipidemia (DD), is potential therapeutic option for non-alcoholic fatty liver disease (NAFLD). This prospective, observational, real-world study aimed to determine efficacy and safety of Saroglitazar in patients with NAFLD and DD. We included patients with DD and NAFLD who received Saroglitazar 4 mg once daily for 24 weeks. Blood investigations, liver stiffness measurement (LSM) and controlled attenuation parameter (CAP) (FibroScan) were compared at baseline and 24 weeks. Of 163 patients screened, 107 were included, and 101 completed 24 weeks treatment (mean age 50.4 ± 12.3 years, 78.5% males, mean body mass index 28.8 ± 4.2). After 24 weeks, alanine transaminase (ALT) reduced significantly from 94 (47-122) to 39 (31-49) (p &lt; 0.0001) and aspartate aminotransferase (AST) (U/L) from 89 (43-114) to 37 (30-47) (p &lt; 0.0001) and LSM (kPa) from 8.4 (7.1-9.3) to 7.5 (6.4-8.4) (p = 0.0261). CAP, glycated hemoglobin and lipid parameters also improved significantly. On linear regression, there was significant association between percent change in ALT and AST with TG reduction after treatment (p = 0.024 and 0.037 respectively).We conclude that Saroglitazar leads to significant improvement in transaminases, LSM, and CAP in NAFLD patients with DD.","container-title":"Scientific Reports","DOI":"10.1038/s41598-020-78342-x","ISSN":"2045-2322","issue":"1","journalAbbreviation":"Sci Rep","language":"eng","note":"PMID: 33273703\nPMCID: PMC7713236","page":"21117","source":"PubMed","title":"Saroglitazar in patients with non-alcoholic fatty liver disease and diabetic dyslipidemia: a prospective, observational, real world study","title-short":"Saroglitazar in patients with non-alcoholic fatty liver disease and diabetic dyslipidemia","volume":"10","author":[{"family":"Goyal","given":"Omesh"},{"family":"Nohria","given":"Sahil"},{"family":"Goyal","given":"Prerna"},{"family":"Kaur","given":"Jaskirat"},{"family":"Sharma","given":"Sarit"},{"family":"Sood","given":"Ajit"},{"family":"Chhina","given":"Rajoo Singh"}],"issued":{"date-parts":[["2020",12,3]]}},"label":"page"},{"id":2017,"uris":["http://zotero.org/users/local/kKCyaFRY/items/DPRQNI4B"],"itemData":{"id":2017,"type":"article-journal","abstract":"BACKGROUND AND AIM: Saroglitazar, a dual PPAR α/γ agonist, is useful in management of NAFLD and diabetic dyslipidemia. Here, we report the safety and efficacy of saroglitazar in NAFLD patients with or without diabetes including compensated cirrhosis.\nMETHODS: Patients, started on saroglitazar 4 mg were prospectively evaluated for 52 weeks in a tertiary care center in Eastern India. Effectiveness was measured in terms of anthropometric measurements, fasting blood glucose, LFT, lipid profile, HbA1c, and elastography parameters (LSM and CAP) measured at baseline, 24, and 52 weeks. Adverse drug reactions were monitored.\nRESULTS: A total of 112 patients were enrolled in the study, of whom 63 patients were taken up for per-protocol analysis. Mean age was 49.11 ± 11.09 years and 46(73%) were male. Thirty-four (54%) were nondiabetic. Eleven patients had compensated cirrhosis. There was significant improvement of LSM from baseline (11.03 ± 7.19 kPa) to 24-week (9.29 ± 6.39 kPa) and 52-week (8.59 ± 6.35 kPa) values respectively (P &lt; 0.001). Significant reduction was also seen in CAP values, ALT, AST, HbA1c, LDL, total cholesterol, and triglyceride values. There was no significant weight change along the study interval. Pruritus occurred in one patient who required treatment discontinuation and another patient had mild symptomatic loose motion.\nCONCLUSIONS: Saroglitazar is effective and safe in improving biochemical parameters and LSM and CAP values irrespective of weight reduction. It may be used in compensated cirrhotics with close monitoring for side effects.","container-title":"JGH open: an open access journal of gastroenterology and hepatology","DOI":"10.1002/jgh3.12878","ISSN":"2397-9070","issue":"3","journalAbbreviation":"JGH Open","language":"eng","note":"PMID: 36968568\nPMCID: PMC10037031","page":"215-220","source":"PubMed","title":"Efficacy and safety of saroglitazar in real-world patients of non-alcoholic fatty liver disease with or without diabetes including compensated cirrhosis: A tertiary care center experience","title-short":"Efficacy and safety of saroglitazar in real-world patients of non-alcoholic fatty liver disease with or without diabetes including compensated cirrhosis","volume":"7","author":[{"family":"Chaudhuri","given":"Sujit"},{"family":"Dutta","given":"Agnibha"},{"family":"Chakraborty","given":"Sunil Baran Das"}],"issued":{"date-parts":[["2023",3]]}},"label":"page"}],"schema":"https://github.com/citation-style-language/schema/raw/master/csl-citation.json"} </w:instrText>
      </w:r>
      <w:r w:rsidR="002F0C6C" w:rsidRPr="00036AA6">
        <w:rPr>
          <w:rFonts w:ascii="Times New Roman" w:hAnsi="Times New Roman" w:cs="Times New Roman"/>
        </w:rPr>
        <w:fldChar w:fldCharType="separate"/>
      </w:r>
      <w:r w:rsidR="00E42513" w:rsidRPr="00036AA6">
        <w:rPr>
          <w:rFonts w:ascii="Times New Roman" w:hAnsi="Times New Roman" w:cs="Times New Roman"/>
        </w:rPr>
        <w:t>[11,12]</w:t>
      </w:r>
      <w:r w:rsidR="002F0C6C" w:rsidRPr="00036AA6">
        <w:rPr>
          <w:rFonts w:ascii="Times New Roman" w:hAnsi="Times New Roman" w:cs="Times New Roman"/>
        </w:rPr>
        <w:fldChar w:fldCharType="end"/>
      </w:r>
      <w:r w:rsidR="002F0C6C" w:rsidRPr="00036AA6">
        <w:rPr>
          <w:rFonts w:ascii="Times New Roman" w:hAnsi="Times New Roman" w:cs="Times New Roman"/>
        </w:rPr>
        <w:t xml:space="preserve"> </w:t>
      </w:r>
      <w:r w:rsidRPr="00036AA6">
        <w:rPr>
          <w:rFonts w:ascii="Times New Roman" w:hAnsi="Times New Roman" w:cs="Times New Roman"/>
        </w:rPr>
        <w:t xml:space="preserve">These improvements occurred independently of changes in BMI or weight, reinforcing that </w:t>
      </w:r>
      <w:proofErr w:type="spellStart"/>
      <w:r w:rsidRPr="00036AA6">
        <w:rPr>
          <w:rFonts w:ascii="Times New Roman" w:hAnsi="Times New Roman" w:cs="Times New Roman"/>
        </w:rPr>
        <w:t>saroglitazar’s</w:t>
      </w:r>
      <w:proofErr w:type="spellEnd"/>
      <w:r w:rsidRPr="00036AA6">
        <w:rPr>
          <w:rFonts w:ascii="Times New Roman" w:hAnsi="Times New Roman" w:cs="Times New Roman"/>
        </w:rPr>
        <w:t xml:space="preserve"> hepatic benefits are mechanistically distinct from lifestyle-induced weight loss a finding explicitly corroborated in Chaudhuri's cohort</w:t>
      </w:r>
      <w:r w:rsidRPr="00873DD9">
        <w:rPr>
          <w:rFonts w:ascii="Times New Roman" w:hAnsi="Times New Roman" w:cs="Times New Roman"/>
          <w:highlight w:val="yellow"/>
        </w:rPr>
        <w:t>.</w:t>
      </w:r>
      <w:r w:rsidR="00D85435">
        <w:rPr>
          <w:rFonts w:ascii="Times New Roman" w:hAnsi="Times New Roman" w:cs="Times New Roman"/>
          <w:highlight w:val="yellow"/>
        </w:rPr>
        <w:t xml:space="preserve"> </w:t>
      </w:r>
      <w:r w:rsidR="00873DD9" w:rsidRPr="00873DD9">
        <w:rPr>
          <w:rFonts w:ascii="Times New Roman" w:hAnsi="Times New Roman" w:cs="Times New Roman"/>
          <w:highlight w:val="yellow"/>
        </w:rPr>
        <w:fldChar w:fldCharType="begin"/>
      </w:r>
      <w:r w:rsidR="00873DD9" w:rsidRPr="00873DD9">
        <w:rPr>
          <w:rFonts w:ascii="Times New Roman" w:hAnsi="Times New Roman" w:cs="Times New Roman"/>
          <w:highlight w:val="yellow"/>
        </w:rPr>
        <w:instrText xml:space="preserve"> ADDIN ZOTERO_ITEM CSL_CITATION {"citationID":"YMxntQfm","properties":{"formattedCitation":"[11]","plainCitation":"[11]","noteIndex":0},"citationItems":[{"id":2017,"uris":["http://zotero.org/users/local/kKCyaFRY/items/DPRQNI4B"],"itemData":{"id":2017,"type":"article-journal","abstract":"BACKGROUND AND AIM: Saroglitazar, a dual PPAR α/γ agonist, is useful in management of NAFLD and diabetic dyslipidemia. Here, we report the safety and efficacy of saroglitazar in NAFLD patients with or without diabetes including compensated cirrhosis.\nMETHODS: Patients, started on saroglitazar 4 mg were prospectively evaluated for 52 weeks in a tertiary care center in Eastern India. Effectiveness was measured in terms of anthropometric measurements, fasting blood glucose, LFT, lipid profile, HbA1c, and elastography parameters (LSM and CAP) measured at baseline, 24, and 52 weeks. Adverse drug reactions were monitored.\nRESULTS: A total of 112 patients were enrolled in the study, of whom 63 patients were taken up for per-protocol analysis. Mean age was 49.11 ± 11.09 years and 46(73%) were male. Thirty-four (54%) were nondiabetic. Eleven patients had compensated cirrhosis. There was significant improvement of LSM from baseline (11.03 ± 7.19 kPa) to 24-week (9.29 ± 6.39 kPa) and 52-week (8.59 ± 6.35 kPa) values respectively (P &lt; 0.001). Significant reduction was also seen in CAP values, ALT, AST, HbA1c, LDL, total cholesterol, and triglyceride values. There was no significant weight change along the study interval. Pruritus occurred in one patient who required treatment discontinuation and another patient had mild symptomatic loose motion.\nCONCLUSIONS: Saroglitazar is effective and safe in improving biochemical parameters and LSM and CAP values irrespective of weight reduction. It may be used in compensated cirrhotics with close monitoring for side effects.","container-title":"JGH open: an open access journal of gastroenterology and hepatology","DOI":"10.1002/jgh3.12878","ISSN":"2397-9070","issue":"3","journalAbbreviation":"JGH Open","language":"eng","note":"PMID: 36968568\nPMCID: PMC10037031","page":"215-220","source":"PubMed","title":"Efficacy and safety of saroglitazar in real-world patients of non-alcoholic fatty liver disease with or without diabetes including compensated cirrhosis: A tertiary care center experience","title-short":"Efficacy and safety of saroglitazar in real-world patients of non-alcoholic fatty liver disease with or without diabetes including compensated cirrhosis","volume":"7","author":[{"family":"Chaudhuri","given":"Sujit"},{"family":"Dutta","given":"Agnibha"},{"family":"Chakraborty","given":"Sunil Baran Das"}],"issued":{"date-parts":[["2023",3]]}}}],"schema":"https://github.com/citation-style-language/schema/raw/master/csl-citation.json"} </w:instrText>
      </w:r>
      <w:r w:rsidR="00873DD9" w:rsidRPr="00873DD9">
        <w:rPr>
          <w:rFonts w:ascii="Times New Roman" w:hAnsi="Times New Roman" w:cs="Times New Roman"/>
          <w:highlight w:val="yellow"/>
        </w:rPr>
        <w:fldChar w:fldCharType="separate"/>
      </w:r>
      <w:r w:rsidR="00873DD9" w:rsidRPr="00873DD9">
        <w:rPr>
          <w:rFonts w:ascii="Times New Roman" w:hAnsi="Times New Roman" w:cs="Times New Roman"/>
          <w:highlight w:val="yellow"/>
        </w:rPr>
        <w:t>[11]</w:t>
      </w:r>
      <w:r w:rsidR="00873DD9" w:rsidRPr="00873DD9">
        <w:rPr>
          <w:rFonts w:ascii="Times New Roman" w:hAnsi="Times New Roman" w:cs="Times New Roman"/>
          <w:highlight w:val="yellow"/>
        </w:rPr>
        <w:fldChar w:fldCharType="end"/>
      </w:r>
      <w:r w:rsidR="00214E28" w:rsidRPr="00036AA6">
        <w:rPr>
          <w:rFonts w:ascii="Times New Roman" w:hAnsi="Times New Roman" w:cs="Times New Roman"/>
        </w:rPr>
        <w:t xml:space="preserve"> </w:t>
      </w:r>
    </w:p>
    <w:p w14:paraId="439CC33E" w14:textId="08103E66" w:rsidR="00B27F8B" w:rsidRDefault="005822E6" w:rsidP="00B27F8B">
      <w:pPr>
        <w:jc w:val="both"/>
        <w:rPr>
          <w:rFonts w:ascii="Times New Roman" w:hAnsi="Times New Roman" w:cs="Times New Roman"/>
        </w:rPr>
      </w:pPr>
      <w:r w:rsidRPr="00222F7E">
        <w:rPr>
          <w:rFonts w:ascii="Times New Roman" w:hAnsi="Times New Roman" w:cs="Times New Roman"/>
          <w:highlight w:val="yellow"/>
        </w:rPr>
        <w:t xml:space="preserve">Saroglitazar’s dual PPAR-α/γ action and </w:t>
      </w:r>
      <w:proofErr w:type="spellStart"/>
      <w:r w:rsidRPr="00222F7E">
        <w:rPr>
          <w:rFonts w:ascii="Times New Roman" w:hAnsi="Times New Roman" w:cs="Times New Roman"/>
          <w:highlight w:val="yellow"/>
        </w:rPr>
        <w:t>semaglutide</w:t>
      </w:r>
      <w:proofErr w:type="spellEnd"/>
      <w:r w:rsidRPr="00222F7E">
        <w:rPr>
          <w:rFonts w:ascii="Times New Roman" w:hAnsi="Times New Roman" w:cs="Times New Roman"/>
          <w:highlight w:val="yellow"/>
        </w:rPr>
        <w:t xml:space="preserve"> translated into notable reductions in HbA1c across all patients. Baseline HbA1c values ranged from 6.4% to 8.2%, declining to 5.5% to 6.9% at two years, with a mean reduction of 1.3%. For instance, Patient 3’s HbA1c improved from 8.2% to 6.2%.</w:t>
      </w:r>
      <w:r w:rsidR="004D47EF">
        <w:rPr>
          <w:rFonts w:ascii="Times New Roman" w:hAnsi="Times New Roman" w:cs="Times New Roman"/>
        </w:rPr>
        <w:t xml:space="preserve"> </w:t>
      </w:r>
      <w:r w:rsidR="00B27F8B" w:rsidRPr="00564ACA">
        <w:rPr>
          <w:rFonts w:ascii="Times New Roman" w:hAnsi="Times New Roman" w:cs="Times New Roman"/>
        </w:rPr>
        <w:t>These</w:t>
      </w:r>
      <w:r w:rsidR="00B27F8B" w:rsidRPr="00036AA6">
        <w:rPr>
          <w:rFonts w:ascii="Times New Roman" w:hAnsi="Times New Roman" w:cs="Times New Roman"/>
        </w:rPr>
        <w:t xml:space="preserve"> outcomes align with the glycemic benefit seen in Dang et al. (mean HbA1c reduction from 7.56% to 6.11%) and support previous Indian data documenting improved insulin sensitivity with saroglitazar.</w:t>
      </w:r>
      <w:r w:rsidR="00191123">
        <w:rPr>
          <w:rFonts w:ascii="Times New Roman" w:hAnsi="Times New Roman" w:cs="Times New Roman"/>
        </w:rPr>
        <w:t xml:space="preserve"> </w:t>
      </w:r>
      <w:r w:rsidR="002F0C6C" w:rsidRPr="00036AA6">
        <w:rPr>
          <w:rFonts w:ascii="Times New Roman" w:hAnsi="Times New Roman" w:cs="Times New Roman"/>
        </w:rPr>
        <w:fldChar w:fldCharType="begin"/>
      </w:r>
      <w:r w:rsidR="00873DD9">
        <w:rPr>
          <w:rFonts w:ascii="Times New Roman" w:hAnsi="Times New Roman" w:cs="Times New Roman"/>
        </w:rPr>
        <w:instrText xml:space="preserve"> ADDIN ZOTERO_ITEM CSL_CITATION {"citationID":"oabkZ7hX","properties":{"formattedCitation":"[13]","plainCitation":"[13]","noteIndex":0},"citationItems":[{"id":2019,"uris":["http://zotero.org/users/local/kKCyaFRY/items/XUI63E5Y"],"itemData":{"id":2019,"type":"article-journal","container-title":"Asian Journal of Medicine and Health","DOI":"10.9734/ajmah/2024/v22i91085","ISSN":"2456-8414","issue":"9","language":"en","page":"11-18","source":"journalajmah.com","title":"Clinical Case Series on Assessment of Therapeutic Efficacy of Saroglitazar in MASLD Patients","volume":"22","author":[{"family":"Dang","given":"Naresh"},{"family":"Wairokpam","given":"Tamphasana"}],"issued":{"date-parts":[["2024",8,20]]}}}],"schema":"https://github.com/citation-style-language/schema/raw/master/csl-citation.json"} </w:instrText>
      </w:r>
      <w:r w:rsidR="002F0C6C" w:rsidRPr="00036AA6">
        <w:rPr>
          <w:rFonts w:ascii="Times New Roman" w:hAnsi="Times New Roman" w:cs="Times New Roman"/>
        </w:rPr>
        <w:fldChar w:fldCharType="separate"/>
      </w:r>
      <w:r w:rsidR="00873DD9" w:rsidRPr="00873DD9">
        <w:rPr>
          <w:rFonts w:ascii="Times New Roman" w:hAnsi="Times New Roman" w:cs="Times New Roman"/>
        </w:rPr>
        <w:t>[13]</w:t>
      </w:r>
      <w:r w:rsidR="002F0C6C" w:rsidRPr="00036AA6">
        <w:rPr>
          <w:rFonts w:ascii="Times New Roman" w:hAnsi="Times New Roman" w:cs="Times New Roman"/>
        </w:rPr>
        <w:fldChar w:fldCharType="end"/>
      </w:r>
      <w:r w:rsidR="00B27F8B" w:rsidRPr="00036AA6">
        <w:rPr>
          <w:rFonts w:ascii="Times New Roman" w:hAnsi="Times New Roman" w:cs="Times New Roman"/>
        </w:rPr>
        <w:t xml:space="preserve"> Similarly, triglyceride levels dropped by &gt;50% in some cases, matching or exceeding the reductions reported in Chaudhuri et al. (40.6%) and Goyal et al. (48%). This emphasizes </w:t>
      </w:r>
      <w:proofErr w:type="spellStart"/>
      <w:r w:rsidR="00B27F8B" w:rsidRPr="00036AA6">
        <w:rPr>
          <w:rFonts w:ascii="Times New Roman" w:hAnsi="Times New Roman" w:cs="Times New Roman"/>
        </w:rPr>
        <w:t>saroglitazar’s</w:t>
      </w:r>
      <w:proofErr w:type="spellEnd"/>
      <w:r w:rsidR="00B27F8B" w:rsidRPr="00036AA6">
        <w:rPr>
          <w:rFonts w:ascii="Times New Roman" w:hAnsi="Times New Roman" w:cs="Times New Roman"/>
        </w:rPr>
        <w:t xml:space="preserve"> utility in addressing diabetic dyslipidemia, a key driver of both MASLD progression and cardiovascular morbidity.</w:t>
      </w:r>
    </w:p>
    <w:p w14:paraId="01F4CC9E" w14:textId="7B9DA277" w:rsidR="00241A78" w:rsidRPr="00036AA6" w:rsidRDefault="00241A78" w:rsidP="00B27F8B">
      <w:pPr>
        <w:jc w:val="both"/>
        <w:rPr>
          <w:rFonts w:ascii="Times New Roman" w:hAnsi="Times New Roman" w:cs="Times New Roman"/>
        </w:rPr>
      </w:pPr>
      <w:r w:rsidRPr="00241A78">
        <w:rPr>
          <w:rFonts w:ascii="Times New Roman" w:hAnsi="Times New Roman" w:cs="Times New Roman"/>
        </w:rPr>
        <w:t xml:space="preserve">The co-administration of saroglitazar and oral semaglutide may exert synergistic effects, leveraging complementary mechanisms of action. Saroglitazar’s dual PPAR-α/γ modulation targets lipid metabolism and insulin sensitivity, while semaglutide, a GLP-1 receptor agonist, improves glycemic control and reduces hepatic fat. Although the study was not designed to </w:t>
      </w:r>
      <w:r w:rsidRPr="00241A78">
        <w:rPr>
          <w:rFonts w:ascii="Times New Roman" w:hAnsi="Times New Roman" w:cs="Times New Roman"/>
        </w:rPr>
        <w:lastRenderedPageBreak/>
        <w:t xml:space="preserve">isolate the effects of semaglutide, the sustained metabolic and hepatic improvements observed in this cohort suggest potential additive or synergistic benefits. </w:t>
      </w:r>
    </w:p>
    <w:p w14:paraId="0EEFA2FE" w14:textId="61A90DD6" w:rsidR="005441FB" w:rsidRPr="00036AA6" w:rsidRDefault="0000634C" w:rsidP="004F1335">
      <w:pPr>
        <w:jc w:val="both"/>
        <w:rPr>
          <w:rFonts w:ascii="Times New Roman" w:hAnsi="Times New Roman" w:cs="Times New Roman"/>
          <w:b/>
          <w:bCs/>
        </w:rPr>
      </w:pPr>
      <w:r w:rsidRPr="00036AA6">
        <w:rPr>
          <w:rFonts w:ascii="Times New Roman" w:hAnsi="Times New Roman" w:cs="Times New Roman"/>
          <w:b/>
          <w:bCs/>
        </w:rPr>
        <w:t>Conclusion</w:t>
      </w:r>
    </w:p>
    <w:p w14:paraId="696EB01B" w14:textId="6483A3E7" w:rsidR="003B5860" w:rsidRDefault="0000634C" w:rsidP="003B5860">
      <w:pPr>
        <w:jc w:val="both"/>
        <w:rPr>
          <w:rFonts w:ascii="Times New Roman" w:hAnsi="Times New Roman" w:cs="Times New Roman"/>
        </w:rPr>
      </w:pPr>
      <w:r w:rsidRPr="00564ACA">
        <w:rPr>
          <w:rFonts w:ascii="Times New Roman" w:hAnsi="Times New Roman" w:cs="Times New Roman"/>
        </w:rPr>
        <w:t>This case series provides valuable real-world evidence supporting the long-term safety and efficacy of saroglitazar</w:t>
      </w:r>
      <w:r w:rsidR="008C0423" w:rsidRPr="00564ACA">
        <w:rPr>
          <w:rFonts w:ascii="Times New Roman" w:hAnsi="Times New Roman" w:cs="Times New Roman"/>
        </w:rPr>
        <w:t xml:space="preserve"> along with semaglutide in</w:t>
      </w:r>
      <w:r w:rsidRPr="00564ACA">
        <w:rPr>
          <w:rFonts w:ascii="Times New Roman" w:hAnsi="Times New Roman" w:cs="Times New Roman"/>
        </w:rPr>
        <w:t xml:space="preserve"> patients with T2DM and MASLD. Larger controlled trials with histological endpoints are warranted to further validate these observations and assess long-term outcomes.</w:t>
      </w:r>
      <w:r w:rsidR="003B5860" w:rsidRPr="003B5860">
        <w:rPr>
          <w:rFonts w:ascii="Times New Roman" w:hAnsi="Times New Roman" w:cs="Times New Roman"/>
        </w:rPr>
        <w:t xml:space="preserve"> </w:t>
      </w:r>
      <w:r w:rsidR="003B5860" w:rsidRPr="00241A78">
        <w:rPr>
          <w:rFonts w:ascii="Times New Roman" w:hAnsi="Times New Roman" w:cs="Times New Roman"/>
        </w:rPr>
        <w:t>Further randomized controlled trials are warranted to explore this therapeutic synergy and its long-term safety implications.</w:t>
      </w:r>
    </w:p>
    <w:p w14:paraId="2933D319" w14:textId="44363B6D" w:rsidR="001C6C9F" w:rsidRDefault="001C6C9F" w:rsidP="003B5860">
      <w:pPr>
        <w:jc w:val="both"/>
        <w:rPr>
          <w:rFonts w:ascii="Times New Roman" w:hAnsi="Times New Roman" w:cs="Times New Roman"/>
        </w:rPr>
      </w:pPr>
    </w:p>
    <w:p w14:paraId="663127BB" w14:textId="77777777" w:rsidR="001C6C9F" w:rsidRPr="00072730" w:rsidRDefault="001C6C9F" w:rsidP="001C6C9F">
      <w:pPr>
        <w:rPr>
          <w:b/>
          <w:sz w:val="28"/>
        </w:rPr>
      </w:pPr>
      <w:bookmarkStart w:id="0" w:name="_Hlk194405813"/>
      <w:r w:rsidRPr="008E7B85">
        <w:rPr>
          <w:b/>
          <w:sz w:val="28"/>
        </w:rPr>
        <w:t>Ethical Approval:</w:t>
      </w:r>
    </w:p>
    <w:p w14:paraId="06CE0F1F" w14:textId="77777777" w:rsidR="001C6C9F" w:rsidRPr="008E7B85" w:rsidRDefault="001C6C9F" w:rsidP="001C6C9F">
      <w:r w:rsidRPr="008E7B85">
        <w:t>As per international standard</w:t>
      </w:r>
      <w:r>
        <w:t>s</w:t>
      </w:r>
      <w:r w:rsidRPr="008E7B85">
        <w:t xml:space="preserve"> or university standard</w:t>
      </w:r>
      <w:r>
        <w:t>s</w:t>
      </w:r>
      <w:r w:rsidRPr="008E7B85">
        <w:t xml:space="preserve"> written ethical approval has been collected and preserved by the author(s).</w:t>
      </w:r>
    </w:p>
    <w:bookmarkEnd w:id="0"/>
    <w:p w14:paraId="6F929A2A" w14:textId="2A26D81A" w:rsidR="001C6C9F" w:rsidRDefault="001C6C9F" w:rsidP="003B5860">
      <w:pPr>
        <w:jc w:val="both"/>
        <w:rPr>
          <w:rFonts w:ascii="Times New Roman" w:hAnsi="Times New Roman" w:cs="Times New Roman"/>
        </w:rPr>
      </w:pPr>
    </w:p>
    <w:p w14:paraId="18B75744" w14:textId="77777777" w:rsidR="001C6C9F" w:rsidRPr="008E7B85" w:rsidRDefault="001C6C9F" w:rsidP="001C6C9F">
      <w:pPr>
        <w:rPr>
          <w:b/>
          <w:sz w:val="28"/>
        </w:rPr>
      </w:pPr>
      <w:bookmarkStart w:id="1" w:name="_Hlk178610575"/>
      <w:r w:rsidRPr="008E7B85">
        <w:rPr>
          <w:b/>
          <w:sz w:val="28"/>
          <w:highlight w:val="yellow"/>
        </w:rPr>
        <w:t>Consent</w:t>
      </w:r>
      <w:r w:rsidRPr="008E7B85">
        <w:rPr>
          <w:b/>
          <w:sz w:val="28"/>
        </w:rPr>
        <w:t xml:space="preserve"> </w:t>
      </w:r>
    </w:p>
    <w:p w14:paraId="4C9B8B18" w14:textId="77777777" w:rsidR="001C6C9F" w:rsidRPr="008E7B85" w:rsidRDefault="001C6C9F" w:rsidP="001C6C9F">
      <w:r w:rsidRPr="008E7B85">
        <w:t>As per international standard</w:t>
      </w:r>
      <w:r>
        <w:t>s</w:t>
      </w:r>
      <w:r w:rsidRPr="008E7B85">
        <w:t xml:space="preserve"> or university standard</w:t>
      </w:r>
      <w:r>
        <w:t>s</w:t>
      </w:r>
      <w:r w:rsidRPr="008E7B85">
        <w:t>, patient(s) written consent has been collected and preserved by the author</w:t>
      </w:r>
      <w:r w:rsidRPr="008E7B85">
        <w:rPr>
          <w:highlight w:val="yellow"/>
        </w:rPr>
        <w:t>(s).</w:t>
      </w:r>
    </w:p>
    <w:p w14:paraId="2F3D2DFF" w14:textId="77777777" w:rsidR="001C6C9F" w:rsidRPr="00036AA6" w:rsidRDefault="001C6C9F" w:rsidP="003B5860">
      <w:pPr>
        <w:jc w:val="both"/>
        <w:rPr>
          <w:rFonts w:ascii="Times New Roman" w:hAnsi="Times New Roman" w:cs="Times New Roman"/>
        </w:rPr>
      </w:pPr>
      <w:bookmarkStart w:id="2" w:name="_GoBack"/>
      <w:bookmarkEnd w:id="1"/>
      <w:bookmarkEnd w:id="2"/>
    </w:p>
    <w:p w14:paraId="5562B186" w14:textId="5666E5D5" w:rsidR="0000634C" w:rsidRDefault="0000634C" w:rsidP="004F1335">
      <w:pPr>
        <w:jc w:val="both"/>
        <w:rPr>
          <w:rFonts w:ascii="Times New Roman" w:hAnsi="Times New Roman" w:cs="Times New Roman"/>
        </w:rPr>
      </w:pPr>
    </w:p>
    <w:p w14:paraId="6829E920" w14:textId="2AE1587A" w:rsidR="00775C10" w:rsidRPr="00620BCC" w:rsidRDefault="00775C10" w:rsidP="004F1335">
      <w:pPr>
        <w:jc w:val="both"/>
        <w:rPr>
          <w:rFonts w:ascii="Times New Roman" w:hAnsi="Times New Roman" w:cs="Times New Roman"/>
          <w:b/>
          <w:bCs/>
        </w:rPr>
      </w:pPr>
    </w:p>
    <w:p w14:paraId="51154CDA" w14:textId="68537E9C" w:rsidR="00775C10" w:rsidRPr="00620BCC" w:rsidRDefault="00775C10" w:rsidP="00775C10">
      <w:pPr>
        <w:rPr>
          <w:rFonts w:ascii="Times New Roman" w:hAnsi="Times New Roman" w:cs="Times New Roman"/>
          <w:b/>
          <w:bCs/>
          <w:highlight w:val="yellow"/>
        </w:rPr>
      </w:pPr>
      <w:r w:rsidRPr="00620BCC">
        <w:rPr>
          <w:rFonts w:ascii="Times New Roman" w:hAnsi="Times New Roman" w:cs="Times New Roman"/>
          <w:b/>
          <w:bCs/>
          <w:highlight w:val="yellow"/>
        </w:rPr>
        <w:t xml:space="preserve">Disclaimer (Artificial intelligence) </w:t>
      </w:r>
    </w:p>
    <w:p w14:paraId="393228AE" w14:textId="77777777" w:rsidR="00775C10" w:rsidRPr="00620BCC" w:rsidRDefault="00775C10" w:rsidP="00775C10">
      <w:pPr>
        <w:rPr>
          <w:rFonts w:ascii="Times New Roman" w:hAnsi="Times New Roman" w:cs="Times New Roman"/>
          <w:highlight w:val="yellow"/>
        </w:rPr>
      </w:pPr>
    </w:p>
    <w:p w14:paraId="544F5AC0" w14:textId="77777777" w:rsidR="00775C10" w:rsidRPr="00620BCC" w:rsidRDefault="00775C10" w:rsidP="00775C10">
      <w:pPr>
        <w:rPr>
          <w:rFonts w:ascii="Times New Roman" w:hAnsi="Times New Roman" w:cs="Times New Roman"/>
          <w:highlight w:val="yellow"/>
        </w:rPr>
      </w:pPr>
      <w:r w:rsidRPr="00620BCC">
        <w:rPr>
          <w:rFonts w:ascii="Times New Roman" w:hAnsi="Times New Roman"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035952CB" w14:textId="77777777" w:rsidR="00775C10" w:rsidRPr="00394842" w:rsidRDefault="00775C10" w:rsidP="00775C10">
      <w:pPr>
        <w:rPr>
          <w:highlight w:val="yellow"/>
        </w:rPr>
      </w:pPr>
    </w:p>
    <w:p w14:paraId="220C10B8" w14:textId="77777777" w:rsidR="00775C10" w:rsidRPr="00036AA6" w:rsidRDefault="00775C10" w:rsidP="004F1335">
      <w:pPr>
        <w:jc w:val="both"/>
        <w:rPr>
          <w:rFonts w:ascii="Times New Roman" w:hAnsi="Times New Roman" w:cs="Times New Roman"/>
        </w:rPr>
      </w:pPr>
    </w:p>
    <w:p w14:paraId="5100598F" w14:textId="77777777" w:rsidR="00CC3986" w:rsidRDefault="00CC3986" w:rsidP="004F1335">
      <w:pPr>
        <w:jc w:val="both"/>
        <w:rPr>
          <w:rFonts w:ascii="Times New Roman" w:hAnsi="Times New Roman" w:cs="Times New Roman"/>
          <w:b/>
          <w:bCs/>
        </w:rPr>
      </w:pPr>
    </w:p>
    <w:p w14:paraId="7F4BFBB8" w14:textId="3A39A875" w:rsidR="002B0E17" w:rsidRPr="00036AA6" w:rsidRDefault="002B0E17" w:rsidP="004F1335">
      <w:pPr>
        <w:jc w:val="both"/>
        <w:rPr>
          <w:rFonts w:ascii="Times New Roman" w:hAnsi="Times New Roman" w:cs="Times New Roman"/>
          <w:b/>
          <w:bCs/>
        </w:rPr>
      </w:pPr>
      <w:r w:rsidRPr="00036AA6">
        <w:rPr>
          <w:rFonts w:ascii="Times New Roman" w:hAnsi="Times New Roman" w:cs="Times New Roman"/>
          <w:b/>
          <w:bCs/>
        </w:rPr>
        <w:t>References</w:t>
      </w:r>
    </w:p>
    <w:p w14:paraId="6CF3CF5A" w14:textId="77777777" w:rsidR="00873DD9" w:rsidRPr="00873DD9" w:rsidRDefault="002B0E17" w:rsidP="00873DD9">
      <w:pPr>
        <w:pStyle w:val="Bibliography"/>
        <w:rPr>
          <w:rFonts w:ascii="Times New Roman" w:hAnsi="Times New Roman" w:cs="Times New Roman"/>
        </w:rPr>
      </w:pPr>
      <w:r w:rsidRPr="00036AA6">
        <w:rPr>
          <w:rFonts w:cs="Times New Roman"/>
        </w:rPr>
        <w:fldChar w:fldCharType="begin"/>
      </w:r>
      <w:r w:rsidR="00A105AD" w:rsidRPr="00036AA6">
        <w:rPr>
          <w:rFonts w:cs="Times New Roman"/>
        </w:rPr>
        <w:instrText xml:space="preserve"> ADDIN ZOTERO_BIBL {"uncited":[],"omitted":[],"custom":[]} CSL_BIBLIOGRAPHY </w:instrText>
      </w:r>
      <w:r w:rsidRPr="00036AA6">
        <w:rPr>
          <w:rFonts w:cs="Times New Roman"/>
        </w:rPr>
        <w:fldChar w:fldCharType="separate"/>
      </w:r>
      <w:r w:rsidR="00873DD9" w:rsidRPr="00873DD9">
        <w:rPr>
          <w:rFonts w:ascii="Times New Roman" w:hAnsi="Times New Roman" w:cs="Times New Roman"/>
        </w:rPr>
        <w:t xml:space="preserve">1. </w:t>
      </w:r>
      <w:r w:rsidR="00873DD9" w:rsidRPr="00873DD9">
        <w:rPr>
          <w:rFonts w:ascii="Times New Roman" w:hAnsi="Times New Roman" w:cs="Times New Roman"/>
        </w:rPr>
        <w:tab/>
        <w:t>CVD &amp; Diabetes | CVD Roadmaps [Internet]. World Heart Federation. [cited 2025 Apr 4]. Available from: https://world-heart-federation.org/cvd-roadmaps/whf-global-roadmaps/cvd-diabetes/</w:t>
      </w:r>
    </w:p>
    <w:p w14:paraId="6066B0CC" w14:textId="77777777" w:rsidR="00873DD9" w:rsidRPr="00873DD9" w:rsidRDefault="00873DD9" w:rsidP="00873DD9">
      <w:pPr>
        <w:pStyle w:val="Bibliography"/>
        <w:rPr>
          <w:rFonts w:ascii="Times New Roman" w:hAnsi="Times New Roman" w:cs="Times New Roman"/>
        </w:rPr>
      </w:pPr>
      <w:r w:rsidRPr="00873DD9">
        <w:rPr>
          <w:rFonts w:ascii="Times New Roman" w:hAnsi="Times New Roman" w:cs="Times New Roman"/>
        </w:rPr>
        <w:lastRenderedPageBreak/>
        <w:t xml:space="preserve">2. </w:t>
      </w:r>
      <w:r w:rsidRPr="00873DD9">
        <w:rPr>
          <w:rFonts w:ascii="Times New Roman" w:hAnsi="Times New Roman" w:cs="Times New Roman"/>
        </w:rPr>
        <w:tab/>
        <w:t xml:space="preserve">Hossain MdJ, Al‐Mamun Md, Islam MdR. Diabetes mellitus, the fastest growing global public health concern: Early detection should be focused. Health Sci Rep. 2024 Mar 22;7(3):e2004. </w:t>
      </w:r>
    </w:p>
    <w:p w14:paraId="5E995ABF" w14:textId="77777777" w:rsidR="00873DD9" w:rsidRPr="00873DD9" w:rsidRDefault="00873DD9" w:rsidP="00873DD9">
      <w:pPr>
        <w:pStyle w:val="Bibliography"/>
        <w:rPr>
          <w:rFonts w:ascii="Times New Roman" w:hAnsi="Times New Roman" w:cs="Times New Roman"/>
        </w:rPr>
      </w:pPr>
      <w:r w:rsidRPr="00873DD9">
        <w:rPr>
          <w:rFonts w:ascii="Times New Roman" w:hAnsi="Times New Roman" w:cs="Times New Roman"/>
        </w:rPr>
        <w:t xml:space="preserve">3. </w:t>
      </w:r>
      <w:r w:rsidRPr="00873DD9">
        <w:rPr>
          <w:rFonts w:ascii="Times New Roman" w:hAnsi="Times New Roman" w:cs="Times New Roman"/>
        </w:rPr>
        <w:tab/>
        <w:t xml:space="preserve">Stefan N, Yki-Järvinen H, Neuschwander-Tetri BA. Metabolic dysfunction-associated steatotic liver disease: heterogeneous pathomechanisms and effectiveness of metabolism-based treatment. The Lancet Diabetes &amp; Endocrinology. 2025 Feb 1;13(2):134–48. </w:t>
      </w:r>
    </w:p>
    <w:p w14:paraId="3C3B4D05" w14:textId="77777777" w:rsidR="00873DD9" w:rsidRPr="00873DD9" w:rsidRDefault="00873DD9" w:rsidP="00873DD9">
      <w:pPr>
        <w:pStyle w:val="Bibliography"/>
        <w:rPr>
          <w:rFonts w:ascii="Times New Roman" w:hAnsi="Times New Roman" w:cs="Times New Roman"/>
        </w:rPr>
      </w:pPr>
      <w:r w:rsidRPr="00873DD9">
        <w:rPr>
          <w:rFonts w:ascii="Times New Roman" w:hAnsi="Times New Roman" w:cs="Times New Roman"/>
        </w:rPr>
        <w:t xml:space="preserve">4. </w:t>
      </w:r>
      <w:r w:rsidRPr="00873DD9">
        <w:rPr>
          <w:rFonts w:ascii="Times New Roman" w:hAnsi="Times New Roman" w:cs="Times New Roman"/>
        </w:rPr>
        <w:tab/>
        <w:t>Colagiuri S, Ceriello A. 7. Management of metabolic dysfunction-associated steatotic liver disease (MASLD) in type 2 diabetes. Diabetes Research and Clinical Practice [Internet]. 2025 Apr 1 [cited 2025 Jun 11];222. Available from: https://www.diabetesresearchclinicalpractice.com/article/S0168-8227%2825%2900165-2/fulltext?utm_source=chatgpt.com</w:t>
      </w:r>
    </w:p>
    <w:p w14:paraId="4A06876A" w14:textId="77777777" w:rsidR="00873DD9" w:rsidRPr="00873DD9" w:rsidRDefault="00873DD9" w:rsidP="00873DD9">
      <w:pPr>
        <w:pStyle w:val="Bibliography"/>
        <w:rPr>
          <w:rFonts w:ascii="Times New Roman" w:hAnsi="Times New Roman" w:cs="Times New Roman"/>
        </w:rPr>
      </w:pPr>
      <w:r w:rsidRPr="00873DD9">
        <w:rPr>
          <w:rFonts w:ascii="Times New Roman" w:hAnsi="Times New Roman" w:cs="Times New Roman"/>
        </w:rPr>
        <w:t xml:space="preserve">5. </w:t>
      </w:r>
      <w:r w:rsidRPr="00873DD9">
        <w:rPr>
          <w:rFonts w:ascii="Times New Roman" w:hAnsi="Times New Roman" w:cs="Times New Roman"/>
        </w:rPr>
        <w:tab/>
        <w:t>Factors associated with engagement and adherence to a low-energy diet to promote 10% weight loss in patients with clinically significant non-alcoholic fatty liver disease | BMJ Open Gastroenterology [Internet]. [cited 2025 Jun 11]. Available from: https://bmjopengastro.bmj.com/content/8/1/e000678?utm_source=chatgpt.com</w:t>
      </w:r>
    </w:p>
    <w:p w14:paraId="7785DC19" w14:textId="77777777" w:rsidR="00873DD9" w:rsidRPr="00873DD9" w:rsidRDefault="00873DD9" w:rsidP="00873DD9">
      <w:pPr>
        <w:pStyle w:val="Bibliography"/>
        <w:rPr>
          <w:rFonts w:ascii="Times New Roman" w:hAnsi="Times New Roman" w:cs="Times New Roman"/>
        </w:rPr>
      </w:pPr>
      <w:r w:rsidRPr="00873DD9">
        <w:rPr>
          <w:rFonts w:ascii="Times New Roman" w:hAnsi="Times New Roman" w:cs="Times New Roman"/>
        </w:rPr>
        <w:t xml:space="preserve">6. </w:t>
      </w:r>
      <w:r w:rsidRPr="00873DD9">
        <w:rPr>
          <w:rFonts w:ascii="Times New Roman" w:hAnsi="Times New Roman" w:cs="Times New Roman"/>
        </w:rPr>
        <w:tab/>
        <w:t xml:space="preserve">Arnold J, Idalsoaga F, Díaz LA, Cabrera D, Barrera F, Arab JP, Arrese M. Emerging Drug Therapies for Metabolic Dysfunction-Associated Steatotic Liver Disease: A Glimpse into the Horizon. Curr Hepatology Rep. 2024 Mar 1;23(1):204–19. </w:t>
      </w:r>
    </w:p>
    <w:p w14:paraId="6559AF2E" w14:textId="77777777" w:rsidR="00873DD9" w:rsidRPr="00873DD9" w:rsidRDefault="00873DD9" w:rsidP="00873DD9">
      <w:pPr>
        <w:pStyle w:val="Bibliography"/>
        <w:rPr>
          <w:rFonts w:ascii="Times New Roman" w:hAnsi="Times New Roman" w:cs="Times New Roman"/>
        </w:rPr>
      </w:pPr>
      <w:r w:rsidRPr="00873DD9">
        <w:rPr>
          <w:rFonts w:ascii="Times New Roman" w:hAnsi="Times New Roman" w:cs="Times New Roman"/>
        </w:rPr>
        <w:t xml:space="preserve">7. </w:t>
      </w:r>
      <w:r w:rsidRPr="00873DD9">
        <w:rPr>
          <w:rFonts w:ascii="Times New Roman" w:hAnsi="Times New Roman" w:cs="Times New Roman"/>
        </w:rPr>
        <w:tab/>
        <w:t xml:space="preserve">Cusi K, Isaacs S, Barb D, Basu R, Caprio S, Garvey WT, Kashyap S, Mechanick JI, Mouzaki M, Nadolsky K, Rinella ME, Vos MB, Younossi Z. American Association of Clinical Endocrinology Clinical Practice Guideline for the Diagnosis and Management of Nonalcoholic Fatty Liver Disease in Primary Care and Endocrinology Clinical Settings: Co-Sponsored by the American Association for the Study of Liver Diseases (AASLD). Endocrine Practice. 2022 May 1;28(5):528–62. </w:t>
      </w:r>
    </w:p>
    <w:p w14:paraId="3CA25A8B" w14:textId="77777777" w:rsidR="00873DD9" w:rsidRPr="00873DD9" w:rsidRDefault="00873DD9" w:rsidP="00873DD9">
      <w:pPr>
        <w:pStyle w:val="Bibliography"/>
        <w:rPr>
          <w:rFonts w:ascii="Times New Roman" w:hAnsi="Times New Roman" w:cs="Times New Roman"/>
        </w:rPr>
      </w:pPr>
      <w:r w:rsidRPr="00873DD9">
        <w:rPr>
          <w:rFonts w:ascii="Times New Roman" w:hAnsi="Times New Roman" w:cs="Times New Roman"/>
        </w:rPr>
        <w:t xml:space="preserve">8. </w:t>
      </w:r>
      <w:r w:rsidRPr="00873DD9">
        <w:rPr>
          <w:rFonts w:ascii="Times New Roman" w:hAnsi="Times New Roman" w:cs="Times New Roman"/>
        </w:rPr>
        <w:tab/>
        <w:t xml:space="preserve">Christofides A, Konstantinidou E, Jani C, Boussiotis VA. The role of Peroxisome Proliferator-Activated Receptors (PPAR) in immune responses. Metabolism. 2021 Jan;114:154338. </w:t>
      </w:r>
    </w:p>
    <w:p w14:paraId="3B785060" w14:textId="77777777" w:rsidR="00873DD9" w:rsidRPr="00873DD9" w:rsidRDefault="00873DD9" w:rsidP="00873DD9">
      <w:pPr>
        <w:pStyle w:val="Bibliography"/>
        <w:rPr>
          <w:rFonts w:ascii="Times New Roman" w:hAnsi="Times New Roman" w:cs="Times New Roman"/>
        </w:rPr>
      </w:pPr>
      <w:r w:rsidRPr="00873DD9">
        <w:rPr>
          <w:rFonts w:ascii="Times New Roman" w:hAnsi="Times New Roman" w:cs="Times New Roman"/>
        </w:rPr>
        <w:t xml:space="preserve">9. </w:t>
      </w:r>
      <w:r w:rsidRPr="00873DD9">
        <w:rPr>
          <w:rFonts w:ascii="Times New Roman" w:hAnsi="Times New Roman" w:cs="Times New Roman"/>
        </w:rPr>
        <w:tab/>
        <w:t xml:space="preserve">Krishnappa M, Patil K, Parmar K, Trivedi P, Mody N, Shah C, Faldu K, Maroo S, Desai P, Fatania K, Murthy S, Balamurugan R, Agarwal M, Singh KP, Kalra GS, Khandelwal V, Singwala A, Thacker H, Tulle R, Rao H, Kumbla M, Singh P, Khatri A, Agrawal S, Sarkar RN, Agarwal D, Bhatia G, Agarwal RP, Kumar S, Vamsi Krishna PR, Ajmani AK, Asalkar A, Basu I, Chatterjee S, Pavithran VK, Das R, Dharmadhikari A, Vardhan V, Madusudhan Babu M, Sengupta N, Abkari S, Harikrishna R, Chovatia R, Parmar D, for the PRESS XII study group. Effect of saroglitazar 2 mg and 4 mg on glycemic control, lipid profile and cardiovascular disease risk in patients with type 2 diabetes mellitus: a 56-week, randomized, double blind, phase 3 study (PRESS XII study). Cardiovascular Diabetology. 2020 Jun 19;19(1):93. </w:t>
      </w:r>
    </w:p>
    <w:p w14:paraId="11B05077" w14:textId="77777777" w:rsidR="00873DD9" w:rsidRPr="00873DD9" w:rsidRDefault="00873DD9" w:rsidP="00873DD9">
      <w:pPr>
        <w:pStyle w:val="Bibliography"/>
        <w:rPr>
          <w:rFonts w:ascii="Times New Roman" w:hAnsi="Times New Roman" w:cs="Times New Roman"/>
        </w:rPr>
      </w:pPr>
      <w:r w:rsidRPr="00873DD9">
        <w:rPr>
          <w:rFonts w:ascii="Times New Roman" w:hAnsi="Times New Roman" w:cs="Times New Roman"/>
        </w:rPr>
        <w:t xml:space="preserve">10. </w:t>
      </w:r>
      <w:r w:rsidRPr="00873DD9">
        <w:rPr>
          <w:rFonts w:ascii="Times New Roman" w:hAnsi="Times New Roman" w:cs="Times New Roman"/>
        </w:rPr>
        <w:tab/>
        <w:t>2. Diagnosis and Classification of Diabetes: Standards of Care in Diabetes—2025 | Diabetes Care | American Diabetes Association [Internet]. [cited 2025 Jun 11]. Available from: https://diabetesjournals.org/care/article/48/Supplement_1/S27/157566/2-Diagnosis-and-Classification-of-Diabetes</w:t>
      </w:r>
    </w:p>
    <w:p w14:paraId="340B93B0" w14:textId="77777777" w:rsidR="00873DD9" w:rsidRPr="00873DD9" w:rsidRDefault="00873DD9" w:rsidP="00873DD9">
      <w:pPr>
        <w:pStyle w:val="Bibliography"/>
        <w:rPr>
          <w:rFonts w:ascii="Times New Roman" w:hAnsi="Times New Roman" w:cs="Times New Roman"/>
        </w:rPr>
      </w:pPr>
      <w:r w:rsidRPr="00873DD9">
        <w:rPr>
          <w:rFonts w:ascii="Times New Roman" w:hAnsi="Times New Roman" w:cs="Times New Roman"/>
        </w:rPr>
        <w:lastRenderedPageBreak/>
        <w:t xml:space="preserve">11. </w:t>
      </w:r>
      <w:r w:rsidRPr="00873DD9">
        <w:rPr>
          <w:rFonts w:ascii="Times New Roman" w:hAnsi="Times New Roman" w:cs="Times New Roman"/>
        </w:rPr>
        <w:tab/>
        <w:t xml:space="preserve">Chaudhuri S, Dutta A, Chakraborty SBD. Efficacy and safety of saroglitazar in real-world patients of non-alcoholic fatty liver disease with or without diabetes including compensated cirrhosis: A tertiary care center experience. JGH Open. 2023 Mar;7(3):215–20. </w:t>
      </w:r>
    </w:p>
    <w:p w14:paraId="3B2D9217" w14:textId="77777777" w:rsidR="00873DD9" w:rsidRPr="00873DD9" w:rsidRDefault="00873DD9" w:rsidP="00873DD9">
      <w:pPr>
        <w:pStyle w:val="Bibliography"/>
        <w:rPr>
          <w:rFonts w:ascii="Times New Roman" w:hAnsi="Times New Roman" w:cs="Times New Roman"/>
        </w:rPr>
      </w:pPr>
      <w:r w:rsidRPr="00873DD9">
        <w:rPr>
          <w:rFonts w:ascii="Times New Roman" w:hAnsi="Times New Roman" w:cs="Times New Roman"/>
        </w:rPr>
        <w:t xml:space="preserve">12. </w:t>
      </w:r>
      <w:r w:rsidRPr="00873DD9">
        <w:rPr>
          <w:rFonts w:ascii="Times New Roman" w:hAnsi="Times New Roman" w:cs="Times New Roman"/>
        </w:rPr>
        <w:tab/>
        <w:t xml:space="preserve">Goyal O, Nohria S, Goyal P, Kaur J, Sharma S, Sood A, Chhina RS. Saroglitazar in patients with non-alcoholic fatty liver disease and diabetic dyslipidemia: a prospective, observational, real world study. Sci Rep. 2020 Dec 3;10(1):21117. </w:t>
      </w:r>
    </w:p>
    <w:p w14:paraId="5E4A5D50" w14:textId="77777777" w:rsidR="00873DD9" w:rsidRPr="00873DD9" w:rsidRDefault="00873DD9" w:rsidP="00873DD9">
      <w:pPr>
        <w:pStyle w:val="Bibliography"/>
        <w:rPr>
          <w:rFonts w:ascii="Times New Roman" w:hAnsi="Times New Roman" w:cs="Times New Roman"/>
        </w:rPr>
      </w:pPr>
      <w:r w:rsidRPr="00873DD9">
        <w:rPr>
          <w:rFonts w:ascii="Times New Roman" w:hAnsi="Times New Roman" w:cs="Times New Roman"/>
        </w:rPr>
        <w:t xml:space="preserve">13. </w:t>
      </w:r>
      <w:r w:rsidRPr="00873DD9">
        <w:rPr>
          <w:rFonts w:ascii="Times New Roman" w:hAnsi="Times New Roman" w:cs="Times New Roman"/>
        </w:rPr>
        <w:tab/>
        <w:t xml:space="preserve">Dang N, Wairokpam T. Clinical Case Series on Assessment of Therapeutic Efficacy of Saroglitazar in MASLD Patients. Asian Journal of Medicine and Health. 2024 Aug 20;22(9):11–8. </w:t>
      </w:r>
    </w:p>
    <w:p w14:paraId="0C79BEBE" w14:textId="5D7FBDD7" w:rsidR="002B0E17" w:rsidRPr="00036AA6" w:rsidRDefault="002B0E17" w:rsidP="004F1335">
      <w:pPr>
        <w:jc w:val="both"/>
        <w:rPr>
          <w:rFonts w:ascii="Times New Roman" w:hAnsi="Times New Roman" w:cs="Times New Roman"/>
        </w:rPr>
      </w:pPr>
      <w:r w:rsidRPr="00036AA6">
        <w:rPr>
          <w:rFonts w:ascii="Times New Roman" w:hAnsi="Times New Roman" w:cs="Times New Roman"/>
        </w:rPr>
        <w:fldChar w:fldCharType="end"/>
      </w:r>
    </w:p>
    <w:sectPr w:rsidR="002B0E17" w:rsidRPr="00036A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75DCF" w14:textId="77777777" w:rsidR="00607DC2" w:rsidRDefault="00607DC2" w:rsidP="005341C1">
      <w:pPr>
        <w:spacing w:after="0" w:line="240" w:lineRule="auto"/>
      </w:pPr>
      <w:r>
        <w:separator/>
      </w:r>
    </w:p>
  </w:endnote>
  <w:endnote w:type="continuationSeparator" w:id="0">
    <w:p w14:paraId="7363F4D5" w14:textId="77777777" w:rsidR="00607DC2" w:rsidRDefault="00607DC2" w:rsidP="0053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9057" w14:textId="77777777" w:rsidR="005341C1" w:rsidRDefault="00534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127AD" w14:textId="77777777" w:rsidR="005341C1" w:rsidRDefault="00534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BECC2" w14:textId="77777777" w:rsidR="005341C1" w:rsidRDefault="00534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FA45F" w14:textId="77777777" w:rsidR="00607DC2" w:rsidRDefault="00607DC2" w:rsidP="005341C1">
      <w:pPr>
        <w:spacing w:after="0" w:line="240" w:lineRule="auto"/>
      </w:pPr>
      <w:r>
        <w:separator/>
      </w:r>
    </w:p>
  </w:footnote>
  <w:footnote w:type="continuationSeparator" w:id="0">
    <w:p w14:paraId="7DFA1166" w14:textId="77777777" w:rsidR="00607DC2" w:rsidRDefault="00607DC2" w:rsidP="00534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93D3" w14:textId="5911BECE" w:rsidR="005341C1" w:rsidRDefault="00607DC2">
    <w:pPr>
      <w:pStyle w:val="Header"/>
    </w:pPr>
    <w:r>
      <w:rPr>
        <w:noProof/>
      </w:rPr>
      <w:pict w14:anchorId="16125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70563"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1C01" w14:textId="75894E7D" w:rsidR="005341C1" w:rsidRDefault="00607DC2">
    <w:pPr>
      <w:pStyle w:val="Header"/>
    </w:pPr>
    <w:r>
      <w:rPr>
        <w:noProof/>
      </w:rPr>
      <w:pict w14:anchorId="6F71A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70564"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590C" w14:textId="24313A6F" w:rsidR="005341C1" w:rsidRDefault="00607DC2">
    <w:pPr>
      <w:pStyle w:val="Header"/>
    </w:pPr>
    <w:r>
      <w:rPr>
        <w:noProof/>
      </w:rPr>
      <w:pict w14:anchorId="04E36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70562"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BF8"/>
    <w:multiLevelType w:val="hybridMultilevel"/>
    <w:tmpl w:val="53F2F468"/>
    <w:lvl w:ilvl="0" w:tplc="EF76323E">
      <w:start w:val="1"/>
      <w:numFmt w:val="decimal"/>
      <w:lvlText w:val="%1."/>
      <w:lvlJc w:val="left"/>
      <w:pPr>
        <w:ind w:left="1020" w:hanging="360"/>
      </w:pPr>
    </w:lvl>
    <w:lvl w:ilvl="1" w:tplc="D9567554">
      <w:start w:val="1"/>
      <w:numFmt w:val="decimal"/>
      <w:lvlText w:val="%2."/>
      <w:lvlJc w:val="left"/>
      <w:pPr>
        <w:ind w:left="1020" w:hanging="360"/>
      </w:pPr>
    </w:lvl>
    <w:lvl w:ilvl="2" w:tplc="A20636E0">
      <w:start w:val="1"/>
      <w:numFmt w:val="decimal"/>
      <w:lvlText w:val="%3."/>
      <w:lvlJc w:val="left"/>
      <w:pPr>
        <w:ind w:left="1020" w:hanging="360"/>
      </w:pPr>
    </w:lvl>
    <w:lvl w:ilvl="3" w:tplc="8C529BEC">
      <w:start w:val="1"/>
      <w:numFmt w:val="decimal"/>
      <w:lvlText w:val="%4."/>
      <w:lvlJc w:val="left"/>
      <w:pPr>
        <w:ind w:left="1020" w:hanging="360"/>
      </w:pPr>
    </w:lvl>
    <w:lvl w:ilvl="4" w:tplc="448C0DCA">
      <w:start w:val="1"/>
      <w:numFmt w:val="decimal"/>
      <w:lvlText w:val="%5."/>
      <w:lvlJc w:val="left"/>
      <w:pPr>
        <w:ind w:left="1020" w:hanging="360"/>
      </w:pPr>
    </w:lvl>
    <w:lvl w:ilvl="5" w:tplc="419A0510">
      <w:start w:val="1"/>
      <w:numFmt w:val="decimal"/>
      <w:lvlText w:val="%6."/>
      <w:lvlJc w:val="left"/>
      <w:pPr>
        <w:ind w:left="1020" w:hanging="360"/>
      </w:pPr>
    </w:lvl>
    <w:lvl w:ilvl="6" w:tplc="7F705EF0">
      <w:start w:val="1"/>
      <w:numFmt w:val="decimal"/>
      <w:lvlText w:val="%7."/>
      <w:lvlJc w:val="left"/>
      <w:pPr>
        <w:ind w:left="1020" w:hanging="360"/>
      </w:pPr>
    </w:lvl>
    <w:lvl w:ilvl="7" w:tplc="98825520">
      <w:start w:val="1"/>
      <w:numFmt w:val="decimal"/>
      <w:lvlText w:val="%8."/>
      <w:lvlJc w:val="left"/>
      <w:pPr>
        <w:ind w:left="1020" w:hanging="360"/>
      </w:pPr>
    </w:lvl>
    <w:lvl w:ilvl="8" w:tplc="423095DC">
      <w:start w:val="1"/>
      <w:numFmt w:val="decimal"/>
      <w:lvlText w:val="%9."/>
      <w:lvlJc w:val="left"/>
      <w:pPr>
        <w:ind w:left="1020" w:hanging="360"/>
      </w:pPr>
    </w:lvl>
  </w:abstractNum>
  <w:abstractNum w:abstractNumId="1" w15:restartNumberingAfterBreak="0">
    <w:nsid w:val="2F911B16"/>
    <w:multiLevelType w:val="hybridMultilevel"/>
    <w:tmpl w:val="C5F868D0"/>
    <w:lvl w:ilvl="0" w:tplc="4DCA8E40">
      <w:start w:val="1"/>
      <w:numFmt w:val="decimal"/>
      <w:lvlText w:val="%1."/>
      <w:lvlJc w:val="left"/>
      <w:pPr>
        <w:ind w:left="1020" w:hanging="360"/>
      </w:pPr>
    </w:lvl>
    <w:lvl w:ilvl="1" w:tplc="A8D8D392">
      <w:start w:val="1"/>
      <w:numFmt w:val="decimal"/>
      <w:lvlText w:val="%2."/>
      <w:lvlJc w:val="left"/>
      <w:pPr>
        <w:ind w:left="1020" w:hanging="360"/>
      </w:pPr>
    </w:lvl>
    <w:lvl w:ilvl="2" w:tplc="1FBEFE68">
      <w:start w:val="1"/>
      <w:numFmt w:val="decimal"/>
      <w:lvlText w:val="%3."/>
      <w:lvlJc w:val="left"/>
      <w:pPr>
        <w:ind w:left="1020" w:hanging="360"/>
      </w:pPr>
    </w:lvl>
    <w:lvl w:ilvl="3" w:tplc="9FF6087E">
      <w:start w:val="1"/>
      <w:numFmt w:val="decimal"/>
      <w:lvlText w:val="%4."/>
      <w:lvlJc w:val="left"/>
      <w:pPr>
        <w:ind w:left="1020" w:hanging="360"/>
      </w:pPr>
    </w:lvl>
    <w:lvl w:ilvl="4" w:tplc="32AEBA08">
      <w:start w:val="1"/>
      <w:numFmt w:val="decimal"/>
      <w:lvlText w:val="%5."/>
      <w:lvlJc w:val="left"/>
      <w:pPr>
        <w:ind w:left="1020" w:hanging="360"/>
      </w:pPr>
    </w:lvl>
    <w:lvl w:ilvl="5" w:tplc="6E08B0C2">
      <w:start w:val="1"/>
      <w:numFmt w:val="decimal"/>
      <w:lvlText w:val="%6."/>
      <w:lvlJc w:val="left"/>
      <w:pPr>
        <w:ind w:left="1020" w:hanging="360"/>
      </w:pPr>
    </w:lvl>
    <w:lvl w:ilvl="6" w:tplc="9DD205AA">
      <w:start w:val="1"/>
      <w:numFmt w:val="decimal"/>
      <w:lvlText w:val="%7."/>
      <w:lvlJc w:val="left"/>
      <w:pPr>
        <w:ind w:left="1020" w:hanging="360"/>
      </w:pPr>
    </w:lvl>
    <w:lvl w:ilvl="7" w:tplc="BE823BF6">
      <w:start w:val="1"/>
      <w:numFmt w:val="decimal"/>
      <w:lvlText w:val="%8."/>
      <w:lvlJc w:val="left"/>
      <w:pPr>
        <w:ind w:left="1020" w:hanging="360"/>
      </w:pPr>
    </w:lvl>
    <w:lvl w:ilvl="8" w:tplc="B6429CF8">
      <w:start w:val="1"/>
      <w:numFmt w:val="decimal"/>
      <w:lvlText w:val="%9."/>
      <w:lvlJc w:val="left"/>
      <w:pPr>
        <w:ind w:left="1020" w:hanging="360"/>
      </w:pPr>
    </w:lvl>
  </w:abstractNum>
  <w:abstractNum w:abstractNumId="2" w15:restartNumberingAfterBreak="0">
    <w:nsid w:val="782E52AD"/>
    <w:multiLevelType w:val="hybridMultilevel"/>
    <w:tmpl w:val="20C0B600"/>
    <w:lvl w:ilvl="0" w:tplc="9D66E2E0">
      <w:start w:val="1"/>
      <w:numFmt w:val="decimal"/>
      <w:lvlText w:val="%1."/>
      <w:lvlJc w:val="left"/>
      <w:pPr>
        <w:ind w:left="1020" w:hanging="360"/>
      </w:pPr>
    </w:lvl>
    <w:lvl w:ilvl="1" w:tplc="5728FC58">
      <w:start w:val="1"/>
      <w:numFmt w:val="decimal"/>
      <w:lvlText w:val="%2."/>
      <w:lvlJc w:val="left"/>
      <w:pPr>
        <w:ind w:left="1020" w:hanging="360"/>
      </w:pPr>
    </w:lvl>
    <w:lvl w:ilvl="2" w:tplc="86E206CA">
      <w:start w:val="1"/>
      <w:numFmt w:val="decimal"/>
      <w:lvlText w:val="%3."/>
      <w:lvlJc w:val="left"/>
      <w:pPr>
        <w:ind w:left="1020" w:hanging="360"/>
      </w:pPr>
    </w:lvl>
    <w:lvl w:ilvl="3" w:tplc="CAFCC2EE">
      <w:start w:val="1"/>
      <w:numFmt w:val="decimal"/>
      <w:lvlText w:val="%4."/>
      <w:lvlJc w:val="left"/>
      <w:pPr>
        <w:ind w:left="1020" w:hanging="360"/>
      </w:pPr>
    </w:lvl>
    <w:lvl w:ilvl="4" w:tplc="9B801308">
      <w:start w:val="1"/>
      <w:numFmt w:val="decimal"/>
      <w:lvlText w:val="%5."/>
      <w:lvlJc w:val="left"/>
      <w:pPr>
        <w:ind w:left="1020" w:hanging="360"/>
      </w:pPr>
    </w:lvl>
    <w:lvl w:ilvl="5" w:tplc="6C3EDEC0">
      <w:start w:val="1"/>
      <w:numFmt w:val="decimal"/>
      <w:lvlText w:val="%6."/>
      <w:lvlJc w:val="left"/>
      <w:pPr>
        <w:ind w:left="1020" w:hanging="360"/>
      </w:pPr>
    </w:lvl>
    <w:lvl w:ilvl="6" w:tplc="FFAC1AB2">
      <w:start w:val="1"/>
      <w:numFmt w:val="decimal"/>
      <w:lvlText w:val="%7."/>
      <w:lvlJc w:val="left"/>
      <w:pPr>
        <w:ind w:left="1020" w:hanging="360"/>
      </w:pPr>
    </w:lvl>
    <w:lvl w:ilvl="7" w:tplc="673A9C18">
      <w:start w:val="1"/>
      <w:numFmt w:val="decimal"/>
      <w:lvlText w:val="%8."/>
      <w:lvlJc w:val="left"/>
      <w:pPr>
        <w:ind w:left="1020" w:hanging="360"/>
      </w:pPr>
    </w:lvl>
    <w:lvl w:ilvl="8" w:tplc="C1A088DC">
      <w:start w:val="1"/>
      <w:numFmt w:val="decimal"/>
      <w:lvlText w:val="%9."/>
      <w:lvlJc w:val="left"/>
      <w:pPr>
        <w:ind w:left="102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0E"/>
    <w:rsid w:val="0000634C"/>
    <w:rsid w:val="000117D3"/>
    <w:rsid w:val="00036AA6"/>
    <w:rsid w:val="00042CD3"/>
    <w:rsid w:val="00054998"/>
    <w:rsid w:val="00066D89"/>
    <w:rsid w:val="00074B5E"/>
    <w:rsid w:val="00075AA7"/>
    <w:rsid w:val="000A3898"/>
    <w:rsid w:val="000B3F24"/>
    <w:rsid w:val="000B5199"/>
    <w:rsid w:val="000D471D"/>
    <w:rsid w:val="000E3C13"/>
    <w:rsid w:val="000E6095"/>
    <w:rsid w:val="000E6FD6"/>
    <w:rsid w:val="00114933"/>
    <w:rsid w:val="00115723"/>
    <w:rsid w:val="00124285"/>
    <w:rsid w:val="00126F52"/>
    <w:rsid w:val="00145C87"/>
    <w:rsid w:val="00151386"/>
    <w:rsid w:val="001640B3"/>
    <w:rsid w:val="00170522"/>
    <w:rsid w:val="0017312A"/>
    <w:rsid w:val="001750A1"/>
    <w:rsid w:val="00191123"/>
    <w:rsid w:val="001C6C9F"/>
    <w:rsid w:val="001F5FFB"/>
    <w:rsid w:val="001F7083"/>
    <w:rsid w:val="00214E28"/>
    <w:rsid w:val="00226B24"/>
    <w:rsid w:val="0023078A"/>
    <w:rsid w:val="00231E60"/>
    <w:rsid w:val="00235D47"/>
    <w:rsid w:val="00237F40"/>
    <w:rsid w:val="00241A78"/>
    <w:rsid w:val="00253948"/>
    <w:rsid w:val="002673F7"/>
    <w:rsid w:val="00267AF6"/>
    <w:rsid w:val="00273C5F"/>
    <w:rsid w:val="00276865"/>
    <w:rsid w:val="0028770A"/>
    <w:rsid w:val="002B0E17"/>
    <w:rsid w:val="002C5859"/>
    <w:rsid w:val="002F0C6C"/>
    <w:rsid w:val="003070FC"/>
    <w:rsid w:val="00323488"/>
    <w:rsid w:val="00334093"/>
    <w:rsid w:val="0033590F"/>
    <w:rsid w:val="003359A5"/>
    <w:rsid w:val="003368F1"/>
    <w:rsid w:val="003415E0"/>
    <w:rsid w:val="00341FEB"/>
    <w:rsid w:val="00367F85"/>
    <w:rsid w:val="00390D13"/>
    <w:rsid w:val="0039417A"/>
    <w:rsid w:val="0039558F"/>
    <w:rsid w:val="003A3C40"/>
    <w:rsid w:val="003A6C8D"/>
    <w:rsid w:val="003B01DC"/>
    <w:rsid w:val="003B3377"/>
    <w:rsid w:val="003B469A"/>
    <w:rsid w:val="003B5860"/>
    <w:rsid w:val="003D5666"/>
    <w:rsid w:val="003D7B69"/>
    <w:rsid w:val="003F1856"/>
    <w:rsid w:val="00412DC4"/>
    <w:rsid w:val="004146C5"/>
    <w:rsid w:val="00455D5E"/>
    <w:rsid w:val="004869AB"/>
    <w:rsid w:val="00493FA8"/>
    <w:rsid w:val="004A2D0B"/>
    <w:rsid w:val="004A6C96"/>
    <w:rsid w:val="004B2849"/>
    <w:rsid w:val="004B3AFB"/>
    <w:rsid w:val="004C4C3C"/>
    <w:rsid w:val="004C7182"/>
    <w:rsid w:val="004D018B"/>
    <w:rsid w:val="004D08FC"/>
    <w:rsid w:val="004D47EF"/>
    <w:rsid w:val="004F1335"/>
    <w:rsid w:val="00504DD9"/>
    <w:rsid w:val="005216A0"/>
    <w:rsid w:val="00533EA5"/>
    <w:rsid w:val="005341C1"/>
    <w:rsid w:val="0053445B"/>
    <w:rsid w:val="00534FF4"/>
    <w:rsid w:val="005351AF"/>
    <w:rsid w:val="00537075"/>
    <w:rsid w:val="00540759"/>
    <w:rsid w:val="005441FB"/>
    <w:rsid w:val="00551D6A"/>
    <w:rsid w:val="00552321"/>
    <w:rsid w:val="00556573"/>
    <w:rsid w:val="00564ACA"/>
    <w:rsid w:val="005717BB"/>
    <w:rsid w:val="0058044A"/>
    <w:rsid w:val="005822E6"/>
    <w:rsid w:val="00596FFA"/>
    <w:rsid w:val="005A2EA3"/>
    <w:rsid w:val="005B0055"/>
    <w:rsid w:val="005C36ED"/>
    <w:rsid w:val="005D6325"/>
    <w:rsid w:val="005F4475"/>
    <w:rsid w:val="005F6BDD"/>
    <w:rsid w:val="00605E83"/>
    <w:rsid w:val="00607DC2"/>
    <w:rsid w:val="00620BCC"/>
    <w:rsid w:val="006340CA"/>
    <w:rsid w:val="00642125"/>
    <w:rsid w:val="00645F8E"/>
    <w:rsid w:val="006724E7"/>
    <w:rsid w:val="006808FE"/>
    <w:rsid w:val="00697611"/>
    <w:rsid w:val="006A7210"/>
    <w:rsid w:val="006E588A"/>
    <w:rsid w:val="00721459"/>
    <w:rsid w:val="00742245"/>
    <w:rsid w:val="00762747"/>
    <w:rsid w:val="0076746C"/>
    <w:rsid w:val="00773351"/>
    <w:rsid w:val="00774442"/>
    <w:rsid w:val="00775C10"/>
    <w:rsid w:val="00776EB2"/>
    <w:rsid w:val="00783B8F"/>
    <w:rsid w:val="007A2C56"/>
    <w:rsid w:val="007B7B87"/>
    <w:rsid w:val="007C2EE6"/>
    <w:rsid w:val="007C613C"/>
    <w:rsid w:val="007D7F9B"/>
    <w:rsid w:val="007E55B1"/>
    <w:rsid w:val="008370A4"/>
    <w:rsid w:val="00837A81"/>
    <w:rsid w:val="008569D7"/>
    <w:rsid w:val="00871781"/>
    <w:rsid w:val="00871B8F"/>
    <w:rsid w:val="00873DD9"/>
    <w:rsid w:val="0087682B"/>
    <w:rsid w:val="008B2B39"/>
    <w:rsid w:val="008C0423"/>
    <w:rsid w:val="008C0895"/>
    <w:rsid w:val="008C46D7"/>
    <w:rsid w:val="008D17DA"/>
    <w:rsid w:val="008E1C5B"/>
    <w:rsid w:val="008E1F6A"/>
    <w:rsid w:val="009003FC"/>
    <w:rsid w:val="00906F38"/>
    <w:rsid w:val="00913ECB"/>
    <w:rsid w:val="00914A7A"/>
    <w:rsid w:val="009239DA"/>
    <w:rsid w:val="00944C80"/>
    <w:rsid w:val="0095252A"/>
    <w:rsid w:val="009563CE"/>
    <w:rsid w:val="009652F5"/>
    <w:rsid w:val="00982864"/>
    <w:rsid w:val="00983147"/>
    <w:rsid w:val="00983DA4"/>
    <w:rsid w:val="009A3C16"/>
    <w:rsid w:val="009A52AF"/>
    <w:rsid w:val="009B6834"/>
    <w:rsid w:val="00A105AD"/>
    <w:rsid w:val="00A10FBB"/>
    <w:rsid w:val="00A24905"/>
    <w:rsid w:val="00A40E55"/>
    <w:rsid w:val="00A557F9"/>
    <w:rsid w:val="00A65A57"/>
    <w:rsid w:val="00A76E79"/>
    <w:rsid w:val="00A84909"/>
    <w:rsid w:val="00A94343"/>
    <w:rsid w:val="00A96AC5"/>
    <w:rsid w:val="00AB6405"/>
    <w:rsid w:val="00AC133D"/>
    <w:rsid w:val="00AC1B5E"/>
    <w:rsid w:val="00AC472E"/>
    <w:rsid w:val="00AC6400"/>
    <w:rsid w:val="00AD5F79"/>
    <w:rsid w:val="00AF1507"/>
    <w:rsid w:val="00AF2E87"/>
    <w:rsid w:val="00B161A1"/>
    <w:rsid w:val="00B2270A"/>
    <w:rsid w:val="00B25D76"/>
    <w:rsid w:val="00B27F8B"/>
    <w:rsid w:val="00B56D3E"/>
    <w:rsid w:val="00B57705"/>
    <w:rsid w:val="00B6356E"/>
    <w:rsid w:val="00B9113A"/>
    <w:rsid w:val="00BA309F"/>
    <w:rsid w:val="00BB65BE"/>
    <w:rsid w:val="00BD4B2C"/>
    <w:rsid w:val="00BF7973"/>
    <w:rsid w:val="00C20D67"/>
    <w:rsid w:val="00C3224F"/>
    <w:rsid w:val="00C33827"/>
    <w:rsid w:val="00C544E4"/>
    <w:rsid w:val="00C85308"/>
    <w:rsid w:val="00C85EBF"/>
    <w:rsid w:val="00CB4BB8"/>
    <w:rsid w:val="00CC3986"/>
    <w:rsid w:val="00CD67B1"/>
    <w:rsid w:val="00D30344"/>
    <w:rsid w:val="00D51B36"/>
    <w:rsid w:val="00D677DF"/>
    <w:rsid w:val="00D77E0E"/>
    <w:rsid w:val="00D85435"/>
    <w:rsid w:val="00D95E8E"/>
    <w:rsid w:val="00DA599F"/>
    <w:rsid w:val="00DB0D04"/>
    <w:rsid w:val="00DB2198"/>
    <w:rsid w:val="00DB7E6B"/>
    <w:rsid w:val="00DC2137"/>
    <w:rsid w:val="00DF33A7"/>
    <w:rsid w:val="00E122AE"/>
    <w:rsid w:val="00E21880"/>
    <w:rsid w:val="00E4107B"/>
    <w:rsid w:val="00E42513"/>
    <w:rsid w:val="00E43B5F"/>
    <w:rsid w:val="00E46039"/>
    <w:rsid w:val="00E50FA4"/>
    <w:rsid w:val="00E51BCE"/>
    <w:rsid w:val="00E537B1"/>
    <w:rsid w:val="00E5418D"/>
    <w:rsid w:val="00E54B60"/>
    <w:rsid w:val="00E65720"/>
    <w:rsid w:val="00E874F7"/>
    <w:rsid w:val="00E921D9"/>
    <w:rsid w:val="00EB4417"/>
    <w:rsid w:val="00EC0312"/>
    <w:rsid w:val="00ED42D3"/>
    <w:rsid w:val="00ED60B4"/>
    <w:rsid w:val="00EE23E4"/>
    <w:rsid w:val="00EE7484"/>
    <w:rsid w:val="00EF04AD"/>
    <w:rsid w:val="00EF26B0"/>
    <w:rsid w:val="00F17A9B"/>
    <w:rsid w:val="00F22452"/>
    <w:rsid w:val="00F357F5"/>
    <w:rsid w:val="00F443E8"/>
    <w:rsid w:val="00F60AB6"/>
    <w:rsid w:val="00F60D40"/>
    <w:rsid w:val="00F62B0E"/>
    <w:rsid w:val="00F63CD1"/>
    <w:rsid w:val="00F7003D"/>
    <w:rsid w:val="00F81A35"/>
    <w:rsid w:val="00FA16A3"/>
    <w:rsid w:val="00FB104F"/>
    <w:rsid w:val="00FB1D64"/>
    <w:rsid w:val="00FD3E25"/>
    <w:rsid w:val="00FD6C4E"/>
    <w:rsid w:val="00FE0667"/>
    <w:rsid w:val="00FE7CE7"/>
    <w:rsid w:val="00FF6FD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510EF5"/>
  <w15:chartTrackingRefBased/>
  <w15:docId w15:val="{6A1D8E2E-189B-45A2-ABB6-52B375E7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1"/>
        <w:lang w:val="en-IN" w:eastAsia="en-US" w:bidi="mr-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2B0E"/>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F62B0E"/>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F62B0E"/>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F62B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B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B0E"/>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F62B0E"/>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F62B0E"/>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F62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B0E"/>
    <w:rPr>
      <w:rFonts w:eastAsiaTheme="majorEastAsia" w:cstheme="majorBidi"/>
      <w:color w:val="272727" w:themeColor="text1" w:themeTint="D8"/>
    </w:rPr>
  </w:style>
  <w:style w:type="paragraph" w:styleId="Title">
    <w:name w:val="Title"/>
    <w:basedOn w:val="Normal"/>
    <w:next w:val="Normal"/>
    <w:link w:val="TitleChar"/>
    <w:uiPriority w:val="10"/>
    <w:qFormat/>
    <w:rsid w:val="00F62B0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62B0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62B0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62B0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62B0E"/>
    <w:pPr>
      <w:spacing w:before="160"/>
      <w:jc w:val="center"/>
    </w:pPr>
    <w:rPr>
      <w:i/>
      <w:iCs/>
      <w:color w:val="404040" w:themeColor="text1" w:themeTint="BF"/>
    </w:rPr>
  </w:style>
  <w:style w:type="character" w:customStyle="1" w:styleId="QuoteChar">
    <w:name w:val="Quote Char"/>
    <w:basedOn w:val="DefaultParagraphFont"/>
    <w:link w:val="Quote"/>
    <w:uiPriority w:val="29"/>
    <w:rsid w:val="00F62B0E"/>
    <w:rPr>
      <w:i/>
      <w:iCs/>
      <w:color w:val="404040" w:themeColor="text1" w:themeTint="BF"/>
    </w:rPr>
  </w:style>
  <w:style w:type="paragraph" w:styleId="ListParagraph">
    <w:name w:val="List Paragraph"/>
    <w:basedOn w:val="Normal"/>
    <w:uiPriority w:val="34"/>
    <w:qFormat/>
    <w:rsid w:val="00F62B0E"/>
    <w:pPr>
      <w:ind w:left="720"/>
      <w:contextualSpacing/>
    </w:pPr>
  </w:style>
  <w:style w:type="character" w:styleId="IntenseEmphasis">
    <w:name w:val="Intense Emphasis"/>
    <w:basedOn w:val="DefaultParagraphFont"/>
    <w:uiPriority w:val="21"/>
    <w:qFormat/>
    <w:rsid w:val="00F62B0E"/>
    <w:rPr>
      <w:i/>
      <w:iCs/>
      <w:color w:val="0F4761" w:themeColor="accent1" w:themeShade="BF"/>
    </w:rPr>
  </w:style>
  <w:style w:type="paragraph" w:styleId="IntenseQuote">
    <w:name w:val="Intense Quote"/>
    <w:basedOn w:val="Normal"/>
    <w:next w:val="Normal"/>
    <w:link w:val="IntenseQuoteChar"/>
    <w:uiPriority w:val="30"/>
    <w:qFormat/>
    <w:rsid w:val="00F62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B0E"/>
    <w:rPr>
      <w:i/>
      <w:iCs/>
      <w:color w:val="0F4761" w:themeColor="accent1" w:themeShade="BF"/>
    </w:rPr>
  </w:style>
  <w:style w:type="character" w:styleId="IntenseReference">
    <w:name w:val="Intense Reference"/>
    <w:basedOn w:val="DefaultParagraphFont"/>
    <w:uiPriority w:val="32"/>
    <w:qFormat/>
    <w:rsid w:val="00F62B0E"/>
    <w:rPr>
      <w:b/>
      <w:bCs/>
      <w:smallCaps/>
      <w:color w:val="0F4761" w:themeColor="accent1" w:themeShade="BF"/>
      <w:spacing w:val="5"/>
    </w:rPr>
  </w:style>
  <w:style w:type="character" w:styleId="CommentReference">
    <w:name w:val="annotation reference"/>
    <w:basedOn w:val="DefaultParagraphFont"/>
    <w:uiPriority w:val="99"/>
    <w:semiHidden/>
    <w:unhideWhenUsed/>
    <w:rsid w:val="004F1335"/>
    <w:rPr>
      <w:sz w:val="16"/>
      <w:szCs w:val="16"/>
    </w:rPr>
  </w:style>
  <w:style w:type="paragraph" w:styleId="CommentText">
    <w:name w:val="annotation text"/>
    <w:basedOn w:val="Normal"/>
    <w:link w:val="CommentTextChar"/>
    <w:uiPriority w:val="99"/>
    <w:unhideWhenUsed/>
    <w:rsid w:val="004F1335"/>
    <w:pPr>
      <w:spacing w:line="240" w:lineRule="auto"/>
    </w:pPr>
    <w:rPr>
      <w:sz w:val="20"/>
      <w:szCs w:val="18"/>
    </w:rPr>
  </w:style>
  <w:style w:type="character" w:customStyle="1" w:styleId="CommentTextChar">
    <w:name w:val="Comment Text Char"/>
    <w:basedOn w:val="DefaultParagraphFont"/>
    <w:link w:val="CommentText"/>
    <w:uiPriority w:val="99"/>
    <w:rsid w:val="004F1335"/>
    <w:rPr>
      <w:sz w:val="20"/>
      <w:szCs w:val="18"/>
    </w:rPr>
  </w:style>
  <w:style w:type="paragraph" w:styleId="CommentSubject">
    <w:name w:val="annotation subject"/>
    <w:basedOn w:val="CommentText"/>
    <w:next w:val="CommentText"/>
    <w:link w:val="CommentSubjectChar"/>
    <w:uiPriority w:val="99"/>
    <w:semiHidden/>
    <w:unhideWhenUsed/>
    <w:rsid w:val="004F1335"/>
    <w:rPr>
      <w:b/>
      <w:bCs/>
    </w:rPr>
  </w:style>
  <w:style w:type="character" w:customStyle="1" w:styleId="CommentSubjectChar">
    <w:name w:val="Comment Subject Char"/>
    <w:basedOn w:val="CommentTextChar"/>
    <w:link w:val="CommentSubject"/>
    <w:uiPriority w:val="99"/>
    <w:semiHidden/>
    <w:rsid w:val="004F1335"/>
    <w:rPr>
      <w:b/>
      <w:bCs/>
      <w:sz w:val="20"/>
      <w:szCs w:val="18"/>
    </w:rPr>
  </w:style>
  <w:style w:type="table" w:styleId="TableGrid">
    <w:name w:val="Table Grid"/>
    <w:basedOn w:val="TableNormal"/>
    <w:uiPriority w:val="39"/>
    <w:rsid w:val="00B6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635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ibliography">
    <w:name w:val="Bibliography"/>
    <w:basedOn w:val="Normal"/>
    <w:next w:val="Normal"/>
    <w:uiPriority w:val="37"/>
    <w:unhideWhenUsed/>
    <w:rsid w:val="002B0E17"/>
    <w:pPr>
      <w:tabs>
        <w:tab w:val="left" w:pos="384"/>
      </w:tabs>
      <w:spacing w:after="240" w:line="240" w:lineRule="auto"/>
      <w:ind w:left="384" w:hanging="384"/>
    </w:pPr>
  </w:style>
  <w:style w:type="paragraph" w:styleId="Revision">
    <w:name w:val="Revision"/>
    <w:hidden/>
    <w:uiPriority w:val="99"/>
    <w:semiHidden/>
    <w:rsid w:val="00042CD3"/>
    <w:pPr>
      <w:spacing w:after="0" w:line="240" w:lineRule="auto"/>
    </w:pPr>
  </w:style>
  <w:style w:type="character" w:styleId="Hyperlink">
    <w:name w:val="Hyperlink"/>
    <w:basedOn w:val="DefaultParagraphFont"/>
    <w:uiPriority w:val="99"/>
    <w:unhideWhenUsed/>
    <w:rsid w:val="004A2D0B"/>
    <w:rPr>
      <w:color w:val="467886" w:themeColor="hyperlink"/>
      <w:u w:val="single"/>
    </w:rPr>
  </w:style>
  <w:style w:type="character" w:customStyle="1" w:styleId="UnresolvedMention1">
    <w:name w:val="Unresolved Mention1"/>
    <w:basedOn w:val="DefaultParagraphFont"/>
    <w:uiPriority w:val="99"/>
    <w:semiHidden/>
    <w:unhideWhenUsed/>
    <w:rsid w:val="004A2D0B"/>
    <w:rPr>
      <w:color w:val="605E5C"/>
      <w:shd w:val="clear" w:color="auto" w:fill="E1DFDD"/>
    </w:rPr>
  </w:style>
  <w:style w:type="paragraph" w:styleId="Header">
    <w:name w:val="header"/>
    <w:basedOn w:val="Normal"/>
    <w:link w:val="HeaderChar"/>
    <w:uiPriority w:val="99"/>
    <w:unhideWhenUsed/>
    <w:rsid w:val="00534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1C1"/>
  </w:style>
  <w:style w:type="paragraph" w:styleId="Footer">
    <w:name w:val="footer"/>
    <w:basedOn w:val="Normal"/>
    <w:link w:val="FooterChar"/>
    <w:uiPriority w:val="99"/>
    <w:unhideWhenUsed/>
    <w:rsid w:val="00534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1C1"/>
  </w:style>
  <w:style w:type="paragraph" w:styleId="NormalWeb">
    <w:name w:val="Normal (Web)"/>
    <w:basedOn w:val="Normal"/>
    <w:uiPriority w:val="99"/>
    <w:unhideWhenUsed/>
    <w:rsid w:val="00A10FBB"/>
    <w:pPr>
      <w:spacing w:before="100" w:beforeAutospacing="1" w:after="100" w:afterAutospacing="1" w:line="240" w:lineRule="auto"/>
    </w:pPr>
    <w:rPr>
      <w:rFonts w:ascii="Times New Roman" w:eastAsia="Times New Roman" w:hAnsi="Times New Roman" w:cs="Times New Roman"/>
      <w:kern w:val="0"/>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2031">
      <w:bodyDiv w:val="1"/>
      <w:marLeft w:val="0"/>
      <w:marRight w:val="0"/>
      <w:marTop w:val="0"/>
      <w:marBottom w:val="0"/>
      <w:divBdr>
        <w:top w:val="none" w:sz="0" w:space="0" w:color="auto"/>
        <w:left w:val="none" w:sz="0" w:space="0" w:color="auto"/>
        <w:bottom w:val="none" w:sz="0" w:space="0" w:color="auto"/>
        <w:right w:val="none" w:sz="0" w:space="0" w:color="auto"/>
      </w:divBdr>
    </w:div>
    <w:div w:id="144779499">
      <w:bodyDiv w:val="1"/>
      <w:marLeft w:val="0"/>
      <w:marRight w:val="0"/>
      <w:marTop w:val="0"/>
      <w:marBottom w:val="0"/>
      <w:divBdr>
        <w:top w:val="none" w:sz="0" w:space="0" w:color="auto"/>
        <w:left w:val="none" w:sz="0" w:space="0" w:color="auto"/>
        <w:bottom w:val="none" w:sz="0" w:space="0" w:color="auto"/>
        <w:right w:val="none" w:sz="0" w:space="0" w:color="auto"/>
      </w:divBdr>
    </w:div>
    <w:div w:id="156113038">
      <w:bodyDiv w:val="1"/>
      <w:marLeft w:val="0"/>
      <w:marRight w:val="0"/>
      <w:marTop w:val="0"/>
      <w:marBottom w:val="0"/>
      <w:divBdr>
        <w:top w:val="none" w:sz="0" w:space="0" w:color="auto"/>
        <w:left w:val="none" w:sz="0" w:space="0" w:color="auto"/>
        <w:bottom w:val="none" w:sz="0" w:space="0" w:color="auto"/>
        <w:right w:val="none" w:sz="0" w:space="0" w:color="auto"/>
      </w:divBdr>
    </w:div>
    <w:div w:id="255864310">
      <w:bodyDiv w:val="1"/>
      <w:marLeft w:val="0"/>
      <w:marRight w:val="0"/>
      <w:marTop w:val="0"/>
      <w:marBottom w:val="0"/>
      <w:divBdr>
        <w:top w:val="none" w:sz="0" w:space="0" w:color="auto"/>
        <w:left w:val="none" w:sz="0" w:space="0" w:color="auto"/>
        <w:bottom w:val="none" w:sz="0" w:space="0" w:color="auto"/>
        <w:right w:val="none" w:sz="0" w:space="0" w:color="auto"/>
      </w:divBdr>
    </w:div>
    <w:div w:id="374543872">
      <w:bodyDiv w:val="1"/>
      <w:marLeft w:val="0"/>
      <w:marRight w:val="0"/>
      <w:marTop w:val="0"/>
      <w:marBottom w:val="0"/>
      <w:divBdr>
        <w:top w:val="none" w:sz="0" w:space="0" w:color="auto"/>
        <w:left w:val="none" w:sz="0" w:space="0" w:color="auto"/>
        <w:bottom w:val="none" w:sz="0" w:space="0" w:color="auto"/>
        <w:right w:val="none" w:sz="0" w:space="0" w:color="auto"/>
      </w:divBdr>
    </w:div>
    <w:div w:id="430472151">
      <w:bodyDiv w:val="1"/>
      <w:marLeft w:val="0"/>
      <w:marRight w:val="0"/>
      <w:marTop w:val="0"/>
      <w:marBottom w:val="0"/>
      <w:divBdr>
        <w:top w:val="none" w:sz="0" w:space="0" w:color="auto"/>
        <w:left w:val="none" w:sz="0" w:space="0" w:color="auto"/>
        <w:bottom w:val="none" w:sz="0" w:space="0" w:color="auto"/>
        <w:right w:val="none" w:sz="0" w:space="0" w:color="auto"/>
      </w:divBdr>
    </w:div>
    <w:div w:id="440689213">
      <w:bodyDiv w:val="1"/>
      <w:marLeft w:val="0"/>
      <w:marRight w:val="0"/>
      <w:marTop w:val="0"/>
      <w:marBottom w:val="0"/>
      <w:divBdr>
        <w:top w:val="none" w:sz="0" w:space="0" w:color="auto"/>
        <w:left w:val="none" w:sz="0" w:space="0" w:color="auto"/>
        <w:bottom w:val="none" w:sz="0" w:space="0" w:color="auto"/>
        <w:right w:val="none" w:sz="0" w:space="0" w:color="auto"/>
      </w:divBdr>
    </w:div>
    <w:div w:id="455561057">
      <w:bodyDiv w:val="1"/>
      <w:marLeft w:val="0"/>
      <w:marRight w:val="0"/>
      <w:marTop w:val="0"/>
      <w:marBottom w:val="0"/>
      <w:divBdr>
        <w:top w:val="none" w:sz="0" w:space="0" w:color="auto"/>
        <w:left w:val="none" w:sz="0" w:space="0" w:color="auto"/>
        <w:bottom w:val="none" w:sz="0" w:space="0" w:color="auto"/>
        <w:right w:val="none" w:sz="0" w:space="0" w:color="auto"/>
      </w:divBdr>
    </w:div>
    <w:div w:id="460925011">
      <w:bodyDiv w:val="1"/>
      <w:marLeft w:val="0"/>
      <w:marRight w:val="0"/>
      <w:marTop w:val="0"/>
      <w:marBottom w:val="0"/>
      <w:divBdr>
        <w:top w:val="none" w:sz="0" w:space="0" w:color="auto"/>
        <w:left w:val="none" w:sz="0" w:space="0" w:color="auto"/>
        <w:bottom w:val="none" w:sz="0" w:space="0" w:color="auto"/>
        <w:right w:val="none" w:sz="0" w:space="0" w:color="auto"/>
      </w:divBdr>
    </w:div>
    <w:div w:id="593244508">
      <w:bodyDiv w:val="1"/>
      <w:marLeft w:val="0"/>
      <w:marRight w:val="0"/>
      <w:marTop w:val="0"/>
      <w:marBottom w:val="0"/>
      <w:divBdr>
        <w:top w:val="none" w:sz="0" w:space="0" w:color="auto"/>
        <w:left w:val="none" w:sz="0" w:space="0" w:color="auto"/>
        <w:bottom w:val="none" w:sz="0" w:space="0" w:color="auto"/>
        <w:right w:val="none" w:sz="0" w:space="0" w:color="auto"/>
      </w:divBdr>
    </w:div>
    <w:div w:id="697466340">
      <w:bodyDiv w:val="1"/>
      <w:marLeft w:val="0"/>
      <w:marRight w:val="0"/>
      <w:marTop w:val="0"/>
      <w:marBottom w:val="0"/>
      <w:divBdr>
        <w:top w:val="none" w:sz="0" w:space="0" w:color="auto"/>
        <w:left w:val="none" w:sz="0" w:space="0" w:color="auto"/>
        <w:bottom w:val="none" w:sz="0" w:space="0" w:color="auto"/>
        <w:right w:val="none" w:sz="0" w:space="0" w:color="auto"/>
      </w:divBdr>
    </w:div>
    <w:div w:id="723992883">
      <w:bodyDiv w:val="1"/>
      <w:marLeft w:val="0"/>
      <w:marRight w:val="0"/>
      <w:marTop w:val="0"/>
      <w:marBottom w:val="0"/>
      <w:divBdr>
        <w:top w:val="none" w:sz="0" w:space="0" w:color="auto"/>
        <w:left w:val="none" w:sz="0" w:space="0" w:color="auto"/>
        <w:bottom w:val="none" w:sz="0" w:space="0" w:color="auto"/>
        <w:right w:val="none" w:sz="0" w:space="0" w:color="auto"/>
      </w:divBdr>
    </w:div>
    <w:div w:id="734938047">
      <w:bodyDiv w:val="1"/>
      <w:marLeft w:val="0"/>
      <w:marRight w:val="0"/>
      <w:marTop w:val="0"/>
      <w:marBottom w:val="0"/>
      <w:divBdr>
        <w:top w:val="none" w:sz="0" w:space="0" w:color="auto"/>
        <w:left w:val="none" w:sz="0" w:space="0" w:color="auto"/>
        <w:bottom w:val="none" w:sz="0" w:space="0" w:color="auto"/>
        <w:right w:val="none" w:sz="0" w:space="0" w:color="auto"/>
      </w:divBdr>
    </w:div>
    <w:div w:id="736977717">
      <w:bodyDiv w:val="1"/>
      <w:marLeft w:val="0"/>
      <w:marRight w:val="0"/>
      <w:marTop w:val="0"/>
      <w:marBottom w:val="0"/>
      <w:divBdr>
        <w:top w:val="none" w:sz="0" w:space="0" w:color="auto"/>
        <w:left w:val="none" w:sz="0" w:space="0" w:color="auto"/>
        <w:bottom w:val="none" w:sz="0" w:space="0" w:color="auto"/>
        <w:right w:val="none" w:sz="0" w:space="0" w:color="auto"/>
      </w:divBdr>
    </w:div>
    <w:div w:id="746802985">
      <w:bodyDiv w:val="1"/>
      <w:marLeft w:val="0"/>
      <w:marRight w:val="0"/>
      <w:marTop w:val="0"/>
      <w:marBottom w:val="0"/>
      <w:divBdr>
        <w:top w:val="none" w:sz="0" w:space="0" w:color="auto"/>
        <w:left w:val="none" w:sz="0" w:space="0" w:color="auto"/>
        <w:bottom w:val="none" w:sz="0" w:space="0" w:color="auto"/>
        <w:right w:val="none" w:sz="0" w:space="0" w:color="auto"/>
      </w:divBdr>
    </w:div>
    <w:div w:id="752122019">
      <w:bodyDiv w:val="1"/>
      <w:marLeft w:val="0"/>
      <w:marRight w:val="0"/>
      <w:marTop w:val="0"/>
      <w:marBottom w:val="0"/>
      <w:divBdr>
        <w:top w:val="none" w:sz="0" w:space="0" w:color="auto"/>
        <w:left w:val="none" w:sz="0" w:space="0" w:color="auto"/>
        <w:bottom w:val="none" w:sz="0" w:space="0" w:color="auto"/>
        <w:right w:val="none" w:sz="0" w:space="0" w:color="auto"/>
      </w:divBdr>
    </w:div>
    <w:div w:id="817962988">
      <w:bodyDiv w:val="1"/>
      <w:marLeft w:val="0"/>
      <w:marRight w:val="0"/>
      <w:marTop w:val="0"/>
      <w:marBottom w:val="0"/>
      <w:divBdr>
        <w:top w:val="none" w:sz="0" w:space="0" w:color="auto"/>
        <w:left w:val="none" w:sz="0" w:space="0" w:color="auto"/>
        <w:bottom w:val="none" w:sz="0" w:space="0" w:color="auto"/>
        <w:right w:val="none" w:sz="0" w:space="0" w:color="auto"/>
      </w:divBdr>
    </w:div>
    <w:div w:id="834950986">
      <w:bodyDiv w:val="1"/>
      <w:marLeft w:val="0"/>
      <w:marRight w:val="0"/>
      <w:marTop w:val="0"/>
      <w:marBottom w:val="0"/>
      <w:divBdr>
        <w:top w:val="none" w:sz="0" w:space="0" w:color="auto"/>
        <w:left w:val="none" w:sz="0" w:space="0" w:color="auto"/>
        <w:bottom w:val="none" w:sz="0" w:space="0" w:color="auto"/>
        <w:right w:val="none" w:sz="0" w:space="0" w:color="auto"/>
      </w:divBdr>
    </w:div>
    <w:div w:id="839277870">
      <w:bodyDiv w:val="1"/>
      <w:marLeft w:val="0"/>
      <w:marRight w:val="0"/>
      <w:marTop w:val="0"/>
      <w:marBottom w:val="0"/>
      <w:divBdr>
        <w:top w:val="none" w:sz="0" w:space="0" w:color="auto"/>
        <w:left w:val="none" w:sz="0" w:space="0" w:color="auto"/>
        <w:bottom w:val="none" w:sz="0" w:space="0" w:color="auto"/>
        <w:right w:val="none" w:sz="0" w:space="0" w:color="auto"/>
      </w:divBdr>
    </w:div>
    <w:div w:id="851260439">
      <w:bodyDiv w:val="1"/>
      <w:marLeft w:val="0"/>
      <w:marRight w:val="0"/>
      <w:marTop w:val="0"/>
      <w:marBottom w:val="0"/>
      <w:divBdr>
        <w:top w:val="none" w:sz="0" w:space="0" w:color="auto"/>
        <w:left w:val="none" w:sz="0" w:space="0" w:color="auto"/>
        <w:bottom w:val="none" w:sz="0" w:space="0" w:color="auto"/>
        <w:right w:val="none" w:sz="0" w:space="0" w:color="auto"/>
      </w:divBdr>
    </w:div>
    <w:div w:id="872692994">
      <w:bodyDiv w:val="1"/>
      <w:marLeft w:val="0"/>
      <w:marRight w:val="0"/>
      <w:marTop w:val="0"/>
      <w:marBottom w:val="0"/>
      <w:divBdr>
        <w:top w:val="none" w:sz="0" w:space="0" w:color="auto"/>
        <w:left w:val="none" w:sz="0" w:space="0" w:color="auto"/>
        <w:bottom w:val="none" w:sz="0" w:space="0" w:color="auto"/>
        <w:right w:val="none" w:sz="0" w:space="0" w:color="auto"/>
      </w:divBdr>
      <w:divsChild>
        <w:div w:id="765923767">
          <w:marLeft w:val="0"/>
          <w:marRight w:val="0"/>
          <w:marTop w:val="0"/>
          <w:marBottom w:val="0"/>
          <w:divBdr>
            <w:top w:val="none" w:sz="0" w:space="0" w:color="auto"/>
            <w:left w:val="none" w:sz="0" w:space="0" w:color="auto"/>
            <w:bottom w:val="none" w:sz="0" w:space="0" w:color="auto"/>
            <w:right w:val="none" w:sz="0" w:space="0" w:color="auto"/>
          </w:divBdr>
          <w:divsChild>
            <w:div w:id="603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4618">
      <w:bodyDiv w:val="1"/>
      <w:marLeft w:val="0"/>
      <w:marRight w:val="0"/>
      <w:marTop w:val="0"/>
      <w:marBottom w:val="0"/>
      <w:divBdr>
        <w:top w:val="none" w:sz="0" w:space="0" w:color="auto"/>
        <w:left w:val="none" w:sz="0" w:space="0" w:color="auto"/>
        <w:bottom w:val="none" w:sz="0" w:space="0" w:color="auto"/>
        <w:right w:val="none" w:sz="0" w:space="0" w:color="auto"/>
      </w:divBdr>
    </w:div>
    <w:div w:id="1163545672">
      <w:bodyDiv w:val="1"/>
      <w:marLeft w:val="0"/>
      <w:marRight w:val="0"/>
      <w:marTop w:val="0"/>
      <w:marBottom w:val="0"/>
      <w:divBdr>
        <w:top w:val="none" w:sz="0" w:space="0" w:color="auto"/>
        <w:left w:val="none" w:sz="0" w:space="0" w:color="auto"/>
        <w:bottom w:val="none" w:sz="0" w:space="0" w:color="auto"/>
        <w:right w:val="none" w:sz="0" w:space="0" w:color="auto"/>
      </w:divBdr>
    </w:div>
    <w:div w:id="1297025893">
      <w:bodyDiv w:val="1"/>
      <w:marLeft w:val="0"/>
      <w:marRight w:val="0"/>
      <w:marTop w:val="0"/>
      <w:marBottom w:val="0"/>
      <w:divBdr>
        <w:top w:val="none" w:sz="0" w:space="0" w:color="auto"/>
        <w:left w:val="none" w:sz="0" w:space="0" w:color="auto"/>
        <w:bottom w:val="none" w:sz="0" w:space="0" w:color="auto"/>
        <w:right w:val="none" w:sz="0" w:space="0" w:color="auto"/>
      </w:divBdr>
    </w:div>
    <w:div w:id="1395859767">
      <w:bodyDiv w:val="1"/>
      <w:marLeft w:val="0"/>
      <w:marRight w:val="0"/>
      <w:marTop w:val="0"/>
      <w:marBottom w:val="0"/>
      <w:divBdr>
        <w:top w:val="none" w:sz="0" w:space="0" w:color="auto"/>
        <w:left w:val="none" w:sz="0" w:space="0" w:color="auto"/>
        <w:bottom w:val="none" w:sz="0" w:space="0" w:color="auto"/>
        <w:right w:val="none" w:sz="0" w:space="0" w:color="auto"/>
      </w:divBdr>
      <w:divsChild>
        <w:div w:id="942344885">
          <w:marLeft w:val="0"/>
          <w:marRight w:val="0"/>
          <w:marTop w:val="0"/>
          <w:marBottom w:val="0"/>
          <w:divBdr>
            <w:top w:val="none" w:sz="0" w:space="0" w:color="auto"/>
            <w:left w:val="none" w:sz="0" w:space="0" w:color="auto"/>
            <w:bottom w:val="none" w:sz="0" w:space="0" w:color="auto"/>
            <w:right w:val="none" w:sz="0" w:space="0" w:color="auto"/>
          </w:divBdr>
          <w:divsChild>
            <w:div w:id="13923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0401">
      <w:bodyDiv w:val="1"/>
      <w:marLeft w:val="0"/>
      <w:marRight w:val="0"/>
      <w:marTop w:val="0"/>
      <w:marBottom w:val="0"/>
      <w:divBdr>
        <w:top w:val="none" w:sz="0" w:space="0" w:color="auto"/>
        <w:left w:val="none" w:sz="0" w:space="0" w:color="auto"/>
        <w:bottom w:val="none" w:sz="0" w:space="0" w:color="auto"/>
        <w:right w:val="none" w:sz="0" w:space="0" w:color="auto"/>
      </w:divBdr>
    </w:div>
    <w:div w:id="1522469342">
      <w:bodyDiv w:val="1"/>
      <w:marLeft w:val="0"/>
      <w:marRight w:val="0"/>
      <w:marTop w:val="0"/>
      <w:marBottom w:val="0"/>
      <w:divBdr>
        <w:top w:val="none" w:sz="0" w:space="0" w:color="auto"/>
        <w:left w:val="none" w:sz="0" w:space="0" w:color="auto"/>
        <w:bottom w:val="none" w:sz="0" w:space="0" w:color="auto"/>
        <w:right w:val="none" w:sz="0" w:space="0" w:color="auto"/>
      </w:divBdr>
    </w:div>
    <w:div w:id="1536699668">
      <w:bodyDiv w:val="1"/>
      <w:marLeft w:val="0"/>
      <w:marRight w:val="0"/>
      <w:marTop w:val="0"/>
      <w:marBottom w:val="0"/>
      <w:divBdr>
        <w:top w:val="none" w:sz="0" w:space="0" w:color="auto"/>
        <w:left w:val="none" w:sz="0" w:space="0" w:color="auto"/>
        <w:bottom w:val="none" w:sz="0" w:space="0" w:color="auto"/>
        <w:right w:val="none" w:sz="0" w:space="0" w:color="auto"/>
      </w:divBdr>
    </w:div>
    <w:div w:id="1623075252">
      <w:bodyDiv w:val="1"/>
      <w:marLeft w:val="0"/>
      <w:marRight w:val="0"/>
      <w:marTop w:val="0"/>
      <w:marBottom w:val="0"/>
      <w:divBdr>
        <w:top w:val="none" w:sz="0" w:space="0" w:color="auto"/>
        <w:left w:val="none" w:sz="0" w:space="0" w:color="auto"/>
        <w:bottom w:val="none" w:sz="0" w:space="0" w:color="auto"/>
        <w:right w:val="none" w:sz="0" w:space="0" w:color="auto"/>
      </w:divBdr>
    </w:div>
    <w:div w:id="1675917710">
      <w:bodyDiv w:val="1"/>
      <w:marLeft w:val="0"/>
      <w:marRight w:val="0"/>
      <w:marTop w:val="0"/>
      <w:marBottom w:val="0"/>
      <w:divBdr>
        <w:top w:val="none" w:sz="0" w:space="0" w:color="auto"/>
        <w:left w:val="none" w:sz="0" w:space="0" w:color="auto"/>
        <w:bottom w:val="none" w:sz="0" w:space="0" w:color="auto"/>
        <w:right w:val="none" w:sz="0" w:space="0" w:color="auto"/>
      </w:divBdr>
    </w:div>
    <w:div w:id="1675960631">
      <w:bodyDiv w:val="1"/>
      <w:marLeft w:val="0"/>
      <w:marRight w:val="0"/>
      <w:marTop w:val="0"/>
      <w:marBottom w:val="0"/>
      <w:divBdr>
        <w:top w:val="none" w:sz="0" w:space="0" w:color="auto"/>
        <w:left w:val="none" w:sz="0" w:space="0" w:color="auto"/>
        <w:bottom w:val="none" w:sz="0" w:space="0" w:color="auto"/>
        <w:right w:val="none" w:sz="0" w:space="0" w:color="auto"/>
      </w:divBdr>
    </w:div>
    <w:div w:id="1702510572">
      <w:bodyDiv w:val="1"/>
      <w:marLeft w:val="0"/>
      <w:marRight w:val="0"/>
      <w:marTop w:val="0"/>
      <w:marBottom w:val="0"/>
      <w:divBdr>
        <w:top w:val="none" w:sz="0" w:space="0" w:color="auto"/>
        <w:left w:val="none" w:sz="0" w:space="0" w:color="auto"/>
        <w:bottom w:val="none" w:sz="0" w:space="0" w:color="auto"/>
        <w:right w:val="none" w:sz="0" w:space="0" w:color="auto"/>
      </w:divBdr>
    </w:div>
    <w:div w:id="1705524086">
      <w:bodyDiv w:val="1"/>
      <w:marLeft w:val="0"/>
      <w:marRight w:val="0"/>
      <w:marTop w:val="0"/>
      <w:marBottom w:val="0"/>
      <w:divBdr>
        <w:top w:val="none" w:sz="0" w:space="0" w:color="auto"/>
        <w:left w:val="none" w:sz="0" w:space="0" w:color="auto"/>
        <w:bottom w:val="none" w:sz="0" w:space="0" w:color="auto"/>
        <w:right w:val="none" w:sz="0" w:space="0" w:color="auto"/>
      </w:divBdr>
    </w:div>
    <w:div w:id="1710033205">
      <w:bodyDiv w:val="1"/>
      <w:marLeft w:val="0"/>
      <w:marRight w:val="0"/>
      <w:marTop w:val="0"/>
      <w:marBottom w:val="0"/>
      <w:divBdr>
        <w:top w:val="none" w:sz="0" w:space="0" w:color="auto"/>
        <w:left w:val="none" w:sz="0" w:space="0" w:color="auto"/>
        <w:bottom w:val="none" w:sz="0" w:space="0" w:color="auto"/>
        <w:right w:val="none" w:sz="0" w:space="0" w:color="auto"/>
      </w:divBdr>
    </w:div>
    <w:div w:id="1717923310">
      <w:bodyDiv w:val="1"/>
      <w:marLeft w:val="0"/>
      <w:marRight w:val="0"/>
      <w:marTop w:val="0"/>
      <w:marBottom w:val="0"/>
      <w:divBdr>
        <w:top w:val="none" w:sz="0" w:space="0" w:color="auto"/>
        <w:left w:val="none" w:sz="0" w:space="0" w:color="auto"/>
        <w:bottom w:val="none" w:sz="0" w:space="0" w:color="auto"/>
        <w:right w:val="none" w:sz="0" w:space="0" w:color="auto"/>
      </w:divBdr>
    </w:div>
    <w:div w:id="1776048840">
      <w:bodyDiv w:val="1"/>
      <w:marLeft w:val="0"/>
      <w:marRight w:val="0"/>
      <w:marTop w:val="0"/>
      <w:marBottom w:val="0"/>
      <w:divBdr>
        <w:top w:val="none" w:sz="0" w:space="0" w:color="auto"/>
        <w:left w:val="none" w:sz="0" w:space="0" w:color="auto"/>
        <w:bottom w:val="none" w:sz="0" w:space="0" w:color="auto"/>
        <w:right w:val="none" w:sz="0" w:space="0" w:color="auto"/>
      </w:divBdr>
      <w:divsChild>
        <w:div w:id="150131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685090">
      <w:bodyDiv w:val="1"/>
      <w:marLeft w:val="0"/>
      <w:marRight w:val="0"/>
      <w:marTop w:val="0"/>
      <w:marBottom w:val="0"/>
      <w:divBdr>
        <w:top w:val="none" w:sz="0" w:space="0" w:color="auto"/>
        <w:left w:val="none" w:sz="0" w:space="0" w:color="auto"/>
        <w:bottom w:val="none" w:sz="0" w:space="0" w:color="auto"/>
        <w:right w:val="none" w:sz="0" w:space="0" w:color="auto"/>
      </w:divBdr>
    </w:div>
    <w:div w:id="1876886633">
      <w:bodyDiv w:val="1"/>
      <w:marLeft w:val="0"/>
      <w:marRight w:val="0"/>
      <w:marTop w:val="0"/>
      <w:marBottom w:val="0"/>
      <w:divBdr>
        <w:top w:val="none" w:sz="0" w:space="0" w:color="auto"/>
        <w:left w:val="none" w:sz="0" w:space="0" w:color="auto"/>
        <w:bottom w:val="none" w:sz="0" w:space="0" w:color="auto"/>
        <w:right w:val="none" w:sz="0" w:space="0" w:color="auto"/>
      </w:divBdr>
    </w:div>
    <w:div w:id="1890140327">
      <w:bodyDiv w:val="1"/>
      <w:marLeft w:val="0"/>
      <w:marRight w:val="0"/>
      <w:marTop w:val="0"/>
      <w:marBottom w:val="0"/>
      <w:divBdr>
        <w:top w:val="none" w:sz="0" w:space="0" w:color="auto"/>
        <w:left w:val="none" w:sz="0" w:space="0" w:color="auto"/>
        <w:bottom w:val="none" w:sz="0" w:space="0" w:color="auto"/>
        <w:right w:val="none" w:sz="0" w:space="0" w:color="auto"/>
      </w:divBdr>
      <w:divsChild>
        <w:div w:id="932930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891428">
      <w:bodyDiv w:val="1"/>
      <w:marLeft w:val="0"/>
      <w:marRight w:val="0"/>
      <w:marTop w:val="0"/>
      <w:marBottom w:val="0"/>
      <w:divBdr>
        <w:top w:val="none" w:sz="0" w:space="0" w:color="auto"/>
        <w:left w:val="none" w:sz="0" w:space="0" w:color="auto"/>
        <w:bottom w:val="none" w:sz="0" w:space="0" w:color="auto"/>
        <w:right w:val="none" w:sz="0" w:space="0" w:color="auto"/>
      </w:divBdr>
    </w:div>
    <w:div w:id="1914394758">
      <w:bodyDiv w:val="1"/>
      <w:marLeft w:val="0"/>
      <w:marRight w:val="0"/>
      <w:marTop w:val="0"/>
      <w:marBottom w:val="0"/>
      <w:divBdr>
        <w:top w:val="none" w:sz="0" w:space="0" w:color="auto"/>
        <w:left w:val="none" w:sz="0" w:space="0" w:color="auto"/>
        <w:bottom w:val="none" w:sz="0" w:space="0" w:color="auto"/>
        <w:right w:val="none" w:sz="0" w:space="0" w:color="auto"/>
      </w:divBdr>
    </w:div>
    <w:div w:id="1915777300">
      <w:bodyDiv w:val="1"/>
      <w:marLeft w:val="0"/>
      <w:marRight w:val="0"/>
      <w:marTop w:val="0"/>
      <w:marBottom w:val="0"/>
      <w:divBdr>
        <w:top w:val="none" w:sz="0" w:space="0" w:color="auto"/>
        <w:left w:val="none" w:sz="0" w:space="0" w:color="auto"/>
        <w:bottom w:val="none" w:sz="0" w:space="0" w:color="auto"/>
        <w:right w:val="none" w:sz="0" w:space="0" w:color="auto"/>
      </w:divBdr>
    </w:div>
    <w:div w:id="2017727949">
      <w:bodyDiv w:val="1"/>
      <w:marLeft w:val="0"/>
      <w:marRight w:val="0"/>
      <w:marTop w:val="0"/>
      <w:marBottom w:val="0"/>
      <w:divBdr>
        <w:top w:val="none" w:sz="0" w:space="0" w:color="auto"/>
        <w:left w:val="none" w:sz="0" w:space="0" w:color="auto"/>
        <w:bottom w:val="none" w:sz="0" w:space="0" w:color="auto"/>
        <w:right w:val="none" w:sz="0" w:space="0" w:color="auto"/>
      </w:divBdr>
    </w:div>
    <w:div w:id="205882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C982C-8ACC-4813-A3C6-1928FD84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7998</Words>
  <Characters>45593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Twinkle Maheshwari</dc:creator>
  <cp:keywords/>
  <dc:description/>
  <cp:lastModifiedBy>SDI CPU 1117</cp:lastModifiedBy>
  <cp:revision>48</cp:revision>
  <dcterms:created xsi:type="dcterms:W3CDTF">2025-07-01T06:36:00Z</dcterms:created>
  <dcterms:modified xsi:type="dcterms:W3CDTF">2025-07-21T11:48:00Z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id="h6Bigr2S"/&gt;&lt;style id="http://www.zotero.org/styles/vancouver-brackets-no-et-al" locale="en-US" hasBibliography="1" bibliographyStyleHasBeenSet="1"/&gt;&lt;prefs&gt;&lt;pref name="fieldType" value="Field"/&gt;&lt;/</vt:lpwstr>
  </property>
  <property fmtid="{D5CDD505-2E9C-101B-9397-08002B2CF9AE}" pid="3" name="ZOTERO_PREF_2">
    <vt:lpwstr>prefs&gt;&lt;/data&gt;</vt:lpwstr>
  </property>
  <property fmtid="{D5CDD505-2E9C-101B-9397-08002B2CF9AE}" pid="4" name="GrammarlyDocumentId">
    <vt:lpwstr>8dbad6e9-6c2e-40fd-ac2a-48a27315dadb</vt:lpwstr>
  </property>
</Properties>
</file>