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D49200" w14:textId="77777777" w:rsidR="00E24859" w:rsidRPr="00E24859" w:rsidRDefault="00E24859" w:rsidP="00E24859">
      <w:pPr>
        <w:jc w:val="center"/>
        <w:rPr>
          <w:rFonts w:asciiTheme="majorBidi" w:hAnsiTheme="majorBidi" w:cstheme="majorBidi"/>
          <w:b/>
          <w:bCs/>
          <w:i/>
          <w:iCs/>
          <w:sz w:val="36"/>
          <w:szCs w:val="36"/>
          <w:u w:val="single"/>
          <w:lang w:val="en-US"/>
        </w:rPr>
      </w:pPr>
      <w:r w:rsidRPr="00E24859">
        <w:rPr>
          <w:rFonts w:asciiTheme="majorBidi" w:hAnsiTheme="majorBidi" w:cstheme="majorBidi"/>
          <w:b/>
          <w:bCs/>
          <w:i/>
          <w:iCs/>
          <w:sz w:val="36"/>
          <w:szCs w:val="36"/>
          <w:u w:val="single"/>
          <w:lang w:val="en-US"/>
        </w:rPr>
        <w:t xml:space="preserve">Case report </w:t>
      </w:r>
    </w:p>
    <w:p w14:paraId="1BE58A84" w14:textId="77777777" w:rsidR="00E24859" w:rsidRDefault="00E24859" w:rsidP="00BD4CE7">
      <w:pPr>
        <w:jc w:val="center"/>
        <w:rPr>
          <w:rFonts w:asciiTheme="majorBidi" w:hAnsiTheme="majorBidi" w:cstheme="majorBidi"/>
          <w:b/>
          <w:bCs/>
          <w:sz w:val="36"/>
          <w:szCs w:val="36"/>
          <w:lang w:val="en-US"/>
        </w:rPr>
      </w:pPr>
    </w:p>
    <w:p w14:paraId="1CCD09D2" w14:textId="10A7463C" w:rsidR="00BD4CE7" w:rsidRDefault="00BD4CE7" w:rsidP="00BD4CE7">
      <w:pPr>
        <w:jc w:val="center"/>
        <w:rPr>
          <w:rFonts w:asciiTheme="majorBidi" w:hAnsiTheme="majorBidi" w:cstheme="majorBidi"/>
          <w:b/>
          <w:bCs/>
          <w:sz w:val="36"/>
          <w:szCs w:val="36"/>
          <w:lang w:val="en-US"/>
        </w:rPr>
      </w:pPr>
      <w:r w:rsidRPr="00D65D0D">
        <w:rPr>
          <w:rFonts w:asciiTheme="majorBidi" w:hAnsiTheme="majorBidi" w:cstheme="majorBidi"/>
          <w:b/>
          <w:bCs/>
          <w:sz w:val="36"/>
          <w:szCs w:val="36"/>
          <w:lang w:val="en-US"/>
        </w:rPr>
        <w:t>Mucinous Tubular and Spindle Cell Carcinoma: A Case Report and Review of the Literature</w:t>
      </w:r>
    </w:p>
    <w:p w14:paraId="16F44C15" w14:textId="77777777" w:rsidR="003048D6" w:rsidRPr="00D65D0D" w:rsidRDefault="003048D6" w:rsidP="00BD4CE7">
      <w:pPr>
        <w:jc w:val="center"/>
        <w:rPr>
          <w:rFonts w:asciiTheme="majorBidi" w:hAnsiTheme="majorBidi" w:cstheme="majorBidi"/>
          <w:b/>
          <w:bCs/>
          <w:sz w:val="36"/>
          <w:szCs w:val="36"/>
          <w:lang w:val="en-US"/>
        </w:rPr>
      </w:pPr>
    </w:p>
    <w:p w14:paraId="31EA3A08" w14:textId="77777777" w:rsidR="00160536" w:rsidRPr="000F47F6" w:rsidRDefault="00160536" w:rsidP="00BD4CE7">
      <w:pPr>
        <w:rPr>
          <w:rFonts w:asciiTheme="majorBidi" w:hAnsiTheme="majorBidi" w:cstheme="majorBidi"/>
          <w:b/>
          <w:bCs/>
          <w:sz w:val="36"/>
          <w:szCs w:val="36"/>
          <w:u w:val="single"/>
          <w:lang w:val="en-US"/>
        </w:rPr>
      </w:pPr>
    </w:p>
    <w:p w14:paraId="3FFB28CD" w14:textId="77777777" w:rsidR="003405DD" w:rsidRPr="003405DD" w:rsidRDefault="003405DD" w:rsidP="003405DD">
      <w:pPr>
        <w:rPr>
          <w:rFonts w:asciiTheme="majorBidi" w:hAnsiTheme="majorBidi" w:cstheme="majorBidi"/>
          <w:b/>
          <w:bCs/>
          <w:sz w:val="36"/>
          <w:szCs w:val="36"/>
          <w:u w:val="single"/>
          <w:lang w:val="en-US"/>
        </w:rPr>
      </w:pPr>
      <w:r w:rsidRPr="003405DD">
        <w:rPr>
          <w:rFonts w:asciiTheme="majorBidi" w:hAnsiTheme="majorBidi" w:cstheme="majorBidi"/>
          <w:b/>
          <w:bCs/>
          <w:sz w:val="36"/>
          <w:szCs w:val="36"/>
          <w:u w:val="single"/>
          <w:lang w:val="en-US"/>
        </w:rPr>
        <w:t>Abstract:</w:t>
      </w:r>
    </w:p>
    <w:p w14:paraId="21591811" w14:textId="77777777" w:rsidR="003405DD" w:rsidRPr="00C34495" w:rsidRDefault="003405DD" w:rsidP="003405DD">
      <w:pPr>
        <w:pStyle w:val="NormalWeb"/>
        <w:rPr>
          <w:lang w:val="en-US"/>
        </w:rPr>
      </w:pPr>
      <w:r w:rsidRPr="00C34495">
        <w:rPr>
          <w:rStyle w:val="lev"/>
          <w:rFonts w:eastAsiaTheme="majorEastAsia"/>
          <w:b w:val="0"/>
          <w:bCs w:val="0"/>
          <w:lang w:val="en-US"/>
        </w:rPr>
        <w:t>Mucinous tubular and spindle cell carcinoma (MTSCC)</w:t>
      </w:r>
      <w:r w:rsidRPr="00C34495">
        <w:rPr>
          <w:lang w:val="en-US"/>
        </w:rPr>
        <w:t xml:space="preserve"> is a rare epithelial renal tumor, first recognized as a distinct subtype of renal cell carcinoma (RCC) in the 2004 WHO classification. It is characterized by </w:t>
      </w:r>
      <w:r w:rsidRPr="00C34495">
        <w:rPr>
          <w:rStyle w:val="lev"/>
          <w:rFonts w:eastAsiaTheme="majorEastAsia"/>
          <w:b w:val="0"/>
          <w:bCs w:val="0"/>
          <w:lang w:val="en-US"/>
        </w:rPr>
        <w:t>low malignant potential and typically indolent clinical behavior</w:t>
      </w:r>
      <w:r w:rsidRPr="00C34495">
        <w:rPr>
          <w:lang w:val="en-US"/>
        </w:rPr>
        <w:t xml:space="preserve">. Due to its rarity and </w:t>
      </w:r>
      <w:r w:rsidRPr="00C34495">
        <w:rPr>
          <w:rStyle w:val="lev"/>
          <w:rFonts w:eastAsiaTheme="majorEastAsia"/>
          <w:b w:val="0"/>
          <w:bCs w:val="0"/>
          <w:lang w:val="en-US"/>
        </w:rPr>
        <w:t>overlapping imaging features with other renal tumors</w:t>
      </w:r>
      <w:r w:rsidRPr="00C34495">
        <w:rPr>
          <w:lang w:val="en-US"/>
        </w:rPr>
        <w:t>, accurate preoperative diagnosis remains challenging.</w:t>
      </w:r>
    </w:p>
    <w:p w14:paraId="71FD049D" w14:textId="77777777" w:rsidR="003405DD" w:rsidRPr="00C34495" w:rsidRDefault="003405DD" w:rsidP="003405DD">
      <w:pPr>
        <w:pStyle w:val="NormalWeb"/>
        <w:rPr>
          <w:lang w:val="en-US"/>
        </w:rPr>
      </w:pPr>
      <w:r w:rsidRPr="00C34495">
        <w:rPr>
          <w:lang w:val="en-US"/>
        </w:rPr>
        <w:t xml:space="preserve">We report the case of a </w:t>
      </w:r>
      <w:r w:rsidRPr="00C34495">
        <w:rPr>
          <w:rStyle w:val="lev"/>
          <w:rFonts w:eastAsiaTheme="majorEastAsia"/>
          <w:b w:val="0"/>
          <w:bCs w:val="0"/>
          <w:lang w:val="en-US"/>
        </w:rPr>
        <w:t>42-year-old woman presenting with painless, non-clotting gross hematuria</w:t>
      </w:r>
      <w:r w:rsidRPr="00C34495">
        <w:rPr>
          <w:lang w:val="en-US"/>
        </w:rPr>
        <w:t xml:space="preserve"> persisting for four months. Ultrasound revealed a suspicious renal mass, which was further evaluated by </w:t>
      </w:r>
      <w:r w:rsidRPr="00C34495">
        <w:rPr>
          <w:rStyle w:val="lev"/>
          <w:rFonts w:eastAsiaTheme="majorEastAsia"/>
          <w:b w:val="0"/>
          <w:bCs w:val="0"/>
          <w:lang w:val="en-US"/>
        </w:rPr>
        <w:t>contrast-enhanced CT</w:t>
      </w:r>
      <w:r w:rsidRPr="00C34495">
        <w:rPr>
          <w:lang w:val="en-US"/>
        </w:rPr>
        <w:t xml:space="preserve">, showing a </w:t>
      </w:r>
      <w:r w:rsidRPr="00C34495">
        <w:rPr>
          <w:rStyle w:val="lev"/>
          <w:rFonts w:eastAsiaTheme="majorEastAsia"/>
          <w:b w:val="0"/>
          <w:bCs w:val="0"/>
          <w:lang w:val="en-US"/>
        </w:rPr>
        <w:t>12 cm heterogeneous lesion</w:t>
      </w:r>
      <w:r w:rsidRPr="00C34495">
        <w:rPr>
          <w:lang w:val="en-US"/>
        </w:rPr>
        <w:t xml:space="preserve"> in the lower pole of the right kidney. The mass demonstrated </w:t>
      </w:r>
      <w:r w:rsidRPr="00C34495">
        <w:rPr>
          <w:rStyle w:val="lev"/>
          <w:rFonts w:eastAsiaTheme="majorEastAsia"/>
          <w:b w:val="0"/>
          <w:bCs w:val="0"/>
          <w:lang w:val="en-US"/>
        </w:rPr>
        <w:t>areas of hemorrhage and punctate calcifications</w:t>
      </w:r>
      <w:r w:rsidRPr="00C34495">
        <w:rPr>
          <w:lang w:val="en-US"/>
        </w:rPr>
        <w:t xml:space="preserve">, along with </w:t>
      </w:r>
      <w:r w:rsidRPr="00C34495">
        <w:rPr>
          <w:rStyle w:val="lev"/>
          <w:rFonts w:eastAsiaTheme="majorEastAsia"/>
          <w:b w:val="0"/>
          <w:bCs w:val="0"/>
          <w:lang w:val="en-US"/>
        </w:rPr>
        <w:t>delayed, progressive enhancement</w:t>
      </w:r>
      <w:r w:rsidRPr="00C34495">
        <w:rPr>
          <w:lang w:val="en-US"/>
        </w:rPr>
        <w:t xml:space="preserve">. There was </w:t>
      </w:r>
      <w:r w:rsidRPr="00C34495">
        <w:rPr>
          <w:rStyle w:val="lev"/>
          <w:rFonts w:eastAsiaTheme="majorEastAsia"/>
          <w:b w:val="0"/>
          <w:bCs w:val="0"/>
          <w:lang w:val="en-US"/>
        </w:rPr>
        <w:t>no evidence of adjacent organ invasion</w:t>
      </w:r>
      <w:r w:rsidRPr="00C34495">
        <w:rPr>
          <w:lang w:val="en-US"/>
        </w:rPr>
        <w:t xml:space="preserve">. Histopathological examination following </w:t>
      </w:r>
      <w:r w:rsidRPr="00C34495">
        <w:rPr>
          <w:rStyle w:val="lev"/>
          <w:rFonts w:eastAsiaTheme="majorEastAsia"/>
          <w:b w:val="0"/>
          <w:bCs w:val="0"/>
          <w:lang w:val="en-US"/>
        </w:rPr>
        <w:t>right radical nephrectomy confirmed the diagnosis of MTSCC</w:t>
      </w:r>
      <w:r w:rsidRPr="00C34495">
        <w:rPr>
          <w:lang w:val="en-US"/>
        </w:rPr>
        <w:t>.</w:t>
      </w:r>
    </w:p>
    <w:p w14:paraId="12A6DCF8" w14:textId="77777777" w:rsidR="003405DD" w:rsidRDefault="003405DD" w:rsidP="003405DD">
      <w:pPr>
        <w:rPr>
          <w:rFonts w:ascii="Times New Roman" w:eastAsia="Times New Roman" w:hAnsi="Times New Roman" w:cs="Times New Roman"/>
          <w:kern w:val="0"/>
          <w:lang w:val="en-US" w:eastAsia="fr-FR"/>
          <w14:ligatures w14:val="none"/>
        </w:rPr>
      </w:pPr>
      <w:r w:rsidRPr="00AA781F">
        <w:rPr>
          <w:rFonts w:ascii="Times New Roman" w:eastAsia="Times New Roman" w:hAnsi="Times New Roman" w:cs="Times New Roman"/>
          <w:kern w:val="0"/>
          <w:lang w:val="en-US" w:eastAsia="fr-FR"/>
          <w14:ligatures w14:val="none"/>
        </w:rPr>
        <w:t>Although the definitive diagnosis relies on histological examination, imaging plays a key role in detecting the tumor, assessing its contrast enhancement pattern, evaluating its morphological characteristics, and determining the extent of the lesion. These elements help guide the preoperative diagnosis, suggest potential histological subtypes, and support appropriate management planning, particularly in terms of surgical approach.</w:t>
      </w:r>
    </w:p>
    <w:p w14:paraId="2677D928" w14:textId="77777777" w:rsidR="003405DD" w:rsidRPr="00A666F6" w:rsidRDefault="003405DD" w:rsidP="003405DD">
      <w:pPr>
        <w:rPr>
          <w:rFonts w:asciiTheme="majorBidi" w:hAnsiTheme="majorBidi" w:cstheme="majorBidi"/>
          <w:lang w:val="en-US"/>
        </w:rPr>
      </w:pPr>
      <w:r w:rsidRPr="000F47F6">
        <w:rPr>
          <w:rStyle w:val="lev"/>
          <w:rFonts w:asciiTheme="majorBidi" w:hAnsiTheme="majorBidi" w:cstheme="majorBidi"/>
          <w:lang w:val="en-US"/>
        </w:rPr>
        <w:t>Keywords:</w:t>
      </w:r>
      <w:r w:rsidRPr="000F47F6">
        <w:rPr>
          <w:rFonts w:asciiTheme="majorBidi" w:hAnsiTheme="majorBidi" w:cstheme="majorBidi"/>
          <w:lang w:val="en-US"/>
        </w:rPr>
        <w:t xml:space="preserve"> </w:t>
      </w:r>
      <w:r w:rsidRPr="00A666F6">
        <w:rPr>
          <w:rFonts w:asciiTheme="majorBidi" w:hAnsiTheme="majorBidi" w:cstheme="majorBidi"/>
          <w:lang w:val="en-US"/>
        </w:rPr>
        <w:t>Mucinous tubular and spindle cell carcinoma, computed tomography, renal mass, low-grade tumor</w:t>
      </w:r>
    </w:p>
    <w:p w14:paraId="5ED29CCF" w14:textId="77777777" w:rsidR="003405DD" w:rsidRPr="003405DD" w:rsidRDefault="003405DD" w:rsidP="003405DD">
      <w:pPr>
        <w:rPr>
          <w:rFonts w:asciiTheme="majorBidi" w:hAnsiTheme="majorBidi" w:cstheme="majorBidi"/>
          <w:b/>
          <w:bCs/>
          <w:sz w:val="36"/>
          <w:szCs w:val="36"/>
          <w:u w:val="single"/>
          <w:lang w:val="en-US"/>
        </w:rPr>
      </w:pPr>
      <w:r w:rsidRPr="003405DD">
        <w:rPr>
          <w:rFonts w:asciiTheme="majorBidi" w:hAnsiTheme="majorBidi" w:cstheme="majorBidi"/>
          <w:b/>
          <w:bCs/>
          <w:sz w:val="36"/>
          <w:szCs w:val="36"/>
          <w:u w:val="single"/>
          <w:lang w:val="en-US"/>
        </w:rPr>
        <w:t>Introduction:</w:t>
      </w:r>
    </w:p>
    <w:p w14:paraId="50D6A3C4" w14:textId="77777777" w:rsidR="003405DD" w:rsidRPr="00C34495" w:rsidRDefault="003405DD" w:rsidP="003405DD">
      <w:pPr>
        <w:pStyle w:val="NormalWeb"/>
        <w:rPr>
          <w:lang w:val="en-US"/>
        </w:rPr>
      </w:pPr>
      <w:r w:rsidRPr="00C34495">
        <w:rPr>
          <w:rStyle w:val="lev"/>
          <w:rFonts w:eastAsiaTheme="majorEastAsia"/>
          <w:b w:val="0"/>
          <w:bCs w:val="0"/>
          <w:lang w:val="en-US"/>
        </w:rPr>
        <w:t>Mucinous tubular and spindle cell carcinoma (MTSCC)</w:t>
      </w:r>
      <w:r w:rsidRPr="00C34495">
        <w:rPr>
          <w:lang w:val="en-US"/>
        </w:rPr>
        <w:t xml:space="preserve"> is a rare renal epithelial neoplasm, recognized as a distinct subtype of renal cell carcinoma (RCC) in the </w:t>
      </w:r>
      <w:r w:rsidRPr="00C34495">
        <w:rPr>
          <w:rStyle w:val="lev"/>
          <w:rFonts w:eastAsiaTheme="majorEastAsia"/>
          <w:b w:val="0"/>
          <w:bCs w:val="0"/>
          <w:lang w:val="en-US"/>
        </w:rPr>
        <w:t>2004 World Health Organization (WHO) classification of urogenital tumors</w:t>
      </w:r>
      <w:r>
        <w:rPr>
          <w:rStyle w:val="lev"/>
          <w:rFonts w:eastAsiaTheme="majorEastAsia"/>
          <w:b w:val="0"/>
          <w:bCs w:val="0"/>
          <w:lang w:val="en-US"/>
        </w:rPr>
        <w:t xml:space="preserve"> </w:t>
      </w:r>
      <w:r w:rsidRPr="0035463B">
        <w:rPr>
          <w:rStyle w:val="lev"/>
          <w:rFonts w:eastAsiaTheme="majorEastAsia"/>
          <w:lang w:val="en-US"/>
        </w:rPr>
        <w:t>[3, 20]</w:t>
      </w:r>
      <w:r w:rsidRPr="00C34495">
        <w:rPr>
          <w:lang w:val="en-US"/>
        </w:rPr>
        <w:t xml:space="preserve">. It accounts for </w:t>
      </w:r>
      <w:r w:rsidRPr="00C34495">
        <w:rPr>
          <w:rStyle w:val="lev"/>
          <w:rFonts w:eastAsiaTheme="majorEastAsia"/>
          <w:b w:val="0"/>
          <w:bCs w:val="0"/>
          <w:lang w:val="en-US"/>
        </w:rPr>
        <w:t>less than 1% of all RCCs</w:t>
      </w:r>
      <w:r w:rsidRPr="00C34495">
        <w:rPr>
          <w:lang w:val="en-US"/>
        </w:rPr>
        <w:t xml:space="preserve"> and is typically associated with </w:t>
      </w:r>
      <w:r w:rsidRPr="00C34495">
        <w:rPr>
          <w:rStyle w:val="lev"/>
          <w:rFonts w:eastAsiaTheme="majorEastAsia"/>
          <w:b w:val="0"/>
          <w:bCs w:val="0"/>
          <w:lang w:val="en-US"/>
        </w:rPr>
        <w:t>indolent behavior, low metastatic potential,</w:t>
      </w:r>
      <w:r w:rsidRPr="00C34495">
        <w:rPr>
          <w:lang w:val="en-US"/>
        </w:rPr>
        <w:t xml:space="preserve"> and a </w:t>
      </w:r>
      <w:r w:rsidRPr="00C34495">
        <w:rPr>
          <w:rStyle w:val="lev"/>
          <w:rFonts w:eastAsiaTheme="majorEastAsia"/>
          <w:b w:val="0"/>
          <w:bCs w:val="0"/>
          <w:lang w:val="en-US"/>
        </w:rPr>
        <w:t>predilection for middle-aged women</w:t>
      </w:r>
      <w:r>
        <w:rPr>
          <w:rStyle w:val="lev"/>
          <w:rFonts w:eastAsiaTheme="majorEastAsia"/>
          <w:b w:val="0"/>
          <w:bCs w:val="0"/>
          <w:lang w:val="en-US"/>
        </w:rPr>
        <w:t xml:space="preserve"> </w:t>
      </w:r>
      <w:r w:rsidRPr="000905F4">
        <w:rPr>
          <w:b/>
          <w:bCs/>
          <w:lang w:val="en-US"/>
        </w:rPr>
        <w:t>[1</w:t>
      </w:r>
      <w:r>
        <w:rPr>
          <w:b/>
          <w:bCs/>
          <w:lang w:val="en-US"/>
        </w:rPr>
        <w:t xml:space="preserve">, </w:t>
      </w:r>
      <w:r w:rsidRPr="000905F4">
        <w:rPr>
          <w:b/>
          <w:bCs/>
          <w:lang w:val="en-US"/>
        </w:rPr>
        <w:t>19].</w:t>
      </w:r>
      <w:r w:rsidRPr="00C34495">
        <w:rPr>
          <w:lang w:val="en-US"/>
        </w:rPr>
        <w:t xml:space="preserve"> Clinically, MTSCC is often detected incidentally during imaging studies or may present with </w:t>
      </w:r>
      <w:r w:rsidRPr="00C34495">
        <w:rPr>
          <w:rStyle w:val="lev"/>
          <w:rFonts w:eastAsiaTheme="majorEastAsia"/>
          <w:b w:val="0"/>
          <w:bCs w:val="0"/>
          <w:lang w:val="en-US"/>
        </w:rPr>
        <w:t>non-specific symptoms such as hematuria or flank pain</w:t>
      </w:r>
      <w:r>
        <w:rPr>
          <w:rStyle w:val="lev"/>
          <w:rFonts w:eastAsiaTheme="majorEastAsia"/>
          <w:b w:val="0"/>
          <w:bCs w:val="0"/>
          <w:lang w:val="en-US"/>
        </w:rPr>
        <w:t xml:space="preserve"> </w:t>
      </w:r>
      <w:r w:rsidRPr="000905F4">
        <w:rPr>
          <w:b/>
          <w:bCs/>
          <w:lang w:val="en-US"/>
        </w:rPr>
        <w:t>[5].</w:t>
      </w:r>
    </w:p>
    <w:p w14:paraId="555565A0" w14:textId="77777777" w:rsidR="003405DD" w:rsidRPr="00C34495" w:rsidRDefault="003405DD" w:rsidP="003405DD">
      <w:pPr>
        <w:pStyle w:val="NormalWeb"/>
        <w:rPr>
          <w:lang w:val="en-US"/>
        </w:rPr>
      </w:pPr>
      <w:r w:rsidRPr="00C34495">
        <w:rPr>
          <w:lang w:val="en-US"/>
        </w:rPr>
        <w:lastRenderedPageBreak/>
        <w:t xml:space="preserve">Imaging—particularly </w:t>
      </w:r>
      <w:r w:rsidRPr="00C34495">
        <w:rPr>
          <w:rStyle w:val="lev"/>
          <w:rFonts w:eastAsiaTheme="majorEastAsia"/>
          <w:b w:val="0"/>
          <w:bCs w:val="0"/>
          <w:lang w:val="en-US"/>
        </w:rPr>
        <w:t>contrast-enhanced computed tomography (CT)</w:t>
      </w:r>
      <w:r w:rsidRPr="00C34495">
        <w:rPr>
          <w:lang w:val="en-US"/>
        </w:rPr>
        <w:t xml:space="preserve">—plays a central role in the detection and </w:t>
      </w:r>
      <w:r w:rsidRPr="00C34495">
        <w:rPr>
          <w:rStyle w:val="lev"/>
          <w:rFonts w:eastAsiaTheme="majorEastAsia"/>
          <w:b w:val="0"/>
          <w:bCs w:val="0"/>
          <w:lang w:val="en-US"/>
        </w:rPr>
        <w:t>initial characterization</w:t>
      </w:r>
      <w:r w:rsidRPr="00C34495">
        <w:rPr>
          <w:lang w:val="en-US"/>
        </w:rPr>
        <w:t xml:space="preserve"> of renal masses. However, the imaging findings of MTSCC are </w:t>
      </w:r>
      <w:r w:rsidRPr="00C34495">
        <w:rPr>
          <w:rStyle w:val="lev"/>
          <w:rFonts w:eastAsiaTheme="majorEastAsia"/>
          <w:b w:val="0"/>
          <w:bCs w:val="0"/>
          <w:lang w:val="en-US"/>
        </w:rPr>
        <w:t xml:space="preserve">non-specific and frequently overlap with those of other </w:t>
      </w:r>
      <w:proofErr w:type="spellStart"/>
      <w:r w:rsidRPr="00C34495">
        <w:rPr>
          <w:rStyle w:val="lev"/>
          <w:rFonts w:eastAsiaTheme="majorEastAsia"/>
          <w:b w:val="0"/>
          <w:bCs w:val="0"/>
          <w:lang w:val="en-US"/>
        </w:rPr>
        <w:t>hypovascular</w:t>
      </w:r>
      <w:proofErr w:type="spellEnd"/>
      <w:r w:rsidRPr="00C34495">
        <w:rPr>
          <w:rStyle w:val="lev"/>
          <w:rFonts w:eastAsiaTheme="majorEastAsia"/>
          <w:b w:val="0"/>
          <w:bCs w:val="0"/>
          <w:lang w:val="en-US"/>
        </w:rPr>
        <w:t xml:space="preserve"> RCC subtypes</w:t>
      </w:r>
      <w:r w:rsidRPr="00C34495">
        <w:rPr>
          <w:lang w:val="en-US"/>
        </w:rPr>
        <w:t>, such as papillary or chromophobe RCC</w:t>
      </w:r>
      <w:r>
        <w:rPr>
          <w:lang w:val="en-US"/>
        </w:rPr>
        <w:t xml:space="preserve"> </w:t>
      </w:r>
      <w:r w:rsidRPr="000905F4">
        <w:rPr>
          <w:b/>
          <w:bCs/>
          <w:lang w:val="en-US"/>
        </w:rPr>
        <w:t>[16].</w:t>
      </w:r>
      <w:r w:rsidRPr="00C34495">
        <w:rPr>
          <w:lang w:val="en-US"/>
        </w:rPr>
        <w:t xml:space="preserve"> Therefore, </w:t>
      </w:r>
      <w:r w:rsidRPr="00C34495">
        <w:rPr>
          <w:rStyle w:val="lev"/>
          <w:rFonts w:eastAsiaTheme="majorEastAsia"/>
          <w:b w:val="0"/>
          <w:bCs w:val="0"/>
          <w:lang w:val="en-US"/>
        </w:rPr>
        <w:t>histopathological evaluation, supplemented by immunohistochemistry, remains essential for a definitive diagnosis</w:t>
      </w:r>
      <w:r>
        <w:rPr>
          <w:rStyle w:val="lev"/>
          <w:rFonts w:eastAsiaTheme="majorEastAsia"/>
          <w:b w:val="0"/>
          <w:bCs w:val="0"/>
          <w:lang w:val="en-US"/>
        </w:rPr>
        <w:t xml:space="preserve"> </w:t>
      </w:r>
      <w:r w:rsidRPr="000905F4">
        <w:rPr>
          <w:rStyle w:val="lev"/>
          <w:rFonts w:eastAsiaTheme="majorEastAsia"/>
          <w:lang w:val="en-US"/>
        </w:rPr>
        <w:t>[11]</w:t>
      </w:r>
      <w:r w:rsidRPr="00C34495">
        <w:rPr>
          <w:lang w:val="en-US"/>
        </w:rPr>
        <w:t>.</w:t>
      </w:r>
    </w:p>
    <w:p w14:paraId="482899A5" w14:textId="77777777" w:rsidR="003405DD" w:rsidRPr="00A50E19" w:rsidRDefault="003405DD" w:rsidP="003405DD">
      <w:pPr>
        <w:pStyle w:val="NormalWeb"/>
        <w:rPr>
          <w:rFonts w:asciiTheme="majorBidi" w:hAnsiTheme="majorBidi" w:cstheme="majorBidi"/>
          <w:b/>
          <w:bCs/>
          <w:lang w:val="en-US"/>
        </w:rPr>
      </w:pPr>
      <w:r w:rsidRPr="00A50E19">
        <w:rPr>
          <w:lang w:val="en-US"/>
        </w:rPr>
        <w:t xml:space="preserve">We report a rare case of MTSCC in a 42-year-old woman, highlighting its CT characteristics and histopathological correlation. </w:t>
      </w:r>
      <w:r w:rsidRPr="00A50E19">
        <w:rPr>
          <w:rStyle w:val="lev"/>
          <w:rFonts w:eastAsiaTheme="majorEastAsia"/>
          <w:b w:val="0"/>
          <w:bCs w:val="0"/>
          <w:lang w:val="en-US"/>
        </w:rPr>
        <w:t>This manuscript adds to the limited literature on MTSCC by providing a detailed radiologic-pathologic correlation. In the context of a rare and diagnostically challenging tumor, such case reports are valuable for improving recognition and diagnostic confidence in clinical practice.</w:t>
      </w:r>
    </w:p>
    <w:p w14:paraId="589B25B5" w14:textId="77777777" w:rsidR="003405DD" w:rsidRPr="003405DD" w:rsidRDefault="003405DD" w:rsidP="003405DD">
      <w:pPr>
        <w:rPr>
          <w:rFonts w:asciiTheme="majorBidi" w:hAnsiTheme="majorBidi" w:cstheme="majorBidi"/>
          <w:b/>
          <w:bCs/>
          <w:sz w:val="36"/>
          <w:szCs w:val="36"/>
          <w:u w:val="single"/>
          <w:lang w:val="en-US"/>
        </w:rPr>
      </w:pPr>
      <w:r w:rsidRPr="003405DD">
        <w:rPr>
          <w:rFonts w:asciiTheme="majorBidi" w:hAnsiTheme="majorBidi" w:cstheme="majorBidi"/>
          <w:b/>
          <w:bCs/>
          <w:sz w:val="36"/>
          <w:szCs w:val="36"/>
          <w:u w:val="single"/>
          <w:lang w:val="en-US"/>
        </w:rPr>
        <w:t>Case presentation:</w:t>
      </w:r>
    </w:p>
    <w:p w14:paraId="530277A1" w14:textId="77777777" w:rsidR="003405DD" w:rsidRPr="00175F47" w:rsidRDefault="003405DD" w:rsidP="003405DD">
      <w:pPr>
        <w:pStyle w:val="NormalWeb"/>
        <w:rPr>
          <w:lang w:val="en-US"/>
        </w:rPr>
      </w:pPr>
      <w:r w:rsidRPr="00175F47">
        <w:rPr>
          <w:lang w:val="en-US"/>
        </w:rPr>
        <w:t>A 42-year-old woman with no significant medical, familial, occupational, or smoking history presented with a four-month history of intermittent, painless gross hematuria without associated clotting. She reported no fever, weight loss, fatigue, or abdominal pain. Physical examination was unremarkable.</w:t>
      </w:r>
    </w:p>
    <w:p w14:paraId="20B44464" w14:textId="77777777" w:rsidR="003405DD" w:rsidRPr="00175F47" w:rsidRDefault="003405DD" w:rsidP="003405DD">
      <w:pPr>
        <w:pStyle w:val="NormalWeb"/>
        <w:rPr>
          <w:lang w:val="en-US"/>
        </w:rPr>
      </w:pPr>
      <w:r w:rsidRPr="00175F47">
        <w:rPr>
          <w:lang w:val="en-US"/>
        </w:rPr>
        <w:t>Laboratory investigations revealed normal renal function (urea: 0.28 g/L [normal ≤ 0.5 g/L]; creatinine: 8 mg/L [normal &lt; 13 mg/L]), a hemoglobin level of 13.2 g/dL, white blood cell count of 7,500 /mm³, and platelet count of 250,000 /mm³. Inflammatory markers, including C-reactive protein and erythrocyte sedimentation rate, were within normal limits. Urinalysis confirmed macroscopic hematuria, without leukocyturia or proteinuria.</w:t>
      </w:r>
    </w:p>
    <w:p w14:paraId="3EB06F32" w14:textId="77777777" w:rsidR="003405DD" w:rsidRPr="00175F47" w:rsidRDefault="003405DD" w:rsidP="003405DD">
      <w:pPr>
        <w:pStyle w:val="NormalWeb"/>
        <w:rPr>
          <w:lang w:val="en-US"/>
        </w:rPr>
      </w:pPr>
      <w:r w:rsidRPr="00175F47">
        <w:rPr>
          <w:lang w:val="en-US"/>
        </w:rPr>
        <w:t xml:space="preserve">Renal ultrasound identified a heterogeneous solid mass at the lower pole of the right kidney. A contrast-enhanced thoraco-abdominopelvic CT scan revealed a large, well-encapsulated soft tissue mass measuring 12 cm in its greatest diameter. The lesion showed a </w:t>
      </w:r>
      <w:r w:rsidRPr="009B2779">
        <w:rPr>
          <w:rStyle w:val="lev"/>
          <w:rFonts w:eastAsiaTheme="majorEastAsia"/>
          <w:b w:val="0"/>
          <w:bCs w:val="0"/>
          <w:lang w:val="en-US"/>
        </w:rPr>
        <w:t xml:space="preserve">spontaneous density of </w:t>
      </w:r>
      <w:r>
        <w:rPr>
          <w:rStyle w:val="lev"/>
          <w:rFonts w:eastAsiaTheme="majorEastAsia"/>
          <w:b w:val="0"/>
          <w:bCs w:val="0"/>
          <w:lang w:val="en-US"/>
        </w:rPr>
        <w:t>40</w:t>
      </w:r>
      <w:r w:rsidRPr="009B2779">
        <w:rPr>
          <w:rStyle w:val="lev"/>
          <w:rFonts w:eastAsiaTheme="majorEastAsia"/>
          <w:b w:val="0"/>
          <w:bCs w:val="0"/>
          <w:lang w:val="en-US"/>
        </w:rPr>
        <w:t xml:space="preserve"> Hounsfield Units (HU)</w:t>
      </w:r>
      <w:r w:rsidRPr="00175F47">
        <w:rPr>
          <w:lang w:val="en-US"/>
        </w:rPr>
        <w:t xml:space="preserve">, with areas of </w:t>
      </w:r>
      <w:proofErr w:type="spellStart"/>
      <w:r w:rsidRPr="00175F47">
        <w:rPr>
          <w:lang w:val="en-US"/>
        </w:rPr>
        <w:t>hyperdensity</w:t>
      </w:r>
      <w:proofErr w:type="spellEnd"/>
      <w:r w:rsidRPr="00175F47">
        <w:rPr>
          <w:lang w:val="en-US"/>
        </w:rPr>
        <w:t xml:space="preserve"> suggestive of </w:t>
      </w:r>
      <w:proofErr w:type="spellStart"/>
      <w:r w:rsidRPr="00175F47">
        <w:rPr>
          <w:lang w:val="en-US"/>
        </w:rPr>
        <w:t>intratumoral</w:t>
      </w:r>
      <w:proofErr w:type="spellEnd"/>
      <w:r w:rsidRPr="00175F47">
        <w:rPr>
          <w:lang w:val="en-US"/>
        </w:rPr>
        <w:t xml:space="preserve"> hemorrhage, and punctate calcifications visible both centrally and peripherally</w:t>
      </w:r>
      <w:r>
        <w:rPr>
          <w:lang w:val="en-US"/>
        </w:rPr>
        <w:t xml:space="preserve"> </w:t>
      </w:r>
      <w:r w:rsidRPr="009B2779">
        <w:rPr>
          <w:b/>
          <w:bCs/>
          <w:lang w:val="en-US"/>
        </w:rPr>
        <w:t>(Figure 1)</w:t>
      </w:r>
      <w:r w:rsidRPr="00175F47">
        <w:rPr>
          <w:lang w:val="en-US"/>
        </w:rPr>
        <w:t>. After contrast administration, it demonstrated progressive and heterogeneous enhancement: 64 HU in the arterial phase, 76 HU in the nephrographic phase, and 92 HU in the delayed phase</w:t>
      </w:r>
      <w:r>
        <w:rPr>
          <w:lang w:val="en-US"/>
        </w:rPr>
        <w:t xml:space="preserve"> </w:t>
      </w:r>
      <w:r w:rsidRPr="009B2779">
        <w:rPr>
          <w:b/>
          <w:bCs/>
          <w:lang w:val="en-US"/>
        </w:rPr>
        <w:t>(Figure 2)</w:t>
      </w:r>
      <w:r w:rsidRPr="00175F47">
        <w:rPr>
          <w:lang w:val="en-US"/>
        </w:rPr>
        <w:t xml:space="preserve">. The tumor exerted a compressive effect on adjacent structures including the duodenum, pancreas, liver, and gallbladder, without signs of direct invasion. No regional lymphadenopathy or distant metastases were identified. </w:t>
      </w:r>
    </w:p>
    <w:p w14:paraId="11A693DA" w14:textId="77777777" w:rsidR="003405DD" w:rsidRDefault="003405DD" w:rsidP="003405DD">
      <w:pPr>
        <w:pStyle w:val="NormalWeb"/>
        <w:rPr>
          <w:rFonts w:asciiTheme="majorBidi" w:hAnsiTheme="majorBidi" w:cstheme="majorBidi"/>
          <w:lang w:val="en-US"/>
        </w:rPr>
      </w:pPr>
    </w:p>
    <w:p w14:paraId="3E82DEFF" w14:textId="77777777" w:rsidR="003405DD" w:rsidRDefault="003405DD" w:rsidP="003405DD">
      <w:pPr>
        <w:pStyle w:val="NormalWeb"/>
        <w:rPr>
          <w:rFonts w:asciiTheme="majorBidi" w:hAnsiTheme="majorBidi" w:cstheme="majorBidi"/>
          <w:lang w:val="en-US"/>
        </w:rPr>
      </w:pPr>
    </w:p>
    <w:p w14:paraId="3DB1BD72" w14:textId="77777777" w:rsidR="003405DD" w:rsidRDefault="003405DD" w:rsidP="003405DD">
      <w:pPr>
        <w:pStyle w:val="NormalWeb"/>
        <w:rPr>
          <w:rFonts w:asciiTheme="majorBidi" w:hAnsiTheme="majorBidi" w:cstheme="majorBidi"/>
          <w:lang w:val="en-US"/>
        </w:rPr>
      </w:pPr>
    </w:p>
    <w:p w14:paraId="66BD8BF6" w14:textId="77777777" w:rsidR="003405DD" w:rsidRDefault="003405DD" w:rsidP="003405DD">
      <w:pPr>
        <w:pStyle w:val="NormalWeb"/>
        <w:rPr>
          <w:rFonts w:asciiTheme="majorBidi" w:hAnsiTheme="majorBidi" w:cstheme="majorBidi"/>
          <w:lang w:val="en-US"/>
        </w:rPr>
      </w:pPr>
    </w:p>
    <w:p w14:paraId="10AF5C7F" w14:textId="77777777" w:rsidR="003405DD" w:rsidRDefault="003405DD" w:rsidP="003405DD">
      <w:pPr>
        <w:pStyle w:val="NormalWeb"/>
        <w:jc w:val="center"/>
        <w:rPr>
          <w:rFonts w:asciiTheme="majorBidi" w:hAnsiTheme="majorBidi" w:cstheme="majorBidi"/>
          <w:lang w:val="en-US"/>
        </w:rPr>
      </w:pPr>
      <w:r>
        <w:rPr>
          <w:noProof/>
        </w:rPr>
        <w:lastRenderedPageBreak/>
        <mc:AlternateContent>
          <mc:Choice Requires="wps">
            <w:drawing>
              <wp:anchor distT="0" distB="0" distL="114300" distR="114300" simplePos="0" relativeHeight="251659264" behindDoc="0" locked="0" layoutInCell="1" allowOverlap="1" wp14:anchorId="6365941B" wp14:editId="4AEFC752">
                <wp:simplePos x="0" y="0"/>
                <wp:positionH relativeFrom="column">
                  <wp:posOffset>875665</wp:posOffset>
                </wp:positionH>
                <wp:positionV relativeFrom="paragraph">
                  <wp:posOffset>1911985</wp:posOffset>
                </wp:positionV>
                <wp:extent cx="447869" cy="447869"/>
                <wp:effectExtent l="19050" t="38100" r="47625" b="28575"/>
                <wp:wrapNone/>
                <wp:docPr id="4" name="Connecteur droit avec flèche 3">
                  <a:extLst xmlns:a="http://schemas.openxmlformats.org/drawingml/2006/main">
                    <a:ext uri="{FF2B5EF4-FFF2-40B4-BE49-F238E27FC236}">
                      <a16:creationId xmlns:a16="http://schemas.microsoft.com/office/drawing/2014/main" id="{86800EA4-8613-DB9D-50A0-93F4E64D4733}"/>
                    </a:ext>
                  </a:extLst>
                </wp:docPr>
                <wp:cNvGraphicFramePr/>
                <a:graphic xmlns:a="http://schemas.openxmlformats.org/drawingml/2006/main">
                  <a:graphicData uri="http://schemas.microsoft.com/office/word/2010/wordprocessingShape">
                    <wps:wsp>
                      <wps:cNvCnPr/>
                      <wps:spPr>
                        <a:xfrm flipV="1">
                          <a:off x="0" y="0"/>
                          <a:ext cx="447869" cy="447869"/>
                        </a:xfrm>
                        <a:prstGeom prst="straightConnector1">
                          <a:avLst/>
                        </a:prstGeom>
                        <a:noFill/>
                        <a:ln w="38100" cap="flat" cmpd="sng" algn="ctr">
                          <a:solidFill>
                            <a:sysClr val="window" lastClr="FFFFFF"/>
                          </a:solidFill>
                          <a:prstDash val="solid"/>
                          <a:miter lim="800000"/>
                          <a:tailEnd type="triangle"/>
                        </a:ln>
                        <a:effectLst/>
                      </wps:spPr>
                      <wps:bodyPr/>
                    </wps:wsp>
                  </a:graphicData>
                </a:graphic>
              </wp:anchor>
            </w:drawing>
          </mc:Choice>
          <mc:Fallback>
            <w:pict>
              <v:shapetype w14:anchorId="327A4182" id="_x0000_t32" coordsize="21600,21600" o:spt="32" o:oned="t" path="m,l21600,21600e" filled="f">
                <v:path arrowok="t" fillok="f" o:connecttype="none"/>
                <o:lock v:ext="edit" shapetype="t"/>
              </v:shapetype>
              <v:shape id="Connecteur droit avec flèche 3" o:spid="_x0000_s1026" type="#_x0000_t32" style="position:absolute;margin-left:68.95pt;margin-top:150.55pt;width:35.25pt;height:35.2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" strokecolor="window" strokeweight="3pt">
                <v:stroke endarrow="block" joinstyle="miter"/>
              </v:shape>
            </w:pict>
          </mc:Fallback>
        </mc:AlternateContent>
      </w:r>
      <w:r>
        <w:rPr>
          <w:noProof/>
        </w:rPr>
        <w:drawing>
          <wp:inline distT="0" distB="0" distL="0" distR="0" wp14:anchorId="6BBE63C3" wp14:editId="02061AEB">
            <wp:extent cx="5306346" cy="3947160"/>
            <wp:effectExtent l="0" t="0" r="8890" b="0"/>
            <wp:docPr id="5" name="Espace réservé du contenu 4">
              <a:extLst xmlns:a="http://schemas.openxmlformats.org/drawingml/2006/main">
                <a:ext uri="{FF2B5EF4-FFF2-40B4-BE49-F238E27FC236}">
                  <a16:creationId xmlns:a16="http://schemas.microsoft.com/office/drawing/2014/main" id="{225B8538-26A7-5DB1-2EEE-C51EDAD9F34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a:extLst>
                        <a:ext uri="{FF2B5EF4-FFF2-40B4-BE49-F238E27FC236}">
                          <a16:creationId xmlns:a16="http://schemas.microsoft.com/office/drawing/2014/main" id="{225B8538-26A7-5DB1-2EEE-C51EDAD9F349}"/>
                        </a:ext>
                      </a:extLst>
                    </pic:cNvPr>
                    <pic:cNvPicPr>
                      <a:picLocks noGrp="1"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336866" cy="3969862"/>
                    </a:xfrm>
                    <a:prstGeom prst="rect">
                      <a:avLst/>
                    </a:prstGeom>
                  </pic:spPr>
                </pic:pic>
              </a:graphicData>
            </a:graphic>
          </wp:inline>
        </w:drawing>
      </w:r>
    </w:p>
    <w:p w14:paraId="327C3ED7" w14:textId="77777777" w:rsidR="003405DD" w:rsidRPr="00974D61" w:rsidRDefault="003405DD" w:rsidP="003405DD">
      <w:pPr>
        <w:pStyle w:val="NormalWeb"/>
        <w:jc w:val="center"/>
        <w:rPr>
          <w:rFonts w:ascii="LucidaSansUnicode" w:eastAsiaTheme="minorHAnsi" w:hAnsi="LucidaSansUnicode" w:cstheme="minorBidi"/>
          <w:kern w:val="2"/>
          <w:sz w:val="28"/>
          <w:szCs w:val="28"/>
          <w:u w:val="single"/>
          <w:lang w:val="en-US" w:eastAsia="en-US"/>
          <w14:ligatures w14:val="standardContextual"/>
        </w:rPr>
      </w:pPr>
      <w:r w:rsidRPr="00974D61">
        <w:rPr>
          <w:rFonts w:ascii="LucidaSansUnicode" w:eastAsiaTheme="minorHAnsi" w:hAnsi="LucidaSansUnicode" w:cstheme="minorBidi"/>
          <w:color w:val="7030A0"/>
          <w:kern w:val="2"/>
          <w:sz w:val="28"/>
          <w:szCs w:val="28"/>
          <w:u w:val="single"/>
          <w:lang w:val="en-US" w:eastAsia="en-US"/>
          <w14:ligatures w14:val="standardContextual"/>
        </w:rPr>
        <w:t xml:space="preserve">Figure 1: </w:t>
      </w:r>
      <w:r w:rsidRPr="00974D61">
        <w:rPr>
          <w:rFonts w:ascii="LucidaSansUnicode" w:eastAsiaTheme="minorHAnsi" w:hAnsi="LucidaSansUnicode" w:cstheme="minorBidi"/>
          <w:kern w:val="2"/>
          <w:sz w:val="28"/>
          <w:szCs w:val="28"/>
          <w:u w:val="single"/>
          <w:lang w:val="en-US" w:eastAsia="en-US"/>
          <w14:ligatures w14:val="standardContextual"/>
        </w:rPr>
        <w:t>Non-contrast-enhanced abdominal CT showing a heterogeneous right renal mass with a spontaneous attenuation of approximately 40 Hounsfield Units (HU) and punctate calcifications.</w:t>
      </w:r>
    </w:p>
    <w:p w14:paraId="63839B9D" w14:textId="77777777" w:rsidR="003405DD" w:rsidRDefault="003405DD" w:rsidP="003405DD">
      <w:pPr>
        <w:pStyle w:val="NormalWeb"/>
        <w:jc w:val="center"/>
        <w:rPr>
          <w:rFonts w:asciiTheme="majorBidi" w:hAnsiTheme="majorBidi" w:cstheme="majorBidi"/>
          <w:b/>
          <w:bCs/>
          <w:sz w:val="28"/>
          <w:szCs w:val="28"/>
          <w:u w:val="single"/>
          <w:lang w:val="en-US"/>
        </w:rPr>
      </w:pPr>
    </w:p>
    <w:p w14:paraId="4AF5CA40" w14:textId="77777777" w:rsidR="003405DD" w:rsidRDefault="003405DD" w:rsidP="003405DD">
      <w:pPr>
        <w:pStyle w:val="NormalWeb"/>
        <w:jc w:val="center"/>
        <w:rPr>
          <w:rFonts w:asciiTheme="majorBidi" w:hAnsiTheme="majorBidi" w:cstheme="majorBidi"/>
          <w:b/>
          <w:bCs/>
          <w:sz w:val="28"/>
          <w:szCs w:val="28"/>
          <w:u w:val="single"/>
          <w:lang w:val="en-US"/>
        </w:rPr>
      </w:pPr>
    </w:p>
    <w:p w14:paraId="525CC886" w14:textId="77777777" w:rsidR="003405DD" w:rsidRDefault="003405DD" w:rsidP="003405DD">
      <w:pPr>
        <w:pStyle w:val="NormalWeb"/>
        <w:jc w:val="center"/>
        <w:rPr>
          <w:rFonts w:asciiTheme="majorBidi" w:hAnsiTheme="majorBidi" w:cstheme="majorBidi"/>
          <w:b/>
          <w:bCs/>
          <w:sz w:val="28"/>
          <w:szCs w:val="28"/>
          <w:u w:val="single"/>
          <w:lang w:val="en-US"/>
        </w:rPr>
      </w:pPr>
    </w:p>
    <w:p w14:paraId="4C859D43" w14:textId="77777777" w:rsidR="003405DD" w:rsidRDefault="003405DD" w:rsidP="003405DD">
      <w:pPr>
        <w:pStyle w:val="NormalWeb"/>
        <w:jc w:val="center"/>
        <w:rPr>
          <w:rFonts w:asciiTheme="majorBidi" w:hAnsiTheme="majorBidi" w:cstheme="majorBidi"/>
          <w:b/>
          <w:bCs/>
          <w:sz w:val="28"/>
          <w:szCs w:val="28"/>
          <w:u w:val="single"/>
          <w:lang w:val="en-US"/>
        </w:rPr>
      </w:pPr>
    </w:p>
    <w:p w14:paraId="3CEEF259" w14:textId="77777777" w:rsidR="003405DD" w:rsidRDefault="003405DD" w:rsidP="003405DD">
      <w:pPr>
        <w:pStyle w:val="NormalWeb"/>
        <w:jc w:val="center"/>
        <w:rPr>
          <w:rFonts w:asciiTheme="majorBidi" w:hAnsiTheme="majorBidi" w:cstheme="majorBidi"/>
          <w:b/>
          <w:bCs/>
          <w:sz w:val="28"/>
          <w:szCs w:val="28"/>
          <w:u w:val="single"/>
          <w:lang w:val="en-US"/>
        </w:rPr>
      </w:pPr>
    </w:p>
    <w:p w14:paraId="35D42676" w14:textId="77777777" w:rsidR="003405DD" w:rsidRDefault="003405DD" w:rsidP="003405DD">
      <w:pPr>
        <w:pStyle w:val="NormalWeb"/>
        <w:jc w:val="center"/>
        <w:rPr>
          <w:rFonts w:asciiTheme="majorBidi" w:hAnsiTheme="majorBidi" w:cstheme="majorBidi"/>
          <w:b/>
          <w:bCs/>
          <w:sz w:val="28"/>
          <w:szCs w:val="28"/>
          <w:u w:val="single"/>
          <w:lang w:val="en-US"/>
        </w:rPr>
      </w:pPr>
    </w:p>
    <w:p w14:paraId="26D44673" w14:textId="77777777" w:rsidR="003405DD" w:rsidRDefault="003405DD" w:rsidP="003405DD">
      <w:pPr>
        <w:pStyle w:val="NormalWeb"/>
        <w:jc w:val="center"/>
        <w:rPr>
          <w:rFonts w:asciiTheme="majorBidi" w:hAnsiTheme="majorBidi" w:cstheme="majorBidi"/>
          <w:b/>
          <w:bCs/>
          <w:sz w:val="28"/>
          <w:szCs w:val="28"/>
          <w:u w:val="single"/>
          <w:lang w:val="en-US"/>
        </w:rPr>
      </w:pPr>
    </w:p>
    <w:p w14:paraId="389F6B7E" w14:textId="77777777" w:rsidR="003405DD" w:rsidRDefault="003405DD" w:rsidP="003405DD">
      <w:pPr>
        <w:pStyle w:val="NormalWeb"/>
        <w:rPr>
          <w:rFonts w:asciiTheme="majorBidi" w:hAnsiTheme="majorBidi" w:cstheme="majorBidi"/>
          <w:b/>
          <w:bCs/>
          <w:sz w:val="28"/>
          <w:szCs w:val="28"/>
          <w:u w:val="single"/>
          <w:lang w:val="en-US"/>
        </w:rPr>
      </w:pPr>
    </w:p>
    <w:p w14:paraId="56EB7FB6" w14:textId="77777777" w:rsidR="003405DD" w:rsidRDefault="003405DD" w:rsidP="003405DD">
      <w:pPr>
        <w:pStyle w:val="NormalWeb"/>
        <w:rPr>
          <w:rFonts w:asciiTheme="majorBidi" w:hAnsiTheme="majorBidi" w:cstheme="majorBidi"/>
          <w:b/>
          <w:bCs/>
          <w:sz w:val="28"/>
          <w:szCs w:val="28"/>
          <w:u w:val="single"/>
          <w:lang w:val="en-US"/>
        </w:rPr>
      </w:pPr>
      <w:r>
        <w:rPr>
          <w:noProof/>
        </w:rPr>
        <w:lastRenderedPageBreak/>
        <mc:AlternateContent>
          <mc:Choice Requires="wps">
            <w:drawing>
              <wp:anchor distT="0" distB="0" distL="114300" distR="114300" simplePos="0" relativeHeight="251667456" behindDoc="0" locked="0" layoutInCell="1" allowOverlap="1" wp14:anchorId="3F434C37" wp14:editId="13CF9F38">
                <wp:simplePos x="0" y="0"/>
                <wp:positionH relativeFrom="column">
                  <wp:posOffset>197485</wp:posOffset>
                </wp:positionH>
                <wp:positionV relativeFrom="paragraph">
                  <wp:posOffset>5927725</wp:posOffset>
                </wp:positionV>
                <wp:extent cx="447869" cy="447869"/>
                <wp:effectExtent l="19050" t="38100" r="47625" b="28575"/>
                <wp:wrapNone/>
                <wp:docPr id="1480788520" name="Connecteur droit avec flèche 3"/>
                <wp:cNvGraphicFramePr/>
                <a:graphic xmlns:a="http://schemas.openxmlformats.org/drawingml/2006/main">
                  <a:graphicData uri="http://schemas.microsoft.com/office/word/2010/wordprocessingShape">
                    <wps:wsp>
                      <wps:cNvCnPr/>
                      <wps:spPr>
                        <a:xfrm flipV="1">
                          <a:off x="0" y="0"/>
                          <a:ext cx="447869" cy="447869"/>
                        </a:xfrm>
                        <a:prstGeom prst="straightConnector1">
                          <a:avLst/>
                        </a:prstGeom>
                        <a:noFill/>
                        <a:ln w="38100" cap="flat" cmpd="sng" algn="ctr">
                          <a:solidFill>
                            <a:sysClr val="window" lastClr="FFFFFF"/>
                          </a:solidFill>
                          <a:prstDash val="solid"/>
                          <a:miter lim="800000"/>
                          <a:tailEnd type="triangle"/>
                        </a:ln>
                        <a:effectLst/>
                      </wps:spPr>
                      <wps:bodyPr/>
                    </wps:wsp>
                  </a:graphicData>
                </a:graphic>
              </wp:anchor>
            </w:drawing>
          </mc:Choice>
          <mc:Fallback>
            <w:pict>
              <v:shape w14:anchorId="6F4C8CB6" id="Connecteur droit avec flèche 3" o:spid="_x0000_s1026" type="#_x0000_t32" style="position:absolute;margin-left:15.55pt;margin-top:466.75pt;width:35.25pt;height:35.2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" strokecolor="window" strokeweight="3pt">
                <v:stroke endarrow="block" joinstyle="miter"/>
              </v:shape>
            </w:pict>
          </mc:Fallback>
        </mc:AlternateContent>
      </w:r>
      <w:r>
        <w:rPr>
          <w:noProof/>
        </w:rPr>
        <mc:AlternateContent>
          <mc:Choice Requires="wps">
            <w:drawing>
              <wp:anchor distT="0" distB="0" distL="114300" distR="114300" simplePos="0" relativeHeight="251666432" behindDoc="0" locked="0" layoutInCell="1" allowOverlap="1" wp14:anchorId="1F1BEB88" wp14:editId="0D277F20">
                <wp:simplePos x="0" y="0"/>
                <wp:positionH relativeFrom="column">
                  <wp:posOffset>3245485</wp:posOffset>
                </wp:positionH>
                <wp:positionV relativeFrom="paragraph">
                  <wp:posOffset>6118225</wp:posOffset>
                </wp:positionV>
                <wp:extent cx="447869" cy="447869"/>
                <wp:effectExtent l="19050" t="38100" r="47625" b="28575"/>
                <wp:wrapNone/>
                <wp:docPr id="1584438805" name="Connecteur droit avec flèche 3"/>
                <wp:cNvGraphicFramePr/>
                <a:graphic xmlns:a="http://schemas.openxmlformats.org/drawingml/2006/main">
                  <a:graphicData uri="http://schemas.microsoft.com/office/word/2010/wordprocessingShape">
                    <wps:wsp>
                      <wps:cNvCnPr/>
                      <wps:spPr>
                        <a:xfrm flipV="1">
                          <a:off x="0" y="0"/>
                          <a:ext cx="447869" cy="447869"/>
                        </a:xfrm>
                        <a:prstGeom prst="straightConnector1">
                          <a:avLst/>
                        </a:prstGeom>
                        <a:noFill/>
                        <a:ln w="38100" cap="flat" cmpd="sng" algn="ctr">
                          <a:solidFill>
                            <a:sysClr val="window" lastClr="FFFFFF"/>
                          </a:solidFill>
                          <a:prstDash val="solid"/>
                          <a:miter lim="800000"/>
                          <a:tailEnd type="triangle"/>
                        </a:ln>
                        <a:effectLst/>
                      </wps:spPr>
                      <wps:bodyPr/>
                    </wps:wsp>
                  </a:graphicData>
                </a:graphic>
              </wp:anchor>
            </w:drawing>
          </mc:Choice>
          <mc:Fallback>
            <w:pict>
              <v:shape w14:anchorId="76B11A7E" id="Connecteur droit avec flèche 3" o:spid="_x0000_s1026" type="#_x0000_t32" style="position:absolute;margin-left:255.55pt;margin-top:481.75pt;width:35.25pt;height:35.2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" strokecolor="window" strokeweight="3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14:anchorId="3F44A360" wp14:editId="473C6EEB">
                <wp:simplePos x="0" y="0"/>
                <wp:positionH relativeFrom="margin">
                  <wp:posOffset>4785360</wp:posOffset>
                </wp:positionH>
                <wp:positionV relativeFrom="paragraph">
                  <wp:posOffset>6969760</wp:posOffset>
                </wp:positionV>
                <wp:extent cx="434340" cy="317500"/>
                <wp:effectExtent l="0" t="0" r="22860" b="25400"/>
                <wp:wrapNone/>
                <wp:docPr id="1993112729" name="Rectangle 5"/>
                <wp:cNvGraphicFramePr/>
                <a:graphic xmlns:a="http://schemas.openxmlformats.org/drawingml/2006/main">
                  <a:graphicData uri="http://schemas.microsoft.com/office/word/2010/wordprocessingShape">
                    <wps:wsp>
                      <wps:cNvSpPr/>
                      <wps:spPr>
                        <a:xfrm>
                          <a:off x="0" y="0"/>
                          <a:ext cx="434340" cy="3175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40A0907" w14:textId="77777777" w:rsidR="003405DD" w:rsidRPr="00C93A71" w:rsidRDefault="003405DD" w:rsidP="003405DD">
                            <w:pPr>
                              <w:jc w:val="center"/>
                              <w:rPr>
                                <w:b/>
                                <w:bCs/>
                                <w:lang w:val="en-US"/>
                              </w:rPr>
                            </w:pPr>
                            <w:r>
                              <w:rPr>
                                <w:b/>
                                <w:bCs/>
                                <w:lang w:val="en-US"/>
                              </w:rPr>
                              <w:t>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F44A360" id="Rectangle 5" o:spid="_x0000_s1026" style="position:absolute;margin-left:376.8pt;margin-top:548.8pt;width:34.2pt;height: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" fillcolor="window" strokecolor="windowText" strokeweight="1pt">
                <v:textbox>
                  <w:txbxContent>
                    <w:p w14:paraId="540A0907" w14:textId="77777777" w:rsidR="003405DD" w:rsidRPr="00C93A71" w:rsidRDefault="003405DD" w:rsidP="003405DD">
                      <w:pPr>
                        <w:jc w:val="center"/>
                        <w:rPr>
                          <w:b/>
                          <w:bCs/>
                          <w:lang w:val="en-US"/>
                        </w:rPr>
                      </w:pPr>
                      <w:r>
                        <w:rPr>
                          <w:b/>
                          <w:bCs/>
                          <w:lang w:val="en-US"/>
                        </w:rPr>
                        <w:t>E</w:t>
                      </w:r>
                    </w:p>
                  </w:txbxContent>
                </v:textbox>
                <w10:wrap anchorx="margin"/>
              </v:rect>
            </w:pict>
          </mc:Fallback>
        </mc:AlternateContent>
      </w:r>
      <w:r>
        <w:rPr>
          <w:noProof/>
        </w:rPr>
        <mc:AlternateContent>
          <mc:Choice Requires="wps">
            <w:drawing>
              <wp:anchor distT="0" distB="0" distL="114300" distR="114300" simplePos="0" relativeHeight="251661312" behindDoc="0" locked="0" layoutInCell="1" allowOverlap="1" wp14:anchorId="74780D6D" wp14:editId="3CA8098E">
                <wp:simplePos x="0" y="0"/>
                <wp:positionH relativeFrom="column">
                  <wp:posOffset>2292985</wp:posOffset>
                </wp:positionH>
                <wp:positionV relativeFrom="paragraph">
                  <wp:posOffset>6969760</wp:posOffset>
                </wp:positionV>
                <wp:extent cx="434340" cy="317500"/>
                <wp:effectExtent l="0" t="0" r="22860" b="25400"/>
                <wp:wrapNone/>
                <wp:docPr id="2140244680" name="Rectangle 5"/>
                <wp:cNvGraphicFramePr/>
                <a:graphic xmlns:a="http://schemas.openxmlformats.org/drawingml/2006/main">
                  <a:graphicData uri="http://schemas.microsoft.com/office/word/2010/wordprocessingShape">
                    <wps:wsp>
                      <wps:cNvSpPr/>
                      <wps:spPr>
                        <a:xfrm>
                          <a:off x="0" y="0"/>
                          <a:ext cx="434340" cy="3175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009286D" w14:textId="77777777" w:rsidR="003405DD" w:rsidRPr="00C93A71" w:rsidRDefault="003405DD" w:rsidP="003405DD">
                            <w:pPr>
                              <w:jc w:val="center"/>
                              <w:rPr>
                                <w:b/>
                                <w:bCs/>
                                <w:lang w:val="en-US"/>
                              </w:rPr>
                            </w:pPr>
                            <w:r>
                              <w:rPr>
                                <w:b/>
                                <w:bCs/>
                                <w:lang w:val="en-US"/>
                              </w:rPr>
                              <w:t>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4780D6D" id="_x0000_s1027" style="position:absolute;margin-left:180.55pt;margin-top:548.8pt;width:34.2pt;height: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" fillcolor="window" strokecolor="windowText" strokeweight="1pt">
                <v:textbox>
                  <w:txbxContent>
                    <w:p w14:paraId="2009286D" w14:textId="77777777" w:rsidR="003405DD" w:rsidRPr="00C93A71" w:rsidRDefault="003405DD" w:rsidP="003405DD">
                      <w:pPr>
                        <w:jc w:val="center"/>
                        <w:rPr>
                          <w:b/>
                          <w:bCs/>
                          <w:lang w:val="en-US"/>
                        </w:rPr>
                      </w:pPr>
                      <w:r>
                        <w:rPr>
                          <w:b/>
                          <w:bCs/>
                          <w:lang w:val="en-US"/>
                        </w:rPr>
                        <w:t>D</w:t>
                      </w: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15836946" wp14:editId="6D6A705A">
                <wp:simplePos x="0" y="0"/>
                <wp:positionH relativeFrom="column">
                  <wp:posOffset>1774825</wp:posOffset>
                </wp:positionH>
                <wp:positionV relativeFrom="paragraph">
                  <wp:posOffset>3070225</wp:posOffset>
                </wp:positionV>
                <wp:extent cx="447869" cy="447869"/>
                <wp:effectExtent l="19050" t="38100" r="47625" b="28575"/>
                <wp:wrapNone/>
                <wp:docPr id="645296967" name="Connecteur droit avec flèche 3"/>
                <wp:cNvGraphicFramePr/>
                <a:graphic xmlns:a="http://schemas.openxmlformats.org/drawingml/2006/main">
                  <a:graphicData uri="http://schemas.microsoft.com/office/word/2010/wordprocessingShape">
                    <wps:wsp>
                      <wps:cNvCnPr/>
                      <wps:spPr>
                        <a:xfrm flipV="1">
                          <a:off x="0" y="0"/>
                          <a:ext cx="447869" cy="447869"/>
                        </a:xfrm>
                        <a:prstGeom prst="straightConnector1">
                          <a:avLst/>
                        </a:prstGeom>
                        <a:noFill/>
                        <a:ln w="38100" cap="flat" cmpd="sng" algn="ctr">
                          <a:solidFill>
                            <a:sysClr val="window" lastClr="FFFFFF"/>
                          </a:solidFill>
                          <a:prstDash val="solid"/>
                          <a:miter lim="800000"/>
                          <a:tailEnd type="triangle"/>
                        </a:ln>
                        <a:effectLst/>
                      </wps:spPr>
                      <wps:bodyPr/>
                    </wps:wsp>
                  </a:graphicData>
                </a:graphic>
              </wp:anchor>
            </w:drawing>
          </mc:Choice>
          <mc:Fallback>
            <w:pict>
              <v:shape w14:anchorId="2CF85AC0" id="Connecteur droit avec flèche 3" o:spid="_x0000_s1026" type="#_x0000_t32" style="position:absolute;margin-left:139.75pt;margin-top:241.75pt;width:35.25pt;height:35.2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" strokecolor="window" strokeweight="3pt">
                <v:stroke endarrow="block" joinstyle="miter"/>
              </v:shape>
            </w:pict>
          </mc:Fallback>
        </mc:AlternateContent>
      </w:r>
      <w:r>
        <w:rPr>
          <w:noProof/>
        </w:rPr>
        <mc:AlternateContent>
          <mc:Choice Requires="wps">
            <w:drawing>
              <wp:anchor distT="0" distB="0" distL="114300" distR="114300" simplePos="0" relativeHeight="251662336" behindDoc="0" locked="0" layoutInCell="1" allowOverlap="1" wp14:anchorId="2765294E" wp14:editId="6EEE4B82">
                <wp:simplePos x="0" y="0"/>
                <wp:positionH relativeFrom="column">
                  <wp:posOffset>3786505</wp:posOffset>
                </wp:positionH>
                <wp:positionV relativeFrom="paragraph">
                  <wp:posOffset>3778885</wp:posOffset>
                </wp:positionV>
                <wp:extent cx="434340" cy="317500"/>
                <wp:effectExtent l="0" t="0" r="22860" b="25400"/>
                <wp:wrapNone/>
                <wp:docPr id="43985221" name="Rectangle 5"/>
                <wp:cNvGraphicFramePr/>
                <a:graphic xmlns:a="http://schemas.openxmlformats.org/drawingml/2006/main">
                  <a:graphicData uri="http://schemas.microsoft.com/office/word/2010/wordprocessingShape">
                    <wps:wsp>
                      <wps:cNvSpPr/>
                      <wps:spPr>
                        <a:xfrm>
                          <a:off x="0" y="0"/>
                          <a:ext cx="434340" cy="3175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A609559" w14:textId="77777777" w:rsidR="003405DD" w:rsidRPr="00C93A71" w:rsidRDefault="003405DD" w:rsidP="003405DD">
                            <w:pPr>
                              <w:jc w:val="center"/>
                              <w:rPr>
                                <w:b/>
                                <w:bCs/>
                                <w:lang w:val="en-US"/>
                              </w:rPr>
                            </w:pPr>
                            <w:r>
                              <w:rPr>
                                <w:b/>
                                <w:bCs/>
                                <w:lang w:val="en-US"/>
                              </w:rPr>
                              <w:t>C</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765294E" id="_x0000_s1028" style="position:absolute;margin-left:298.15pt;margin-top:297.55pt;width:34.2pt;height: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" fillcolor="window" strokecolor="windowText" strokeweight="1pt">
                <v:textbox>
                  <w:txbxContent>
                    <w:p w14:paraId="1A609559" w14:textId="77777777" w:rsidR="003405DD" w:rsidRPr="00C93A71" w:rsidRDefault="003405DD" w:rsidP="003405DD">
                      <w:pPr>
                        <w:jc w:val="center"/>
                        <w:rPr>
                          <w:b/>
                          <w:bCs/>
                          <w:lang w:val="en-US"/>
                        </w:rPr>
                      </w:pPr>
                      <w:r>
                        <w:rPr>
                          <w:b/>
                          <w:bCs/>
                          <w:lang w:val="en-US"/>
                        </w:rPr>
                        <w:t>C</w:t>
                      </w: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46D3A094" wp14:editId="3FC42C67">
                <wp:simplePos x="0" y="0"/>
                <wp:positionH relativeFrom="column">
                  <wp:posOffset>5127625</wp:posOffset>
                </wp:positionH>
                <wp:positionV relativeFrom="paragraph">
                  <wp:posOffset>1744345</wp:posOffset>
                </wp:positionV>
                <wp:extent cx="434340" cy="317500"/>
                <wp:effectExtent l="0" t="0" r="22860" b="25400"/>
                <wp:wrapNone/>
                <wp:docPr id="2135525612" name="Rectangle 5"/>
                <wp:cNvGraphicFramePr/>
                <a:graphic xmlns:a="http://schemas.openxmlformats.org/drawingml/2006/main">
                  <a:graphicData uri="http://schemas.microsoft.com/office/word/2010/wordprocessingShape">
                    <wps:wsp>
                      <wps:cNvSpPr/>
                      <wps:spPr>
                        <a:xfrm>
                          <a:off x="0" y="0"/>
                          <a:ext cx="434340" cy="3175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64E3035" w14:textId="77777777" w:rsidR="003405DD" w:rsidRPr="00C93A71" w:rsidRDefault="003405DD" w:rsidP="003405DD">
                            <w:pPr>
                              <w:jc w:val="center"/>
                              <w:rPr>
                                <w:b/>
                                <w:bCs/>
                                <w:lang w:val="en-US"/>
                              </w:rPr>
                            </w:pPr>
                            <w:r>
                              <w:rPr>
                                <w:b/>
                                <w:bCs/>
                                <w:lang w:val="en-US"/>
                              </w:rPr>
                              <w:t>B</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6D3A094" id="_x0000_s1029" style="position:absolute;margin-left:403.75pt;margin-top:137.35pt;width:34.2pt;height: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" fillcolor="window" strokecolor="windowText" strokeweight="1pt">
                <v:textbox>
                  <w:txbxContent>
                    <w:p w14:paraId="064E3035" w14:textId="77777777" w:rsidR="003405DD" w:rsidRPr="00C93A71" w:rsidRDefault="003405DD" w:rsidP="003405DD">
                      <w:pPr>
                        <w:jc w:val="center"/>
                        <w:rPr>
                          <w:b/>
                          <w:bCs/>
                          <w:lang w:val="en-US"/>
                        </w:rPr>
                      </w:pPr>
                      <w:r>
                        <w:rPr>
                          <w:b/>
                          <w:bCs/>
                          <w:lang w:val="en-US"/>
                        </w:rPr>
                        <w:t>B</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63E82EB4" wp14:editId="5D548D93">
                <wp:simplePos x="0" y="0"/>
                <wp:positionH relativeFrom="margin">
                  <wp:posOffset>2385060</wp:posOffset>
                </wp:positionH>
                <wp:positionV relativeFrom="paragraph">
                  <wp:posOffset>1706245</wp:posOffset>
                </wp:positionV>
                <wp:extent cx="434340" cy="317500"/>
                <wp:effectExtent l="0" t="0" r="22860" b="25400"/>
                <wp:wrapNone/>
                <wp:docPr id="150274444" name="Rectangle 5"/>
                <wp:cNvGraphicFramePr/>
                <a:graphic xmlns:a="http://schemas.openxmlformats.org/drawingml/2006/main">
                  <a:graphicData uri="http://schemas.microsoft.com/office/word/2010/wordprocessingShape">
                    <wps:wsp>
                      <wps:cNvSpPr/>
                      <wps:spPr>
                        <a:xfrm>
                          <a:off x="0" y="0"/>
                          <a:ext cx="434340" cy="3175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E0DC487" w14:textId="77777777" w:rsidR="003405DD" w:rsidRPr="00C93A71" w:rsidRDefault="003405DD" w:rsidP="003405DD">
                            <w:pPr>
                              <w:jc w:val="center"/>
                              <w:rPr>
                                <w:b/>
                                <w:bCs/>
                                <w:lang w:val="en-US"/>
                              </w:rPr>
                            </w:pPr>
                            <w:r w:rsidRPr="00C93A71">
                              <w:rPr>
                                <w:b/>
                                <w:bCs/>
                                <w:lang w:val="en-US"/>
                              </w:rPr>
                              <w:t>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3E82EB4" id="_x0000_s1030" style="position:absolute;margin-left:187.8pt;margin-top:134.35pt;width:34.2pt;height: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" fillcolor="window" strokecolor="windowText" strokeweight="1pt">
                <v:textbox>
                  <w:txbxContent>
                    <w:p w14:paraId="7E0DC487" w14:textId="77777777" w:rsidR="003405DD" w:rsidRPr="00C93A71" w:rsidRDefault="003405DD" w:rsidP="003405DD">
                      <w:pPr>
                        <w:jc w:val="center"/>
                        <w:rPr>
                          <w:b/>
                          <w:bCs/>
                          <w:lang w:val="en-US"/>
                        </w:rPr>
                      </w:pPr>
                      <w:r w:rsidRPr="00C93A71">
                        <w:rPr>
                          <w:b/>
                          <w:bCs/>
                          <w:lang w:val="en-US"/>
                        </w:rPr>
                        <w:t>A</w:t>
                      </w:r>
                    </w:p>
                  </w:txbxContent>
                </v:textbox>
                <w10:wrap anchorx="margin"/>
              </v:rect>
            </w:pict>
          </mc:Fallback>
        </mc:AlternateContent>
      </w:r>
      <w:r>
        <w:rPr>
          <w:noProof/>
        </w:rPr>
        <mc:AlternateContent>
          <mc:Choice Requires="wps">
            <w:drawing>
              <wp:anchor distT="0" distB="0" distL="114300" distR="114300" simplePos="0" relativeHeight="251669504" behindDoc="0" locked="0" layoutInCell="1" allowOverlap="1" wp14:anchorId="0FC8269C" wp14:editId="0C7DD8DC">
                <wp:simplePos x="0" y="0"/>
                <wp:positionH relativeFrom="column">
                  <wp:posOffset>3039745</wp:posOffset>
                </wp:positionH>
                <wp:positionV relativeFrom="paragraph">
                  <wp:posOffset>1111885</wp:posOffset>
                </wp:positionV>
                <wp:extent cx="447869" cy="447869"/>
                <wp:effectExtent l="19050" t="38100" r="47625" b="28575"/>
                <wp:wrapNone/>
                <wp:docPr id="469434571" name="Connecteur droit avec flèche 3"/>
                <wp:cNvGraphicFramePr/>
                <a:graphic xmlns:a="http://schemas.openxmlformats.org/drawingml/2006/main">
                  <a:graphicData uri="http://schemas.microsoft.com/office/word/2010/wordprocessingShape">
                    <wps:wsp>
                      <wps:cNvCnPr/>
                      <wps:spPr>
                        <a:xfrm flipV="1">
                          <a:off x="0" y="0"/>
                          <a:ext cx="447869" cy="447869"/>
                        </a:xfrm>
                        <a:prstGeom prst="straightConnector1">
                          <a:avLst/>
                        </a:prstGeom>
                        <a:noFill/>
                        <a:ln w="38100" cap="flat" cmpd="sng" algn="ctr">
                          <a:solidFill>
                            <a:sysClr val="window" lastClr="FFFFFF"/>
                          </a:solidFill>
                          <a:prstDash val="solid"/>
                          <a:miter lim="800000"/>
                          <a:tailEnd type="triangle"/>
                        </a:ln>
                        <a:effectLst/>
                      </wps:spPr>
                      <wps:bodyPr/>
                    </wps:wsp>
                  </a:graphicData>
                </a:graphic>
              </wp:anchor>
            </w:drawing>
          </mc:Choice>
          <mc:Fallback>
            <w:pict>
              <v:shape w14:anchorId="0A0D4BEB" id="Connecteur droit avec flèche 3" o:spid="_x0000_s1026" type="#_x0000_t32" style="position:absolute;margin-left:239.35pt;margin-top:87.55pt;width:35.25pt;height:35.2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" strokecolor="window" strokeweight="3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52F52D83" wp14:editId="22DFE045">
                <wp:simplePos x="0" y="0"/>
                <wp:positionH relativeFrom="column">
                  <wp:posOffset>342265</wp:posOffset>
                </wp:positionH>
                <wp:positionV relativeFrom="paragraph">
                  <wp:posOffset>1081405</wp:posOffset>
                </wp:positionV>
                <wp:extent cx="447869" cy="447869"/>
                <wp:effectExtent l="19050" t="38100" r="47625" b="28575"/>
                <wp:wrapNone/>
                <wp:docPr id="335625952" name="Connecteur droit avec flèche 3"/>
                <wp:cNvGraphicFramePr/>
                <a:graphic xmlns:a="http://schemas.openxmlformats.org/drawingml/2006/main">
                  <a:graphicData uri="http://schemas.microsoft.com/office/word/2010/wordprocessingShape">
                    <wps:wsp>
                      <wps:cNvCnPr/>
                      <wps:spPr>
                        <a:xfrm flipV="1">
                          <a:off x="0" y="0"/>
                          <a:ext cx="447869" cy="447869"/>
                        </a:xfrm>
                        <a:prstGeom prst="straightConnector1">
                          <a:avLst/>
                        </a:prstGeom>
                        <a:noFill/>
                        <a:ln w="38100" cap="flat" cmpd="sng" algn="ctr">
                          <a:solidFill>
                            <a:sysClr val="window" lastClr="FFFFFF"/>
                          </a:solidFill>
                          <a:prstDash val="solid"/>
                          <a:miter lim="800000"/>
                          <a:tailEnd type="triangle"/>
                        </a:ln>
                        <a:effectLst/>
                      </wps:spPr>
                      <wps:bodyPr/>
                    </wps:wsp>
                  </a:graphicData>
                </a:graphic>
              </wp:anchor>
            </w:drawing>
          </mc:Choice>
          <mc:Fallback>
            <w:pict>
              <v:shape w14:anchorId="6481484B" id="Connecteur droit avec flèche 3" o:spid="_x0000_s1026" type="#_x0000_t32" style="position:absolute;margin-left:26.95pt;margin-top:85.15pt;width:35.25pt;height:35.2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" strokecolor="window" strokeweight="3pt">
                <v:stroke endarrow="block" joinstyle="miter"/>
              </v:shape>
            </w:pict>
          </mc:Fallback>
        </mc:AlternateContent>
      </w:r>
      <w:r>
        <w:rPr>
          <w:rFonts w:asciiTheme="majorBidi" w:hAnsiTheme="majorBidi" w:cstheme="majorBidi"/>
          <w:b/>
          <w:bCs/>
          <w:noProof/>
          <w:sz w:val="28"/>
          <w:szCs w:val="28"/>
          <w:u w:val="single"/>
          <w:lang w:val="en-US"/>
        </w:rPr>
        <w:drawing>
          <wp:inline distT="0" distB="0" distL="0" distR="0" wp14:anchorId="01AB7D34" wp14:editId="2AEEE7F8">
            <wp:extent cx="5585460" cy="7298679"/>
            <wp:effectExtent l="0" t="0" r="0" b="0"/>
            <wp:docPr id="71940531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1385" cy="7306422"/>
                    </a:xfrm>
                    <a:prstGeom prst="rect">
                      <a:avLst/>
                    </a:prstGeom>
                    <a:noFill/>
                  </pic:spPr>
                </pic:pic>
              </a:graphicData>
            </a:graphic>
          </wp:inline>
        </w:drawing>
      </w:r>
    </w:p>
    <w:p w14:paraId="238F5923" w14:textId="77777777" w:rsidR="003405DD" w:rsidRPr="00F67976" w:rsidRDefault="003405DD" w:rsidP="003405DD">
      <w:pPr>
        <w:pStyle w:val="NormalWeb"/>
        <w:jc w:val="center"/>
        <w:rPr>
          <w:rFonts w:asciiTheme="majorBidi" w:hAnsiTheme="majorBidi" w:cstheme="majorBidi"/>
          <w:b/>
          <w:bCs/>
          <w:sz w:val="28"/>
          <w:szCs w:val="28"/>
          <w:u w:val="single"/>
          <w:lang w:val="en-US"/>
        </w:rPr>
      </w:pPr>
      <w:r w:rsidRPr="00974D61">
        <w:rPr>
          <w:rFonts w:ascii="LucidaSansUnicode" w:eastAsiaTheme="minorHAnsi" w:hAnsi="LucidaSansUnicode" w:cstheme="minorBidi"/>
          <w:color w:val="7030A0"/>
          <w:kern w:val="2"/>
          <w:sz w:val="28"/>
          <w:szCs w:val="28"/>
          <w:u w:val="single"/>
          <w:lang w:val="en-US" w:eastAsia="en-US"/>
          <w14:ligatures w14:val="standardContextual"/>
        </w:rPr>
        <w:t xml:space="preserve">Figures 2 : </w:t>
      </w:r>
      <w:r w:rsidRPr="00974D61">
        <w:rPr>
          <w:rFonts w:ascii="LucidaSansUnicode" w:eastAsiaTheme="minorHAnsi" w:hAnsi="LucidaSansUnicode" w:cstheme="minorBidi"/>
          <w:kern w:val="2"/>
          <w:sz w:val="28"/>
          <w:szCs w:val="28"/>
          <w:u w:val="single"/>
          <w:lang w:val="en-US" w:eastAsia="en-US"/>
          <w14:ligatures w14:val="standardContextual"/>
        </w:rPr>
        <w:t>Contrast-enhanced abdominal CT scan in axial, coronal (D),</w:t>
      </w:r>
      <w:r w:rsidRPr="00F67976">
        <w:rPr>
          <w:rFonts w:asciiTheme="majorBidi" w:hAnsiTheme="majorBidi" w:cstheme="majorBidi"/>
          <w:b/>
          <w:bCs/>
          <w:sz w:val="28"/>
          <w:szCs w:val="28"/>
          <w:u w:val="single"/>
          <w:lang w:val="en-US"/>
        </w:rPr>
        <w:t xml:space="preserve"> </w:t>
      </w:r>
      <w:r w:rsidRPr="00974D61">
        <w:rPr>
          <w:rFonts w:ascii="LucidaSansUnicode" w:eastAsiaTheme="minorHAnsi" w:hAnsi="LucidaSansUnicode" w:cstheme="minorBidi"/>
          <w:kern w:val="2"/>
          <w:sz w:val="28"/>
          <w:szCs w:val="28"/>
          <w:u w:val="single"/>
          <w:lang w:val="en-US" w:eastAsia="en-US"/>
          <w14:ligatures w14:val="standardContextual"/>
        </w:rPr>
        <w:t>and sagittal (E) views showing a well-encapsulated right renal soft tissue mass with expansive growth. The lesion demonstrates progressive and heterogeneous enhancement after contrast administration: 64 Hounsfield Units (HU) in the arterial phase (A), 76 HU in the nephrographic phase (B), and 92 HU in the delayed phase (C).</w:t>
      </w:r>
    </w:p>
    <w:p w14:paraId="4D5B5C65" w14:textId="77777777" w:rsidR="003405DD" w:rsidRPr="00AA6C64" w:rsidRDefault="003405DD" w:rsidP="003405DD">
      <w:pPr>
        <w:pStyle w:val="NormalWeb"/>
        <w:rPr>
          <w:rFonts w:asciiTheme="majorBidi" w:hAnsiTheme="majorBidi" w:cstheme="majorBidi"/>
          <w:lang w:val="en-US"/>
        </w:rPr>
      </w:pPr>
    </w:p>
    <w:p w14:paraId="44F46FE0" w14:textId="77777777" w:rsidR="003405DD" w:rsidRPr="00AA6C64" w:rsidRDefault="003405DD" w:rsidP="003405DD">
      <w:pPr>
        <w:pStyle w:val="NormalWeb"/>
        <w:rPr>
          <w:rFonts w:asciiTheme="majorBidi" w:hAnsiTheme="majorBidi" w:cstheme="majorBidi"/>
          <w:lang w:val="en-US"/>
        </w:rPr>
      </w:pPr>
      <w:r w:rsidRPr="00AA6C64">
        <w:rPr>
          <w:rFonts w:asciiTheme="majorBidi" w:hAnsiTheme="majorBidi" w:cstheme="majorBidi"/>
          <w:lang w:val="en-US"/>
        </w:rPr>
        <w:t xml:space="preserve">The patient underwent </w:t>
      </w:r>
      <w:r w:rsidRPr="00AA6C64">
        <w:rPr>
          <w:rStyle w:val="lev"/>
          <w:rFonts w:asciiTheme="majorBidi" w:eastAsiaTheme="majorEastAsia" w:hAnsiTheme="majorBidi" w:cstheme="majorBidi"/>
          <w:b w:val="0"/>
          <w:bCs w:val="0"/>
          <w:lang w:val="en-US"/>
        </w:rPr>
        <w:t>right radical nephrectomy</w:t>
      </w:r>
      <w:r w:rsidRPr="00AA6C64">
        <w:rPr>
          <w:rFonts w:asciiTheme="majorBidi" w:hAnsiTheme="majorBidi" w:cstheme="majorBidi"/>
          <w:b/>
          <w:bCs/>
          <w:lang w:val="en-US"/>
        </w:rPr>
        <w:t>.</w:t>
      </w:r>
      <w:r w:rsidRPr="00AA6C64">
        <w:rPr>
          <w:rFonts w:asciiTheme="majorBidi" w:hAnsiTheme="majorBidi" w:cstheme="majorBidi"/>
          <w:lang w:val="en-US"/>
        </w:rPr>
        <w:t xml:space="preserve"> Gross pathological examination of the specimen revealed a </w:t>
      </w:r>
      <w:r w:rsidRPr="00AA6C64">
        <w:rPr>
          <w:rStyle w:val="lev"/>
          <w:rFonts w:asciiTheme="majorBidi" w:eastAsiaTheme="majorEastAsia" w:hAnsiTheme="majorBidi" w:cstheme="majorBidi"/>
          <w:b w:val="0"/>
          <w:bCs w:val="0"/>
          <w:lang w:val="en-US"/>
        </w:rPr>
        <w:t>tan-brown tumor localized to the lower pole of the kidney</w:t>
      </w:r>
      <w:r w:rsidRPr="00AA6C64">
        <w:rPr>
          <w:rFonts w:asciiTheme="majorBidi" w:hAnsiTheme="majorBidi" w:cstheme="majorBidi"/>
          <w:b/>
          <w:bCs/>
          <w:lang w:val="en-US"/>
        </w:rPr>
        <w:t xml:space="preserve">, </w:t>
      </w:r>
      <w:r w:rsidRPr="00AA6C64">
        <w:rPr>
          <w:rFonts w:asciiTheme="majorBidi" w:hAnsiTheme="majorBidi" w:cstheme="majorBidi"/>
          <w:lang w:val="en-US"/>
        </w:rPr>
        <w:t>with</w:t>
      </w:r>
      <w:r w:rsidRPr="00AA6C64">
        <w:rPr>
          <w:rFonts w:asciiTheme="majorBidi" w:hAnsiTheme="majorBidi" w:cstheme="majorBidi"/>
          <w:b/>
          <w:bCs/>
          <w:lang w:val="en-US"/>
        </w:rPr>
        <w:t xml:space="preserve"> </w:t>
      </w:r>
      <w:r w:rsidRPr="00AA6C64">
        <w:rPr>
          <w:rStyle w:val="lev"/>
          <w:rFonts w:asciiTheme="majorBidi" w:eastAsiaTheme="majorEastAsia" w:hAnsiTheme="majorBidi" w:cstheme="majorBidi"/>
          <w:b w:val="0"/>
          <w:bCs w:val="0"/>
          <w:lang w:val="en-US"/>
        </w:rPr>
        <w:t>a well-demarcated margin</w:t>
      </w:r>
      <w:r w:rsidRPr="00AA6C64">
        <w:rPr>
          <w:rFonts w:asciiTheme="majorBidi" w:hAnsiTheme="majorBidi" w:cstheme="majorBidi"/>
          <w:b/>
          <w:bCs/>
          <w:lang w:val="en-US"/>
        </w:rPr>
        <w:t xml:space="preserve">. </w:t>
      </w:r>
      <w:r w:rsidRPr="00AA6C64">
        <w:rPr>
          <w:rStyle w:val="lev"/>
          <w:rFonts w:asciiTheme="majorBidi" w:eastAsiaTheme="majorEastAsia" w:hAnsiTheme="majorBidi" w:cstheme="majorBidi"/>
          <w:b w:val="0"/>
          <w:bCs w:val="0"/>
          <w:lang w:val="en-US"/>
        </w:rPr>
        <w:t>Histological analysis</w:t>
      </w:r>
      <w:r w:rsidRPr="00AA6C64">
        <w:rPr>
          <w:rFonts w:asciiTheme="majorBidi" w:hAnsiTheme="majorBidi" w:cstheme="majorBidi"/>
          <w:b/>
          <w:bCs/>
          <w:lang w:val="en-US"/>
        </w:rPr>
        <w:t xml:space="preserve"> </w:t>
      </w:r>
      <w:r w:rsidRPr="00AA6C64">
        <w:rPr>
          <w:rFonts w:asciiTheme="majorBidi" w:hAnsiTheme="majorBidi" w:cstheme="majorBidi"/>
          <w:lang w:val="en-US"/>
        </w:rPr>
        <w:t>showed</w:t>
      </w:r>
      <w:r w:rsidRPr="00AA6C64">
        <w:rPr>
          <w:rFonts w:asciiTheme="majorBidi" w:hAnsiTheme="majorBidi" w:cstheme="majorBidi"/>
          <w:b/>
          <w:bCs/>
          <w:lang w:val="en-US"/>
        </w:rPr>
        <w:t xml:space="preserve"> </w:t>
      </w:r>
      <w:r w:rsidRPr="00AA6C64">
        <w:rPr>
          <w:rStyle w:val="lev"/>
          <w:rFonts w:asciiTheme="majorBidi" w:eastAsiaTheme="majorEastAsia" w:hAnsiTheme="majorBidi" w:cstheme="majorBidi"/>
          <w:b w:val="0"/>
          <w:bCs w:val="0"/>
          <w:lang w:val="en-US"/>
        </w:rPr>
        <w:t>branching tubules and spindle-shaped epithelial cells embedded in abundant mucinous stroma</w:t>
      </w:r>
      <w:r w:rsidRPr="00AA6C64">
        <w:rPr>
          <w:rFonts w:asciiTheme="majorBidi" w:hAnsiTheme="majorBidi" w:cstheme="majorBidi"/>
          <w:b/>
          <w:bCs/>
          <w:lang w:val="en-US"/>
        </w:rPr>
        <w:t xml:space="preserve">, </w:t>
      </w:r>
      <w:r w:rsidRPr="00AA6C64">
        <w:rPr>
          <w:rFonts w:asciiTheme="majorBidi" w:hAnsiTheme="majorBidi" w:cstheme="majorBidi"/>
          <w:lang w:val="en-US"/>
        </w:rPr>
        <w:t xml:space="preserve">along with </w:t>
      </w:r>
      <w:r w:rsidRPr="00AA6C64">
        <w:rPr>
          <w:rStyle w:val="lev"/>
          <w:rFonts w:asciiTheme="majorBidi" w:eastAsiaTheme="majorEastAsia" w:hAnsiTheme="majorBidi" w:cstheme="majorBidi"/>
          <w:b w:val="0"/>
          <w:bCs w:val="0"/>
          <w:lang w:val="en-US"/>
        </w:rPr>
        <w:t>areas of necrosis and hemorrhage</w:t>
      </w:r>
      <w:r w:rsidRPr="00AA6C64">
        <w:rPr>
          <w:rFonts w:asciiTheme="majorBidi" w:hAnsiTheme="majorBidi" w:cstheme="majorBidi"/>
          <w:lang w:val="en-US"/>
        </w:rPr>
        <w:t xml:space="preserve">. Immunohistochemical staining demonstrated </w:t>
      </w:r>
      <w:r w:rsidRPr="00AA6C64">
        <w:rPr>
          <w:rStyle w:val="lev"/>
          <w:rFonts w:asciiTheme="majorBidi" w:eastAsiaTheme="majorEastAsia" w:hAnsiTheme="majorBidi" w:cstheme="majorBidi"/>
          <w:b w:val="0"/>
          <w:bCs w:val="0"/>
          <w:lang w:val="en-US"/>
        </w:rPr>
        <w:t>diffuse positivity for CK7, CK14, AE1/AE3 (CK8/18), and vimentin</w:t>
      </w:r>
      <w:r w:rsidRPr="00AA6C64">
        <w:rPr>
          <w:rFonts w:asciiTheme="majorBidi" w:hAnsiTheme="majorBidi" w:cstheme="majorBidi"/>
          <w:b/>
          <w:bCs/>
          <w:lang w:val="en-US"/>
        </w:rPr>
        <w:t>,</w:t>
      </w:r>
      <w:r w:rsidRPr="00AA6C64">
        <w:rPr>
          <w:rFonts w:asciiTheme="majorBidi" w:hAnsiTheme="majorBidi" w:cstheme="majorBidi"/>
          <w:lang w:val="en-US"/>
        </w:rPr>
        <w:t xml:space="preserve"> while </w:t>
      </w:r>
      <w:r w:rsidRPr="00AA6C64">
        <w:rPr>
          <w:rStyle w:val="lev"/>
          <w:rFonts w:asciiTheme="majorBidi" w:eastAsiaTheme="majorEastAsia" w:hAnsiTheme="majorBidi" w:cstheme="majorBidi"/>
          <w:b w:val="0"/>
          <w:bCs w:val="0"/>
          <w:lang w:val="en-US"/>
        </w:rPr>
        <w:t>CD10 was negative</w:t>
      </w:r>
      <w:r w:rsidRPr="00AA6C64">
        <w:rPr>
          <w:rFonts w:asciiTheme="majorBidi" w:hAnsiTheme="majorBidi" w:cstheme="majorBidi"/>
          <w:lang w:val="en-US"/>
        </w:rPr>
        <w:t>, helping to differentiate MTSCC from papillary RCC.</w:t>
      </w:r>
    </w:p>
    <w:p w14:paraId="7074AE67" w14:textId="77777777" w:rsidR="003405DD" w:rsidRPr="00AA6C64" w:rsidRDefault="003405DD" w:rsidP="003405DD">
      <w:pPr>
        <w:pStyle w:val="NormalWeb"/>
        <w:rPr>
          <w:rFonts w:asciiTheme="majorBidi" w:hAnsiTheme="majorBidi" w:cstheme="majorBidi"/>
          <w:b/>
          <w:bCs/>
          <w:lang w:val="en-US"/>
        </w:rPr>
      </w:pPr>
      <w:r w:rsidRPr="00AA6C64">
        <w:rPr>
          <w:rFonts w:asciiTheme="majorBidi" w:hAnsiTheme="majorBidi" w:cstheme="majorBidi"/>
          <w:lang w:val="en-US"/>
        </w:rPr>
        <w:t xml:space="preserve">The </w:t>
      </w:r>
      <w:r w:rsidRPr="00AA6C64">
        <w:rPr>
          <w:rStyle w:val="lev"/>
          <w:rFonts w:asciiTheme="majorBidi" w:eastAsiaTheme="majorEastAsia" w:hAnsiTheme="majorBidi" w:cstheme="majorBidi"/>
          <w:b w:val="0"/>
          <w:bCs w:val="0"/>
          <w:lang w:val="en-US"/>
        </w:rPr>
        <w:t>surgical margins were free of tumor</w:t>
      </w:r>
      <w:r w:rsidRPr="00AA6C64">
        <w:rPr>
          <w:rFonts w:asciiTheme="majorBidi" w:hAnsiTheme="majorBidi" w:cstheme="majorBidi"/>
          <w:lang w:val="en-US"/>
        </w:rPr>
        <w:t xml:space="preserve">, and there was no involvement of the renal vein or ureter. The </w:t>
      </w:r>
      <w:r w:rsidRPr="00AA6C64">
        <w:rPr>
          <w:rStyle w:val="lev"/>
          <w:rFonts w:asciiTheme="majorBidi" w:eastAsiaTheme="majorEastAsia" w:hAnsiTheme="majorBidi" w:cstheme="majorBidi"/>
          <w:b w:val="0"/>
          <w:bCs w:val="0"/>
          <w:lang w:val="en-US"/>
        </w:rPr>
        <w:t>postoperative course was uneventful</w:t>
      </w:r>
      <w:r w:rsidRPr="00AA6C64">
        <w:rPr>
          <w:rFonts w:asciiTheme="majorBidi" w:hAnsiTheme="majorBidi" w:cstheme="majorBidi"/>
          <w:lang w:val="en-US"/>
        </w:rPr>
        <w:t xml:space="preserve">, and follow-up imaging revealed </w:t>
      </w:r>
      <w:r w:rsidRPr="00AA6C64">
        <w:rPr>
          <w:rStyle w:val="lev"/>
          <w:rFonts w:asciiTheme="majorBidi" w:eastAsiaTheme="majorEastAsia" w:hAnsiTheme="majorBidi" w:cstheme="majorBidi"/>
          <w:b w:val="0"/>
          <w:bCs w:val="0"/>
          <w:lang w:val="en-US"/>
        </w:rPr>
        <w:t>no signs of recurrence or metastasis</w:t>
      </w:r>
      <w:r w:rsidRPr="00AA6C64">
        <w:rPr>
          <w:rFonts w:asciiTheme="majorBidi" w:hAnsiTheme="majorBidi" w:cstheme="majorBidi"/>
          <w:b/>
          <w:bCs/>
          <w:lang w:val="en-US"/>
        </w:rPr>
        <w:t>.</w:t>
      </w:r>
    </w:p>
    <w:p w14:paraId="475390F1" w14:textId="77777777" w:rsidR="003405DD" w:rsidRPr="003405DD" w:rsidRDefault="003405DD" w:rsidP="003405DD">
      <w:pPr>
        <w:rPr>
          <w:rFonts w:asciiTheme="majorBidi" w:hAnsiTheme="majorBidi" w:cstheme="majorBidi"/>
          <w:b/>
          <w:bCs/>
          <w:sz w:val="36"/>
          <w:szCs w:val="36"/>
          <w:u w:val="single"/>
          <w:lang w:val="en-US"/>
        </w:rPr>
      </w:pPr>
      <w:r w:rsidRPr="003405DD">
        <w:rPr>
          <w:rFonts w:asciiTheme="majorBidi" w:hAnsiTheme="majorBidi" w:cstheme="majorBidi"/>
          <w:b/>
          <w:bCs/>
          <w:sz w:val="36"/>
          <w:szCs w:val="36"/>
          <w:u w:val="single"/>
          <w:lang w:val="en-US"/>
        </w:rPr>
        <w:t>Discussion:</w:t>
      </w:r>
    </w:p>
    <w:p w14:paraId="6BEC3A33" w14:textId="77777777" w:rsidR="003405DD" w:rsidRPr="0035463B" w:rsidRDefault="003405DD" w:rsidP="003405DD">
      <w:pPr>
        <w:pStyle w:val="NormalWeb"/>
        <w:rPr>
          <w:lang w:val="en-US"/>
        </w:rPr>
      </w:pPr>
      <w:r w:rsidRPr="0035463B">
        <w:rPr>
          <w:lang w:val="en-US"/>
        </w:rPr>
        <w:t xml:space="preserve">Mucinous tubular and spindle cell carcinoma (MTSCC) is a rare and distinct subtype of renal cell carcinoma (RCC), accounting for less than 1% of all renal tumors </w:t>
      </w:r>
      <w:r w:rsidRPr="0035463B">
        <w:rPr>
          <w:rStyle w:val="lev"/>
          <w:rFonts w:eastAsiaTheme="majorEastAsia"/>
          <w:lang w:val="en-US"/>
        </w:rPr>
        <w:t>[1</w:t>
      </w:r>
      <w:r>
        <w:rPr>
          <w:rStyle w:val="lev"/>
          <w:rFonts w:eastAsiaTheme="majorEastAsia"/>
          <w:lang w:val="en-US"/>
        </w:rPr>
        <w:t xml:space="preserve">, </w:t>
      </w:r>
      <w:r w:rsidRPr="0035463B">
        <w:rPr>
          <w:rStyle w:val="lev"/>
          <w:rFonts w:eastAsiaTheme="majorEastAsia"/>
          <w:lang w:val="en-US"/>
        </w:rPr>
        <w:t>2, 19, 20]</w:t>
      </w:r>
      <w:r w:rsidRPr="0035463B">
        <w:rPr>
          <w:lang w:val="en-US"/>
        </w:rPr>
        <w:t xml:space="preserve">. First classified as a separate entity in the 2004 WHO classification, MTSCC is generally considered a low-grade malignancy with a favorable prognosis </w:t>
      </w:r>
      <w:bookmarkStart w:id="0" w:name="_Hlk202018758"/>
      <w:r w:rsidRPr="0035463B">
        <w:rPr>
          <w:rStyle w:val="lev"/>
          <w:rFonts w:eastAsiaTheme="majorEastAsia"/>
          <w:lang w:val="en-US"/>
        </w:rPr>
        <w:t>[3, 20]</w:t>
      </w:r>
      <w:r w:rsidRPr="0035463B">
        <w:rPr>
          <w:lang w:val="en-US"/>
        </w:rPr>
        <w:t xml:space="preserve">. </w:t>
      </w:r>
      <w:bookmarkEnd w:id="0"/>
      <w:r w:rsidRPr="0035463B">
        <w:rPr>
          <w:lang w:val="en-US"/>
        </w:rPr>
        <w:t xml:space="preserve">It most commonly affects middle-aged women and is frequently discovered incidentally during imaging performed for unrelated reasons. However, when the tumors are large, patients may present with symptoms such as flank pain or gross hematuria </w:t>
      </w:r>
      <w:r w:rsidRPr="0035463B">
        <w:rPr>
          <w:rStyle w:val="lev"/>
          <w:rFonts w:eastAsiaTheme="majorEastAsia"/>
          <w:lang w:val="en-US"/>
        </w:rPr>
        <w:t>[4, 5, 18, 19]</w:t>
      </w:r>
      <w:r w:rsidRPr="0035463B">
        <w:rPr>
          <w:lang w:val="en-US"/>
        </w:rPr>
        <w:t>.</w:t>
      </w:r>
    </w:p>
    <w:p w14:paraId="6081AFC2" w14:textId="77777777" w:rsidR="003405DD" w:rsidRPr="0035463B" w:rsidRDefault="003405DD" w:rsidP="003405DD">
      <w:pPr>
        <w:pStyle w:val="NormalWeb"/>
        <w:rPr>
          <w:lang w:val="en-US"/>
        </w:rPr>
      </w:pPr>
      <w:r w:rsidRPr="0035463B">
        <w:rPr>
          <w:lang w:val="en-US"/>
        </w:rPr>
        <w:t xml:space="preserve">From a radiologic standpoint, MTSCC typically presents as a well-circumscribed renal mass with an expansile, ovoid or spherical shape, usually separated from the adjacent parenchyma. It tends to be iso- to hypodense on unenhanced CT and exhibits a slow, progressive enhancement pattern that peaks during the nephrographic or delayed phases. Lesions may appear homogeneous when small, but larger tumors often demonstrate heterogeneous enhancement due to areas of internal necrosis, hemorrhage, or mucinous degeneration </w:t>
      </w:r>
      <w:r w:rsidRPr="0035463B">
        <w:rPr>
          <w:rStyle w:val="lev"/>
          <w:rFonts w:eastAsiaTheme="majorEastAsia"/>
          <w:lang w:val="en-US"/>
        </w:rPr>
        <w:t>[6, 7, 15, 17]</w:t>
      </w:r>
      <w:r w:rsidRPr="0035463B">
        <w:rPr>
          <w:lang w:val="en-US"/>
        </w:rPr>
        <w:t xml:space="preserve">. On MRI, the tumor classically displays iso- to hyperintense signal on T2-weighted sequences — a feature attributed to its mucin-rich stroma — and shows delayed progressive enhancement following gadolinium administration. Restricted diffusion may also be observed in solid components, though not specific </w:t>
      </w:r>
      <w:r w:rsidRPr="0035463B">
        <w:rPr>
          <w:rStyle w:val="lev"/>
          <w:rFonts w:eastAsiaTheme="majorEastAsia"/>
          <w:lang w:val="en-US"/>
        </w:rPr>
        <w:t>[5, 6, 21]</w:t>
      </w:r>
      <w:r w:rsidRPr="0035463B">
        <w:rPr>
          <w:lang w:val="en-US"/>
        </w:rPr>
        <w:t>.</w:t>
      </w:r>
    </w:p>
    <w:p w14:paraId="6A40A1C8" w14:textId="77777777" w:rsidR="003405DD" w:rsidRPr="0035463B" w:rsidRDefault="003405DD" w:rsidP="003405DD">
      <w:pPr>
        <w:pStyle w:val="NormalWeb"/>
        <w:rPr>
          <w:lang w:val="en-US"/>
        </w:rPr>
      </w:pPr>
      <w:r w:rsidRPr="0035463B">
        <w:rPr>
          <w:lang w:val="en-US"/>
        </w:rPr>
        <w:t xml:space="preserve">MTSCC shares overlapping imaging features with other </w:t>
      </w:r>
      <w:proofErr w:type="spellStart"/>
      <w:r w:rsidRPr="0035463B">
        <w:rPr>
          <w:lang w:val="en-US"/>
        </w:rPr>
        <w:t>hypovascular</w:t>
      </w:r>
      <w:proofErr w:type="spellEnd"/>
      <w:r w:rsidRPr="0035463B">
        <w:rPr>
          <w:lang w:val="en-US"/>
        </w:rPr>
        <w:t xml:space="preserve"> subtypes of renal cell carcinoma, such as papillary RCC, chromophobe RCC, and collecting duct carcinoma </w:t>
      </w:r>
      <w:r w:rsidRPr="0035463B">
        <w:rPr>
          <w:rStyle w:val="lev"/>
          <w:rFonts w:eastAsiaTheme="majorEastAsia"/>
          <w:lang w:val="en-US"/>
        </w:rPr>
        <w:t>[16]</w:t>
      </w:r>
      <w:r w:rsidRPr="0035463B">
        <w:rPr>
          <w:lang w:val="en-US"/>
        </w:rPr>
        <w:t xml:space="preserve">. Among these, papillary RCC is the most common differential diagnosis, as both typically exhibit </w:t>
      </w:r>
      <w:proofErr w:type="spellStart"/>
      <w:r w:rsidRPr="0035463B">
        <w:rPr>
          <w:lang w:val="en-US"/>
        </w:rPr>
        <w:t>hypovascular</w:t>
      </w:r>
      <w:proofErr w:type="spellEnd"/>
      <w:r w:rsidRPr="0035463B">
        <w:rPr>
          <w:lang w:val="en-US"/>
        </w:rPr>
        <w:t xml:space="preserve"> enhancement patterns on imaging </w:t>
      </w:r>
      <w:r w:rsidRPr="0035463B">
        <w:rPr>
          <w:rStyle w:val="lev"/>
          <w:rFonts w:eastAsiaTheme="majorEastAsia"/>
          <w:lang w:val="en-US"/>
        </w:rPr>
        <w:t>[6, 7]</w:t>
      </w:r>
      <w:r w:rsidRPr="0035463B">
        <w:rPr>
          <w:lang w:val="en-US"/>
        </w:rPr>
        <w:t xml:space="preserve">. However, papillary RCCs are generally smaller—often measuring less than 2 cm—and frequently appear as multifocal or bilateral lesions </w:t>
      </w:r>
      <w:r w:rsidRPr="0035463B">
        <w:rPr>
          <w:rStyle w:val="lev"/>
          <w:rFonts w:eastAsiaTheme="majorEastAsia"/>
          <w:lang w:val="en-US"/>
        </w:rPr>
        <w:t>[5, 9]</w:t>
      </w:r>
      <w:r w:rsidRPr="0035463B">
        <w:rPr>
          <w:lang w:val="en-US"/>
        </w:rPr>
        <w:t xml:space="preserve">. On MRI, they characteristically show low signal intensity on T2-weighted sequences </w:t>
      </w:r>
      <w:r w:rsidRPr="0035463B">
        <w:rPr>
          <w:rStyle w:val="lev"/>
          <w:rFonts w:eastAsiaTheme="majorEastAsia"/>
          <w:lang w:val="en-US"/>
        </w:rPr>
        <w:t>[5, 9, 10]</w:t>
      </w:r>
      <w:r w:rsidRPr="0035463B">
        <w:rPr>
          <w:lang w:val="en-US"/>
        </w:rPr>
        <w:t>.</w:t>
      </w:r>
    </w:p>
    <w:p w14:paraId="4C8B5C9B" w14:textId="77777777" w:rsidR="003405DD" w:rsidRPr="0035463B" w:rsidRDefault="003405DD" w:rsidP="003405DD">
      <w:pPr>
        <w:pStyle w:val="NormalWeb"/>
        <w:rPr>
          <w:lang w:val="en-US"/>
        </w:rPr>
      </w:pPr>
      <w:r w:rsidRPr="0035463B">
        <w:rPr>
          <w:lang w:val="en-US"/>
        </w:rPr>
        <w:t xml:space="preserve">In contrast, clear cell RCC usually presents as a </w:t>
      </w:r>
      <w:proofErr w:type="spellStart"/>
      <w:r w:rsidRPr="0035463B">
        <w:rPr>
          <w:lang w:val="en-US"/>
        </w:rPr>
        <w:t>hypervascular</w:t>
      </w:r>
      <w:proofErr w:type="spellEnd"/>
      <w:r w:rsidRPr="0035463B">
        <w:rPr>
          <w:lang w:val="en-US"/>
        </w:rPr>
        <w:t xml:space="preserve"> tumor, with intense early enhancement during the corticomedullary phase followed by rapid washout—a dynamic pattern rarely observed in MTSCC </w:t>
      </w:r>
      <w:r w:rsidRPr="0035463B">
        <w:rPr>
          <w:rStyle w:val="lev"/>
          <w:rFonts w:eastAsiaTheme="majorEastAsia"/>
          <w:lang w:val="en-US"/>
        </w:rPr>
        <w:t>[8, 16]</w:t>
      </w:r>
      <w:r w:rsidRPr="0035463B">
        <w:rPr>
          <w:lang w:val="en-US"/>
        </w:rPr>
        <w:t>.</w:t>
      </w:r>
    </w:p>
    <w:p w14:paraId="196C962E" w14:textId="77777777" w:rsidR="003405DD" w:rsidRPr="0035463B" w:rsidRDefault="003405DD" w:rsidP="003405DD">
      <w:pPr>
        <w:pStyle w:val="NormalWeb"/>
        <w:rPr>
          <w:lang w:val="en-US"/>
        </w:rPr>
      </w:pPr>
      <w:r w:rsidRPr="0035463B">
        <w:rPr>
          <w:lang w:val="en-US"/>
        </w:rPr>
        <w:t xml:space="preserve">In our case, CT findings were consistent with classic MTSCC features. The tumor was large, well-defined, and heterogeneous, with moderate, progressive enhancement peaking in the </w:t>
      </w:r>
      <w:r w:rsidRPr="0035463B">
        <w:rPr>
          <w:lang w:val="en-US"/>
        </w:rPr>
        <w:lastRenderedPageBreak/>
        <w:t xml:space="preserve">delayed phase. The presence of </w:t>
      </w:r>
      <w:proofErr w:type="spellStart"/>
      <w:r w:rsidRPr="0035463B">
        <w:rPr>
          <w:lang w:val="en-US"/>
        </w:rPr>
        <w:t>intratumoral</w:t>
      </w:r>
      <w:proofErr w:type="spellEnd"/>
      <w:r w:rsidRPr="0035463B">
        <w:rPr>
          <w:lang w:val="en-US"/>
        </w:rPr>
        <w:t xml:space="preserve"> hemorrhage and punctate calcifications further supported the radiologic impression. While not pathognomonic, the combination of </w:t>
      </w:r>
      <w:proofErr w:type="spellStart"/>
      <w:r w:rsidRPr="0035463B">
        <w:rPr>
          <w:lang w:val="en-US"/>
        </w:rPr>
        <w:t>hypovascularity</w:t>
      </w:r>
      <w:proofErr w:type="spellEnd"/>
      <w:r w:rsidRPr="0035463B">
        <w:rPr>
          <w:lang w:val="en-US"/>
        </w:rPr>
        <w:t>, internal complexity, and absence of invasive behavior suggested a low-grade neoplasm.</w:t>
      </w:r>
    </w:p>
    <w:p w14:paraId="75CA1D74" w14:textId="77777777" w:rsidR="003405DD" w:rsidRPr="0035463B" w:rsidRDefault="003405DD" w:rsidP="003405DD">
      <w:pPr>
        <w:pStyle w:val="NormalWeb"/>
        <w:rPr>
          <w:lang w:val="en-US"/>
        </w:rPr>
      </w:pPr>
      <w:r w:rsidRPr="0035463B">
        <w:rPr>
          <w:lang w:val="en-US"/>
        </w:rPr>
        <w:t xml:space="preserve">Although a combination of CT and MRI findings may raise suspicion for MTSCC and help differentiate it from other RCC subtypes, histopathological confirmation remains mandatory. Macroscopically, MTSCCs are usually well-circumscribed lesions with a broad size range (from &lt;1 cm to &gt;18 cm). Microscopically, they are composed of elongated, tightly packed tubules lined by spindle-shaped epithelial cells within a mucin-rich stroma </w:t>
      </w:r>
      <w:r w:rsidRPr="0035463B">
        <w:rPr>
          <w:rStyle w:val="lev"/>
          <w:rFonts w:eastAsiaTheme="majorEastAsia"/>
          <w:lang w:val="en-US"/>
        </w:rPr>
        <w:t>[11]</w:t>
      </w:r>
      <w:r w:rsidRPr="0035463B">
        <w:rPr>
          <w:lang w:val="en-US"/>
        </w:rPr>
        <w:t xml:space="preserve">. Our case showed immunohistochemical results consistent with literature, with diffuse CK7, CK14, AE1/AE3, and vimentin positivity, and negative CD10 staining, which assists in differentiating MTSCC from papillary RCC </w:t>
      </w:r>
      <w:r w:rsidRPr="0035463B">
        <w:rPr>
          <w:rStyle w:val="lev"/>
          <w:rFonts w:eastAsiaTheme="majorEastAsia"/>
          <w:lang w:val="en-US"/>
        </w:rPr>
        <w:t>[12, 13, 14, 15, 18, 19, 20]</w:t>
      </w:r>
      <w:r w:rsidRPr="0035463B">
        <w:rPr>
          <w:lang w:val="en-US"/>
        </w:rPr>
        <w:t>.</w:t>
      </w:r>
    </w:p>
    <w:p w14:paraId="65D8D490" w14:textId="77777777" w:rsidR="003405DD" w:rsidRPr="0035463B" w:rsidRDefault="003405DD" w:rsidP="003405DD">
      <w:pPr>
        <w:pStyle w:val="NormalWeb"/>
        <w:rPr>
          <w:lang w:val="en-US"/>
        </w:rPr>
      </w:pPr>
      <w:r w:rsidRPr="0035463B">
        <w:rPr>
          <w:lang w:val="en-US"/>
        </w:rPr>
        <w:t xml:space="preserve">Surgical excision remains the treatment of choice, and prognosis is generally excellent in localized cases. Nevertheless, rare instances of </w:t>
      </w:r>
      <w:proofErr w:type="spellStart"/>
      <w:r w:rsidRPr="0035463B">
        <w:rPr>
          <w:lang w:val="en-US"/>
        </w:rPr>
        <w:t>sarcomatoid</w:t>
      </w:r>
      <w:proofErr w:type="spellEnd"/>
      <w:r w:rsidRPr="0035463B">
        <w:rPr>
          <w:lang w:val="en-US"/>
        </w:rPr>
        <w:t xml:space="preserve"> transformation or metastasis have been reported, which underscores the importance of appropriate postoperative surveillance </w:t>
      </w:r>
      <w:r w:rsidRPr="0035463B">
        <w:rPr>
          <w:rStyle w:val="lev"/>
          <w:rFonts w:eastAsiaTheme="majorEastAsia"/>
          <w:lang w:val="en-US"/>
        </w:rPr>
        <w:t>[5, 17, 18, 19, 20]</w:t>
      </w:r>
      <w:r w:rsidRPr="0035463B">
        <w:rPr>
          <w:lang w:val="en-US"/>
        </w:rPr>
        <w:t>. In our case, the patient had an uncomplicated recovery, with no evidence of recurrence on follow-up imaging.</w:t>
      </w:r>
    </w:p>
    <w:p w14:paraId="4A5F8808" w14:textId="77777777" w:rsidR="003405DD" w:rsidRPr="0035463B" w:rsidRDefault="003405DD" w:rsidP="003405DD">
      <w:pPr>
        <w:pStyle w:val="NormalWeb"/>
        <w:rPr>
          <w:lang w:val="en-US"/>
        </w:rPr>
      </w:pPr>
      <w:r w:rsidRPr="0035463B">
        <w:rPr>
          <w:lang w:val="en-US"/>
        </w:rPr>
        <w:t xml:space="preserve">This case adds to the limited number of published MTSCC reports, particularly those with detailed imaging documentation. Given its rarity, well-characterized case reports are essential to better define the radiological spectrum of MTSCC and help distinguish it from other </w:t>
      </w:r>
      <w:proofErr w:type="spellStart"/>
      <w:r w:rsidRPr="0035463B">
        <w:rPr>
          <w:lang w:val="en-US"/>
        </w:rPr>
        <w:t>hypovascular</w:t>
      </w:r>
      <w:proofErr w:type="spellEnd"/>
      <w:r w:rsidRPr="0035463B">
        <w:rPr>
          <w:lang w:val="en-US"/>
        </w:rPr>
        <w:t xml:space="preserve"> renal tumors. By correlating imaging features with histopathology, this report contributes to the growing body of literature on MTSCC and highlights the value of CT in its non-invasive evaluation and surgical planning.</w:t>
      </w:r>
    </w:p>
    <w:p w14:paraId="4DF26E13" w14:textId="77777777" w:rsidR="003405DD" w:rsidRPr="003405DD" w:rsidRDefault="003405DD" w:rsidP="003405DD">
      <w:pPr>
        <w:rPr>
          <w:rFonts w:asciiTheme="majorBidi" w:hAnsiTheme="majorBidi" w:cstheme="majorBidi"/>
          <w:b/>
          <w:bCs/>
          <w:sz w:val="36"/>
          <w:szCs w:val="36"/>
          <w:u w:val="single"/>
          <w:lang w:val="en-US"/>
        </w:rPr>
      </w:pPr>
      <w:r w:rsidRPr="003405DD">
        <w:rPr>
          <w:rFonts w:asciiTheme="majorBidi" w:hAnsiTheme="majorBidi" w:cstheme="majorBidi"/>
          <w:b/>
          <w:bCs/>
          <w:sz w:val="36"/>
          <w:szCs w:val="36"/>
          <w:u w:val="single"/>
          <w:lang w:val="en-US"/>
        </w:rPr>
        <w:t>Conclusion:</w:t>
      </w:r>
    </w:p>
    <w:p w14:paraId="6875C091" w14:textId="77777777" w:rsidR="003405DD" w:rsidRDefault="003405DD" w:rsidP="003405DD">
      <w:pPr>
        <w:rPr>
          <w:rFonts w:asciiTheme="majorBidi" w:eastAsia="Times New Roman" w:hAnsiTheme="majorBidi" w:cstheme="majorBidi"/>
          <w:kern w:val="0"/>
          <w:lang w:val="en-US" w:eastAsia="fr-FR"/>
          <w14:ligatures w14:val="none"/>
        </w:rPr>
      </w:pPr>
      <w:r w:rsidRPr="001720B5">
        <w:rPr>
          <w:rFonts w:asciiTheme="majorBidi" w:eastAsia="Times New Roman" w:hAnsiTheme="majorBidi" w:cstheme="majorBidi"/>
          <w:kern w:val="0"/>
          <w:lang w:val="en-US" w:eastAsia="fr-FR"/>
          <w14:ligatures w14:val="none"/>
        </w:rPr>
        <w:t xml:space="preserve">In summary, MTSCC is a rare renal tumor with imaging features that, even on CT alone, may suggest the diagnosis. The typical pattern of a well-defined, </w:t>
      </w:r>
      <w:proofErr w:type="spellStart"/>
      <w:r w:rsidRPr="001720B5">
        <w:rPr>
          <w:rFonts w:asciiTheme="majorBidi" w:eastAsia="Times New Roman" w:hAnsiTheme="majorBidi" w:cstheme="majorBidi"/>
          <w:kern w:val="0"/>
          <w:lang w:val="en-US" w:eastAsia="fr-FR"/>
          <w14:ligatures w14:val="none"/>
        </w:rPr>
        <w:t>hypovascular</w:t>
      </w:r>
      <w:proofErr w:type="spellEnd"/>
      <w:r w:rsidRPr="001720B5">
        <w:rPr>
          <w:rFonts w:asciiTheme="majorBidi" w:eastAsia="Times New Roman" w:hAnsiTheme="majorBidi" w:cstheme="majorBidi"/>
          <w:kern w:val="0"/>
          <w:lang w:val="en-US" w:eastAsia="fr-FR"/>
          <w14:ligatures w14:val="none"/>
        </w:rPr>
        <w:t xml:space="preserve"> mass with gradual enhancement can raise preoperative suspicion and help guide pathological analysis. Although MRI may offer complementary information, CT remains a valuable tool in the initial evaluation and diagnostic orientation of this entity.</w:t>
      </w:r>
    </w:p>
    <w:p w14:paraId="08696993" w14:textId="77777777" w:rsidR="003405DD" w:rsidRPr="003405DD" w:rsidRDefault="003405DD" w:rsidP="003405DD">
      <w:pPr>
        <w:rPr>
          <w:rFonts w:asciiTheme="majorBidi" w:hAnsiTheme="majorBidi" w:cstheme="majorBidi"/>
          <w:b/>
          <w:bCs/>
          <w:sz w:val="36"/>
          <w:szCs w:val="36"/>
          <w:u w:val="single"/>
          <w:lang w:val="en-US"/>
        </w:rPr>
      </w:pPr>
      <w:r w:rsidRPr="003405DD">
        <w:rPr>
          <w:rFonts w:asciiTheme="majorBidi" w:hAnsiTheme="majorBidi" w:cstheme="majorBidi"/>
          <w:b/>
          <w:bCs/>
          <w:sz w:val="36"/>
          <w:szCs w:val="36"/>
          <w:u w:val="single"/>
          <w:lang w:val="en-US"/>
        </w:rPr>
        <w:t>Consent:</w:t>
      </w:r>
    </w:p>
    <w:p w14:paraId="4F03D949" w14:textId="77777777" w:rsidR="003405DD" w:rsidRPr="00AA6C64" w:rsidRDefault="003405DD" w:rsidP="003405DD">
      <w:pPr>
        <w:rPr>
          <w:rFonts w:asciiTheme="majorBidi" w:hAnsiTheme="majorBidi" w:cstheme="majorBidi"/>
          <w:lang w:val="en-US"/>
        </w:rPr>
      </w:pPr>
      <w:r w:rsidRPr="00AA6C64">
        <w:rPr>
          <w:rFonts w:asciiTheme="majorBidi" w:hAnsiTheme="majorBidi" w:cstheme="majorBidi"/>
          <w:lang w:val="en-US"/>
        </w:rPr>
        <w:t>Written informed consent was obtained from the patient’s family for the publication of this case report and any accompanying images.</w:t>
      </w:r>
    </w:p>
    <w:p w14:paraId="61B397CA" w14:textId="77777777" w:rsidR="003405DD" w:rsidRPr="003405DD" w:rsidRDefault="003405DD" w:rsidP="003405DD">
      <w:pPr>
        <w:rPr>
          <w:rFonts w:asciiTheme="majorBidi" w:hAnsiTheme="majorBidi" w:cstheme="majorBidi"/>
          <w:b/>
          <w:bCs/>
          <w:sz w:val="36"/>
          <w:szCs w:val="36"/>
          <w:u w:val="single"/>
          <w:lang w:val="en-US"/>
        </w:rPr>
      </w:pPr>
      <w:r w:rsidRPr="003405DD">
        <w:rPr>
          <w:rFonts w:asciiTheme="majorBidi" w:hAnsiTheme="majorBidi" w:cstheme="majorBidi"/>
          <w:b/>
          <w:bCs/>
          <w:sz w:val="36"/>
          <w:szCs w:val="36"/>
          <w:u w:val="single"/>
          <w:lang w:val="en-US"/>
        </w:rPr>
        <w:t>Ethical approval:</w:t>
      </w:r>
    </w:p>
    <w:p w14:paraId="41D30B28" w14:textId="77777777" w:rsidR="003405DD" w:rsidRPr="00AA6C64" w:rsidRDefault="003405DD" w:rsidP="003405DD">
      <w:pPr>
        <w:rPr>
          <w:rFonts w:asciiTheme="majorBidi" w:eastAsia="Times New Roman" w:hAnsiTheme="majorBidi" w:cstheme="majorBidi"/>
          <w:kern w:val="0"/>
          <w:lang w:val="en-US" w:eastAsia="fr-FR"/>
          <w14:ligatures w14:val="none"/>
        </w:rPr>
      </w:pPr>
      <w:r w:rsidRPr="00AA6C64">
        <w:rPr>
          <w:rFonts w:asciiTheme="majorBidi" w:eastAsia="Times New Roman" w:hAnsiTheme="majorBidi" w:cstheme="majorBidi"/>
          <w:kern w:val="0"/>
          <w:lang w:val="en-US" w:eastAsia="fr-FR"/>
          <w14:ligatures w14:val="none"/>
        </w:rPr>
        <w:t>All authors declare that this study was reviewed and approved by the appropriate institutional ethics committee and conducted in accordance with the ethical standards of the 1964 Declaration of Helsinki and its later amendments.</w:t>
      </w:r>
    </w:p>
    <w:p w14:paraId="585FD126" w14:textId="77777777" w:rsidR="003405DD" w:rsidRPr="003405DD" w:rsidRDefault="003405DD" w:rsidP="003405DD">
      <w:pPr>
        <w:rPr>
          <w:rFonts w:asciiTheme="majorBidi" w:hAnsiTheme="majorBidi" w:cstheme="majorBidi"/>
          <w:b/>
          <w:bCs/>
          <w:sz w:val="36"/>
          <w:szCs w:val="36"/>
          <w:u w:val="single"/>
          <w:lang w:val="en-US"/>
        </w:rPr>
      </w:pPr>
      <w:r w:rsidRPr="003405DD">
        <w:rPr>
          <w:rFonts w:asciiTheme="majorBidi" w:hAnsiTheme="majorBidi" w:cstheme="majorBidi"/>
          <w:b/>
          <w:bCs/>
          <w:sz w:val="36"/>
          <w:szCs w:val="36"/>
          <w:u w:val="single"/>
          <w:lang w:val="en-US"/>
        </w:rPr>
        <w:t>Disclaimer (artificial intelligence):</w:t>
      </w:r>
    </w:p>
    <w:p w14:paraId="6EE793EA" w14:textId="77777777" w:rsidR="003405DD" w:rsidRPr="00AA6C64" w:rsidRDefault="003405DD" w:rsidP="003405DD">
      <w:pPr>
        <w:rPr>
          <w:rFonts w:asciiTheme="majorBidi" w:hAnsiTheme="majorBidi" w:cstheme="majorBidi"/>
          <w:b/>
          <w:bCs/>
          <w:color w:val="EE0000"/>
          <w:sz w:val="36"/>
          <w:szCs w:val="36"/>
          <w:u w:val="single"/>
          <w:lang w:val="en-US"/>
        </w:rPr>
      </w:pPr>
      <w:r w:rsidRPr="00AA6C64">
        <w:rPr>
          <w:rFonts w:asciiTheme="majorBidi" w:eastAsia="Times New Roman" w:hAnsiTheme="majorBidi" w:cstheme="majorBidi"/>
          <w:kern w:val="0"/>
          <w:lang w:val="en-US" w:eastAsia="fr-FR"/>
          <w14:ligatures w14:val="none"/>
        </w:rPr>
        <w:lastRenderedPageBreak/>
        <w:t>The authors declare that no generative AI technologies (e.g., ChatGPT, Copilot, or text-to-image generators) were used in the writing or editing of this manuscript.</w:t>
      </w:r>
    </w:p>
    <w:p w14:paraId="4522748A" w14:textId="77777777" w:rsidR="003405DD" w:rsidRPr="003405DD" w:rsidRDefault="003405DD" w:rsidP="003405DD">
      <w:pPr>
        <w:rPr>
          <w:rFonts w:asciiTheme="majorBidi" w:hAnsiTheme="majorBidi" w:cstheme="majorBidi"/>
          <w:b/>
          <w:bCs/>
          <w:sz w:val="36"/>
          <w:szCs w:val="36"/>
          <w:u w:val="single"/>
          <w:lang w:val="en-US"/>
        </w:rPr>
      </w:pPr>
      <w:r w:rsidRPr="003405DD">
        <w:rPr>
          <w:rFonts w:asciiTheme="majorBidi" w:hAnsiTheme="majorBidi" w:cstheme="majorBidi"/>
          <w:b/>
          <w:bCs/>
          <w:sz w:val="36"/>
          <w:szCs w:val="36"/>
          <w:u w:val="single"/>
          <w:lang w:val="en-US"/>
        </w:rPr>
        <w:t>Competing interests:</w:t>
      </w:r>
    </w:p>
    <w:p w14:paraId="55DDA7C6" w14:textId="77777777" w:rsidR="003405DD" w:rsidRPr="00AA6C64" w:rsidRDefault="003405DD" w:rsidP="003405DD">
      <w:pPr>
        <w:rPr>
          <w:rFonts w:asciiTheme="majorBidi" w:eastAsia="Times New Roman" w:hAnsiTheme="majorBidi" w:cstheme="majorBidi"/>
          <w:kern w:val="0"/>
          <w:lang w:val="en-US" w:eastAsia="fr-FR"/>
          <w14:ligatures w14:val="none"/>
        </w:rPr>
      </w:pPr>
      <w:r w:rsidRPr="00AA6C64">
        <w:rPr>
          <w:rFonts w:asciiTheme="majorBidi" w:eastAsia="Times New Roman" w:hAnsiTheme="majorBidi" w:cstheme="majorBidi"/>
          <w:kern w:val="0"/>
          <w:lang w:val="en-US" w:eastAsia="fr-FR"/>
          <w14:ligatures w14:val="none"/>
        </w:rPr>
        <w:t>The authors declare that they have no competing interests.</w:t>
      </w:r>
    </w:p>
    <w:p w14:paraId="337A485F" w14:textId="77777777" w:rsidR="003405DD" w:rsidRPr="003405DD" w:rsidRDefault="003405DD" w:rsidP="003405DD">
      <w:pPr>
        <w:rPr>
          <w:rFonts w:asciiTheme="majorBidi" w:hAnsiTheme="majorBidi" w:cstheme="majorBidi"/>
          <w:b/>
          <w:bCs/>
          <w:sz w:val="36"/>
          <w:szCs w:val="36"/>
          <w:u w:val="single"/>
          <w:lang w:val="en-US"/>
        </w:rPr>
      </w:pPr>
      <w:r w:rsidRPr="003405DD">
        <w:rPr>
          <w:rFonts w:asciiTheme="majorBidi" w:hAnsiTheme="majorBidi" w:cstheme="majorBidi"/>
          <w:b/>
          <w:bCs/>
          <w:sz w:val="36"/>
          <w:szCs w:val="36"/>
          <w:u w:val="single"/>
          <w:lang w:val="en-US"/>
        </w:rPr>
        <w:t>Reference:</w:t>
      </w:r>
    </w:p>
    <w:p w14:paraId="006DB5F1" w14:textId="25C6E196" w:rsidR="00452F73" w:rsidRPr="00AA6C64" w:rsidRDefault="004E701A" w:rsidP="003405DD">
      <w:pPr>
        <w:rPr>
          <w:rFonts w:asciiTheme="majorBidi" w:hAnsiTheme="majorBidi" w:cstheme="majorBidi"/>
        </w:rPr>
      </w:pPr>
      <w:r w:rsidRPr="004E701A">
        <w:rPr>
          <w:lang w:val="en-US"/>
        </w:rPr>
        <w:t xml:space="preserve">[1] </w:t>
      </w:r>
      <w:r w:rsidRPr="004E701A">
        <w:rPr>
          <w:rStyle w:val="lev"/>
          <w:lang w:val="en-US"/>
        </w:rPr>
        <w:t>Wang H</w:t>
      </w:r>
      <w:r w:rsidRPr="004E701A">
        <w:rPr>
          <w:lang w:val="en-US"/>
        </w:rPr>
        <w:t xml:space="preserve">, </w:t>
      </w:r>
      <w:r w:rsidRPr="004E701A">
        <w:rPr>
          <w:rStyle w:val="lev"/>
          <w:lang w:val="en-US"/>
        </w:rPr>
        <w:t>Peng X</w:t>
      </w:r>
      <w:r w:rsidRPr="004E701A">
        <w:rPr>
          <w:lang w:val="en-US"/>
        </w:rPr>
        <w:t xml:space="preserve">, </w:t>
      </w:r>
      <w:r w:rsidRPr="004E701A">
        <w:rPr>
          <w:rStyle w:val="lev"/>
          <w:lang w:val="en-US"/>
        </w:rPr>
        <w:t>Li L</w:t>
      </w:r>
      <w:r w:rsidRPr="004E701A">
        <w:rPr>
          <w:lang w:val="en-US"/>
        </w:rPr>
        <w:t xml:space="preserve">, </w:t>
      </w:r>
      <w:r w:rsidRPr="004E701A">
        <w:rPr>
          <w:rStyle w:val="lev"/>
          <w:lang w:val="en-US"/>
        </w:rPr>
        <w:t>Yang Y</w:t>
      </w:r>
      <w:r w:rsidRPr="004E701A">
        <w:rPr>
          <w:lang w:val="en-US"/>
        </w:rPr>
        <w:t xml:space="preserve">. A retrospective study of imaging characteristics of mucinous tubular and spindle cell carcinoma in the kidney. </w:t>
      </w:r>
      <w:r w:rsidRPr="004E701A">
        <w:rPr>
          <w:rStyle w:val="Accentuation"/>
          <w:lang w:val="en-US"/>
        </w:rPr>
        <w:t>Frontiers in Oncology</w:t>
      </w:r>
      <w:r w:rsidRPr="004E701A">
        <w:rPr>
          <w:lang w:val="en-US"/>
        </w:rPr>
        <w:t xml:space="preserve">, </w:t>
      </w:r>
      <w:proofErr w:type="spellStart"/>
      <w:r w:rsidRPr="004E701A">
        <w:rPr>
          <w:lang w:val="en-US"/>
        </w:rPr>
        <w:t>eCollection</w:t>
      </w:r>
      <w:proofErr w:type="spellEnd"/>
      <w:r w:rsidRPr="004E701A">
        <w:rPr>
          <w:lang w:val="en-US"/>
        </w:rPr>
        <w:t xml:space="preserve"> 2025.</w:t>
      </w:r>
      <w:r w:rsidRPr="004E701A">
        <w:rPr>
          <w:lang w:val="en-US"/>
        </w:rPr>
        <w:br/>
        <w:t xml:space="preserve">[2] </w:t>
      </w:r>
      <w:r w:rsidRPr="004E701A">
        <w:rPr>
          <w:rStyle w:val="lev"/>
          <w:lang w:val="en-US"/>
        </w:rPr>
        <w:t>Bhardwaj N</w:t>
      </w:r>
      <w:r w:rsidRPr="004E701A">
        <w:rPr>
          <w:lang w:val="en-US"/>
        </w:rPr>
        <w:t xml:space="preserve">, </w:t>
      </w:r>
      <w:r w:rsidRPr="004E701A">
        <w:rPr>
          <w:rStyle w:val="lev"/>
          <w:lang w:val="en-US"/>
        </w:rPr>
        <w:t>Parkhi M</w:t>
      </w:r>
      <w:r w:rsidRPr="004E701A">
        <w:rPr>
          <w:lang w:val="en-US"/>
        </w:rPr>
        <w:t xml:space="preserve">, </w:t>
      </w:r>
      <w:r w:rsidRPr="004E701A">
        <w:rPr>
          <w:rStyle w:val="lev"/>
          <w:lang w:val="en-US"/>
        </w:rPr>
        <w:t>Chatterjee D</w:t>
      </w:r>
      <w:r w:rsidRPr="004E701A">
        <w:rPr>
          <w:lang w:val="en-US"/>
        </w:rPr>
        <w:t xml:space="preserve">, </w:t>
      </w:r>
      <w:r w:rsidRPr="004E701A">
        <w:rPr>
          <w:rStyle w:val="lev"/>
          <w:lang w:val="en-US"/>
        </w:rPr>
        <w:t>Singh SK</w:t>
      </w:r>
      <w:r w:rsidRPr="004E701A">
        <w:rPr>
          <w:lang w:val="en-US"/>
        </w:rPr>
        <w:t xml:space="preserve">. Mucinous tubular and spindle cell carcinoma of the kidney. </w:t>
      </w:r>
      <w:proofErr w:type="spellStart"/>
      <w:r w:rsidRPr="004E701A">
        <w:rPr>
          <w:rStyle w:val="Accentuation"/>
          <w:lang w:val="en-US"/>
        </w:rPr>
        <w:t>Autops</w:t>
      </w:r>
      <w:proofErr w:type="spellEnd"/>
      <w:r w:rsidRPr="004E701A">
        <w:rPr>
          <w:rStyle w:val="Accentuation"/>
          <w:lang w:val="en-US"/>
        </w:rPr>
        <w:t xml:space="preserve"> Case Rep.</w:t>
      </w:r>
      <w:r w:rsidRPr="004E701A">
        <w:rPr>
          <w:lang w:val="en-US"/>
        </w:rPr>
        <w:t xml:space="preserve"> 2023;13:e2023415.</w:t>
      </w:r>
      <w:r w:rsidRPr="004E701A">
        <w:rPr>
          <w:lang w:val="en-US"/>
        </w:rPr>
        <w:br/>
        <w:t xml:space="preserve">[3] </w:t>
      </w:r>
      <w:proofErr w:type="spellStart"/>
      <w:r w:rsidRPr="004E701A">
        <w:rPr>
          <w:rStyle w:val="lev"/>
          <w:lang w:val="en-US"/>
        </w:rPr>
        <w:t>Nathany</w:t>
      </w:r>
      <w:proofErr w:type="spellEnd"/>
      <w:r w:rsidRPr="004E701A">
        <w:rPr>
          <w:rStyle w:val="lev"/>
          <w:lang w:val="en-US"/>
        </w:rPr>
        <w:t xml:space="preserve"> S</w:t>
      </w:r>
      <w:r w:rsidRPr="004E701A">
        <w:rPr>
          <w:lang w:val="en-US"/>
        </w:rPr>
        <w:t xml:space="preserve">, </w:t>
      </w:r>
      <w:proofErr w:type="spellStart"/>
      <w:r w:rsidRPr="004E701A">
        <w:rPr>
          <w:rStyle w:val="lev"/>
          <w:lang w:val="en-US"/>
        </w:rPr>
        <w:t>Monappa</w:t>
      </w:r>
      <w:proofErr w:type="spellEnd"/>
      <w:r w:rsidRPr="004E701A">
        <w:rPr>
          <w:rStyle w:val="lev"/>
          <w:lang w:val="en-US"/>
        </w:rPr>
        <w:t xml:space="preserve"> V</w:t>
      </w:r>
      <w:r w:rsidRPr="004E701A">
        <w:rPr>
          <w:lang w:val="en-US"/>
        </w:rPr>
        <w:t xml:space="preserve">. Mucinous tubular and spindle cell carcinoma: a review of histopathology and clinical and prognostic implications. </w:t>
      </w:r>
      <w:r>
        <w:rPr>
          <w:rStyle w:val="Accentuation"/>
        </w:rPr>
        <w:t xml:space="preserve">Arch </w:t>
      </w:r>
      <w:proofErr w:type="spellStart"/>
      <w:r>
        <w:rPr>
          <w:rStyle w:val="Accentuation"/>
        </w:rPr>
        <w:t>Pathol</w:t>
      </w:r>
      <w:proofErr w:type="spellEnd"/>
      <w:r>
        <w:rPr>
          <w:rStyle w:val="Accentuation"/>
        </w:rPr>
        <w:t xml:space="preserve"> </w:t>
      </w:r>
      <w:proofErr w:type="spellStart"/>
      <w:r>
        <w:rPr>
          <w:rStyle w:val="Accentuation"/>
        </w:rPr>
        <w:t>Lab</w:t>
      </w:r>
      <w:proofErr w:type="spellEnd"/>
      <w:r>
        <w:rPr>
          <w:rStyle w:val="Accentuation"/>
        </w:rPr>
        <w:t xml:space="preserve"> Med.</w:t>
      </w:r>
      <w:r>
        <w:t xml:space="preserve"> 2020 Jan;144(1):115–118.</w:t>
      </w:r>
      <w:r>
        <w:br/>
      </w:r>
      <w:r w:rsidRPr="004E701A">
        <w:rPr>
          <w:lang w:val="en-US"/>
        </w:rPr>
        <w:t xml:space="preserve">[4] </w:t>
      </w:r>
      <w:proofErr w:type="spellStart"/>
      <w:r w:rsidRPr="004E701A">
        <w:rPr>
          <w:rStyle w:val="lev"/>
          <w:lang w:val="en-US"/>
        </w:rPr>
        <w:t>Ziouani</w:t>
      </w:r>
      <w:proofErr w:type="spellEnd"/>
      <w:r w:rsidRPr="004E701A">
        <w:rPr>
          <w:rStyle w:val="lev"/>
          <w:lang w:val="en-US"/>
        </w:rPr>
        <w:t xml:space="preserve"> O</w:t>
      </w:r>
      <w:r w:rsidRPr="004E701A">
        <w:rPr>
          <w:lang w:val="en-US"/>
        </w:rPr>
        <w:t xml:space="preserve">, </w:t>
      </w:r>
      <w:r w:rsidRPr="004E701A">
        <w:rPr>
          <w:rStyle w:val="lev"/>
          <w:lang w:val="en-US"/>
        </w:rPr>
        <w:t>Rabil M</w:t>
      </w:r>
      <w:r w:rsidRPr="004E701A">
        <w:rPr>
          <w:lang w:val="en-US"/>
        </w:rPr>
        <w:t xml:space="preserve">, </w:t>
      </w:r>
      <w:proofErr w:type="spellStart"/>
      <w:r w:rsidRPr="004E701A">
        <w:rPr>
          <w:rStyle w:val="lev"/>
          <w:lang w:val="en-US"/>
        </w:rPr>
        <w:t>Elkhiyati</w:t>
      </w:r>
      <w:proofErr w:type="spellEnd"/>
      <w:r w:rsidRPr="004E701A">
        <w:rPr>
          <w:rStyle w:val="lev"/>
          <w:lang w:val="en-US"/>
        </w:rPr>
        <w:t xml:space="preserve"> A</w:t>
      </w:r>
      <w:r w:rsidRPr="004E701A">
        <w:rPr>
          <w:lang w:val="en-US"/>
        </w:rPr>
        <w:t xml:space="preserve">, </w:t>
      </w:r>
      <w:proofErr w:type="spellStart"/>
      <w:r w:rsidRPr="004E701A">
        <w:rPr>
          <w:rStyle w:val="lev"/>
          <w:lang w:val="en-US"/>
        </w:rPr>
        <w:t>Laghmari</w:t>
      </w:r>
      <w:proofErr w:type="spellEnd"/>
      <w:r w:rsidRPr="004E701A">
        <w:rPr>
          <w:rStyle w:val="lev"/>
          <w:lang w:val="en-US"/>
        </w:rPr>
        <w:t xml:space="preserve"> M</w:t>
      </w:r>
      <w:r w:rsidRPr="004E701A">
        <w:rPr>
          <w:lang w:val="en-US"/>
        </w:rPr>
        <w:t xml:space="preserve">, </w:t>
      </w:r>
      <w:r w:rsidRPr="004E701A">
        <w:rPr>
          <w:rStyle w:val="lev"/>
          <w:lang w:val="en-US"/>
        </w:rPr>
        <w:t xml:space="preserve">Ibn </w:t>
      </w:r>
      <w:proofErr w:type="spellStart"/>
      <w:r w:rsidRPr="004E701A">
        <w:rPr>
          <w:rStyle w:val="lev"/>
          <w:lang w:val="en-US"/>
        </w:rPr>
        <w:t>Attya</w:t>
      </w:r>
      <w:proofErr w:type="spellEnd"/>
      <w:r w:rsidRPr="004E701A">
        <w:rPr>
          <w:rStyle w:val="lev"/>
          <w:lang w:val="en-US"/>
        </w:rPr>
        <w:t xml:space="preserve"> A</w:t>
      </w:r>
      <w:r w:rsidRPr="004E701A">
        <w:rPr>
          <w:lang w:val="en-US"/>
        </w:rPr>
        <w:t xml:space="preserve">. Mucinous Tubular and Spindle Cell Carcinoma of the Kidney: A Case Report. </w:t>
      </w:r>
      <w:r w:rsidRPr="004E701A">
        <w:rPr>
          <w:rStyle w:val="Accentuation"/>
          <w:lang w:val="en-US"/>
        </w:rPr>
        <w:t>Pan African Medical Journal.</w:t>
      </w:r>
      <w:r w:rsidRPr="004E701A">
        <w:rPr>
          <w:lang w:val="en-US"/>
        </w:rPr>
        <w:t xml:space="preserve"> 2017;26:187.</w:t>
      </w:r>
      <w:r w:rsidRPr="004E701A">
        <w:rPr>
          <w:lang w:val="en-US"/>
        </w:rPr>
        <w:br/>
        <w:t xml:space="preserve">[5] </w:t>
      </w:r>
      <w:r w:rsidRPr="004E701A">
        <w:rPr>
          <w:rStyle w:val="lev"/>
          <w:lang w:val="en-US"/>
        </w:rPr>
        <w:t>Alves AS</w:t>
      </w:r>
      <w:r w:rsidRPr="004E701A">
        <w:rPr>
          <w:lang w:val="en-US"/>
        </w:rPr>
        <w:t xml:space="preserve">, </w:t>
      </w:r>
      <w:proofErr w:type="spellStart"/>
      <w:r w:rsidRPr="004E701A">
        <w:rPr>
          <w:rStyle w:val="lev"/>
          <w:lang w:val="en-US"/>
        </w:rPr>
        <w:t>Gaivão</w:t>
      </w:r>
      <w:proofErr w:type="spellEnd"/>
      <w:r w:rsidRPr="004E701A">
        <w:rPr>
          <w:rStyle w:val="lev"/>
          <w:lang w:val="en-US"/>
        </w:rPr>
        <w:t xml:space="preserve"> AM</w:t>
      </w:r>
      <w:r w:rsidRPr="004E701A">
        <w:rPr>
          <w:lang w:val="en-US"/>
        </w:rPr>
        <w:t xml:space="preserve">, </w:t>
      </w:r>
      <w:r w:rsidRPr="004E701A">
        <w:rPr>
          <w:rStyle w:val="lev"/>
          <w:lang w:val="en-US"/>
        </w:rPr>
        <w:t>Marques RC</w:t>
      </w:r>
      <w:r w:rsidRPr="004E701A">
        <w:rPr>
          <w:lang w:val="en-US"/>
        </w:rPr>
        <w:t xml:space="preserve">, </w:t>
      </w:r>
      <w:r w:rsidRPr="004E701A">
        <w:rPr>
          <w:rStyle w:val="lev"/>
          <w:lang w:val="en-US"/>
        </w:rPr>
        <w:t>Matos C</w:t>
      </w:r>
      <w:r w:rsidRPr="004E701A">
        <w:rPr>
          <w:lang w:val="en-US"/>
        </w:rPr>
        <w:t xml:space="preserve">. Two rare entities in one patient: Mucinous tubular and spindle cell carcinoma of the kidney and peritoneal adenomyomas. </w:t>
      </w:r>
      <w:r w:rsidRPr="004E701A">
        <w:rPr>
          <w:rStyle w:val="Accentuation"/>
          <w:lang w:val="en-US"/>
        </w:rPr>
        <w:t>Radiology Case Reports.</w:t>
      </w:r>
      <w:r w:rsidRPr="004E701A">
        <w:rPr>
          <w:lang w:val="en-US"/>
        </w:rPr>
        <w:t xml:space="preserve"> 2021;16(8):1974–1979.</w:t>
      </w:r>
      <w:r w:rsidRPr="004E701A">
        <w:rPr>
          <w:lang w:val="en-US"/>
        </w:rPr>
        <w:br/>
        <w:t xml:space="preserve">[6] </w:t>
      </w:r>
      <w:r w:rsidRPr="004E701A">
        <w:rPr>
          <w:rStyle w:val="lev"/>
          <w:lang w:val="en-US"/>
        </w:rPr>
        <w:t>Cornelis F</w:t>
      </w:r>
      <w:r w:rsidRPr="004E701A">
        <w:rPr>
          <w:lang w:val="en-US"/>
        </w:rPr>
        <w:t xml:space="preserve">, </w:t>
      </w:r>
      <w:r w:rsidRPr="004E701A">
        <w:rPr>
          <w:rStyle w:val="lev"/>
          <w:lang w:val="en-US"/>
        </w:rPr>
        <w:t>Ambrosetti D</w:t>
      </w:r>
      <w:r w:rsidRPr="004E701A">
        <w:rPr>
          <w:lang w:val="en-US"/>
        </w:rPr>
        <w:t xml:space="preserve">, </w:t>
      </w:r>
      <w:r w:rsidRPr="004E701A">
        <w:rPr>
          <w:rStyle w:val="lev"/>
          <w:lang w:val="en-US"/>
        </w:rPr>
        <w:t>Rocher L</w:t>
      </w:r>
      <w:r w:rsidRPr="004E701A">
        <w:rPr>
          <w:lang w:val="en-US"/>
        </w:rPr>
        <w:t xml:space="preserve">, et al. CT and MR imaging features of mucinous tubular and spindle cell carcinoma of the kidneys: A multi-institutional review. </w:t>
      </w:r>
      <w:r w:rsidRPr="004E701A">
        <w:rPr>
          <w:rStyle w:val="Accentuation"/>
          <w:lang w:val="en-US"/>
        </w:rPr>
        <w:t>European Radiology.</w:t>
      </w:r>
      <w:r w:rsidRPr="004E701A">
        <w:rPr>
          <w:lang w:val="en-US"/>
        </w:rPr>
        <w:t xml:space="preserve"> 2016;27:1087–1095.</w:t>
      </w:r>
      <w:r w:rsidRPr="004E701A">
        <w:rPr>
          <w:lang w:val="en-US"/>
        </w:rPr>
        <w:br/>
        <w:t xml:space="preserve">[7] </w:t>
      </w:r>
      <w:r w:rsidRPr="004E701A">
        <w:rPr>
          <w:rStyle w:val="lev"/>
          <w:lang w:val="en-US"/>
        </w:rPr>
        <w:t>Kenney P</w:t>
      </w:r>
      <w:r w:rsidRPr="004E701A">
        <w:rPr>
          <w:lang w:val="en-US"/>
        </w:rPr>
        <w:t xml:space="preserve">, </w:t>
      </w:r>
      <w:r w:rsidRPr="004E701A">
        <w:rPr>
          <w:rStyle w:val="lev"/>
          <w:lang w:val="en-US"/>
        </w:rPr>
        <w:t>Vikram R</w:t>
      </w:r>
      <w:r w:rsidRPr="004E701A">
        <w:rPr>
          <w:lang w:val="en-US"/>
        </w:rPr>
        <w:t xml:space="preserve">, </w:t>
      </w:r>
      <w:r w:rsidRPr="004E701A">
        <w:rPr>
          <w:rStyle w:val="lev"/>
          <w:lang w:val="en-US"/>
        </w:rPr>
        <w:t>Prasad S</w:t>
      </w:r>
      <w:r w:rsidRPr="004E701A">
        <w:rPr>
          <w:lang w:val="en-US"/>
        </w:rPr>
        <w:t xml:space="preserve">, et al. Mucinous tubular and spindle cell carcinoma (MTSCC) of the kidney: A detailed study of radiological, pathological and clinical outcomes. </w:t>
      </w:r>
      <w:r>
        <w:rPr>
          <w:rStyle w:val="Accentuation"/>
        </w:rPr>
        <w:t>BJU International.</w:t>
      </w:r>
      <w:r>
        <w:t xml:space="preserve"> 2015;116:85–92.</w:t>
      </w:r>
      <w:r>
        <w:br/>
        <w:t xml:space="preserve">[8] </w:t>
      </w:r>
      <w:proofErr w:type="spellStart"/>
      <w:r>
        <w:rPr>
          <w:rStyle w:val="lev"/>
        </w:rPr>
        <w:t>Hélénon</w:t>
      </w:r>
      <w:proofErr w:type="spellEnd"/>
      <w:r>
        <w:rPr>
          <w:rStyle w:val="lev"/>
        </w:rPr>
        <w:t xml:space="preserve"> O</w:t>
      </w:r>
      <w:r>
        <w:t xml:space="preserve">, </w:t>
      </w:r>
      <w:r>
        <w:rPr>
          <w:rStyle w:val="lev"/>
        </w:rPr>
        <w:t>Crosnier A</w:t>
      </w:r>
      <w:r>
        <w:t xml:space="preserve">, </w:t>
      </w:r>
      <w:proofErr w:type="spellStart"/>
      <w:r>
        <w:rPr>
          <w:rStyle w:val="lev"/>
        </w:rPr>
        <w:t>Eiss</w:t>
      </w:r>
      <w:proofErr w:type="spellEnd"/>
      <w:r>
        <w:rPr>
          <w:rStyle w:val="lev"/>
        </w:rPr>
        <w:t xml:space="preserve"> D</w:t>
      </w:r>
      <w:r>
        <w:t xml:space="preserve">, </w:t>
      </w:r>
      <w:r>
        <w:rPr>
          <w:rStyle w:val="lev"/>
        </w:rPr>
        <w:t>Poirée S</w:t>
      </w:r>
      <w:r>
        <w:t xml:space="preserve">, </w:t>
      </w:r>
      <w:r>
        <w:rPr>
          <w:rStyle w:val="lev"/>
        </w:rPr>
        <w:t>Méjean A</w:t>
      </w:r>
      <w:r>
        <w:t xml:space="preserve">, </w:t>
      </w:r>
      <w:proofErr w:type="spellStart"/>
      <w:r>
        <w:rPr>
          <w:rStyle w:val="lev"/>
        </w:rPr>
        <w:t>Correas</w:t>
      </w:r>
      <w:proofErr w:type="spellEnd"/>
      <w:r>
        <w:rPr>
          <w:rStyle w:val="lev"/>
        </w:rPr>
        <w:t xml:space="preserve"> JM</w:t>
      </w:r>
      <w:r>
        <w:t xml:space="preserve">. </w:t>
      </w:r>
      <w:r w:rsidRPr="004E701A">
        <w:rPr>
          <w:lang w:val="en-US"/>
        </w:rPr>
        <w:t xml:space="preserve">Diagnostic and Pre-Therapeutic Imaging of Malignant Renal Tumors in Adults. </w:t>
      </w:r>
      <w:r>
        <w:rPr>
          <w:rStyle w:val="Accentuation"/>
        </w:rPr>
        <w:t>EMC Radiologie et Imagerie Médicale</w:t>
      </w:r>
      <w:r>
        <w:t xml:space="preserve"> – Génito-urinaire – Gynéco-obstétricale – Mammaire. </w:t>
      </w:r>
      <w:r w:rsidRPr="004E701A">
        <w:rPr>
          <w:lang w:val="en-US"/>
        </w:rPr>
        <w:t>2019;32(2):1–31.</w:t>
      </w:r>
      <w:r w:rsidRPr="004E701A">
        <w:rPr>
          <w:lang w:val="en-US"/>
        </w:rPr>
        <w:br/>
        <w:t xml:space="preserve">[9] </w:t>
      </w:r>
      <w:r w:rsidRPr="004E701A">
        <w:rPr>
          <w:rStyle w:val="lev"/>
          <w:lang w:val="en-US"/>
        </w:rPr>
        <w:t>Roy C</w:t>
      </w:r>
      <w:r w:rsidRPr="004E701A">
        <w:rPr>
          <w:lang w:val="en-US"/>
        </w:rPr>
        <w:t xml:space="preserve">, </w:t>
      </w:r>
      <w:r w:rsidRPr="004E701A">
        <w:rPr>
          <w:rStyle w:val="lev"/>
          <w:lang w:val="en-US"/>
        </w:rPr>
        <w:t>Sauer B</w:t>
      </w:r>
      <w:r w:rsidRPr="004E701A">
        <w:rPr>
          <w:lang w:val="en-US"/>
        </w:rPr>
        <w:t xml:space="preserve">, </w:t>
      </w:r>
      <w:r w:rsidRPr="004E701A">
        <w:rPr>
          <w:rStyle w:val="lev"/>
          <w:lang w:val="en-US"/>
        </w:rPr>
        <w:t>Lindner V</w:t>
      </w:r>
      <w:r w:rsidRPr="004E701A">
        <w:rPr>
          <w:lang w:val="en-US"/>
        </w:rPr>
        <w:t xml:space="preserve">, </w:t>
      </w:r>
      <w:r w:rsidRPr="004E701A">
        <w:rPr>
          <w:rStyle w:val="lev"/>
          <w:lang w:val="en-US"/>
        </w:rPr>
        <w:t>Lang H</w:t>
      </w:r>
      <w:r w:rsidRPr="004E701A">
        <w:rPr>
          <w:lang w:val="en-US"/>
        </w:rPr>
        <w:t xml:space="preserve">, </w:t>
      </w:r>
      <w:proofErr w:type="spellStart"/>
      <w:r w:rsidRPr="004E701A">
        <w:rPr>
          <w:rStyle w:val="lev"/>
          <w:lang w:val="en-US"/>
        </w:rPr>
        <w:t>Saussine</w:t>
      </w:r>
      <w:proofErr w:type="spellEnd"/>
      <w:r w:rsidRPr="004E701A">
        <w:rPr>
          <w:rStyle w:val="lev"/>
          <w:lang w:val="en-US"/>
        </w:rPr>
        <w:t xml:space="preserve"> C</w:t>
      </w:r>
      <w:r w:rsidRPr="004E701A">
        <w:rPr>
          <w:lang w:val="en-US"/>
        </w:rPr>
        <w:t xml:space="preserve">, </w:t>
      </w:r>
      <w:proofErr w:type="spellStart"/>
      <w:r w:rsidRPr="004E701A">
        <w:rPr>
          <w:rStyle w:val="lev"/>
          <w:lang w:val="en-US"/>
        </w:rPr>
        <w:t>Jacqmin</w:t>
      </w:r>
      <w:proofErr w:type="spellEnd"/>
      <w:r w:rsidRPr="004E701A">
        <w:rPr>
          <w:rStyle w:val="lev"/>
          <w:lang w:val="en-US"/>
        </w:rPr>
        <w:t xml:space="preserve"> D</w:t>
      </w:r>
      <w:r w:rsidRPr="004E701A">
        <w:rPr>
          <w:lang w:val="en-US"/>
        </w:rPr>
        <w:t xml:space="preserve">. MR imaging of papillary renal neoplasms: potential application for characterization of small renal masses. </w:t>
      </w:r>
      <w:proofErr w:type="spellStart"/>
      <w:r>
        <w:rPr>
          <w:rStyle w:val="Accentuation"/>
        </w:rPr>
        <w:t>Eur</w:t>
      </w:r>
      <w:proofErr w:type="spellEnd"/>
      <w:r>
        <w:rPr>
          <w:rStyle w:val="Accentuation"/>
        </w:rPr>
        <w:t xml:space="preserve"> </w:t>
      </w:r>
      <w:proofErr w:type="spellStart"/>
      <w:r>
        <w:rPr>
          <w:rStyle w:val="Accentuation"/>
        </w:rPr>
        <w:t>Radiol</w:t>
      </w:r>
      <w:proofErr w:type="spellEnd"/>
      <w:r>
        <w:rPr>
          <w:rStyle w:val="Accentuation"/>
        </w:rPr>
        <w:t>.</w:t>
      </w:r>
      <w:r>
        <w:t xml:space="preserve"> 2006;17(1):193–200.</w:t>
      </w:r>
      <w:r>
        <w:br/>
        <w:t xml:space="preserve">[10] </w:t>
      </w:r>
      <w:r>
        <w:rPr>
          <w:rStyle w:val="lev"/>
        </w:rPr>
        <w:t>Cornelis F</w:t>
      </w:r>
      <w:r>
        <w:t xml:space="preserve">, </w:t>
      </w:r>
      <w:r>
        <w:rPr>
          <w:rStyle w:val="lev"/>
        </w:rPr>
        <w:t>Tricaud E</w:t>
      </w:r>
      <w:r>
        <w:t xml:space="preserve">, </w:t>
      </w:r>
      <w:r>
        <w:rPr>
          <w:rStyle w:val="lev"/>
        </w:rPr>
        <w:t>Lasserre A</w:t>
      </w:r>
      <w:r>
        <w:t xml:space="preserve">, et al. </w:t>
      </w:r>
      <w:r w:rsidRPr="004E701A">
        <w:rPr>
          <w:lang w:val="en-US"/>
        </w:rPr>
        <w:t xml:space="preserve">Routinely performed multiparametric magnetic resonance imaging helps to differentiate common subtypes of renal </w:t>
      </w:r>
      <w:proofErr w:type="spellStart"/>
      <w:r w:rsidRPr="004E701A">
        <w:rPr>
          <w:lang w:val="en-US"/>
        </w:rPr>
        <w:t>tumours</w:t>
      </w:r>
      <w:proofErr w:type="spellEnd"/>
      <w:r w:rsidRPr="004E701A">
        <w:rPr>
          <w:lang w:val="en-US"/>
        </w:rPr>
        <w:t xml:space="preserve">. </w:t>
      </w:r>
      <w:proofErr w:type="spellStart"/>
      <w:r w:rsidRPr="004E701A">
        <w:rPr>
          <w:rStyle w:val="Accentuation"/>
          <w:lang w:val="en-US"/>
        </w:rPr>
        <w:t>Eur</w:t>
      </w:r>
      <w:proofErr w:type="spellEnd"/>
      <w:r w:rsidRPr="004E701A">
        <w:rPr>
          <w:rStyle w:val="Accentuation"/>
          <w:lang w:val="en-US"/>
        </w:rPr>
        <w:t xml:space="preserve"> </w:t>
      </w:r>
      <w:proofErr w:type="spellStart"/>
      <w:r w:rsidRPr="004E701A">
        <w:rPr>
          <w:rStyle w:val="Accentuation"/>
          <w:lang w:val="en-US"/>
        </w:rPr>
        <w:t>Radiol</w:t>
      </w:r>
      <w:proofErr w:type="spellEnd"/>
      <w:r w:rsidRPr="004E701A">
        <w:rPr>
          <w:rStyle w:val="Accentuation"/>
          <w:lang w:val="en-US"/>
        </w:rPr>
        <w:t>.</w:t>
      </w:r>
      <w:r w:rsidRPr="004E701A">
        <w:rPr>
          <w:lang w:val="en-US"/>
        </w:rPr>
        <w:t xml:space="preserve"> 2014;24(5):1068–1080.</w:t>
      </w:r>
      <w:r w:rsidRPr="004E701A">
        <w:rPr>
          <w:lang w:val="en-US"/>
        </w:rPr>
        <w:br/>
        <w:t xml:space="preserve">[11] </w:t>
      </w:r>
      <w:r w:rsidRPr="004E701A">
        <w:rPr>
          <w:rStyle w:val="lev"/>
          <w:lang w:val="en-US"/>
        </w:rPr>
        <w:t>Lopez-Beltran A</w:t>
      </w:r>
      <w:r w:rsidRPr="004E701A">
        <w:rPr>
          <w:lang w:val="en-US"/>
        </w:rPr>
        <w:t xml:space="preserve">, </w:t>
      </w:r>
      <w:r w:rsidRPr="004E701A">
        <w:rPr>
          <w:rStyle w:val="lev"/>
          <w:lang w:val="en-US"/>
        </w:rPr>
        <w:t>Scarpelli M</w:t>
      </w:r>
      <w:r w:rsidRPr="004E701A">
        <w:rPr>
          <w:lang w:val="en-US"/>
        </w:rPr>
        <w:t xml:space="preserve">, </w:t>
      </w:r>
      <w:proofErr w:type="spellStart"/>
      <w:r w:rsidRPr="004E701A">
        <w:rPr>
          <w:rStyle w:val="lev"/>
          <w:lang w:val="en-US"/>
        </w:rPr>
        <w:t>Montironi</w:t>
      </w:r>
      <w:proofErr w:type="spellEnd"/>
      <w:r w:rsidRPr="004E701A">
        <w:rPr>
          <w:rStyle w:val="lev"/>
          <w:lang w:val="en-US"/>
        </w:rPr>
        <w:t xml:space="preserve"> R</w:t>
      </w:r>
      <w:r w:rsidRPr="004E701A">
        <w:rPr>
          <w:lang w:val="en-US"/>
        </w:rPr>
        <w:t xml:space="preserve">, </w:t>
      </w:r>
      <w:proofErr w:type="spellStart"/>
      <w:r w:rsidRPr="004E701A">
        <w:rPr>
          <w:rStyle w:val="lev"/>
          <w:lang w:val="en-US"/>
        </w:rPr>
        <w:t>Kirkali</w:t>
      </w:r>
      <w:proofErr w:type="spellEnd"/>
      <w:r w:rsidRPr="004E701A">
        <w:rPr>
          <w:rStyle w:val="lev"/>
          <w:lang w:val="en-US"/>
        </w:rPr>
        <w:t xml:space="preserve"> Z</w:t>
      </w:r>
      <w:r w:rsidRPr="004E701A">
        <w:rPr>
          <w:lang w:val="en-US"/>
        </w:rPr>
        <w:t xml:space="preserve">. 2004 WHO Classification of the renal tumors of adults. </w:t>
      </w:r>
      <w:proofErr w:type="spellStart"/>
      <w:r w:rsidRPr="004E701A">
        <w:rPr>
          <w:rStyle w:val="Accentuation"/>
          <w:lang w:val="en-US"/>
        </w:rPr>
        <w:t>Eur</w:t>
      </w:r>
      <w:proofErr w:type="spellEnd"/>
      <w:r w:rsidRPr="004E701A">
        <w:rPr>
          <w:rStyle w:val="Accentuation"/>
          <w:lang w:val="en-US"/>
        </w:rPr>
        <w:t xml:space="preserve"> Urol.</w:t>
      </w:r>
      <w:r w:rsidRPr="004E701A">
        <w:rPr>
          <w:lang w:val="en-US"/>
        </w:rPr>
        <w:t xml:space="preserve"> 2006;49(5):798–805.</w:t>
      </w:r>
      <w:r w:rsidRPr="004E701A">
        <w:rPr>
          <w:lang w:val="en-US"/>
        </w:rPr>
        <w:br/>
        <w:t xml:space="preserve">[12] </w:t>
      </w:r>
      <w:r w:rsidRPr="004E701A">
        <w:rPr>
          <w:rStyle w:val="lev"/>
          <w:lang w:val="en-US"/>
        </w:rPr>
        <w:t>Zhao M</w:t>
      </w:r>
      <w:r w:rsidRPr="004E701A">
        <w:rPr>
          <w:lang w:val="en-US"/>
        </w:rPr>
        <w:t xml:space="preserve">, </w:t>
      </w:r>
      <w:r w:rsidRPr="004E701A">
        <w:rPr>
          <w:rStyle w:val="lev"/>
          <w:lang w:val="en-US"/>
        </w:rPr>
        <w:t>He X</w:t>
      </w:r>
      <w:r w:rsidRPr="004E701A">
        <w:rPr>
          <w:lang w:val="en-US"/>
        </w:rPr>
        <w:t xml:space="preserve">, </w:t>
      </w:r>
      <w:r w:rsidRPr="004E701A">
        <w:rPr>
          <w:rStyle w:val="lev"/>
          <w:lang w:val="en-US"/>
        </w:rPr>
        <w:t>Teng X</w:t>
      </w:r>
      <w:r w:rsidRPr="004E701A">
        <w:rPr>
          <w:lang w:val="en-US"/>
        </w:rPr>
        <w:t xml:space="preserve">. Mucinous tubular and spindle cell renal cell carcinoma: a review of clinicopathologic aspects. </w:t>
      </w:r>
      <w:proofErr w:type="spellStart"/>
      <w:r w:rsidRPr="004E701A">
        <w:rPr>
          <w:rStyle w:val="Accentuation"/>
          <w:lang w:val="en-US"/>
        </w:rPr>
        <w:t>Diagn</w:t>
      </w:r>
      <w:proofErr w:type="spellEnd"/>
      <w:r w:rsidRPr="004E701A">
        <w:rPr>
          <w:rStyle w:val="Accentuation"/>
          <w:lang w:val="en-US"/>
        </w:rPr>
        <w:t xml:space="preserve"> </w:t>
      </w:r>
      <w:proofErr w:type="spellStart"/>
      <w:r w:rsidRPr="004E701A">
        <w:rPr>
          <w:rStyle w:val="Accentuation"/>
          <w:lang w:val="en-US"/>
        </w:rPr>
        <w:t>Pathol</w:t>
      </w:r>
      <w:proofErr w:type="spellEnd"/>
      <w:r w:rsidRPr="004E701A">
        <w:rPr>
          <w:rStyle w:val="Accentuation"/>
          <w:lang w:val="en-US"/>
        </w:rPr>
        <w:t>.</w:t>
      </w:r>
      <w:r w:rsidRPr="004E701A">
        <w:rPr>
          <w:lang w:val="en-US"/>
        </w:rPr>
        <w:t xml:space="preserve"> 2015;10(1):168.</w:t>
      </w:r>
      <w:r w:rsidRPr="004E701A">
        <w:rPr>
          <w:lang w:val="en-US"/>
        </w:rPr>
        <w:br/>
        <w:t xml:space="preserve">[13] </w:t>
      </w:r>
      <w:r w:rsidRPr="004E701A">
        <w:rPr>
          <w:rStyle w:val="lev"/>
          <w:lang w:val="en-US"/>
        </w:rPr>
        <w:t>Paner G</w:t>
      </w:r>
      <w:r w:rsidRPr="004E701A">
        <w:rPr>
          <w:lang w:val="en-US"/>
        </w:rPr>
        <w:t xml:space="preserve">, </w:t>
      </w:r>
      <w:r w:rsidRPr="004E701A">
        <w:rPr>
          <w:rStyle w:val="lev"/>
          <w:lang w:val="en-US"/>
        </w:rPr>
        <w:t>Srigley J</w:t>
      </w:r>
      <w:r w:rsidRPr="004E701A">
        <w:rPr>
          <w:lang w:val="en-US"/>
        </w:rPr>
        <w:t xml:space="preserve">, </w:t>
      </w:r>
      <w:r w:rsidRPr="004E701A">
        <w:rPr>
          <w:rStyle w:val="lev"/>
          <w:lang w:val="en-US"/>
        </w:rPr>
        <w:t>Radhakrishnan A</w:t>
      </w:r>
      <w:r w:rsidRPr="004E701A">
        <w:rPr>
          <w:lang w:val="en-US"/>
        </w:rPr>
        <w:t xml:space="preserve">, et al. Immunohistochemical analysis of mucinous tubular and spindle cell carcinoma and papillary renal cell carcinoma of the kidney. </w:t>
      </w:r>
      <w:r w:rsidRPr="004E701A">
        <w:rPr>
          <w:rStyle w:val="Accentuation"/>
          <w:lang w:val="en-US"/>
        </w:rPr>
        <w:t xml:space="preserve">Am J Surg </w:t>
      </w:r>
      <w:proofErr w:type="spellStart"/>
      <w:r w:rsidRPr="004E701A">
        <w:rPr>
          <w:rStyle w:val="Accentuation"/>
          <w:lang w:val="en-US"/>
        </w:rPr>
        <w:lastRenderedPageBreak/>
        <w:t>Pathol</w:t>
      </w:r>
      <w:proofErr w:type="spellEnd"/>
      <w:r w:rsidRPr="004E701A">
        <w:rPr>
          <w:rStyle w:val="Accentuation"/>
          <w:lang w:val="en-US"/>
        </w:rPr>
        <w:t>.</w:t>
      </w:r>
      <w:r w:rsidRPr="004E701A">
        <w:rPr>
          <w:lang w:val="en-US"/>
        </w:rPr>
        <w:t xml:space="preserve"> 2006;30(1):13–19.</w:t>
      </w:r>
      <w:r w:rsidRPr="004E701A">
        <w:rPr>
          <w:lang w:val="en-US"/>
        </w:rPr>
        <w:br/>
        <w:t xml:space="preserve">[14] </w:t>
      </w:r>
      <w:proofErr w:type="spellStart"/>
      <w:r w:rsidRPr="004E701A">
        <w:rPr>
          <w:rStyle w:val="lev"/>
          <w:lang w:val="en-US"/>
        </w:rPr>
        <w:t>Sarsik</w:t>
      </w:r>
      <w:proofErr w:type="spellEnd"/>
      <w:r w:rsidRPr="004E701A">
        <w:rPr>
          <w:rStyle w:val="lev"/>
          <w:lang w:val="en-US"/>
        </w:rPr>
        <w:t xml:space="preserve"> B</w:t>
      </w:r>
      <w:r w:rsidRPr="004E701A">
        <w:rPr>
          <w:lang w:val="en-US"/>
        </w:rPr>
        <w:t xml:space="preserve">, </w:t>
      </w:r>
      <w:proofErr w:type="spellStart"/>
      <w:r w:rsidRPr="004E701A">
        <w:rPr>
          <w:rStyle w:val="lev"/>
          <w:lang w:val="en-US"/>
        </w:rPr>
        <w:t>Simsir</w:t>
      </w:r>
      <w:proofErr w:type="spellEnd"/>
      <w:r w:rsidRPr="004E701A">
        <w:rPr>
          <w:rStyle w:val="lev"/>
          <w:lang w:val="en-US"/>
        </w:rPr>
        <w:t xml:space="preserve"> A</w:t>
      </w:r>
      <w:r w:rsidRPr="004E701A">
        <w:rPr>
          <w:lang w:val="en-US"/>
        </w:rPr>
        <w:t xml:space="preserve">, </w:t>
      </w:r>
      <w:r w:rsidRPr="004E701A">
        <w:rPr>
          <w:rStyle w:val="lev"/>
          <w:lang w:val="en-US"/>
        </w:rPr>
        <w:t>Karaarslan S</w:t>
      </w:r>
      <w:r w:rsidRPr="004E701A">
        <w:rPr>
          <w:lang w:val="en-US"/>
        </w:rPr>
        <w:t xml:space="preserve">, </w:t>
      </w:r>
      <w:r w:rsidRPr="004E701A">
        <w:rPr>
          <w:rStyle w:val="lev"/>
          <w:lang w:val="en-US"/>
        </w:rPr>
        <w:t>Sen S</w:t>
      </w:r>
      <w:r w:rsidRPr="004E701A">
        <w:rPr>
          <w:lang w:val="en-US"/>
        </w:rPr>
        <w:t xml:space="preserve">. Mucinous tubular and spindle cell carcinoma of kidney and problems in diagnosis. </w:t>
      </w:r>
      <w:r w:rsidRPr="004E701A">
        <w:rPr>
          <w:rStyle w:val="Accentuation"/>
          <w:lang w:val="en-US"/>
        </w:rPr>
        <w:t xml:space="preserve">Turk J </w:t>
      </w:r>
      <w:proofErr w:type="spellStart"/>
      <w:r w:rsidRPr="004E701A">
        <w:rPr>
          <w:rStyle w:val="Accentuation"/>
          <w:lang w:val="en-US"/>
        </w:rPr>
        <w:t>Pathol</w:t>
      </w:r>
      <w:proofErr w:type="spellEnd"/>
      <w:r w:rsidRPr="004E701A">
        <w:rPr>
          <w:rStyle w:val="Accentuation"/>
          <w:lang w:val="en-US"/>
        </w:rPr>
        <w:t>.</w:t>
      </w:r>
      <w:r w:rsidRPr="004E701A">
        <w:rPr>
          <w:lang w:val="en-US"/>
        </w:rPr>
        <w:t xml:space="preserve"> 2011;27(2):116.</w:t>
      </w:r>
      <w:r w:rsidRPr="004E701A">
        <w:rPr>
          <w:lang w:val="en-US"/>
        </w:rPr>
        <w:br/>
        <w:t xml:space="preserve">[15] </w:t>
      </w:r>
      <w:r w:rsidRPr="004E701A">
        <w:rPr>
          <w:rStyle w:val="lev"/>
          <w:lang w:val="en-US"/>
        </w:rPr>
        <w:t>Gong P</w:t>
      </w:r>
      <w:r w:rsidRPr="004E701A">
        <w:rPr>
          <w:lang w:val="en-US"/>
        </w:rPr>
        <w:t xml:space="preserve">, </w:t>
      </w:r>
      <w:r w:rsidRPr="004E701A">
        <w:rPr>
          <w:rStyle w:val="lev"/>
          <w:lang w:val="en-US"/>
        </w:rPr>
        <w:t>Zhuang Q</w:t>
      </w:r>
      <w:r w:rsidRPr="004E701A">
        <w:rPr>
          <w:lang w:val="en-US"/>
        </w:rPr>
        <w:t xml:space="preserve">, </w:t>
      </w:r>
      <w:r w:rsidRPr="004E701A">
        <w:rPr>
          <w:rStyle w:val="lev"/>
          <w:lang w:val="en-US"/>
        </w:rPr>
        <w:t>Wang X</w:t>
      </w:r>
      <w:r w:rsidRPr="004E701A">
        <w:rPr>
          <w:lang w:val="en-US"/>
        </w:rPr>
        <w:t xml:space="preserve">, </w:t>
      </w:r>
      <w:r w:rsidRPr="004E701A">
        <w:rPr>
          <w:rStyle w:val="lev"/>
          <w:lang w:val="en-US"/>
        </w:rPr>
        <w:t>Xu R</w:t>
      </w:r>
      <w:r w:rsidRPr="004E701A">
        <w:rPr>
          <w:lang w:val="en-US"/>
        </w:rPr>
        <w:t xml:space="preserve">, </w:t>
      </w:r>
      <w:r w:rsidRPr="004E701A">
        <w:rPr>
          <w:rStyle w:val="lev"/>
          <w:lang w:val="en-US"/>
        </w:rPr>
        <w:t>Ding T</w:t>
      </w:r>
      <w:r w:rsidRPr="004E701A">
        <w:rPr>
          <w:lang w:val="en-US"/>
        </w:rPr>
        <w:t xml:space="preserve">, </w:t>
      </w:r>
      <w:r w:rsidRPr="004E701A">
        <w:rPr>
          <w:rStyle w:val="lev"/>
          <w:lang w:val="en-US"/>
        </w:rPr>
        <w:t>Yin S</w:t>
      </w:r>
      <w:r w:rsidRPr="004E701A">
        <w:rPr>
          <w:lang w:val="en-US"/>
        </w:rPr>
        <w:t xml:space="preserve">, </w:t>
      </w:r>
      <w:r w:rsidRPr="004E701A">
        <w:rPr>
          <w:rStyle w:val="lev"/>
          <w:lang w:val="en-US"/>
        </w:rPr>
        <w:t>He X</w:t>
      </w:r>
      <w:r w:rsidRPr="004E701A">
        <w:rPr>
          <w:lang w:val="en-US"/>
        </w:rPr>
        <w:t xml:space="preserve">. Mucinous tubular and spindle cell carcinoma of the kidney: Five case reports and review of the literature. </w:t>
      </w:r>
      <w:r w:rsidRPr="004E701A">
        <w:rPr>
          <w:rStyle w:val="Accentuation"/>
          <w:lang w:val="en-US"/>
        </w:rPr>
        <w:t>Oncol Lett.</w:t>
      </w:r>
      <w:r w:rsidRPr="004E701A">
        <w:rPr>
          <w:lang w:val="en-US"/>
        </w:rPr>
        <w:t xml:space="preserve"> 2020 Oct 7;20(6):337.</w:t>
      </w:r>
      <w:r w:rsidRPr="004E701A">
        <w:rPr>
          <w:lang w:val="en-US"/>
        </w:rPr>
        <w:br/>
        <w:t xml:space="preserve">[16] </w:t>
      </w:r>
      <w:r w:rsidRPr="004E701A">
        <w:rPr>
          <w:rStyle w:val="lev"/>
          <w:lang w:val="en-US"/>
        </w:rPr>
        <w:t>Xu X</w:t>
      </w:r>
      <w:r w:rsidRPr="004E701A">
        <w:rPr>
          <w:lang w:val="en-US"/>
        </w:rPr>
        <w:t xml:space="preserve">, </w:t>
      </w:r>
      <w:r w:rsidRPr="004E701A">
        <w:rPr>
          <w:rStyle w:val="lev"/>
          <w:lang w:val="en-US"/>
        </w:rPr>
        <w:t>Zhong J</w:t>
      </w:r>
      <w:r w:rsidRPr="004E701A">
        <w:rPr>
          <w:lang w:val="en-US"/>
        </w:rPr>
        <w:t xml:space="preserve">, </w:t>
      </w:r>
      <w:r w:rsidRPr="004E701A">
        <w:rPr>
          <w:rStyle w:val="lev"/>
          <w:lang w:val="en-US"/>
        </w:rPr>
        <w:t>Zhou X</w:t>
      </w:r>
      <w:r w:rsidRPr="004E701A">
        <w:rPr>
          <w:lang w:val="en-US"/>
        </w:rPr>
        <w:t xml:space="preserve">, </w:t>
      </w:r>
      <w:r w:rsidRPr="004E701A">
        <w:rPr>
          <w:rStyle w:val="lev"/>
          <w:lang w:val="en-US"/>
        </w:rPr>
        <w:t>Wei Z</w:t>
      </w:r>
      <w:r w:rsidRPr="004E701A">
        <w:rPr>
          <w:lang w:val="en-US"/>
        </w:rPr>
        <w:t xml:space="preserve">, </w:t>
      </w:r>
      <w:r w:rsidRPr="004E701A">
        <w:rPr>
          <w:rStyle w:val="lev"/>
          <w:lang w:val="en-US"/>
        </w:rPr>
        <w:t>Xia Q</w:t>
      </w:r>
      <w:r w:rsidRPr="004E701A">
        <w:rPr>
          <w:lang w:val="en-US"/>
        </w:rPr>
        <w:t xml:space="preserve">, </w:t>
      </w:r>
      <w:r w:rsidRPr="004E701A">
        <w:rPr>
          <w:rStyle w:val="lev"/>
          <w:lang w:val="en-US"/>
        </w:rPr>
        <w:t>Huang P</w:t>
      </w:r>
      <w:r w:rsidRPr="004E701A">
        <w:rPr>
          <w:lang w:val="en-US"/>
        </w:rPr>
        <w:t xml:space="preserve">, </w:t>
      </w:r>
      <w:r w:rsidRPr="004E701A">
        <w:rPr>
          <w:rStyle w:val="lev"/>
          <w:lang w:val="en-US"/>
        </w:rPr>
        <w:t>Shi C</w:t>
      </w:r>
      <w:r w:rsidRPr="004E701A">
        <w:rPr>
          <w:lang w:val="en-US"/>
        </w:rPr>
        <w:t xml:space="preserve">, </w:t>
      </w:r>
      <w:r w:rsidRPr="004E701A">
        <w:rPr>
          <w:rStyle w:val="lev"/>
          <w:lang w:val="en-US"/>
        </w:rPr>
        <w:t>Da J</w:t>
      </w:r>
      <w:r w:rsidRPr="004E701A">
        <w:rPr>
          <w:lang w:val="en-US"/>
        </w:rPr>
        <w:t xml:space="preserve">, </w:t>
      </w:r>
      <w:r w:rsidRPr="004E701A">
        <w:rPr>
          <w:rStyle w:val="lev"/>
          <w:lang w:val="en-US"/>
        </w:rPr>
        <w:t>Tang C</w:t>
      </w:r>
      <w:r w:rsidRPr="004E701A">
        <w:rPr>
          <w:lang w:val="en-US"/>
        </w:rPr>
        <w:t xml:space="preserve">, </w:t>
      </w:r>
      <w:r w:rsidRPr="004E701A">
        <w:rPr>
          <w:rStyle w:val="lev"/>
          <w:lang w:val="en-US"/>
        </w:rPr>
        <w:t>Cheng W</w:t>
      </w:r>
      <w:r w:rsidRPr="004E701A">
        <w:rPr>
          <w:lang w:val="en-US"/>
        </w:rPr>
        <w:t xml:space="preserve">, </w:t>
      </w:r>
      <w:r w:rsidRPr="004E701A">
        <w:rPr>
          <w:rStyle w:val="lev"/>
          <w:lang w:val="en-US"/>
        </w:rPr>
        <w:t>Ge J</w:t>
      </w:r>
      <w:r w:rsidRPr="004E701A">
        <w:rPr>
          <w:lang w:val="en-US"/>
        </w:rPr>
        <w:t xml:space="preserve">. Mucinous tubular and spindle cell carcinoma of the kidney: Study of clinical, imaging features, and treatment outcomes. </w:t>
      </w:r>
      <w:r w:rsidRPr="004E701A">
        <w:rPr>
          <w:rStyle w:val="Accentuation"/>
          <w:lang w:val="en-US"/>
        </w:rPr>
        <w:t>Front Oncol.</w:t>
      </w:r>
      <w:r w:rsidRPr="004E701A">
        <w:rPr>
          <w:lang w:val="en-US"/>
        </w:rPr>
        <w:t xml:space="preserve"> 2022 Apr 11;12:865263.</w:t>
      </w:r>
      <w:r w:rsidRPr="004E701A">
        <w:rPr>
          <w:lang w:val="en-US"/>
        </w:rPr>
        <w:br/>
        <w:t xml:space="preserve">[17] </w:t>
      </w:r>
      <w:r w:rsidRPr="004E701A">
        <w:rPr>
          <w:rStyle w:val="lev"/>
          <w:lang w:val="en-US"/>
        </w:rPr>
        <w:t>Ling C</w:t>
      </w:r>
      <w:r w:rsidRPr="004E701A">
        <w:rPr>
          <w:lang w:val="en-US"/>
        </w:rPr>
        <w:t xml:space="preserve">, </w:t>
      </w:r>
      <w:r w:rsidRPr="004E701A">
        <w:rPr>
          <w:rStyle w:val="lev"/>
          <w:lang w:val="en-US"/>
        </w:rPr>
        <w:t>Tan R</w:t>
      </w:r>
      <w:r w:rsidRPr="004E701A">
        <w:rPr>
          <w:lang w:val="en-US"/>
        </w:rPr>
        <w:t xml:space="preserve">, </w:t>
      </w:r>
      <w:r w:rsidRPr="004E701A">
        <w:rPr>
          <w:rStyle w:val="lev"/>
          <w:lang w:val="en-US"/>
        </w:rPr>
        <w:t>Li J</w:t>
      </w:r>
      <w:r w:rsidRPr="004E701A">
        <w:rPr>
          <w:lang w:val="en-US"/>
        </w:rPr>
        <w:t xml:space="preserve">, </w:t>
      </w:r>
      <w:r w:rsidRPr="004E701A">
        <w:rPr>
          <w:rStyle w:val="lev"/>
          <w:lang w:val="en-US"/>
        </w:rPr>
        <w:t>Feng J</w:t>
      </w:r>
      <w:r w:rsidRPr="004E701A">
        <w:rPr>
          <w:lang w:val="en-US"/>
        </w:rPr>
        <w:t xml:space="preserve">. Mucinous tubular and spindle cell carcinoma of the kidney: a report of seven cases. </w:t>
      </w:r>
      <w:r w:rsidRPr="004E701A">
        <w:rPr>
          <w:rStyle w:val="Accentuation"/>
          <w:lang w:val="en-US"/>
        </w:rPr>
        <w:t>BMC Cancer.</w:t>
      </w:r>
      <w:r w:rsidRPr="004E701A">
        <w:rPr>
          <w:lang w:val="en-US"/>
        </w:rPr>
        <w:t xml:space="preserve"> 2023;23:815.</w:t>
      </w:r>
      <w:r w:rsidRPr="004E701A">
        <w:rPr>
          <w:lang w:val="en-US"/>
        </w:rPr>
        <w:br/>
        <w:t xml:space="preserve">[18] </w:t>
      </w:r>
      <w:r w:rsidRPr="004E701A">
        <w:rPr>
          <w:rStyle w:val="lev"/>
          <w:lang w:val="en-US"/>
        </w:rPr>
        <w:t>Ali RH</w:t>
      </w:r>
      <w:r w:rsidRPr="004E701A">
        <w:rPr>
          <w:lang w:val="en-US"/>
        </w:rPr>
        <w:t xml:space="preserve">, </w:t>
      </w:r>
      <w:r w:rsidRPr="004E701A">
        <w:rPr>
          <w:rStyle w:val="lev"/>
          <w:lang w:val="en-US"/>
        </w:rPr>
        <w:t>Ali RM</w:t>
      </w:r>
      <w:r w:rsidRPr="004E701A">
        <w:rPr>
          <w:lang w:val="en-US"/>
        </w:rPr>
        <w:t xml:space="preserve">, </w:t>
      </w:r>
      <w:r w:rsidRPr="004E701A">
        <w:rPr>
          <w:rStyle w:val="lev"/>
          <w:lang w:val="en-US"/>
        </w:rPr>
        <w:t>Ali SM</w:t>
      </w:r>
      <w:r w:rsidRPr="004E701A">
        <w:rPr>
          <w:lang w:val="en-US"/>
        </w:rPr>
        <w:t xml:space="preserve">, </w:t>
      </w:r>
      <w:r w:rsidRPr="004E701A">
        <w:rPr>
          <w:rStyle w:val="lev"/>
          <w:lang w:val="en-US"/>
        </w:rPr>
        <w:t>Ari MA</w:t>
      </w:r>
      <w:r w:rsidRPr="004E701A">
        <w:rPr>
          <w:lang w:val="en-US"/>
        </w:rPr>
        <w:t xml:space="preserve">, </w:t>
      </w:r>
      <w:r w:rsidRPr="004E701A">
        <w:rPr>
          <w:rStyle w:val="lev"/>
          <w:lang w:val="en-US"/>
        </w:rPr>
        <w:t>Abdullah ÅS</w:t>
      </w:r>
      <w:r w:rsidRPr="004E701A">
        <w:rPr>
          <w:lang w:val="en-US"/>
        </w:rPr>
        <w:t xml:space="preserve">, </w:t>
      </w:r>
      <w:r w:rsidRPr="004E701A">
        <w:rPr>
          <w:rStyle w:val="lev"/>
          <w:lang w:val="en-US"/>
        </w:rPr>
        <w:t>Abdullah SA</w:t>
      </w:r>
      <w:r w:rsidRPr="004E701A">
        <w:rPr>
          <w:lang w:val="en-US"/>
        </w:rPr>
        <w:t xml:space="preserve">, </w:t>
      </w:r>
      <w:r w:rsidRPr="004E701A">
        <w:rPr>
          <w:rStyle w:val="lev"/>
          <w:lang w:val="en-US"/>
        </w:rPr>
        <w:t>Abbas AJ</w:t>
      </w:r>
      <w:r w:rsidRPr="004E701A">
        <w:rPr>
          <w:lang w:val="en-US"/>
        </w:rPr>
        <w:t xml:space="preserve">, </w:t>
      </w:r>
      <w:r w:rsidRPr="004E701A">
        <w:rPr>
          <w:rStyle w:val="lev"/>
          <w:lang w:val="en-US"/>
        </w:rPr>
        <w:t>Ibrahim HL</w:t>
      </w:r>
      <w:r w:rsidRPr="004E701A">
        <w:rPr>
          <w:lang w:val="en-US"/>
        </w:rPr>
        <w:t xml:space="preserve">, </w:t>
      </w:r>
      <w:proofErr w:type="spellStart"/>
      <w:r w:rsidRPr="004E701A">
        <w:rPr>
          <w:rStyle w:val="lev"/>
          <w:lang w:val="en-US"/>
        </w:rPr>
        <w:t>Pshtiwan</w:t>
      </w:r>
      <w:proofErr w:type="spellEnd"/>
      <w:r w:rsidRPr="004E701A">
        <w:rPr>
          <w:rStyle w:val="lev"/>
          <w:lang w:val="en-US"/>
        </w:rPr>
        <w:t xml:space="preserve"> RA</w:t>
      </w:r>
      <w:r w:rsidRPr="004E701A">
        <w:rPr>
          <w:lang w:val="en-US"/>
        </w:rPr>
        <w:t xml:space="preserve">, </w:t>
      </w:r>
      <w:r w:rsidRPr="004E701A">
        <w:rPr>
          <w:rStyle w:val="lev"/>
          <w:lang w:val="en-US"/>
        </w:rPr>
        <w:t>Abdalla FA</w:t>
      </w:r>
      <w:r w:rsidRPr="004E701A">
        <w:rPr>
          <w:lang w:val="en-US"/>
        </w:rPr>
        <w:t xml:space="preserve">, </w:t>
      </w:r>
      <w:proofErr w:type="spellStart"/>
      <w:r w:rsidRPr="004E701A">
        <w:rPr>
          <w:rStyle w:val="lev"/>
          <w:lang w:val="en-US"/>
        </w:rPr>
        <w:t>Kakamad</w:t>
      </w:r>
      <w:proofErr w:type="spellEnd"/>
      <w:r w:rsidRPr="004E701A">
        <w:rPr>
          <w:rStyle w:val="lev"/>
          <w:lang w:val="en-US"/>
        </w:rPr>
        <w:t xml:space="preserve"> FH</w:t>
      </w:r>
      <w:r w:rsidRPr="004E701A">
        <w:rPr>
          <w:lang w:val="en-US"/>
        </w:rPr>
        <w:t xml:space="preserve">. Mucinous tubular and spindle cell carcinoma: A case report. </w:t>
      </w:r>
      <w:r w:rsidRPr="004E701A">
        <w:rPr>
          <w:rStyle w:val="Accentuation"/>
          <w:lang w:val="en-US"/>
        </w:rPr>
        <w:t xml:space="preserve">World </w:t>
      </w:r>
      <w:proofErr w:type="spellStart"/>
      <w:r w:rsidRPr="004E701A">
        <w:rPr>
          <w:rStyle w:val="Accentuation"/>
          <w:lang w:val="en-US"/>
        </w:rPr>
        <w:t>Acad</w:t>
      </w:r>
      <w:proofErr w:type="spellEnd"/>
      <w:r w:rsidRPr="004E701A">
        <w:rPr>
          <w:rStyle w:val="Accentuation"/>
          <w:lang w:val="en-US"/>
        </w:rPr>
        <w:t xml:space="preserve"> Sci J.</w:t>
      </w:r>
      <w:r w:rsidRPr="004E701A">
        <w:rPr>
          <w:lang w:val="en-US"/>
        </w:rPr>
        <w:t xml:space="preserve"> 2024;6(1):14.</w:t>
      </w:r>
      <w:r w:rsidRPr="004E701A">
        <w:rPr>
          <w:lang w:val="en-US"/>
        </w:rPr>
        <w:br/>
        <w:t xml:space="preserve">[19] </w:t>
      </w:r>
      <w:r w:rsidRPr="004E701A">
        <w:rPr>
          <w:rStyle w:val="lev"/>
          <w:lang w:val="en-US"/>
        </w:rPr>
        <w:t>Tamir KT</w:t>
      </w:r>
      <w:r w:rsidRPr="004E701A">
        <w:rPr>
          <w:lang w:val="en-US"/>
        </w:rPr>
        <w:t xml:space="preserve">, </w:t>
      </w:r>
      <w:r w:rsidRPr="004E701A">
        <w:rPr>
          <w:rStyle w:val="lev"/>
          <w:lang w:val="en-US"/>
        </w:rPr>
        <w:t>Ademe SA</w:t>
      </w:r>
      <w:r w:rsidRPr="004E701A">
        <w:rPr>
          <w:lang w:val="en-US"/>
        </w:rPr>
        <w:t xml:space="preserve">, </w:t>
      </w:r>
      <w:proofErr w:type="spellStart"/>
      <w:r w:rsidRPr="004E701A">
        <w:rPr>
          <w:rStyle w:val="lev"/>
          <w:lang w:val="en-US"/>
        </w:rPr>
        <w:t>Mikru</w:t>
      </w:r>
      <w:proofErr w:type="spellEnd"/>
      <w:r w:rsidRPr="004E701A">
        <w:rPr>
          <w:rStyle w:val="lev"/>
          <w:lang w:val="en-US"/>
        </w:rPr>
        <w:t xml:space="preserve"> AM</w:t>
      </w:r>
      <w:r w:rsidRPr="004E701A">
        <w:rPr>
          <w:lang w:val="en-US"/>
        </w:rPr>
        <w:t xml:space="preserve">, </w:t>
      </w:r>
      <w:proofErr w:type="spellStart"/>
      <w:r w:rsidRPr="004E701A">
        <w:rPr>
          <w:rStyle w:val="lev"/>
          <w:lang w:val="en-US"/>
        </w:rPr>
        <w:t>Jiffar</w:t>
      </w:r>
      <w:proofErr w:type="spellEnd"/>
      <w:r w:rsidRPr="004E701A">
        <w:rPr>
          <w:rStyle w:val="lev"/>
          <w:lang w:val="en-US"/>
        </w:rPr>
        <w:t xml:space="preserve"> AD</w:t>
      </w:r>
      <w:r w:rsidRPr="004E701A">
        <w:rPr>
          <w:lang w:val="en-US"/>
        </w:rPr>
        <w:t xml:space="preserve">, </w:t>
      </w:r>
      <w:r w:rsidRPr="004E701A">
        <w:rPr>
          <w:rStyle w:val="lev"/>
          <w:lang w:val="en-US"/>
        </w:rPr>
        <w:t>Hamza AK</w:t>
      </w:r>
      <w:r w:rsidRPr="004E701A">
        <w:rPr>
          <w:lang w:val="en-US"/>
        </w:rPr>
        <w:t xml:space="preserve">, </w:t>
      </w:r>
      <w:r w:rsidRPr="004E701A">
        <w:rPr>
          <w:rStyle w:val="lev"/>
          <w:lang w:val="en-US"/>
        </w:rPr>
        <w:t>Ayalew ZS</w:t>
      </w:r>
      <w:r w:rsidRPr="004E701A">
        <w:rPr>
          <w:lang w:val="en-US"/>
        </w:rPr>
        <w:t xml:space="preserve">. Mucinous tubular and spindle cell carcinoma very rare variant kidney cancer: Case report. </w:t>
      </w:r>
      <w:r w:rsidRPr="004E701A">
        <w:rPr>
          <w:rStyle w:val="Accentuation"/>
          <w:lang w:val="en-US"/>
        </w:rPr>
        <w:t>Int J Surg Case Rep.</w:t>
      </w:r>
      <w:r w:rsidRPr="004E701A">
        <w:rPr>
          <w:lang w:val="en-US"/>
        </w:rPr>
        <w:t xml:space="preserve"> 2024 Oct;123:110193.</w:t>
      </w:r>
      <w:r w:rsidRPr="004E701A">
        <w:rPr>
          <w:lang w:val="en-US"/>
        </w:rPr>
        <w:br/>
        <w:t xml:space="preserve">[20] </w:t>
      </w:r>
      <w:r w:rsidRPr="004E701A">
        <w:rPr>
          <w:rStyle w:val="lev"/>
          <w:lang w:val="en-US"/>
        </w:rPr>
        <w:t>Xiao L</w:t>
      </w:r>
      <w:r w:rsidRPr="004E701A">
        <w:rPr>
          <w:lang w:val="en-US"/>
        </w:rPr>
        <w:t xml:space="preserve">, </w:t>
      </w:r>
      <w:r w:rsidRPr="004E701A">
        <w:rPr>
          <w:rStyle w:val="lev"/>
          <w:lang w:val="en-US"/>
        </w:rPr>
        <w:t>Xiao W</w:t>
      </w:r>
      <w:r w:rsidRPr="004E701A">
        <w:rPr>
          <w:lang w:val="en-US"/>
        </w:rPr>
        <w:t xml:space="preserve">, </w:t>
      </w:r>
      <w:r w:rsidRPr="004E701A">
        <w:rPr>
          <w:rStyle w:val="lev"/>
          <w:lang w:val="en-US"/>
        </w:rPr>
        <w:t>Guo Y</w:t>
      </w:r>
      <w:r w:rsidRPr="004E701A">
        <w:rPr>
          <w:lang w:val="en-US"/>
        </w:rPr>
        <w:t xml:space="preserve">, </w:t>
      </w:r>
      <w:r w:rsidRPr="004E701A">
        <w:rPr>
          <w:rStyle w:val="lev"/>
          <w:lang w:val="en-US"/>
        </w:rPr>
        <w:t>Jin P</w:t>
      </w:r>
      <w:r w:rsidRPr="004E701A">
        <w:rPr>
          <w:lang w:val="en-US"/>
        </w:rPr>
        <w:t xml:space="preserve">. Huge mucinous tubular and spindle cell carcinoma of the kidney: A case report. </w:t>
      </w:r>
      <w:proofErr w:type="spellStart"/>
      <w:r w:rsidRPr="004E701A">
        <w:rPr>
          <w:rStyle w:val="Accentuation"/>
          <w:lang w:val="en-US"/>
        </w:rPr>
        <w:t>Urol</w:t>
      </w:r>
      <w:proofErr w:type="spellEnd"/>
      <w:r w:rsidRPr="004E701A">
        <w:rPr>
          <w:rStyle w:val="Accentuation"/>
          <w:lang w:val="en-US"/>
        </w:rPr>
        <w:t xml:space="preserve"> Case Rep.</w:t>
      </w:r>
      <w:r w:rsidRPr="004E701A">
        <w:rPr>
          <w:lang w:val="en-US"/>
        </w:rPr>
        <w:t xml:space="preserve"> 2022 Jan;40:101914.</w:t>
      </w:r>
      <w:r w:rsidRPr="004E701A">
        <w:rPr>
          <w:lang w:val="en-US"/>
        </w:rPr>
        <w:br/>
        <w:t xml:space="preserve">[21] </w:t>
      </w:r>
      <w:r w:rsidRPr="004E701A">
        <w:rPr>
          <w:rStyle w:val="lev"/>
          <w:lang w:val="en-US"/>
        </w:rPr>
        <w:t>Tsang SL</w:t>
      </w:r>
      <w:r w:rsidRPr="004E701A">
        <w:rPr>
          <w:lang w:val="en-US"/>
        </w:rPr>
        <w:t xml:space="preserve">, </w:t>
      </w:r>
      <w:r w:rsidRPr="004E701A">
        <w:rPr>
          <w:rStyle w:val="lev"/>
          <w:lang w:val="en-US"/>
        </w:rPr>
        <w:t>Hsu SS</w:t>
      </w:r>
      <w:r w:rsidRPr="004E701A">
        <w:rPr>
          <w:lang w:val="en-US"/>
        </w:rPr>
        <w:t xml:space="preserve">, </w:t>
      </w:r>
      <w:r w:rsidRPr="004E701A">
        <w:rPr>
          <w:rStyle w:val="lev"/>
          <w:lang w:val="en-US"/>
        </w:rPr>
        <w:t>Cheung AN</w:t>
      </w:r>
      <w:r w:rsidRPr="004E701A">
        <w:rPr>
          <w:lang w:val="en-US"/>
        </w:rPr>
        <w:t xml:space="preserve">, </w:t>
      </w:r>
      <w:r w:rsidRPr="004E701A">
        <w:rPr>
          <w:rStyle w:val="lev"/>
          <w:lang w:val="en-US"/>
        </w:rPr>
        <w:t>Ho SHB</w:t>
      </w:r>
      <w:r w:rsidRPr="004E701A">
        <w:rPr>
          <w:lang w:val="en-US"/>
        </w:rPr>
        <w:t xml:space="preserve">, </w:t>
      </w:r>
      <w:r w:rsidRPr="004E701A">
        <w:rPr>
          <w:rStyle w:val="lev"/>
          <w:lang w:val="en-US"/>
        </w:rPr>
        <w:t>Ng ATL</w:t>
      </w:r>
      <w:r w:rsidRPr="004E701A">
        <w:rPr>
          <w:lang w:val="en-US"/>
        </w:rPr>
        <w:t xml:space="preserve">. Mucinous Tubular and Spindle Cell Carcinoma: Case Report and Literature Review. </w:t>
      </w:r>
      <w:r>
        <w:rPr>
          <w:rStyle w:val="Accentuation"/>
        </w:rPr>
        <w:t xml:space="preserve">J </w:t>
      </w:r>
      <w:proofErr w:type="spellStart"/>
      <w:r>
        <w:rPr>
          <w:rStyle w:val="Accentuation"/>
        </w:rPr>
        <w:t>Kidney</w:t>
      </w:r>
      <w:proofErr w:type="spellEnd"/>
      <w:r>
        <w:rPr>
          <w:rStyle w:val="Accentuation"/>
        </w:rPr>
        <w:t xml:space="preserve"> Cancer.</w:t>
      </w:r>
      <w:r>
        <w:t xml:space="preserve"> 2025;12(1):6–11.</w:t>
      </w:r>
    </w:p>
    <w:sectPr w:rsidR="00452F73" w:rsidRPr="00AA6C64">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178E04" w14:textId="77777777" w:rsidR="00B42FE0" w:rsidRDefault="00B42FE0" w:rsidP="000B6BD6">
      <w:pPr>
        <w:spacing w:after="0" w:line="240" w:lineRule="auto"/>
      </w:pPr>
      <w:r>
        <w:separator/>
      </w:r>
    </w:p>
  </w:endnote>
  <w:endnote w:type="continuationSeparator" w:id="0">
    <w:p w14:paraId="006F87C4" w14:textId="77777777" w:rsidR="00B42FE0" w:rsidRDefault="00B42FE0" w:rsidP="000B6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SansUnicode">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F7025" w14:textId="77777777" w:rsidR="000B6BD6" w:rsidRDefault="000B6BD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4FCAF" w14:textId="77777777" w:rsidR="000B6BD6" w:rsidRDefault="000B6BD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82A41" w14:textId="77777777" w:rsidR="000B6BD6" w:rsidRDefault="000B6BD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BD9BA7" w14:textId="77777777" w:rsidR="00B42FE0" w:rsidRDefault="00B42FE0" w:rsidP="000B6BD6">
      <w:pPr>
        <w:spacing w:after="0" w:line="240" w:lineRule="auto"/>
      </w:pPr>
      <w:r>
        <w:separator/>
      </w:r>
    </w:p>
  </w:footnote>
  <w:footnote w:type="continuationSeparator" w:id="0">
    <w:p w14:paraId="51D1C48E" w14:textId="77777777" w:rsidR="00B42FE0" w:rsidRDefault="00B42FE0" w:rsidP="000B6B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45EFE" w14:textId="63606EC4" w:rsidR="000B6BD6" w:rsidRDefault="00000000">
    <w:pPr>
      <w:pStyle w:val="En-tte"/>
    </w:pPr>
    <w:r>
      <w:rPr>
        <w:noProof/>
      </w:rPr>
      <w:pict w14:anchorId="06F796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721063"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CA85C" w14:textId="1684BAC2" w:rsidR="000B6BD6" w:rsidRDefault="00000000">
    <w:pPr>
      <w:pStyle w:val="En-tte"/>
    </w:pPr>
    <w:r>
      <w:rPr>
        <w:noProof/>
      </w:rPr>
      <w:pict w14:anchorId="014A32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721064"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74A94" w14:textId="01BAFDBB" w:rsidR="000B6BD6" w:rsidRDefault="00000000">
    <w:pPr>
      <w:pStyle w:val="En-tte"/>
    </w:pPr>
    <w:r>
      <w:rPr>
        <w:noProof/>
      </w:rPr>
      <w:pict w14:anchorId="24EBB6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721062"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AC6809"/>
    <w:multiLevelType w:val="hybridMultilevel"/>
    <w:tmpl w:val="023C1AAE"/>
    <w:lvl w:ilvl="0" w:tplc="85CC7CE2">
      <w:start w:val="1"/>
      <w:numFmt w:val="decimal"/>
      <w:lvlText w:val="[%1]"/>
      <w:lvlJc w:val="left"/>
      <w:pPr>
        <w:ind w:left="720" w:hanging="360"/>
      </w:pPr>
      <w:rPr>
        <w:rFonts w:hint="default"/>
        <w:b/>
        <w:bCs/>
        <w:lang w:val="en-G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BBB79DE"/>
    <w:multiLevelType w:val="hybridMultilevel"/>
    <w:tmpl w:val="0FCA3A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075351551">
    <w:abstractNumId w:val="1"/>
  </w:num>
  <w:num w:numId="2" w16cid:durableId="556674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03B"/>
    <w:rsid w:val="000111CE"/>
    <w:rsid w:val="00035FBD"/>
    <w:rsid w:val="00080411"/>
    <w:rsid w:val="000B6BD6"/>
    <w:rsid w:val="000F18F8"/>
    <w:rsid w:val="000F47F6"/>
    <w:rsid w:val="000F6801"/>
    <w:rsid w:val="001032F7"/>
    <w:rsid w:val="00104967"/>
    <w:rsid w:val="00122B0F"/>
    <w:rsid w:val="00160536"/>
    <w:rsid w:val="002A1534"/>
    <w:rsid w:val="002B4ACD"/>
    <w:rsid w:val="002B698D"/>
    <w:rsid w:val="003048D6"/>
    <w:rsid w:val="00326248"/>
    <w:rsid w:val="003405DD"/>
    <w:rsid w:val="00397817"/>
    <w:rsid w:val="003A1DA8"/>
    <w:rsid w:val="003A2F33"/>
    <w:rsid w:val="00406850"/>
    <w:rsid w:val="0041578C"/>
    <w:rsid w:val="0043541C"/>
    <w:rsid w:val="00452F73"/>
    <w:rsid w:val="0046154B"/>
    <w:rsid w:val="0046604F"/>
    <w:rsid w:val="00467F46"/>
    <w:rsid w:val="004E701A"/>
    <w:rsid w:val="00554AB6"/>
    <w:rsid w:val="00586BEB"/>
    <w:rsid w:val="005A7EB7"/>
    <w:rsid w:val="005E436E"/>
    <w:rsid w:val="00697CAF"/>
    <w:rsid w:val="00713912"/>
    <w:rsid w:val="007420A5"/>
    <w:rsid w:val="007B14CA"/>
    <w:rsid w:val="00867954"/>
    <w:rsid w:val="009430E1"/>
    <w:rsid w:val="00A666F6"/>
    <w:rsid w:val="00AA6C64"/>
    <w:rsid w:val="00B15664"/>
    <w:rsid w:val="00B35486"/>
    <w:rsid w:val="00B42FE0"/>
    <w:rsid w:val="00B8781D"/>
    <w:rsid w:val="00BA7D2C"/>
    <w:rsid w:val="00BB6719"/>
    <w:rsid w:val="00BD4CE7"/>
    <w:rsid w:val="00C13501"/>
    <w:rsid w:val="00C22668"/>
    <w:rsid w:val="00C34495"/>
    <w:rsid w:val="00C765E5"/>
    <w:rsid w:val="00C93A71"/>
    <w:rsid w:val="00CC403B"/>
    <w:rsid w:val="00CD0481"/>
    <w:rsid w:val="00D177F1"/>
    <w:rsid w:val="00D62438"/>
    <w:rsid w:val="00D631C0"/>
    <w:rsid w:val="00D65D0D"/>
    <w:rsid w:val="00DE4D74"/>
    <w:rsid w:val="00E24859"/>
    <w:rsid w:val="00E31836"/>
    <w:rsid w:val="00F4692D"/>
    <w:rsid w:val="00FA117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6F1926"/>
  <w15:chartTrackingRefBased/>
  <w15:docId w15:val="{3842FED2-DFD0-4564-9170-3DC7D0EC7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C403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CC403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CC403B"/>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CC403B"/>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CC403B"/>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CC403B"/>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CC403B"/>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CC403B"/>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CC403B"/>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C403B"/>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CC403B"/>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CC403B"/>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CC403B"/>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CC403B"/>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CC403B"/>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C403B"/>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C403B"/>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C403B"/>
    <w:rPr>
      <w:rFonts w:eastAsiaTheme="majorEastAsia" w:cstheme="majorBidi"/>
      <w:color w:val="272727" w:themeColor="text1" w:themeTint="D8"/>
    </w:rPr>
  </w:style>
  <w:style w:type="paragraph" w:styleId="Titre">
    <w:name w:val="Title"/>
    <w:basedOn w:val="Normal"/>
    <w:next w:val="Normal"/>
    <w:link w:val="TitreCar"/>
    <w:uiPriority w:val="10"/>
    <w:qFormat/>
    <w:rsid w:val="00CC40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C403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CC403B"/>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C403B"/>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C403B"/>
    <w:pPr>
      <w:spacing w:before="160"/>
      <w:jc w:val="center"/>
    </w:pPr>
    <w:rPr>
      <w:i/>
      <w:iCs/>
      <w:color w:val="404040" w:themeColor="text1" w:themeTint="BF"/>
    </w:rPr>
  </w:style>
  <w:style w:type="character" w:customStyle="1" w:styleId="CitationCar">
    <w:name w:val="Citation Car"/>
    <w:basedOn w:val="Policepardfaut"/>
    <w:link w:val="Citation"/>
    <w:uiPriority w:val="29"/>
    <w:rsid w:val="00CC403B"/>
    <w:rPr>
      <w:i/>
      <w:iCs/>
      <w:color w:val="404040" w:themeColor="text1" w:themeTint="BF"/>
    </w:rPr>
  </w:style>
  <w:style w:type="paragraph" w:styleId="Paragraphedeliste">
    <w:name w:val="List Paragraph"/>
    <w:basedOn w:val="Normal"/>
    <w:uiPriority w:val="34"/>
    <w:qFormat/>
    <w:rsid w:val="00CC403B"/>
    <w:pPr>
      <w:ind w:left="720"/>
      <w:contextualSpacing/>
    </w:pPr>
  </w:style>
  <w:style w:type="character" w:styleId="Accentuationintense">
    <w:name w:val="Intense Emphasis"/>
    <w:basedOn w:val="Policepardfaut"/>
    <w:uiPriority w:val="21"/>
    <w:qFormat/>
    <w:rsid w:val="00CC403B"/>
    <w:rPr>
      <w:i/>
      <w:iCs/>
      <w:color w:val="2F5496" w:themeColor="accent1" w:themeShade="BF"/>
    </w:rPr>
  </w:style>
  <w:style w:type="paragraph" w:styleId="Citationintense">
    <w:name w:val="Intense Quote"/>
    <w:basedOn w:val="Normal"/>
    <w:next w:val="Normal"/>
    <w:link w:val="CitationintenseCar"/>
    <w:uiPriority w:val="30"/>
    <w:qFormat/>
    <w:rsid w:val="00CC403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CC403B"/>
    <w:rPr>
      <w:i/>
      <w:iCs/>
      <w:color w:val="2F5496" w:themeColor="accent1" w:themeShade="BF"/>
    </w:rPr>
  </w:style>
  <w:style w:type="character" w:styleId="Rfrenceintense">
    <w:name w:val="Intense Reference"/>
    <w:basedOn w:val="Policepardfaut"/>
    <w:uiPriority w:val="32"/>
    <w:qFormat/>
    <w:rsid w:val="00CC403B"/>
    <w:rPr>
      <w:b/>
      <w:bCs/>
      <w:smallCaps/>
      <w:color w:val="2F5496" w:themeColor="accent1" w:themeShade="BF"/>
      <w:spacing w:val="5"/>
    </w:rPr>
  </w:style>
  <w:style w:type="paragraph" w:styleId="NormalWeb">
    <w:name w:val="Normal (Web)"/>
    <w:basedOn w:val="Normal"/>
    <w:uiPriority w:val="99"/>
    <w:unhideWhenUsed/>
    <w:rsid w:val="00080411"/>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character" w:styleId="lev">
    <w:name w:val="Strong"/>
    <w:basedOn w:val="Policepardfaut"/>
    <w:uiPriority w:val="22"/>
    <w:qFormat/>
    <w:rsid w:val="00080411"/>
    <w:rPr>
      <w:b/>
      <w:bCs/>
    </w:rPr>
  </w:style>
  <w:style w:type="character" w:customStyle="1" w:styleId="relative">
    <w:name w:val="relative"/>
    <w:basedOn w:val="Policepardfaut"/>
    <w:rsid w:val="0041578C"/>
  </w:style>
  <w:style w:type="character" w:styleId="Accentuation">
    <w:name w:val="Emphasis"/>
    <w:basedOn w:val="Policepardfaut"/>
    <w:uiPriority w:val="20"/>
    <w:qFormat/>
    <w:rsid w:val="0041578C"/>
    <w:rPr>
      <w:i/>
      <w:iCs/>
    </w:rPr>
  </w:style>
  <w:style w:type="character" w:styleId="Lienhypertexte">
    <w:name w:val="Hyperlink"/>
    <w:basedOn w:val="Policepardfaut"/>
    <w:uiPriority w:val="99"/>
    <w:unhideWhenUsed/>
    <w:rsid w:val="0041578C"/>
    <w:rPr>
      <w:color w:val="0000FF"/>
      <w:u w:val="single"/>
    </w:rPr>
  </w:style>
  <w:style w:type="character" w:styleId="Mentionnonrsolue">
    <w:name w:val="Unresolved Mention"/>
    <w:basedOn w:val="Policepardfaut"/>
    <w:uiPriority w:val="99"/>
    <w:semiHidden/>
    <w:unhideWhenUsed/>
    <w:rsid w:val="00D62438"/>
    <w:rPr>
      <w:color w:val="605E5C"/>
      <w:shd w:val="clear" w:color="auto" w:fill="E1DFDD"/>
    </w:rPr>
  </w:style>
  <w:style w:type="paragraph" w:styleId="En-tte">
    <w:name w:val="header"/>
    <w:basedOn w:val="Normal"/>
    <w:link w:val="En-tteCar"/>
    <w:uiPriority w:val="99"/>
    <w:unhideWhenUsed/>
    <w:rsid w:val="000B6BD6"/>
    <w:pPr>
      <w:tabs>
        <w:tab w:val="center" w:pos="4680"/>
        <w:tab w:val="right" w:pos="9360"/>
      </w:tabs>
      <w:spacing w:after="0" w:line="240" w:lineRule="auto"/>
    </w:pPr>
  </w:style>
  <w:style w:type="character" w:customStyle="1" w:styleId="En-tteCar">
    <w:name w:val="En-tête Car"/>
    <w:basedOn w:val="Policepardfaut"/>
    <w:link w:val="En-tte"/>
    <w:uiPriority w:val="99"/>
    <w:rsid w:val="000B6BD6"/>
  </w:style>
  <w:style w:type="paragraph" w:styleId="Pieddepage">
    <w:name w:val="footer"/>
    <w:basedOn w:val="Normal"/>
    <w:link w:val="PieddepageCar"/>
    <w:uiPriority w:val="99"/>
    <w:unhideWhenUsed/>
    <w:rsid w:val="000B6BD6"/>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0B6B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7528">
      <w:bodyDiv w:val="1"/>
      <w:marLeft w:val="0"/>
      <w:marRight w:val="0"/>
      <w:marTop w:val="0"/>
      <w:marBottom w:val="0"/>
      <w:divBdr>
        <w:top w:val="none" w:sz="0" w:space="0" w:color="auto"/>
        <w:left w:val="none" w:sz="0" w:space="0" w:color="auto"/>
        <w:bottom w:val="none" w:sz="0" w:space="0" w:color="auto"/>
        <w:right w:val="none" w:sz="0" w:space="0" w:color="auto"/>
      </w:divBdr>
    </w:div>
    <w:div w:id="6561556">
      <w:bodyDiv w:val="1"/>
      <w:marLeft w:val="0"/>
      <w:marRight w:val="0"/>
      <w:marTop w:val="0"/>
      <w:marBottom w:val="0"/>
      <w:divBdr>
        <w:top w:val="none" w:sz="0" w:space="0" w:color="auto"/>
        <w:left w:val="none" w:sz="0" w:space="0" w:color="auto"/>
        <w:bottom w:val="none" w:sz="0" w:space="0" w:color="auto"/>
        <w:right w:val="none" w:sz="0" w:space="0" w:color="auto"/>
      </w:divBdr>
    </w:div>
    <w:div w:id="100995247">
      <w:bodyDiv w:val="1"/>
      <w:marLeft w:val="0"/>
      <w:marRight w:val="0"/>
      <w:marTop w:val="0"/>
      <w:marBottom w:val="0"/>
      <w:divBdr>
        <w:top w:val="none" w:sz="0" w:space="0" w:color="auto"/>
        <w:left w:val="none" w:sz="0" w:space="0" w:color="auto"/>
        <w:bottom w:val="none" w:sz="0" w:space="0" w:color="auto"/>
        <w:right w:val="none" w:sz="0" w:space="0" w:color="auto"/>
      </w:divBdr>
    </w:div>
    <w:div w:id="112791794">
      <w:bodyDiv w:val="1"/>
      <w:marLeft w:val="0"/>
      <w:marRight w:val="0"/>
      <w:marTop w:val="0"/>
      <w:marBottom w:val="0"/>
      <w:divBdr>
        <w:top w:val="none" w:sz="0" w:space="0" w:color="auto"/>
        <w:left w:val="none" w:sz="0" w:space="0" w:color="auto"/>
        <w:bottom w:val="none" w:sz="0" w:space="0" w:color="auto"/>
        <w:right w:val="none" w:sz="0" w:space="0" w:color="auto"/>
      </w:divBdr>
    </w:div>
    <w:div w:id="183521350">
      <w:bodyDiv w:val="1"/>
      <w:marLeft w:val="0"/>
      <w:marRight w:val="0"/>
      <w:marTop w:val="0"/>
      <w:marBottom w:val="0"/>
      <w:divBdr>
        <w:top w:val="none" w:sz="0" w:space="0" w:color="auto"/>
        <w:left w:val="none" w:sz="0" w:space="0" w:color="auto"/>
        <w:bottom w:val="none" w:sz="0" w:space="0" w:color="auto"/>
        <w:right w:val="none" w:sz="0" w:space="0" w:color="auto"/>
      </w:divBdr>
    </w:div>
    <w:div w:id="304744005">
      <w:bodyDiv w:val="1"/>
      <w:marLeft w:val="0"/>
      <w:marRight w:val="0"/>
      <w:marTop w:val="0"/>
      <w:marBottom w:val="0"/>
      <w:divBdr>
        <w:top w:val="none" w:sz="0" w:space="0" w:color="auto"/>
        <w:left w:val="none" w:sz="0" w:space="0" w:color="auto"/>
        <w:bottom w:val="none" w:sz="0" w:space="0" w:color="auto"/>
        <w:right w:val="none" w:sz="0" w:space="0" w:color="auto"/>
      </w:divBdr>
    </w:div>
    <w:div w:id="420562308">
      <w:bodyDiv w:val="1"/>
      <w:marLeft w:val="0"/>
      <w:marRight w:val="0"/>
      <w:marTop w:val="0"/>
      <w:marBottom w:val="0"/>
      <w:divBdr>
        <w:top w:val="none" w:sz="0" w:space="0" w:color="auto"/>
        <w:left w:val="none" w:sz="0" w:space="0" w:color="auto"/>
        <w:bottom w:val="none" w:sz="0" w:space="0" w:color="auto"/>
        <w:right w:val="none" w:sz="0" w:space="0" w:color="auto"/>
      </w:divBdr>
    </w:div>
    <w:div w:id="708337762">
      <w:bodyDiv w:val="1"/>
      <w:marLeft w:val="0"/>
      <w:marRight w:val="0"/>
      <w:marTop w:val="0"/>
      <w:marBottom w:val="0"/>
      <w:divBdr>
        <w:top w:val="none" w:sz="0" w:space="0" w:color="auto"/>
        <w:left w:val="none" w:sz="0" w:space="0" w:color="auto"/>
        <w:bottom w:val="none" w:sz="0" w:space="0" w:color="auto"/>
        <w:right w:val="none" w:sz="0" w:space="0" w:color="auto"/>
      </w:divBdr>
    </w:div>
    <w:div w:id="728772777">
      <w:bodyDiv w:val="1"/>
      <w:marLeft w:val="0"/>
      <w:marRight w:val="0"/>
      <w:marTop w:val="0"/>
      <w:marBottom w:val="0"/>
      <w:divBdr>
        <w:top w:val="none" w:sz="0" w:space="0" w:color="auto"/>
        <w:left w:val="none" w:sz="0" w:space="0" w:color="auto"/>
        <w:bottom w:val="none" w:sz="0" w:space="0" w:color="auto"/>
        <w:right w:val="none" w:sz="0" w:space="0" w:color="auto"/>
      </w:divBdr>
    </w:div>
    <w:div w:id="921377298">
      <w:bodyDiv w:val="1"/>
      <w:marLeft w:val="0"/>
      <w:marRight w:val="0"/>
      <w:marTop w:val="0"/>
      <w:marBottom w:val="0"/>
      <w:divBdr>
        <w:top w:val="none" w:sz="0" w:space="0" w:color="auto"/>
        <w:left w:val="none" w:sz="0" w:space="0" w:color="auto"/>
        <w:bottom w:val="none" w:sz="0" w:space="0" w:color="auto"/>
        <w:right w:val="none" w:sz="0" w:space="0" w:color="auto"/>
      </w:divBdr>
    </w:div>
    <w:div w:id="946274595">
      <w:bodyDiv w:val="1"/>
      <w:marLeft w:val="0"/>
      <w:marRight w:val="0"/>
      <w:marTop w:val="0"/>
      <w:marBottom w:val="0"/>
      <w:divBdr>
        <w:top w:val="none" w:sz="0" w:space="0" w:color="auto"/>
        <w:left w:val="none" w:sz="0" w:space="0" w:color="auto"/>
        <w:bottom w:val="none" w:sz="0" w:space="0" w:color="auto"/>
        <w:right w:val="none" w:sz="0" w:space="0" w:color="auto"/>
      </w:divBdr>
    </w:div>
    <w:div w:id="955791662">
      <w:bodyDiv w:val="1"/>
      <w:marLeft w:val="0"/>
      <w:marRight w:val="0"/>
      <w:marTop w:val="0"/>
      <w:marBottom w:val="0"/>
      <w:divBdr>
        <w:top w:val="none" w:sz="0" w:space="0" w:color="auto"/>
        <w:left w:val="none" w:sz="0" w:space="0" w:color="auto"/>
        <w:bottom w:val="none" w:sz="0" w:space="0" w:color="auto"/>
        <w:right w:val="none" w:sz="0" w:space="0" w:color="auto"/>
      </w:divBdr>
    </w:div>
    <w:div w:id="1075905538">
      <w:bodyDiv w:val="1"/>
      <w:marLeft w:val="0"/>
      <w:marRight w:val="0"/>
      <w:marTop w:val="0"/>
      <w:marBottom w:val="0"/>
      <w:divBdr>
        <w:top w:val="none" w:sz="0" w:space="0" w:color="auto"/>
        <w:left w:val="none" w:sz="0" w:space="0" w:color="auto"/>
        <w:bottom w:val="none" w:sz="0" w:space="0" w:color="auto"/>
        <w:right w:val="none" w:sz="0" w:space="0" w:color="auto"/>
      </w:divBdr>
    </w:div>
    <w:div w:id="1164860289">
      <w:bodyDiv w:val="1"/>
      <w:marLeft w:val="0"/>
      <w:marRight w:val="0"/>
      <w:marTop w:val="0"/>
      <w:marBottom w:val="0"/>
      <w:divBdr>
        <w:top w:val="none" w:sz="0" w:space="0" w:color="auto"/>
        <w:left w:val="none" w:sz="0" w:space="0" w:color="auto"/>
        <w:bottom w:val="none" w:sz="0" w:space="0" w:color="auto"/>
        <w:right w:val="none" w:sz="0" w:space="0" w:color="auto"/>
      </w:divBdr>
    </w:div>
    <w:div w:id="1208030264">
      <w:bodyDiv w:val="1"/>
      <w:marLeft w:val="0"/>
      <w:marRight w:val="0"/>
      <w:marTop w:val="0"/>
      <w:marBottom w:val="0"/>
      <w:divBdr>
        <w:top w:val="none" w:sz="0" w:space="0" w:color="auto"/>
        <w:left w:val="none" w:sz="0" w:space="0" w:color="auto"/>
        <w:bottom w:val="none" w:sz="0" w:space="0" w:color="auto"/>
        <w:right w:val="none" w:sz="0" w:space="0" w:color="auto"/>
      </w:divBdr>
    </w:div>
    <w:div w:id="1322352013">
      <w:bodyDiv w:val="1"/>
      <w:marLeft w:val="0"/>
      <w:marRight w:val="0"/>
      <w:marTop w:val="0"/>
      <w:marBottom w:val="0"/>
      <w:divBdr>
        <w:top w:val="none" w:sz="0" w:space="0" w:color="auto"/>
        <w:left w:val="none" w:sz="0" w:space="0" w:color="auto"/>
        <w:bottom w:val="none" w:sz="0" w:space="0" w:color="auto"/>
        <w:right w:val="none" w:sz="0" w:space="0" w:color="auto"/>
      </w:divBdr>
    </w:div>
    <w:div w:id="1447312555">
      <w:bodyDiv w:val="1"/>
      <w:marLeft w:val="0"/>
      <w:marRight w:val="0"/>
      <w:marTop w:val="0"/>
      <w:marBottom w:val="0"/>
      <w:divBdr>
        <w:top w:val="none" w:sz="0" w:space="0" w:color="auto"/>
        <w:left w:val="none" w:sz="0" w:space="0" w:color="auto"/>
        <w:bottom w:val="none" w:sz="0" w:space="0" w:color="auto"/>
        <w:right w:val="none" w:sz="0" w:space="0" w:color="auto"/>
      </w:divBdr>
    </w:div>
    <w:div w:id="1747531188">
      <w:bodyDiv w:val="1"/>
      <w:marLeft w:val="0"/>
      <w:marRight w:val="0"/>
      <w:marTop w:val="0"/>
      <w:marBottom w:val="0"/>
      <w:divBdr>
        <w:top w:val="none" w:sz="0" w:space="0" w:color="auto"/>
        <w:left w:val="none" w:sz="0" w:space="0" w:color="auto"/>
        <w:bottom w:val="none" w:sz="0" w:space="0" w:color="auto"/>
        <w:right w:val="none" w:sz="0" w:space="0" w:color="auto"/>
      </w:divBdr>
    </w:div>
    <w:div w:id="1770079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931</TotalTime>
  <Pages>8</Pages>
  <Words>2367</Words>
  <Characters>13019</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30</cp:revision>
  <dcterms:created xsi:type="dcterms:W3CDTF">2025-06-11T15:04:00Z</dcterms:created>
  <dcterms:modified xsi:type="dcterms:W3CDTF">2025-06-28T16:04:00Z</dcterms:modified>
</cp:coreProperties>
</file>