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537B4CA4" w14:textId="77777777" w:rsidR="001B489B" w:rsidRDefault="001B489B" w:rsidP="002309B8">
      <w:pPr>
        <w:jc w:val="right"/>
        <w:rPr>
          <w:rFonts w:ascii="Arial" w:hAnsi="Arial" w:cs="Arial"/>
          <w:b/>
          <w:noProof/>
          <w:sz w:val="28"/>
          <w:szCs w:val="28"/>
          <w:lang w:eastAsia="en-PH"/>
        </w:rPr>
      </w:pPr>
    </w:p>
    <w:p w14:paraId="07C2F539" w14:textId="69A3D165" w:rsidR="00FD7D01" w:rsidRDefault="00FD7D01" w:rsidP="00FD7D01">
      <w:pPr>
        <w:jc w:val="right"/>
        <w:rPr>
          <w:rFonts w:ascii="Arial" w:hAnsi="Arial" w:cs="Arial"/>
          <w:b/>
          <w:noProof/>
          <w:sz w:val="28"/>
          <w:szCs w:val="28"/>
          <w:lang w:eastAsia="en-PH"/>
        </w:rPr>
      </w:pPr>
      <w:r w:rsidRPr="00FD7D01">
        <w:rPr>
          <w:rFonts w:ascii="Arial" w:hAnsi="Arial" w:cs="Arial"/>
          <w:b/>
          <w:noProof/>
          <w:sz w:val="28"/>
          <w:szCs w:val="28"/>
          <w:lang w:eastAsia="en-PH"/>
        </w:rPr>
        <w:t>BOLSTERING</w:t>
      </w:r>
      <w:r>
        <w:rPr>
          <w:rFonts w:ascii="Arial" w:hAnsi="Arial" w:cs="Arial"/>
          <w:b/>
          <w:noProof/>
          <w:sz w:val="28"/>
          <w:szCs w:val="28"/>
          <w:lang w:eastAsia="en-PH"/>
        </w:rPr>
        <w:t xml:space="preserve"> DURABILITY SKILLS OF EDUCATORS </w:t>
      </w:r>
      <w:r w:rsidRPr="00FD7D01">
        <w:rPr>
          <w:rFonts w:ascii="Arial" w:hAnsi="Arial" w:cs="Arial"/>
          <w:b/>
          <w:noProof/>
          <w:sz w:val="28"/>
          <w:szCs w:val="28"/>
          <w:lang w:eastAsia="en-PH"/>
        </w:rPr>
        <w:t>AND OCCUPATIONAL COMMITMENT OF TEACHERS IN PUBLIC ELEMENTARY SCHOOLS</w:t>
      </w:r>
    </w:p>
    <w:p w14:paraId="66D83740" w14:textId="77777777" w:rsidR="009D1ED1" w:rsidRPr="00FD7D01" w:rsidRDefault="009D1ED1" w:rsidP="00FD7D01">
      <w:pPr>
        <w:jc w:val="right"/>
        <w:rPr>
          <w:rFonts w:ascii="Arial" w:hAnsi="Arial" w:cs="Arial"/>
          <w:b/>
          <w:noProof/>
          <w:sz w:val="28"/>
          <w:szCs w:val="28"/>
          <w:lang w:eastAsia="en-PH"/>
        </w:rPr>
      </w:pP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C12652">
          <w:headerReference w:type="first" r:id="rId8"/>
          <w:footerReference w:type="first" r:id="rId9"/>
          <w:pgSz w:w="12240" w:h="15840"/>
          <w:pgMar w:top="1170" w:right="2016" w:bottom="2016" w:left="2016" w:header="720" w:footer="1296" w:gutter="0"/>
          <w:cols w:space="720"/>
          <w:docGrid w:linePitch="326"/>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Pr="007E5C64" w:rsidRDefault="00180859">
      <w:pPr>
        <w:pStyle w:val="AbstHead"/>
        <w:spacing w:after="0"/>
        <w:jc w:val="both"/>
        <w:rPr>
          <w:rFonts w:ascii="Arial" w:hAnsi="Arial" w:cs="Arial"/>
          <w:sz w:val="20"/>
        </w:rPr>
      </w:pPr>
      <w:r w:rsidRPr="007E5C64">
        <w:rPr>
          <w:rFonts w:ascii="Arial" w:hAnsi="Arial" w:cs="Arial"/>
          <w:sz w:val="20"/>
        </w:rPr>
        <w:t xml:space="preserve">ABSTRACT </w:t>
      </w:r>
    </w:p>
    <w:p w14:paraId="3D835972" w14:textId="77777777" w:rsidR="00717F2E" w:rsidRPr="007E5C64"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rsidRPr="007E5C64" w14:paraId="4274D69E" w14:textId="77777777" w:rsidTr="008825C9">
        <w:trPr>
          <w:trHeight w:val="3167"/>
        </w:trPr>
        <w:tc>
          <w:tcPr>
            <w:tcW w:w="9576" w:type="dxa"/>
            <w:shd w:val="clear" w:color="auto" w:fill="F2F2F2"/>
          </w:tcPr>
          <w:p w14:paraId="10E1D353" w14:textId="35F42B64" w:rsidR="00717F2E" w:rsidRPr="007E5C64" w:rsidRDefault="00742D13" w:rsidP="00896129">
            <w:pPr>
              <w:jc w:val="both"/>
              <w:rPr>
                <w:rFonts w:ascii="Arial" w:hAnsi="Arial" w:cs="Arial"/>
                <w:iCs/>
                <w:sz w:val="20"/>
                <w:szCs w:val="20"/>
              </w:rPr>
            </w:pPr>
            <w:r w:rsidRPr="00742D13">
              <w:rPr>
                <w:rFonts w:ascii="Arial" w:hAnsi="Arial" w:cs="Arial"/>
                <w:iCs/>
                <w:sz w:val="20"/>
                <w:szCs w:val="20"/>
              </w:rPr>
              <w:t xml:space="preserve">This study aimed to examine the significant relationship between bolstering durability skills and occupational commitment among public elementary school teachers. A descriptive-correlational research design was employed, with 132 elementary school teachers from public schools in </w:t>
            </w:r>
            <w:proofErr w:type="spellStart"/>
            <w:r w:rsidRPr="00742D13">
              <w:rPr>
                <w:rFonts w:ascii="Arial" w:hAnsi="Arial" w:cs="Arial"/>
                <w:iCs/>
                <w:sz w:val="20"/>
                <w:szCs w:val="20"/>
              </w:rPr>
              <w:t>Malalag</w:t>
            </w:r>
            <w:proofErr w:type="spellEnd"/>
            <w:r w:rsidRPr="00742D13">
              <w:rPr>
                <w:rFonts w:ascii="Arial" w:hAnsi="Arial" w:cs="Arial"/>
                <w:iCs/>
                <w:sz w:val="20"/>
                <w:szCs w:val="20"/>
              </w:rPr>
              <w:t xml:space="preserve"> District, Division of Davao del Sur, participating as respondents of this study. Data were collected using adapted standardized questionnaires and analyzed using mean, standard deviation (SD), Pearson product-moment correlation, and multiple linear regression analyses. The results showed that both bolstering durability skills and occupational commitment were at very high levels among teachers. Correlation analysis revealed a strong positive relationship between bolstering durability skills and occupational commitment. Furthermore, multiple regression analysis indicated that among the domains of durability skills, supportive work environment, stress management, and sense of purpose and motivation significantly influenced occupational commitment, with supportive work environment having the strongest impact. Meanwhile, emotional resilience, adaptability and flexibility, and self-care and work-life balance were found to have no significant effect on occupational commitment. Based on these findings, it is recommended that school administrators prioritize creating supportive work environments, provide stress management resources, and foster teachers’ sense of purpose through motivation and professional development. These strategies may enhance teacher resilience, promote occupational commitment, and contribute to a more stable and effective educational workforce.</w:t>
            </w:r>
          </w:p>
        </w:tc>
      </w:tr>
    </w:tbl>
    <w:p w14:paraId="175A3F79" w14:textId="77777777" w:rsidR="00717F2E" w:rsidRPr="007E5C64" w:rsidRDefault="00717F2E">
      <w:pPr>
        <w:pStyle w:val="Body"/>
        <w:spacing w:after="0"/>
        <w:rPr>
          <w:rFonts w:ascii="Arial" w:hAnsi="Arial" w:cs="Arial"/>
          <w:i/>
        </w:rPr>
      </w:pPr>
    </w:p>
    <w:p w14:paraId="63A7B6AA" w14:textId="6B34956D" w:rsidR="00BB0E63" w:rsidRDefault="00180859" w:rsidP="00BB0E63">
      <w:pPr>
        <w:jc w:val="both"/>
        <w:rPr>
          <w:rFonts w:ascii="Arial" w:hAnsi="Arial" w:cs="Arial"/>
          <w:iCs/>
          <w:sz w:val="20"/>
          <w:szCs w:val="20"/>
        </w:rPr>
      </w:pPr>
      <w:r w:rsidRPr="007E5C64">
        <w:rPr>
          <w:rFonts w:ascii="Arial" w:hAnsi="Arial" w:cs="Arial"/>
          <w:i/>
          <w:iCs/>
          <w:sz w:val="20"/>
          <w:szCs w:val="20"/>
        </w:rPr>
        <w:t>Keywords</w:t>
      </w:r>
      <w:r w:rsidRPr="007E5C64">
        <w:rPr>
          <w:rFonts w:ascii="Arial" w:hAnsi="Arial" w:cs="Arial"/>
          <w:sz w:val="20"/>
          <w:szCs w:val="20"/>
        </w:rPr>
        <w:t xml:space="preserve">: </w:t>
      </w:r>
      <w:r w:rsidR="00742D13" w:rsidRPr="00742D13">
        <w:rPr>
          <w:rFonts w:ascii="Arial" w:hAnsi="Arial" w:cs="Arial"/>
          <w:iCs/>
          <w:sz w:val="20"/>
          <w:szCs w:val="20"/>
        </w:rPr>
        <w:t xml:space="preserve">Bolstering Durability Skills, Occupational Commitment, Public Elementary School Teachers, </w:t>
      </w:r>
      <w:proofErr w:type="spellStart"/>
      <w:r w:rsidR="00742D13" w:rsidRPr="00742D13">
        <w:rPr>
          <w:rFonts w:ascii="Arial" w:hAnsi="Arial" w:cs="Arial"/>
          <w:iCs/>
          <w:sz w:val="20"/>
          <w:szCs w:val="20"/>
        </w:rPr>
        <w:t>Malalag</w:t>
      </w:r>
      <w:proofErr w:type="spellEnd"/>
      <w:r w:rsidR="00742D13" w:rsidRPr="00742D13">
        <w:rPr>
          <w:rFonts w:ascii="Arial" w:hAnsi="Arial" w:cs="Arial"/>
          <w:iCs/>
          <w:sz w:val="20"/>
          <w:szCs w:val="20"/>
        </w:rPr>
        <w:t xml:space="preserve"> District, Descriptive-Correlational, Education</w:t>
      </w:r>
    </w:p>
    <w:p w14:paraId="5B556544" w14:textId="77777777" w:rsidR="00742D13" w:rsidRPr="007E5C64" w:rsidRDefault="00742D13" w:rsidP="00BB0E63">
      <w:pPr>
        <w:jc w:val="both"/>
        <w:rPr>
          <w:rFonts w:ascii="Arial" w:hAnsi="Arial" w:cs="Arial"/>
          <w:sz w:val="20"/>
          <w:szCs w:val="20"/>
        </w:rPr>
      </w:pPr>
    </w:p>
    <w:p w14:paraId="0C7D9A8E" w14:textId="77777777" w:rsidR="00717F2E" w:rsidRPr="007E5C64" w:rsidRDefault="00180859">
      <w:pPr>
        <w:pStyle w:val="AbstHead"/>
        <w:spacing w:after="0"/>
        <w:jc w:val="both"/>
        <w:rPr>
          <w:rFonts w:ascii="Arial" w:hAnsi="Arial" w:cs="Arial"/>
          <w:sz w:val="20"/>
        </w:rPr>
      </w:pPr>
      <w:r w:rsidRPr="007E5C64">
        <w:rPr>
          <w:rFonts w:ascii="Arial" w:hAnsi="Arial" w:cs="Arial"/>
          <w:sz w:val="20"/>
        </w:rPr>
        <w:t>1. INTRODUCTION</w:t>
      </w:r>
    </w:p>
    <w:p w14:paraId="499EF934" w14:textId="77777777" w:rsidR="00717F2E" w:rsidRPr="007E5C64" w:rsidRDefault="00717F2E">
      <w:pPr>
        <w:pStyle w:val="AbstHead"/>
        <w:spacing w:after="0"/>
        <w:jc w:val="both"/>
        <w:rPr>
          <w:rFonts w:ascii="Arial" w:hAnsi="Arial" w:cs="Arial"/>
          <w:sz w:val="20"/>
        </w:rPr>
      </w:pPr>
    </w:p>
    <w:p w14:paraId="18F08587" w14:textId="65CFABA5" w:rsidR="00C72D2D" w:rsidRPr="00C72D2D" w:rsidRDefault="00C72D2D" w:rsidP="00C72D2D">
      <w:pPr>
        <w:jc w:val="both"/>
        <w:rPr>
          <w:rFonts w:ascii="Arial" w:hAnsi="Arial"/>
          <w:sz w:val="20"/>
          <w:szCs w:val="20"/>
        </w:rPr>
      </w:pPr>
      <w:r w:rsidRPr="00C72D2D">
        <w:rPr>
          <w:rFonts w:ascii="Arial" w:hAnsi="Arial"/>
          <w:sz w:val="20"/>
          <w:szCs w:val="20"/>
        </w:rPr>
        <w:t>Bolstering the durability skills of educators and fostering their occupational commitment are critical to the long-term success of the educational system. However, multiple challenge</w:t>
      </w:r>
      <w:r>
        <w:rPr>
          <w:rFonts w:ascii="Arial" w:hAnsi="Arial"/>
          <w:sz w:val="20"/>
          <w:szCs w:val="20"/>
        </w:rPr>
        <w:t>s hinder these efforts (</w:t>
      </w:r>
      <w:proofErr w:type="spellStart"/>
      <w:r w:rsidRPr="00C72D2D">
        <w:rPr>
          <w:rFonts w:ascii="Arial" w:hAnsi="Arial"/>
          <w:sz w:val="20"/>
          <w:szCs w:val="20"/>
        </w:rPr>
        <w:t>Adanu</w:t>
      </w:r>
      <w:proofErr w:type="spellEnd"/>
      <w:r>
        <w:rPr>
          <w:rFonts w:ascii="Arial" w:hAnsi="Arial"/>
          <w:sz w:val="20"/>
          <w:szCs w:val="20"/>
        </w:rPr>
        <w:t>, 2024).</w:t>
      </w:r>
      <w:r w:rsidRPr="00C72D2D">
        <w:rPr>
          <w:rFonts w:ascii="Arial" w:hAnsi="Arial"/>
          <w:sz w:val="20"/>
          <w:szCs w:val="20"/>
        </w:rPr>
        <w:t xml:space="preserve"> One major concern is teacher burnout, which stems from the increasing demands placed on educators. Long working hours, excessive administrative tasks, and the emotional burden of managing diverse student needs often diminish teachers' ability to sustain resilience and stamina. This exhaustion can result in lower job satisfaction, reduced enthusiasm for teaching, and weakened commitment to the profession. When educators are overwhelmed, their capacity to adapt to challenges and persist through difficulties is compromised, making it more difficult to maintain dura</w:t>
      </w:r>
      <w:r>
        <w:rPr>
          <w:rFonts w:ascii="Arial" w:hAnsi="Arial"/>
          <w:sz w:val="20"/>
          <w:szCs w:val="20"/>
        </w:rPr>
        <w:t>bility throughout their careers (</w:t>
      </w:r>
      <w:r w:rsidRPr="00C72D2D">
        <w:rPr>
          <w:rFonts w:ascii="Arial" w:hAnsi="Arial"/>
          <w:sz w:val="20"/>
          <w:szCs w:val="20"/>
        </w:rPr>
        <w:t>Stoddart</w:t>
      </w:r>
      <w:r>
        <w:rPr>
          <w:rFonts w:ascii="Arial" w:hAnsi="Arial"/>
          <w:sz w:val="20"/>
          <w:szCs w:val="20"/>
        </w:rPr>
        <w:t xml:space="preserve">, 2024). </w:t>
      </w:r>
    </w:p>
    <w:p w14:paraId="5E3F43B7" w14:textId="77777777" w:rsidR="00C72D2D" w:rsidRPr="00C72D2D" w:rsidRDefault="00C72D2D" w:rsidP="00C72D2D">
      <w:pPr>
        <w:jc w:val="both"/>
        <w:rPr>
          <w:rFonts w:ascii="Arial" w:hAnsi="Arial"/>
          <w:sz w:val="20"/>
          <w:szCs w:val="20"/>
        </w:rPr>
      </w:pPr>
    </w:p>
    <w:p w14:paraId="3C159BBF" w14:textId="46F8228C" w:rsidR="00C72D2D" w:rsidRPr="00C72D2D" w:rsidRDefault="00FA5606" w:rsidP="00C72D2D">
      <w:pPr>
        <w:jc w:val="both"/>
        <w:rPr>
          <w:rFonts w:ascii="Arial" w:hAnsi="Arial"/>
          <w:sz w:val="20"/>
          <w:szCs w:val="20"/>
        </w:rPr>
      </w:pPr>
      <w:r w:rsidRPr="00FA5606">
        <w:rPr>
          <w:rFonts w:ascii="Arial" w:hAnsi="Arial"/>
          <w:sz w:val="20"/>
          <w:szCs w:val="20"/>
        </w:rPr>
        <w:t>Huang</w:t>
      </w:r>
      <w:r w:rsidR="00C72D2D" w:rsidRPr="00C72D2D">
        <w:rPr>
          <w:rFonts w:ascii="Arial" w:hAnsi="Arial"/>
          <w:sz w:val="20"/>
          <w:szCs w:val="20"/>
        </w:rPr>
        <w:t xml:space="preserve"> et al. (2023) </w:t>
      </w:r>
      <w:r>
        <w:rPr>
          <w:rFonts w:ascii="Arial" w:hAnsi="Arial"/>
          <w:sz w:val="20"/>
          <w:szCs w:val="20"/>
        </w:rPr>
        <w:t>highlighted that</w:t>
      </w:r>
      <w:r w:rsidR="00C72D2D" w:rsidRPr="00C72D2D">
        <w:rPr>
          <w:rFonts w:ascii="Arial" w:hAnsi="Arial"/>
          <w:sz w:val="20"/>
          <w:szCs w:val="20"/>
        </w:rPr>
        <w:t xml:space="preserve"> a strong person–job fit positively influenced occupational commitment, with perceived organizational support playing a moderating role. This underscores the importance of aligning teachers’ roles with their skills and providing a </w:t>
      </w:r>
      <w:r w:rsidR="00C72D2D" w:rsidRPr="00C72D2D">
        <w:rPr>
          <w:rFonts w:ascii="Arial" w:hAnsi="Arial"/>
          <w:sz w:val="20"/>
          <w:szCs w:val="20"/>
        </w:rPr>
        <w:lastRenderedPageBreak/>
        <w:t xml:space="preserve">supportive work environment. Similarly, </w:t>
      </w:r>
      <w:r w:rsidRPr="00FA5606">
        <w:rPr>
          <w:rFonts w:ascii="Arial" w:hAnsi="Arial"/>
          <w:sz w:val="20"/>
          <w:szCs w:val="20"/>
        </w:rPr>
        <w:t>Nassir</w:t>
      </w:r>
      <w:r>
        <w:rPr>
          <w:rFonts w:ascii="Arial" w:hAnsi="Arial"/>
          <w:sz w:val="20"/>
          <w:szCs w:val="20"/>
        </w:rPr>
        <w:t xml:space="preserve"> and </w:t>
      </w:r>
      <w:proofErr w:type="spellStart"/>
      <w:r w:rsidRPr="00FA5606">
        <w:rPr>
          <w:rFonts w:ascii="Arial" w:hAnsi="Arial"/>
          <w:sz w:val="20"/>
          <w:szCs w:val="20"/>
        </w:rPr>
        <w:t>Benoliel</w:t>
      </w:r>
      <w:proofErr w:type="spellEnd"/>
      <w:r>
        <w:rPr>
          <w:rFonts w:ascii="Arial" w:hAnsi="Arial"/>
          <w:sz w:val="20"/>
          <w:szCs w:val="20"/>
        </w:rPr>
        <w:t xml:space="preserve"> (2024</w:t>
      </w:r>
      <w:r w:rsidR="00C72D2D" w:rsidRPr="00C72D2D">
        <w:rPr>
          <w:rFonts w:ascii="Arial" w:hAnsi="Arial"/>
          <w:sz w:val="20"/>
          <w:szCs w:val="20"/>
        </w:rPr>
        <w:t xml:space="preserve">) reported that higher levels of occupational commitment were linked to improved school effectiveness, emphasizing the indispensable role of committed educators in achieving educational outcomes. Conversely, </w:t>
      </w:r>
      <w:r w:rsidR="00CC582A" w:rsidRPr="00CC582A">
        <w:rPr>
          <w:rFonts w:ascii="Arial" w:hAnsi="Arial"/>
          <w:sz w:val="20"/>
          <w:szCs w:val="20"/>
        </w:rPr>
        <w:t>Herrera</w:t>
      </w:r>
      <w:r w:rsidR="00CC582A">
        <w:rPr>
          <w:rFonts w:ascii="Arial" w:hAnsi="Arial"/>
          <w:sz w:val="20"/>
          <w:szCs w:val="20"/>
        </w:rPr>
        <w:t xml:space="preserve"> et al. (2024</w:t>
      </w:r>
      <w:r w:rsidR="00C72D2D" w:rsidRPr="00C72D2D">
        <w:rPr>
          <w:rFonts w:ascii="Arial" w:hAnsi="Arial"/>
          <w:sz w:val="20"/>
          <w:szCs w:val="20"/>
        </w:rPr>
        <w:t>) highlighted that limited access to professional development opportunities hinders educators’ ability to build durability-related skills. Without proper training in coping mechanisms, emotional intelligence, and stress management, teachers may find it difficult to keep pace with evolving educational demands, leading to frustration and eventual disengagement.</w:t>
      </w:r>
    </w:p>
    <w:p w14:paraId="2404C72E" w14:textId="77777777" w:rsidR="00C72D2D" w:rsidRPr="00C72D2D" w:rsidRDefault="00C72D2D" w:rsidP="00C72D2D">
      <w:pPr>
        <w:jc w:val="both"/>
        <w:rPr>
          <w:rFonts w:ascii="Arial" w:hAnsi="Arial"/>
          <w:sz w:val="20"/>
          <w:szCs w:val="20"/>
        </w:rPr>
      </w:pPr>
    </w:p>
    <w:p w14:paraId="6659EC8D" w14:textId="55082017" w:rsidR="00C72D2D" w:rsidRPr="00C72D2D" w:rsidRDefault="00C72D2D" w:rsidP="00C72D2D">
      <w:pPr>
        <w:jc w:val="both"/>
        <w:rPr>
          <w:rFonts w:ascii="Arial" w:hAnsi="Arial"/>
          <w:sz w:val="20"/>
          <w:szCs w:val="20"/>
        </w:rPr>
      </w:pPr>
      <w:r w:rsidRPr="00C72D2D">
        <w:rPr>
          <w:rFonts w:ascii="Arial" w:hAnsi="Arial"/>
          <w:sz w:val="20"/>
          <w:szCs w:val="20"/>
        </w:rPr>
        <w:t>Moreover, the lack o</w:t>
      </w:r>
      <w:r w:rsidR="00C417E2">
        <w:rPr>
          <w:rFonts w:ascii="Arial" w:hAnsi="Arial"/>
          <w:sz w:val="20"/>
          <w:szCs w:val="20"/>
        </w:rPr>
        <w:t xml:space="preserve">f a supportive work environment, </w:t>
      </w:r>
      <w:r w:rsidRPr="00C72D2D">
        <w:rPr>
          <w:rFonts w:ascii="Arial" w:hAnsi="Arial"/>
          <w:sz w:val="20"/>
          <w:szCs w:val="20"/>
        </w:rPr>
        <w:t>where teachers feel valued, recogni</w:t>
      </w:r>
      <w:r w:rsidR="00C417E2">
        <w:rPr>
          <w:rFonts w:ascii="Arial" w:hAnsi="Arial"/>
          <w:sz w:val="20"/>
          <w:szCs w:val="20"/>
        </w:rPr>
        <w:t xml:space="preserve">zed, and adequately compensated, </w:t>
      </w:r>
      <w:r w:rsidRPr="00C72D2D">
        <w:rPr>
          <w:rFonts w:ascii="Arial" w:hAnsi="Arial"/>
          <w:sz w:val="20"/>
          <w:szCs w:val="20"/>
        </w:rPr>
        <w:t xml:space="preserve">can significantly affect their occupational commitment. When school administrators fail to affirm teachers’ contributions, educators may become less invested in their roles and may even </w:t>
      </w:r>
      <w:r w:rsidR="00C417E2">
        <w:rPr>
          <w:rFonts w:ascii="Arial" w:hAnsi="Arial"/>
          <w:sz w:val="20"/>
          <w:szCs w:val="20"/>
        </w:rPr>
        <w:t>consider exiting the profession (</w:t>
      </w:r>
      <w:r w:rsidR="00C417E2" w:rsidRPr="00C417E2">
        <w:rPr>
          <w:rFonts w:ascii="Arial" w:hAnsi="Arial"/>
          <w:sz w:val="20"/>
          <w:szCs w:val="20"/>
        </w:rPr>
        <w:t xml:space="preserve">Al </w:t>
      </w:r>
      <w:proofErr w:type="spellStart"/>
      <w:r w:rsidR="00C417E2" w:rsidRPr="00C417E2">
        <w:rPr>
          <w:rFonts w:ascii="Arial" w:hAnsi="Arial"/>
          <w:sz w:val="20"/>
          <w:szCs w:val="20"/>
        </w:rPr>
        <w:t>Sulaimi</w:t>
      </w:r>
      <w:proofErr w:type="spellEnd"/>
      <w:r w:rsidR="00C417E2">
        <w:rPr>
          <w:rFonts w:ascii="Arial" w:hAnsi="Arial"/>
          <w:sz w:val="20"/>
          <w:szCs w:val="20"/>
        </w:rPr>
        <w:t xml:space="preserve"> et al., 2024).</w:t>
      </w:r>
      <w:r w:rsidRPr="00C72D2D">
        <w:rPr>
          <w:rFonts w:ascii="Arial" w:hAnsi="Arial"/>
          <w:sz w:val="20"/>
          <w:szCs w:val="20"/>
        </w:rPr>
        <w:t xml:space="preserve"> Societal undervaluation of teaching as a career further compounds this issue. In many cultures, teaching is not always recognized as a prestigious or high-impact profession, which, when paired with low pay and limited advancement opportunities, can erode morale and long-term commitment (</w:t>
      </w:r>
      <w:r w:rsidR="00C417E2" w:rsidRPr="00C417E2">
        <w:rPr>
          <w:rFonts w:ascii="Arial" w:hAnsi="Arial"/>
          <w:sz w:val="20"/>
          <w:szCs w:val="20"/>
        </w:rPr>
        <w:t>Domingo</w:t>
      </w:r>
      <w:r w:rsidR="00C417E2">
        <w:rPr>
          <w:rFonts w:ascii="Arial" w:hAnsi="Arial"/>
          <w:sz w:val="20"/>
          <w:szCs w:val="20"/>
        </w:rPr>
        <w:t xml:space="preserve"> et al., 2022</w:t>
      </w:r>
      <w:r w:rsidRPr="00C72D2D">
        <w:rPr>
          <w:rFonts w:ascii="Arial" w:hAnsi="Arial"/>
          <w:sz w:val="20"/>
          <w:szCs w:val="20"/>
        </w:rPr>
        <w:t>).</w:t>
      </w:r>
    </w:p>
    <w:p w14:paraId="22D4C9F2" w14:textId="77777777" w:rsidR="00C72D2D" w:rsidRPr="00C72D2D" w:rsidRDefault="00C72D2D" w:rsidP="00C72D2D">
      <w:pPr>
        <w:jc w:val="both"/>
        <w:rPr>
          <w:rFonts w:ascii="Arial" w:hAnsi="Arial"/>
          <w:sz w:val="20"/>
          <w:szCs w:val="20"/>
        </w:rPr>
      </w:pPr>
    </w:p>
    <w:p w14:paraId="585411E5" w14:textId="2CCCBC65" w:rsidR="00C72D2D" w:rsidRPr="00C72D2D" w:rsidRDefault="00C72D2D" w:rsidP="00C72D2D">
      <w:pPr>
        <w:jc w:val="both"/>
        <w:rPr>
          <w:rFonts w:ascii="Arial" w:hAnsi="Arial"/>
          <w:sz w:val="20"/>
          <w:szCs w:val="20"/>
        </w:rPr>
      </w:pPr>
      <w:r w:rsidRPr="00C72D2D">
        <w:rPr>
          <w:rFonts w:ascii="Arial" w:hAnsi="Arial"/>
          <w:sz w:val="20"/>
          <w:szCs w:val="20"/>
        </w:rPr>
        <w:t xml:space="preserve">To enhance both educator durability and occupational commitment, it is vital to address these challenges. Improvements in working conditions, increased access to continuous professional development, emotional and psychological support, and broader societal recognition of the teaching profession are essential. </w:t>
      </w:r>
      <w:proofErr w:type="spellStart"/>
      <w:r w:rsidR="006944BD" w:rsidRPr="006944BD">
        <w:rPr>
          <w:rFonts w:ascii="Arial" w:hAnsi="Arial"/>
          <w:sz w:val="20"/>
          <w:szCs w:val="20"/>
        </w:rPr>
        <w:t>Jusoh</w:t>
      </w:r>
      <w:proofErr w:type="spellEnd"/>
      <w:r w:rsidR="006944BD" w:rsidRPr="006944BD">
        <w:rPr>
          <w:rFonts w:ascii="Arial" w:hAnsi="Arial"/>
          <w:sz w:val="20"/>
          <w:szCs w:val="20"/>
        </w:rPr>
        <w:t xml:space="preserve"> </w:t>
      </w:r>
      <w:r w:rsidR="006944BD">
        <w:rPr>
          <w:rFonts w:ascii="Arial" w:hAnsi="Arial"/>
          <w:sz w:val="20"/>
          <w:szCs w:val="20"/>
        </w:rPr>
        <w:t>et al. (2024</w:t>
      </w:r>
      <w:r w:rsidRPr="00C72D2D">
        <w:rPr>
          <w:rFonts w:ascii="Arial" w:hAnsi="Arial"/>
          <w:sz w:val="20"/>
          <w:szCs w:val="20"/>
        </w:rPr>
        <w:t>) emphasized that fostering a culture that values educators and equips them with the tools to thrive is key to ensuring their effectiveness and sustainability in the profession.</w:t>
      </w:r>
    </w:p>
    <w:p w14:paraId="2C3F54E3" w14:textId="77777777" w:rsidR="00C72D2D" w:rsidRPr="00C72D2D" w:rsidRDefault="00C72D2D" w:rsidP="00C72D2D">
      <w:pPr>
        <w:jc w:val="both"/>
        <w:rPr>
          <w:rFonts w:ascii="Arial" w:hAnsi="Arial"/>
          <w:sz w:val="20"/>
          <w:szCs w:val="20"/>
        </w:rPr>
      </w:pPr>
    </w:p>
    <w:p w14:paraId="14A84203" w14:textId="4C826FE6" w:rsidR="00C72D2D" w:rsidRPr="00C72D2D" w:rsidRDefault="00C72D2D" w:rsidP="00C72D2D">
      <w:pPr>
        <w:jc w:val="both"/>
        <w:rPr>
          <w:rFonts w:ascii="Arial" w:hAnsi="Arial"/>
          <w:sz w:val="20"/>
          <w:szCs w:val="20"/>
        </w:rPr>
      </w:pPr>
      <w:r w:rsidRPr="00C72D2D">
        <w:rPr>
          <w:rFonts w:ascii="Arial" w:hAnsi="Arial"/>
          <w:sz w:val="20"/>
          <w:szCs w:val="20"/>
        </w:rPr>
        <w:t>In the Philippine context, particularly in under-resourced or rural areas, these problems are further magnified. Many schools face limited resources, including outdated instructional materials, inadequate technology, and overcrowded classrooms. These constraints make it harder for teachers to deliver quality education and manage stress effecti</w:t>
      </w:r>
      <w:r w:rsidR="00D2770A">
        <w:rPr>
          <w:rFonts w:ascii="Arial" w:hAnsi="Arial"/>
          <w:sz w:val="20"/>
          <w:szCs w:val="20"/>
        </w:rPr>
        <w:t xml:space="preserve">vely (Peña </w:t>
      </w:r>
      <w:r w:rsidR="00D2770A" w:rsidRPr="00D2770A">
        <w:rPr>
          <w:rFonts w:ascii="Arial" w:hAnsi="Arial"/>
          <w:sz w:val="20"/>
          <w:szCs w:val="20"/>
        </w:rPr>
        <w:t xml:space="preserve">&amp; </w:t>
      </w:r>
      <w:proofErr w:type="spellStart"/>
      <w:r w:rsidR="00D2770A" w:rsidRPr="00D2770A">
        <w:rPr>
          <w:rFonts w:ascii="Arial" w:hAnsi="Arial"/>
          <w:sz w:val="20"/>
          <w:szCs w:val="20"/>
        </w:rPr>
        <w:t>Galigao</w:t>
      </w:r>
      <w:proofErr w:type="spellEnd"/>
      <w:r w:rsidR="00D2770A">
        <w:rPr>
          <w:rFonts w:ascii="Arial" w:hAnsi="Arial"/>
          <w:sz w:val="20"/>
          <w:szCs w:val="20"/>
        </w:rPr>
        <w:t xml:space="preserve">, 2024). </w:t>
      </w:r>
      <w:r w:rsidR="00D2770A" w:rsidRPr="00D2770A">
        <w:rPr>
          <w:rFonts w:ascii="Arial" w:hAnsi="Arial"/>
          <w:sz w:val="20"/>
          <w:szCs w:val="20"/>
        </w:rPr>
        <w:t xml:space="preserve">Tortola </w:t>
      </w:r>
      <w:r w:rsidR="00D2770A">
        <w:rPr>
          <w:rFonts w:ascii="Arial" w:hAnsi="Arial"/>
          <w:sz w:val="20"/>
          <w:szCs w:val="20"/>
        </w:rPr>
        <w:t>(2024</w:t>
      </w:r>
      <w:r w:rsidRPr="00C72D2D">
        <w:rPr>
          <w:rFonts w:ascii="Arial" w:hAnsi="Arial"/>
          <w:sz w:val="20"/>
          <w:szCs w:val="20"/>
        </w:rPr>
        <w:t>) noted that insufficient resources heighten teacher frustration and exhaustion, which in turn undermines both resilience and occupational commitment.</w:t>
      </w:r>
    </w:p>
    <w:p w14:paraId="15F933C0" w14:textId="77777777" w:rsidR="00C72D2D" w:rsidRPr="00C72D2D" w:rsidRDefault="00C72D2D" w:rsidP="00C72D2D">
      <w:pPr>
        <w:jc w:val="both"/>
        <w:rPr>
          <w:rFonts w:ascii="Arial" w:hAnsi="Arial"/>
          <w:sz w:val="20"/>
          <w:szCs w:val="20"/>
        </w:rPr>
      </w:pPr>
    </w:p>
    <w:p w14:paraId="6B130FBB" w14:textId="6A7A1B89" w:rsidR="00C72D2D" w:rsidRDefault="00C72D2D" w:rsidP="00C72D2D">
      <w:pPr>
        <w:jc w:val="both"/>
        <w:rPr>
          <w:rFonts w:ascii="Arial" w:hAnsi="Arial"/>
          <w:sz w:val="20"/>
          <w:szCs w:val="20"/>
        </w:rPr>
      </w:pPr>
      <w:r w:rsidRPr="00C72D2D">
        <w:rPr>
          <w:rFonts w:ascii="Arial" w:hAnsi="Arial"/>
          <w:sz w:val="20"/>
          <w:szCs w:val="20"/>
        </w:rPr>
        <w:t xml:space="preserve">Another pressing concern is the lack of work–life balance. Teachers frequently extend their responsibilities beyond school hours—grading, lesson planning, and attending meetings—leaving little time for rest or personal life. This imbalance can lead to physical and emotional exhaustion, which, over time, erodes resilience and weakens teachers’ </w:t>
      </w:r>
      <w:r w:rsidR="000B25F2">
        <w:rPr>
          <w:rFonts w:ascii="Arial" w:hAnsi="Arial"/>
          <w:sz w:val="20"/>
          <w:szCs w:val="20"/>
        </w:rPr>
        <w:t>sense of purpose and commitment (</w:t>
      </w:r>
      <w:proofErr w:type="spellStart"/>
      <w:r w:rsidR="000B25F2" w:rsidRPr="000B25F2">
        <w:rPr>
          <w:rFonts w:ascii="Arial" w:hAnsi="Arial"/>
          <w:sz w:val="20"/>
          <w:szCs w:val="20"/>
        </w:rPr>
        <w:t>Austinson</w:t>
      </w:r>
      <w:proofErr w:type="spellEnd"/>
      <w:r w:rsidR="000B25F2">
        <w:rPr>
          <w:rFonts w:ascii="Arial" w:hAnsi="Arial"/>
          <w:sz w:val="20"/>
          <w:szCs w:val="20"/>
        </w:rPr>
        <w:t>, 2022).</w:t>
      </w:r>
    </w:p>
    <w:p w14:paraId="697F5180" w14:textId="77777777" w:rsidR="000B25F2" w:rsidRPr="00C72D2D" w:rsidRDefault="000B25F2" w:rsidP="00C72D2D">
      <w:pPr>
        <w:jc w:val="both"/>
        <w:rPr>
          <w:rFonts w:ascii="Arial" w:hAnsi="Arial"/>
          <w:sz w:val="20"/>
          <w:szCs w:val="20"/>
        </w:rPr>
      </w:pPr>
    </w:p>
    <w:p w14:paraId="554F5A57" w14:textId="74D26037" w:rsidR="00C72D2D" w:rsidRPr="00C72D2D" w:rsidRDefault="00C72D2D" w:rsidP="00C72D2D">
      <w:pPr>
        <w:jc w:val="both"/>
        <w:rPr>
          <w:rFonts w:ascii="Arial" w:hAnsi="Arial"/>
          <w:sz w:val="20"/>
          <w:szCs w:val="20"/>
        </w:rPr>
      </w:pPr>
      <w:r w:rsidRPr="00C72D2D">
        <w:rPr>
          <w:rFonts w:ascii="Arial" w:hAnsi="Arial"/>
          <w:sz w:val="20"/>
          <w:szCs w:val="20"/>
        </w:rPr>
        <w:t>Ineffective school leadership is another critical barrier. The presence of supportive and visionary leadership is essential in fostering teacher morale and professional growth. In contrast, schools lacking strong leadership structures may leave teachers feeling isolated, undervalued, and unsupported. When school administrators fail to provide mentorship, direction, and opportunities for advancement, educators may disengage and lose their sense of resilience and belonging (</w:t>
      </w:r>
      <w:r w:rsidR="000B25F2" w:rsidRPr="000B25F2">
        <w:rPr>
          <w:rFonts w:ascii="Arial" w:hAnsi="Arial"/>
          <w:sz w:val="20"/>
          <w:szCs w:val="20"/>
        </w:rPr>
        <w:t>Barksdale</w:t>
      </w:r>
      <w:r w:rsidR="000B25F2">
        <w:rPr>
          <w:rFonts w:ascii="Arial" w:hAnsi="Arial"/>
          <w:sz w:val="20"/>
          <w:szCs w:val="20"/>
        </w:rPr>
        <w:t>, 2022</w:t>
      </w:r>
      <w:r w:rsidRPr="00C72D2D">
        <w:rPr>
          <w:rFonts w:ascii="Arial" w:hAnsi="Arial"/>
          <w:sz w:val="20"/>
          <w:szCs w:val="20"/>
        </w:rPr>
        <w:t>).</w:t>
      </w:r>
    </w:p>
    <w:p w14:paraId="47B22DF2" w14:textId="5535003A" w:rsidR="00C72D2D" w:rsidRPr="00C72D2D" w:rsidRDefault="00C72D2D" w:rsidP="00C72D2D">
      <w:pPr>
        <w:jc w:val="both"/>
        <w:rPr>
          <w:rFonts w:ascii="Arial" w:hAnsi="Arial"/>
          <w:sz w:val="20"/>
          <w:szCs w:val="20"/>
        </w:rPr>
      </w:pPr>
    </w:p>
    <w:p w14:paraId="1999849F" w14:textId="76FBAB79" w:rsidR="00C72D2D" w:rsidRPr="00C72D2D" w:rsidRDefault="00C72D2D" w:rsidP="00C72D2D">
      <w:pPr>
        <w:jc w:val="both"/>
        <w:rPr>
          <w:rFonts w:ascii="Arial" w:hAnsi="Arial"/>
          <w:sz w:val="20"/>
          <w:szCs w:val="20"/>
        </w:rPr>
      </w:pPr>
      <w:r w:rsidRPr="00C72D2D">
        <w:rPr>
          <w:rFonts w:ascii="Arial" w:hAnsi="Arial"/>
          <w:sz w:val="20"/>
          <w:szCs w:val="20"/>
        </w:rPr>
        <w:t xml:space="preserve">Given these concerns, there is an urgent need to create systemic solutions that promote teacher well-being and professional longevity. Schools must provide sufficient instructional resources, promote healthy work–life balance, implement stable policies, and cultivate strong leadership to create a nurturing professional environment. As </w:t>
      </w:r>
      <w:proofErr w:type="spellStart"/>
      <w:r w:rsidR="009B3AB1" w:rsidRPr="009B3AB1">
        <w:rPr>
          <w:rFonts w:ascii="Arial" w:hAnsi="Arial"/>
          <w:sz w:val="20"/>
          <w:szCs w:val="20"/>
        </w:rPr>
        <w:t>Badaruddin</w:t>
      </w:r>
      <w:proofErr w:type="spellEnd"/>
      <w:r w:rsidR="009B3AB1">
        <w:rPr>
          <w:rFonts w:ascii="Arial" w:hAnsi="Arial"/>
          <w:sz w:val="20"/>
          <w:szCs w:val="20"/>
        </w:rPr>
        <w:t xml:space="preserve"> et al. (2024)</w:t>
      </w:r>
      <w:r w:rsidRPr="00C72D2D">
        <w:rPr>
          <w:rFonts w:ascii="Arial" w:hAnsi="Arial"/>
          <w:sz w:val="20"/>
          <w:szCs w:val="20"/>
        </w:rPr>
        <w:t xml:space="preserve"> emphasized, addressing these systemic issues is vital to sustaining educators' engagement and effectiveness.</w:t>
      </w:r>
    </w:p>
    <w:p w14:paraId="31817ADD" w14:textId="77777777" w:rsidR="00C72D2D" w:rsidRPr="00C72D2D" w:rsidRDefault="00C72D2D" w:rsidP="00C72D2D">
      <w:pPr>
        <w:jc w:val="both"/>
        <w:rPr>
          <w:rFonts w:ascii="Arial" w:hAnsi="Arial"/>
          <w:sz w:val="20"/>
          <w:szCs w:val="20"/>
        </w:rPr>
      </w:pPr>
    </w:p>
    <w:p w14:paraId="4F53457A" w14:textId="77777777" w:rsidR="00C72D2D" w:rsidRPr="00C72D2D" w:rsidRDefault="00C72D2D" w:rsidP="00C72D2D">
      <w:pPr>
        <w:jc w:val="both"/>
        <w:rPr>
          <w:rFonts w:ascii="Arial" w:hAnsi="Arial"/>
          <w:sz w:val="20"/>
          <w:szCs w:val="20"/>
        </w:rPr>
      </w:pPr>
      <w:r w:rsidRPr="00C72D2D">
        <w:rPr>
          <w:rFonts w:ascii="Arial" w:hAnsi="Arial"/>
          <w:sz w:val="20"/>
          <w:szCs w:val="20"/>
        </w:rPr>
        <w:lastRenderedPageBreak/>
        <w:t>In light of these realities, this study is both timely and necessary. Despite the growing interest in teacher resilience and retention, there remains limited empirical literature specifically examining the relationship between educators' durability skills and their occupational commitment. This study hypothesizes a significant relationship between these two constructs, aiming to deepen our understanding of how resilience-related competencies affect long-term engagement in the teaching profession.</w:t>
      </w:r>
    </w:p>
    <w:p w14:paraId="489D4751" w14:textId="77777777" w:rsidR="00C72D2D" w:rsidRPr="00C72D2D" w:rsidRDefault="00C72D2D" w:rsidP="00C72D2D">
      <w:pPr>
        <w:jc w:val="both"/>
        <w:rPr>
          <w:rFonts w:ascii="Arial" w:hAnsi="Arial"/>
          <w:sz w:val="20"/>
          <w:szCs w:val="20"/>
        </w:rPr>
      </w:pPr>
    </w:p>
    <w:p w14:paraId="779EF7AF" w14:textId="54C5BAC7" w:rsidR="0056218A" w:rsidRPr="007E5C64" w:rsidRDefault="00C72D2D" w:rsidP="00C72D2D">
      <w:pPr>
        <w:jc w:val="both"/>
        <w:rPr>
          <w:rFonts w:ascii="Arial" w:eastAsia="MS Mincho" w:hAnsi="Arial" w:cs="Arial"/>
          <w:b/>
          <w:bCs/>
          <w:sz w:val="20"/>
          <w:szCs w:val="20"/>
          <w:lang w:eastAsia="ja-JP"/>
        </w:rPr>
      </w:pPr>
      <w:r w:rsidRPr="00C72D2D">
        <w:rPr>
          <w:rFonts w:ascii="Arial" w:hAnsi="Arial"/>
          <w:sz w:val="20"/>
          <w:szCs w:val="20"/>
        </w:rPr>
        <w:t>The findings of this study may assist school leaders in developing work environments that nurture both durability and commitment. Additionally, educators themselves can draw practical insights from the results to refine their coping strategies and strengthen their professional purpose. By exploring the intersection of these two variables within the context of public elementary education, this study aims to offer valuable guidance for professional development efforts, teacher support programs, and policy-making aimed at retaining highly committed and resilient educators.</w:t>
      </w:r>
    </w:p>
    <w:p w14:paraId="3017206B" w14:textId="77777777" w:rsidR="003227FA" w:rsidRPr="007E5C64" w:rsidRDefault="003227FA" w:rsidP="00323BB4">
      <w:pPr>
        <w:jc w:val="center"/>
        <w:rPr>
          <w:rFonts w:ascii="Arial" w:eastAsia="MS Mincho" w:hAnsi="Arial" w:cs="Arial"/>
          <w:b/>
          <w:bCs/>
          <w:sz w:val="20"/>
          <w:szCs w:val="20"/>
          <w:lang w:eastAsia="ja-JP"/>
        </w:rPr>
      </w:pPr>
    </w:p>
    <w:p w14:paraId="4E2B6B39" w14:textId="77777777" w:rsidR="003227FA" w:rsidRPr="007E5C64" w:rsidRDefault="003227FA" w:rsidP="00323BB4">
      <w:pPr>
        <w:jc w:val="center"/>
        <w:rPr>
          <w:rFonts w:ascii="Arial" w:eastAsia="MS Mincho" w:hAnsi="Arial" w:cs="Arial"/>
          <w:b/>
          <w:bCs/>
          <w:sz w:val="20"/>
          <w:szCs w:val="20"/>
          <w:lang w:eastAsia="ja-JP"/>
        </w:rPr>
      </w:pPr>
    </w:p>
    <w:p w14:paraId="14CB7266" w14:textId="77777777" w:rsidR="003227FA" w:rsidRPr="007E5C64" w:rsidRDefault="003227FA" w:rsidP="00323BB4">
      <w:pPr>
        <w:jc w:val="center"/>
        <w:rPr>
          <w:rFonts w:ascii="Arial" w:eastAsia="MS Mincho" w:hAnsi="Arial" w:cs="Arial"/>
          <w:b/>
          <w:bCs/>
          <w:sz w:val="20"/>
          <w:szCs w:val="20"/>
          <w:lang w:eastAsia="ja-JP"/>
        </w:rPr>
      </w:pPr>
    </w:p>
    <w:p w14:paraId="2816209E" w14:textId="7D59B462" w:rsidR="003227FA" w:rsidRPr="007E5C64" w:rsidRDefault="00274899" w:rsidP="003340B8">
      <w:pPr>
        <w:jc w:val="center"/>
        <w:rPr>
          <w:rFonts w:ascii="Arial" w:eastAsia="MS Mincho" w:hAnsi="Arial" w:cs="Arial"/>
          <w:b/>
          <w:bCs/>
          <w:sz w:val="20"/>
          <w:szCs w:val="20"/>
          <w:lang w:eastAsia="ja-JP"/>
        </w:rPr>
      </w:pPr>
      <w:r>
        <w:rPr>
          <w:noProof/>
          <w:lang w:val="en-US"/>
        </w:rPr>
        <w:drawing>
          <wp:inline distT="0" distB="0" distL="0" distR="0" wp14:anchorId="756A1466" wp14:editId="08E1C102">
            <wp:extent cx="2941320" cy="18357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9386" t="36907" r="28217" b="16049"/>
                    <a:stretch/>
                  </pic:blipFill>
                  <pic:spPr bwMode="auto">
                    <a:xfrm>
                      <a:off x="0" y="0"/>
                      <a:ext cx="2949164" cy="1840685"/>
                    </a:xfrm>
                    <a:prstGeom prst="rect">
                      <a:avLst/>
                    </a:prstGeom>
                    <a:ln>
                      <a:noFill/>
                    </a:ln>
                    <a:extLst>
                      <a:ext uri="{53640926-AAD7-44D8-BBD7-CCE9431645EC}">
                        <a14:shadowObscured xmlns:a14="http://schemas.microsoft.com/office/drawing/2010/main"/>
                      </a:ext>
                    </a:extLst>
                  </pic:spPr>
                </pic:pic>
              </a:graphicData>
            </a:graphic>
          </wp:inline>
        </w:drawing>
      </w:r>
    </w:p>
    <w:p w14:paraId="37236F59" w14:textId="77777777" w:rsidR="003227FA" w:rsidRPr="007E5C64" w:rsidRDefault="003227FA" w:rsidP="00323BB4">
      <w:pPr>
        <w:jc w:val="center"/>
        <w:rPr>
          <w:rFonts w:ascii="Arial" w:eastAsia="MS Mincho" w:hAnsi="Arial" w:cs="Arial"/>
          <w:b/>
          <w:bCs/>
          <w:sz w:val="20"/>
          <w:szCs w:val="20"/>
          <w:lang w:eastAsia="ja-JP"/>
        </w:rPr>
      </w:pPr>
    </w:p>
    <w:p w14:paraId="70BF97C8" w14:textId="5B81A52E" w:rsidR="00717F2E" w:rsidRPr="007E5C64" w:rsidRDefault="00180859" w:rsidP="00323BB4">
      <w:pPr>
        <w:jc w:val="center"/>
        <w:rPr>
          <w:rFonts w:ascii="Arial" w:eastAsia="MS Mincho" w:hAnsi="Arial" w:cs="Arial"/>
          <w:sz w:val="20"/>
          <w:szCs w:val="20"/>
          <w:lang w:eastAsia="ja-JP"/>
        </w:rPr>
      </w:pPr>
      <w:r w:rsidRPr="007E5C64">
        <w:rPr>
          <w:rFonts w:ascii="Arial" w:eastAsia="MS Mincho" w:hAnsi="Arial" w:cs="Arial"/>
          <w:b/>
          <w:bCs/>
          <w:sz w:val="20"/>
          <w:szCs w:val="20"/>
          <w:lang w:eastAsia="ja-JP"/>
        </w:rPr>
        <w:t xml:space="preserve">Figure 1:  </w:t>
      </w:r>
      <w:r w:rsidRPr="007E5C64">
        <w:rPr>
          <w:rFonts w:ascii="Arial" w:eastAsia="MS Mincho" w:hAnsi="Arial" w:cs="Arial"/>
          <w:sz w:val="20"/>
          <w:szCs w:val="20"/>
          <w:lang w:eastAsia="ja-JP"/>
        </w:rPr>
        <w:t>Conceptual Framework of the Study</w:t>
      </w:r>
    </w:p>
    <w:p w14:paraId="0ED0213D" w14:textId="60A60C46" w:rsidR="002F5C4B" w:rsidRPr="007E5C64" w:rsidRDefault="002F5C4B" w:rsidP="002F5C4B">
      <w:pPr>
        <w:rPr>
          <w:rFonts w:ascii="Arial" w:eastAsia="MS Mincho" w:hAnsi="Arial" w:cs="Arial"/>
          <w:sz w:val="20"/>
          <w:szCs w:val="20"/>
          <w:lang w:eastAsia="ja-JP"/>
        </w:rPr>
      </w:pPr>
    </w:p>
    <w:p w14:paraId="305CBFC1" w14:textId="1E193F6F" w:rsidR="000D23E6" w:rsidRPr="001D1898" w:rsidRDefault="002F5C4B" w:rsidP="000D23E6">
      <w:pPr>
        <w:rPr>
          <w:rFonts w:ascii="Arial" w:eastAsia="MS Mincho" w:hAnsi="Arial" w:cs="Arial"/>
          <w:b/>
          <w:sz w:val="20"/>
          <w:szCs w:val="20"/>
          <w:highlight w:val="yellow"/>
          <w:lang w:eastAsia="ja-JP"/>
        </w:rPr>
      </w:pPr>
      <w:r w:rsidRPr="001D1898">
        <w:rPr>
          <w:rFonts w:ascii="Arial" w:eastAsia="MS Mincho" w:hAnsi="Arial" w:cs="Arial"/>
          <w:b/>
          <w:sz w:val="20"/>
          <w:szCs w:val="20"/>
          <w:highlight w:val="yellow"/>
          <w:lang w:eastAsia="ja-JP"/>
        </w:rPr>
        <w:t xml:space="preserve">1.1 </w:t>
      </w:r>
      <w:r w:rsidR="00A57D9D" w:rsidRPr="001D1898">
        <w:rPr>
          <w:rFonts w:ascii="Arial" w:eastAsia="MS Mincho" w:hAnsi="Arial" w:cs="Arial"/>
          <w:b/>
          <w:sz w:val="20"/>
          <w:szCs w:val="20"/>
          <w:highlight w:val="yellow"/>
          <w:lang w:eastAsia="ja-JP"/>
        </w:rPr>
        <w:t>Research Questions</w:t>
      </w:r>
    </w:p>
    <w:p w14:paraId="71350A61" w14:textId="77777777" w:rsidR="000D23E6" w:rsidRPr="001D1898" w:rsidRDefault="000D23E6" w:rsidP="000D23E6">
      <w:pPr>
        <w:rPr>
          <w:rFonts w:ascii="Arial" w:eastAsia="MS Mincho" w:hAnsi="Arial" w:cs="Arial"/>
          <w:sz w:val="20"/>
          <w:szCs w:val="20"/>
          <w:highlight w:val="yellow"/>
          <w:lang w:eastAsia="ja-JP"/>
        </w:rPr>
      </w:pPr>
    </w:p>
    <w:p w14:paraId="2696BAEB" w14:textId="77777777" w:rsidR="00531BB9" w:rsidRPr="001D1898" w:rsidRDefault="00531BB9" w:rsidP="00531BB9">
      <w:pPr>
        <w:rPr>
          <w:rFonts w:ascii="Arial" w:eastAsia="MS Mincho" w:hAnsi="Arial" w:cs="Arial"/>
          <w:sz w:val="20"/>
          <w:szCs w:val="20"/>
          <w:highlight w:val="yellow"/>
          <w:lang w:eastAsia="ja-JP"/>
        </w:rPr>
      </w:pPr>
      <w:r w:rsidRPr="001D1898">
        <w:rPr>
          <w:rFonts w:ascii="Arial" w:eastAsia="MS Mincho" w:hAnsi="Arial" w:cs="Arial"/>
          <w:sz w:val="20"/>
          <w:szCs w:val="20"/>
          <w:highlight w:val="yellow"/>
          <w:lang w:eastAsia="ja-JP"/>
        </w:rPr>
        <w:t>Despite the recognized importance of bolstering durability skills of educators and occupational commitment of teachers, a gap exists in understanding the specific factors influencing variables. This study sought to address this gap by investigating the bolstering durability skills of educators and occupational commitment of teachers as well as the following questions:</w:t>
      </w:r>
    </w:p>
    <w:p w14:paraId="7F8D9D10" w14:textId="7AD4E93D" w:rsidR="00531BB9" w:rsidRPr="001D1898" w:rsidRDefault="00531BB9" w:rsidP="00531BB9">
      <w:pPr>
        <w:rPr>
          <w:rFonts w:ascii="Arial" w:eastAsia="MS Mincho" w:hAnsi="Arial" w:cs="Arial"/>
          <w:sz w:val="20"/>
          <w:szCs w:val="20"/>
          <w:highlight w:val="yellow"/>
          <w:lang w:eastAsia="ja-JP"/>
        </w:rPr>
      </w:pPr>
      <w:r w:rsidRPr="001D1898">
        <w:rPr>
          <w:rFonts w:ascii="Arial" w:eastAsia="MS Mincho" w:hAnsi="Arial" w:cs="Arial"/>
          <w:sz w:val="20"/>
          <w:szCs w:val="20"/>
          <w:highlight w:val="yellow"/>
          <w:lang w:eastAsia="ja-JP"/>
        </w:rPr>
        <w:t>1. What are the level of bolstering durability skills of educators in public elementary schools in terms of:</w:t>
      </w:r>
    </w:p>
    <w:p w14:paraId="76CF6AE4" w14:textId="77777777" w:rsidR="00531BB9" w:rsidRPr="001D1898" w:rsidRDefault="00531BB9" w:rsidP="00531BB9">
      <w:pPr>
        <w:rPr>
          <w:rFonts w:ascii="Arial" w:eastAsia="MS Mincho" w:hAnsi="Arial" w:cs="Arial"/>
          <w:sz w:val="20"/>
          <w:szCs w:val="20"/>
          <w:highlight w:val="yellow"/>
          <w:lang w:eastAsia="ja-JP"/>
        </w:rPr>
      </w:pPr>
      <w:r w:rsidRPr="001D1898">
        <w:rPr>
          <w:rFonts w:ascii="Arial" w:eastAsia="MS Mincho" w:hAnsi="Arial" w:cs="Arial"/>
          <w:sz w:val="20"/>
          <w:szCs w:val="20"/>
          <w:highlight w:val="yellow"/>
          <w:lang w:eastAsia="ja-JP"/>
        </w:rPr>
        <w:t xml:space="preserve">1.1 emotional resilience, </w:t>
      </w:r>
    </w:p>
    <w:p w14:paraId="0E44A53E" w14:textId="77777777" w:rsidR="00531BB9" w:rsidRPr="001D1898" w:rsidRDefault="00531BB9" w:rsidP="00531BB9">
      <w:pPr>
        <w:rPr>
          <w:rFonts w:ascii="Arial" w:eastAsia="MS Mincho" w:hAnsi="Arial" w:cs="Arial"/>
          <w:sz w:val="20"/>
          <w:szCs w:val="20"/>
          <w:highlight w:val="yellow"/>
          <w:lang w:eastAsia="ja-JP"/>
        </w:rPr>
      </w:pPr>
      <w:r w:rsidRPr="001D1898">
        <w:rPr>
          <w:rFonts w:ascii="Arial" w:eastAsia="MS Mincho" w:hAnsi="Arial" w:cs="Arial"/>
          <w:sz w:val="20"/>
          <w:szCs w:val="20"/>
          <w:highlight w:val="yellow"/>
          <w:lang w:eastAsia="ja-JP"/>
        </w:rPr>
        <w:t xml:space="preserve">1.2 stress management, </w:t>
      </w:r>
    </w:p>
    <w:p w14:paraId="7A83EB1A" w14:textId="77777777" w:rsidR="00531BB9" w:rsidRPr="001D1898" w:rsidRDefault="00531BB9" w:rsidP="00531BB9">
      <w:pPr>
        <w:rPr>
          <w:rFonts w:ascii="Arial" w:eastAsia="MS Mincho" w:hAnsi="Arial" w:cs="Arial"/>
          <w:sz w:val="20"/>
          <w:szCs w:val="20"/>
          <w:highlight w:val="yellow"/>
          <w:lang w:eastAsia="ja-JP"/>
        </w:rPr>
      </w:pPr>
      <w:r w:rsidRPr="001D1898">
        <w:rPr>
          <w:rFonts w:ascii="Arial" w:eastAsia="MS Mincho" w:hAnsi="Arial" w:cs="Arial"/>
          <w:sz w:val="20"/>
          <w:szCs w:val="20"/>
          <w:highlight w:val="yellow"/>
          <w:lang w:eastAsia="ja-JP"/>
        </w:rPr>
        <w:t xml:space="preserve">1.3 adaptability and flexibility, </w:t>
      </w:r>
    </w:p>
    <w:p w14:paraId="31DF2B66" w14:textId="77777777" w:rsidR="00531BB9" w:rsidRPr="001D1898" w:rsidRDefault="00531BB9" w:rsidP="00531BB9">
      <w:pPr>
        <w:rPr>
          <w:rFonts w:ascii="Arial" w:eastAsia="MS Mincho" w:hAnsi="Arial" w:cs="Arial"/>
          <w:sz w:val="20"/>
          <w:szCs w:val="20"/>
          <w:highlight w:val="yellow"/>
          <w:lang w:eastAsia="ja-JP"/>
        </w:rPr>
      </w:pPr>
      <w:r w:rsidRPr="001D1898">
        <w:rPr>
          <w:rFonts w:ascii="Arial" w:eastAsia="MS Mincho" w:hAnsi="Arial" w:cs="Arial"/>
          <w:sz w:val="20"/>
          <w:szCs w:val="20"/>
          <w:highlight w:val="yellow"/>
          <w:lang w:eastAsia="ja-JP"/>
        </w:rPr>
        <w:t xml:space="preserve">1.4 supportive work environment, </w:t>
      </w:r>
    </w:p>
    <w:p w14:paraId="5990B1B5" w14:textId="77777777" w:rsidR="00531BB9" w:rsidRPr="001D1898" w:rsidRDefault="00531BB9" w:rsidP="00531BB9">
      <w:pPr>
        <w:rPr>
          <w:rFonts w:ascii="Arial" w:eastAsia="MS Mincho" w:hAnsi="Arial" w:cs="Arial"/>
          <w:sz w:val="20"/>
          <w:szCs w:val="20"/>
          <w:highlight w:val="yellow"/>
          <w:lang w:eastAsia="ja-JP"/>
        </w:rPr>
      </w:pPr>
      <w:r w:rsidRPr="001D1898">
        <w:rPr>
          <w:rFonts w:ascii="Arial" w:eastAsia="MS Mincho" w:hAnsi="Arial" w:cs="Arial"/>
          <w:sz w:val="20"/>
          <w:szCs w:val="20"/>
          <w:highlight w:val="yellow"/>
          <w:lang w:eastAsia="ja-JP"/>
        </w:rPr>
        <w:t xml:space="preserve">1.5 self-care and work-life balance, and </w:t>
      </w:r>
    </w:p>
    <w:p w14:paraId="1EFE5BCD" w14:textId="77777777" w:rsidR="00531BB9" w:rsidRPr="001D1898" w:rsidRDefault="00531BB9" w:rsidP="00531BB9">
      <w:pPr>
        <w:rPr>
          <w:rFonts w:ascii="Arial" w:eastAsia="MS Mincho" w:hAnsi="Arial" w:cs="Arial"/>
          <w:sz w:val="20"/>
          <w:szCs w:val="20"/>
          <w:highlight w:val="yellow"/>
          <w:lang w:eastAsia="ja-JP"/>
        </w:rPr>
      </w:pPr>
      <w:r w:rsidRPr="001D1898">
        <w:rPr>
          <w:rFonts w:ascii="Arial" w:eastAsia="MS Mincho" w:hAnsi="Arial" w:cs="Arial"/>
          <w:sz w:val="20"/>
          <w:szCs w:val="20"/>
          <w:highlight w:val="yellow"/>
          <w:lang w:eastAsia="ja-JP"/>
        </w:rPr>
        <w:t xml:space="preserve">1.6 sense of purpose and motivation? </w:t>
      </w:r>
    </w:p>
    <w:p w14:paraId="1F14824B" w14:textId="3C235666" w:rsidR="00531BB9" w:rsidRPr="001D1898" w:rsidRDefault="00531BB9" w:rsidP="00531BB9">
      <w:pPr>
        <w:rPr>
          <w:rFonts w:ascii="Arial" w:eastAsia="MS Mincho" w:hAnsi="Arial" w:cs="Arial"/>
          <w:sz w:val="20"/>
          <w:szCs w:val="20"/>
          <w:highlight w:val="yellow"/>
          <w:lang w:eastAsia="ja-JP"/>
        </w:rPr>
      </w:pPr>
      <w:r w:rsidRPr="001D1898">
        <w:rPr>
          <w:rFonts w:ascii="Arial" w:eastAsia="MS Mincho" w:hAnsi="Arial" w:cs="Arial"/>
          <w:sz w:val="20"/>
          <w:szCs w:val="20"/>
          <w:highlight w:val="yellow"/>
          <w:lang w:eastAsia="ja-JP"/>
        </w:rPr>
        <w:t>2. What are the level of occupational commitment of teachers in public elementary schools in terms of:</w:t>
      </w:r>
    </w:p>
    <w:p w14:paraId="70D74146" w14:textId="77777777" w:rsidR="00531BB9" w:rsidRPr="001D1898" w:rsidRDefault="00531BB9" w:rsidP="00531BB9">
      <w:pPr>
        <w:rPr>
          <w:rFonts w:ascii="Arial" w:eastAsia="MS Mincho" w:hAnsi="Arial" w:cs="Arial"/>
          <w:sz w:val="20"/>
          <w:szCs w:val="20"/>
          <w:highlight w:val="yellow"/>
          <w:lang w:eastAsia="ja-JP"/>
        </w:rPr>
      </w:pPr>
      <w:r w:rsidRPr="001D1898">
        <w:rPr>
          <w:rFonts w:ascii="Arial" w:eastAsia="MS Mincho" w:hAnsi="Arial" w:cs="Arial"/>
          <w:sz w:val="20"/>
          <w:szCs w:val="20"/>
          <w:highlight w:val="yellow"/>
          <w:lang w:eastAsia="ja-JP"/>
        </w:rPr>
        <w:t>2.1 job satisfaction,</w:t>
      </w:r>
    </w:p>
    <w:p w14:paraId="0CF005F5" w14:textId="77777777" w:rsidR="00531BB9" w:rsidRPr="001D1898" w:rsidRDefault="00531BB9" w:rsidP="00531BB9">
      <w:pPr>
        <w:rPr>
          <w:rFonts w:ascii="Arial" w:eastAsia="MS Mincho" w:hAnsi="Arial" w:cs="Arial"/>
          <w:sz w:val="20"/>
          <w:szCs w:val="20"/>
          <w:highlight w:val="yellow"/>
          <w:lang w:eastAsia="ja-JP"/>
        </w:rPr>
      </w:pPr>
      <w:r w:rsidRPr="001D1898">
        <w:rPr>
          <w:rFonts w:ascii="Arial" w:eastAsia="MS Mincho" w:hAnsi="Arial" w:cs="Arial"/>
          <w:sz w:val="20"/>
          <w:szCs w:val="20"/>
          <w:highlight w:val="yellow"/>
          <w:lang w:eastAsia="ja-JP"/>
        </w:rPr>
        <w:t>2.2 organizational commitment, and</w:t>
      </w:r>
    </w:p>
    <w:p w14:paraId="6F212E4A" w14:textId="77777777" w:rsidR="00531BB9" w:rsidRPr="001D1898" w:rsidRDefault="00531BB9" w:rsidP="00531BB9">
      <w:pPr>
        <w:rPr>
          <w:rFonts w:ascii="Arial" w:eastAsia="MS Mincho" w:hAnsi="Arial" w:cs="Arial"/>
          <w:sz w:val="20"/>
          <w:szCs w:val="20"/>
          <w:highlight w:val="yellow"/>
          <w:lang w:eastAsia="ja-JP"/>
        </w:rPr>
      </w:pPr>
      <w:r w:rsidRPr="001D1898">
        <w:rPr>
          <w:rFonts w:ascii="Arial" w:eastAsia="MS Mincho" w:hAnsi="Arial" w:cs="Arial"/>
          <w:sz w:val="20"/>
          <w:szCs w:val="20"/>
          <w:highlight w:val="yellow"/>
          <w:lang w:eastAsia="ja-JP"/>
        </w:rPr>
        <w:t>2.3 job security and compensation?</w:t>
      </w:r>
    </w:p>
    <w:p w14:paraId="66F9C61D" w14:textId="4AF2E6A3" w:rsidR="00531BB9" w:rsidRPr="001D1898" w:rsidRDefault="00531BB9" w:rsidP="00531BB9">
      <w:pPr>
        <w:rPr>
          <w:rFonts w:ascii="Arial" w:eastAsia="MS Mincho" w:hAnsi="Arial" w:cs="Arial"/>
          <w:sz w:val="20"/>
          <w:szCs w:val="20"/>
          <w:highlight w:val="yellow"/>
          <w:lang w:eastAsia="ja-JP"/>
        </w:rPr>
      </w:pPr>
      <w:r w:rsidRPr="001D1898">
        <w:rPr>
          <w:rFonts w:ascii="Arial" w:eastAsia="MS Mincho" w:hAnsi="Arial" w:cs="Arial"/>
          <w:sz w:val="20"/>
          <w:szCs w:val="20"/>
          <w:highlight w:val="yellow"/>
          <w:lang w:eastAsia="ja-JP"/>
        </w:rPr>
        <w:lastRenderedPageBreak/>
        <w:t>3. Is there a significant relationship between bolstering durability skills of educators and occupational commitment of teachers in public elementary schools?</w:t>
      </w:r>
    </w:p>
    <w:p w14:paraId="565756DC" w14:textId="5D9DAA3D" w:rsidR="00B70D06" w:rsidRDefault="00531BB9" w:rsidP="00531BB9">
      <w:pPr>
        <w:rPr>
          <w:rFonts w:ascii="Arial" w:eastAsia="MS Mincho" w:hAnsi="Arial" w:cs="Arial"/>
          <w:sz w:val="20"/>
          <w:szCs w:val="20"/>
          <w:lang w:eastAsia="ja-JP"/>
        </w:rPr>
      </w:pPr>
      <w:r w:rsidRPr="001D1898">
        <w:rPr>
          <w:rFonts w:ascii="Arial" w:eastAsia="MS Mincho" w:hAnsi="Arial" w:cs="Arial"/>
          <w:sz w:val="20"/>
          <w:szCs w:val="20"/>
          <w:highlight w:val="yellow"/>
          <w:lang w:eastAsia="ja-JP"/>
        </w:rPr>
        <w:t>4. Is there a significant influence of bolstering durability skills of educators and occupational commitment of teachers in public elementary schools?</w:t>
      </w:r>
    </w:p>
    <w:p w14:paraId="610D0F12" w14:textId="77777777" w:rsidR="00531BB9" w:rsidRPr="007E5C64" w:rsidRDefault="00531BB9" w:rsidP="00531BB9">
      <w:pPr>
        <w:rPr>
          <w:rFonts w:ascii="Arial" w:eastAsia="MS Mincho" w:hAnsi="Arial" w:cs="Arial"/>
          <w:sz w:val="20"/>
          <w:szCs w:val="20"/>
          <w:lang w:eastAsia="ja-JP"/>
        </w:rPr>
      </w:pPr>
    </w:p>
    <w:p w14:paraId="4110F409" w14:textId="2A19F9F9" w:rsidR="002F5C4B" w:rsidRPr="007E5C64" w:rsidRDefault="002F5C4B" w:rsidP="002F5C4B">
      <w:pPr>
        <w:rPr>
          <w:rFonts w:ascii="Arial" w:eastAsia="MS Mincho" w:hAnsi="Arial" w:cs="Arial"/>
          <w:b/>
          <w:sz w:val="20"/>
          <w:szCs w:val="20"/>
          <w:lang w:eastAsia="ja-JP"/>
        </w:rPr>
      </w:pPr>
      <w:r w:rsidRPr="007E5C64">
        <w:rPr>
          <w:rFonts w:ascii="Arial" w:eastAsia="MS Mincho" w:hAnsi="Arial" w:cs="Arial"/>
          <w:b/>
          <w:sz w:val="20"/>
          <w:szCs w:val="20"/>
          <w:lang w:eastAsia="ja-JP"/>
        </w:rPr>
        <w:t>1.2 Hypotheses</w:t>
      </w:r>
    </w:p>
    <w:p w14:paraId="426EE532" w14:textId="77777777" w:rsidR="002F5C4B" w:rsidRPr="007E5C64" w:rsidRDefault="002F5C4B" w:rsidP="002F5C4B">
      <w:pPr>
        <w:rPr>
          <w:rFonts w:ascii="Arial" w:eastAsia="MS Mincho" w:hAnsi="Arial" w:cs="Arial"/>
          <w:sz w:val="20"/>
          <w:szCs w:val="20"/>
          <w:lang w:eastAsia="ja-JP"/>
        </w:rPr>
      </w:pPr>
    </w:p>
    <w:p w14:paraId="7D99581F" w14:textId="77777777" w:rsidR="00531BB9" w:rsidRPr="00531BB9" w:rsidRDefault="00531BB9" w:rsidP="00531BB9">
      <w:pPr>
        <w:rPr>
          <w:rFonts w:ascii="Arial" w:eastAsia="MS Mincho" w:hAnsi="Arial" w:cs="Arial"/>
          <w:sz w:val="20"/>
          <w:szCs w:val="20"/>
          <w:lang w:eastAsia="ja-JP"/>
        </w:rPr>
      </w:pPr>
      <w:r w:rsidRPr="00531BB9">
        <w:rPr>
          <w:rFonts w:ascii="Arial" w:eastAsia="MS Mincho" w:hAnsi="Arial" w:cs="Arial"/>
          <w:sz w:val="20"/>
          <w:szCs w:val="20"/>
          <w:lang w:eastAsia="ja-JP"/>
        </w:rPr>
        <w:t>The null hypotheses were tested in this study at 0.05 level of significance.</w:t>
      </w:r>
    </w:p>
    <w:p w14:paraId="7ED6A841" w14:textId="77777777" w:rsidR="00531BB9" w:rsidRPr="00531BB9" w:rsidRDefault="00531BB9" w:rsidP="00531BB9">
      <w:pPr>
        <w:rPr>
          <w:rFonts w:ascii="Arial" w:eastAsia="MS Mincho" w:hAnsi="Arial" w:cs="Arial"/>
          <w:sz w:val="20"/>
          <w:szCs w:val="20"/>
          <w:lang w:eastAsia="ja-JP"/>
        </w:rPr>
      </w:pPr>
      <w:r w:rsidRPr="00531BB9">
        <w:rPr>
          <w:rFonts w:ascii="Arial" w:eastAsia="MS Mincho" w:hAnsi="Arial" w:cs="Arial"/>
          <w:sz w:val="20"/>
          <w:szCs w:val="20"/>
          <w:lang w:eastAsia="ja-JP"/>
        </w:rPr>
        <w:t>Ho1. There is no significant relationship between bolstering durability skills of educators and occupational commitment of teachers in public elementary schools.</w:t>
      </w:r>
    </w:p>
    <w:p w14:paraId="6B8BAB7B" w14:textId="787BEB37" w:rsidR="00612546" w:rsidRDefault="00531BB9" w:rsidP="00531BB9">
      <w:pPr>
        <w:rPr>
          <w:rFonts w:ascii="Arial" w:eastAsia="MS Mincho" w:hAnsi="Arial" w:cs="Arial"/>
          <w:sz w:val="20"/>
          <w:szCs w:val="20"/>
          <w:lang w:eastAsia="ja-JP"/>
        </w:rPr>
      </w:pPr>
      <w:r w:rsidRPr="00531BB9">
        <w:rPr>
          <w:rFonts w:ascii="Arial" w:eastAsia="MS Mincho" w:hAnsi="Arial" w:cs="Arial"/>
          <w:sz w:val="20"/>
          <w:szCs w:val="20"/>
          <w:lang w:eastAsia="ja-JP"/>
        </w:rPr>
        <w:t>Ho2.  There is no significant influence of the domains of bolstering durability skills on occupational commitment of teache</w:t>
      </w:r>
      <w:r>
        <w:rPr>
          <w:rFonts w:ascii="Arial" w:eastAsia="MS Mincho" w:hAnsi="Arial" w:cs="Arial"/>
          <w:sz w:val="20"/>
          <w:szCs w:val="20"/>
          <w:lang w:eastAsia="ja-JP"/>
        </w:rPr>
        <w:t>rs in public elementary schools.</w:t>
      </w:r>
    </w:p>
    <w:p w14:paraId="1D2E2819" w14:textId="77777777" w:rsidR="00531BB9" w:rsidRPr="007E5C64" w:rsidRDefault="00531BB9" w:rsidP="00531BB9">
      <w:pPr>
        <w:rPr>
          <w:rFonts w:ascii="Arial" w:hAnsi="Arial" w:cs="Arial"/>
          <w:sz w:val="20"/>
          <w:szCs w:val="20"/>
        </w:rPr>
      </w:pPr>
    </w:p>
    <w:p w14:paraId="012EB897" w14:textId="367C4A5B" w:rsidR="00717F2E" w:rsidRPr="007E5C64" w:rsidRDefault="00180859">
      <w:pPr>
        <w:pStyle w:val="AbstHead"/>
        <w:spacing w:after="0"/>
        <w:jc w:val="both"/>
        <w:rPr>
          <w:rFonts w:ascii="Arial" w:hAnsi="Arial" w:cs="Arial"/>
          <w:sz w:val="20"/>
        </w:rPr>
      </w:pPr>
      <w:r w:rsidRPr="007E5C64">
        <w:rPr>
          <w:rFonts w:ascii="Arial" w:hAnsi="Arial" w:cs="Arial"/>
          <w:sz w:val="20"/>
        </w:rPr>
        <w:t>2. methodology</w:t>
      </w:r>
    </w:p>
    <w:p w14:paraId="786C1FBD" w14:textId="77777777" w:rsidR="00717F2E" w:rsidRPr="007E5C64" w:rsidRDefault="00717F2E">
      <w:pPr>
        <w:pStyle w:val="Body"/>
        <w:spacing w:after="0"/>
        <w:rPr>
          <w:rFonts w:ascii="Arial" w:hAnsi="Arial" w:cs="Arial"/>
        </w:rPr>
      </w:pPr>
    </w:p>
    <w:p w14:paraId="670AA047" w14:textId="77777777" w:rsidR="00717F2E" w:rsidRPr="007E5C64" w:rsidRDefault="00180859">
      <w:pPr>
        <w:rPr>
          <w:rFonts w:ascii="Arial" w:hAnsi="Arial" w:cs="Arial"/>
          <w:b/>
          <w:bCs/>
          <w:sz w:val="20"/>
          <w:szCs w:val="20"/>
        </w:rPr>
      </w:pPr>
      <w:r w:rsidRPr="007E5C64">
        <w:rPr>
          <w:rFonts w:ascii="Arial" w:hAnsi="Arial" w:cs="Arial"/>
          <w:b/>
          <w:bCs/>
          <w:sz w:val="20"/>
          <w:szCs w:val="20"/>
        </w:rPr>
        <w:t>2.1 Research Design</w:t>
      </w:r>
    </w:p>
    <w:p w14:paraId="1DB3AA86" w14:textId="77777777" w:rsidR="00717F2E" w:rsidRPr="007E5C64" w:rsidRDefault="00717F2E">
      <w:pPr>
        <w:rPr>
          <w:rFonts w:ascii="Arial" w:hAnsi="Arial" w:cs="Arial"/>
          <w:b/>
          <w:bCs/>
          <w:sz w:val="20"/>
          <w:szCs w:val="20"/>
        </w:rPr>
      </w:pPr>
    </w:p>
    <w:p w14:paraId="1BA9E140" w14:textId="398396FC" w:rsidR="00074927" w:rsidRPr="00074927" w:rsidRDefault="00074927" w:rsidP="00074927">
      <w:pPr>
        <w:jc w:val="both"/>
        <w:rPr>
          <w:rFonts w:ascii="Arial" w:hAnsi="Arial" w:cs="Arial"/>
          <w:sz w:val="20"/>
          <w:szCs w:val="20"/>
        </w:rPr>
      </w:pPr>
      <w:r w:rsidRPr="00074927">
        <w:rPr>
          <w:rFonts w:ascii="Arial" w:hAnsi="Arial" w:cs="Arial"/>
          <w:sz w:val="20"/>
          <w:szCs w:val="20"/>
        </w:rPr>
        <w:t>This study employed a non-experimental quantitative research design utilizing the correlational method. This design was appropriate for examining the degree of association between the durability skills of educators and their occupational commitment in public elementary schools. As Baguio and Baguio (2025) emphasized, relationships between variables may arise from shared behavioral tendencies or be influenced by common organizational and environmental factors. In this study, the correlational method allowed the researcher to determine whether teachers who exhibit stronger durability skills</w:t>
      </w:r>
      <w:r>
        <w:rPr>
          <w:rFonts w:ascii="Arial" w:hAnsi="Arial" w:cs="Arial"/>
          <w:sz w:val="20"/>
          <w:szCs w:val="20"/>
        </w:rPr>
        <w:t xml:space="preserve"> </w:t>
      </w:r>
      <w:r w:rsidRPr="00074927">
        <w:rPr>
          <w:rFonts w:ascii="Arial" w:hAnsi="Arial" w:cs="Arial"/>
          <w:sz w:val="20"/>
          <w:szCs w:val="20"/>
        </w:rPr>
        <w:t>also report higher levels of occupational commitment. By exploring this relationship, the study aimed to generate insights that could support teacher retention initiatives, inform capacity-building programs, and strengthen the long-term effectiveness of the teaching workforce in public elementary education.</w:t>
      </w:r>
    </w:p>
    <w:p w14:paraId="7951F6CD" w14:textId="77777777" w:rsidR="00074927" w:rsidRDefault="00074927">
      <w:pPr>
        <w:rPr>
          <w:rFonts w:ascii="Arial" w:hAnsi="Arial" w:cs="Arial"/>
          <w:b/>
          <w:bCs/>
          <w:sz w:val="20"/>
          <w:szCs w:val="20"/>
        </w:rPr>
      </w:pPr>
    </w:p>
    <w:p w14:paraId="318F0781" w14:textId="6C259855" w:rsidR="00717F2E" w:rsidRPr="007E5C64" w:rsidRDefault="00180859">
      <w:pPr>
        <w:rPr>
          <w:rFonts w:ascii="Arial" w:hAnsi="Arial" w:cs="Arial"/>
          <w:b/>
          <w:bCs/>
          <w:sz w:val="20"/>
          <w:szCs w:val="20"/>
        </w:rPr>
      </w:pPr>
      <w:r w:rsidRPr="007E5C64">
        <w:rPr>
          <w:rFonts w:ascii="Arial" w:hAnsi="Arial" w:cs="Arial"/>
          <w:b/>
          <w:bCs/>
          <w:sz w:val="20"/>
          <w:szCs w:val="20"/>
        </w:rPr>
        <w:t>2.2 Research Respondents</w:t>
      </w:r>
    </w:p>
    <w:p w14:paraId="56FDFA7F" w14:textId="77777777" w:rsidR="00D453B9" w:rsidRPr="007E5C64" w:rsidRDefault="00D453B9">
      <w:pPr>
        <w:rPr>
          <w:rFonts w:ascii="Arial" w:hAnsi="Arial" w:cs="Arial"/>
          <w:b/>
          <w:bCs/>
          <w:sz w:val="20"/>
          <w:szCs w:val="20"/>
        </w:rPr>
      </w:pPr>
    </w:p>
    <w:p w14:paraId="0BAC103C" w14:textId="02D2708D" w:rsidR="00074927" w:rsidRPr="00074927" w:rsidRDefault="00074927" w:rsidP="00074927">
      <w:pPr>
        <w:jc w:val="both"/>
        <w:rPr>
          <w:rFonts w:ascii="Arial" w:hAnsi="Arial" w:cs="Arial"/>
          <w:sz w:val="20"/>
          <w:szCs w:val="20"/>
        </w:rPr>
      </w:pPr>
      <w:r w:rsidRPr="00074927">
        <w:rPr>
          <w:rFonts w:ascii="Arial" w:hAnsi="Arial" w:cs="Arial"/>
          <w:sz w:val="20"/>
          <w:szCs w:val="20"/>
        </w:rPr>
        <w:t xml:space="preserve">The study included a total of 132 out of 197 elementary school teachers from public schools in </w:t>
      </w:r>
      <w:proofErr w:type="spellStart"/>
      <w:r w:rsidRPr="00074927">
        <w:rPr>
          <w:rFonts w:ascii="Arial" w:hAnsi="Arial" w:cs="Arial"/>
          <w:sz w:val="20"/>
          <w:szCs w:val="20"/>
        </w:rPr>
        <w:t>Malalag</w:t>
      </w:r>
      <w:proofErr w:type="spellEnd"/>
      <w:r w:rsidRPr="00074927">
        <w:rPr>
          <w:rFonts w:ascii="Arial" w:hAnsi="Arial" w:cs="Arial"/>
          <w:sz w:val="20"/>
          <w:szCs w:val="20"/>
        </w:rPr>
        <w:t xml:space="preserve"> District, Division of Davao Del Sur, determined using </w:t>
      </w:r>
      <w:proofErr w:type="spellStart"/>
      <w:r w:rsidRPr="00074927">
        <w:rPr>
          <w:rFonts w:ascii="Arial" w:hAnsi="Arial" w:cs="Arial"/>
          <w:sz w:val="20"/>
          <w:szCs w:val="20"/>
        </w:rPr>
        <w:t>Slovin’s</w:t>
      </w:r>
      <w:proofErr w:type="spellEnd"/>
      <w:r w:rsidRPr="00074927">
        <w:rPr>
          <w:rFonts w:ascii="Arial" w:hAnsi="Arial" w:cs="Arial"/>
          <w:sz w:val="20"/>
          <w:szCs w:val="20"/>
        </w:rPr>
        <w:t xml:space="preserve"> formula with a 95% confidence interval and a 5% margin of error. A stratified random sampling technique was used to ensure a representative sample across different subgroups within the population. This method divided the target population into distinct strata based on relevant characteristics, from which respondents were randomly selected to guarantee that each subgroup was adequately represente</w:t>
      </w:r>
      <w:r>
        <w:rPr>
          <w:rFonts w:ascii="Arial" w:hAnsi="Arial" w:cs="Arial"/>
          <w:sz w:val="20"/>
          <w:szCs w:val="20"/>
        </w:rPr>
        <w:t xml:space="preserve">d. </w:t>
      </w:r>
      <w:r w:rsidRPr="00074927">
        <w:rPr>
          <w:rFonts w:ascii="Arial" w:hAnsi="Arial" w:cs="Arial"/>
          <w:sz w:val="20"/>
          <w:szCs w:val="20"/>
        </w:rPr>
        <w:t>Stratified random sampling was particularly useful for capturing the diversity of perspectives within a heterogeneous population, enhancing the study’s reliability and enabling meaningful conclusions and accurate inferences about the larger teacher population.</w:t>
      </w:r>
    </w:p>
    <w:p w14:paraId="62F786E4" w14:textId="77777777" w:rsidR="00074927" w:rsidRPr="00074927" w:rsidRDefault="00074927" w:rsidP="00074927">
      <w:pPr>
        <w:rPr>
          <w:rFonts w:ascii="Arial" w:hAnsi="Arial" w:cs="Arial"/>
          <w:sz w:val="20"/>
          <w:szCs w:val="20"/>
        </w:rPr>
      </w:pPr>
    </w:p>
    <w:p w14:paraId="3FACA4E2" w14:textId="77777777" w:rsidR="000D23E6" w:rsidRPr="007E5C64" w:rsidRDefault="000D23E6">
      <w:pPr>
        <w:rPr>
          <w:rFonts w:ascii="Arial" w:hAnsi="Arial" w:cs="Arial"/>
          <w:sz w:val="20"/>
          <w:szCs w:val="20"/>
        </w:rPr>
      </w:pPr>
    </w:p>
    <w:p w14:paraId="6BE2C45C" w14:textId="112B9625" w:rsidR="00717F2E" w:rsidRPr="007E5C64" w:rsidRDefault="00180859">
      <w:pPr>
        <w:rPr>
          <w:rFonts w:ascii="Arial" w:hAnsi="Arial" w:cs="Arial"/>
          <w:b/>
          <w:bCs/>
          <w:sz w:val="20"/>
          <w:szCs w:val="20"/>
        </w:rPr>
      </w:pPr>
      <w:r w:rsidRPr="007E5C64">
        <w:rPr>
          <w:rFonts w:ascii="Arial" w:hAnsi="Arial" w:cs="Arial"/>
          <w:b/>
          <w:bCs/>
          <w:sz w:val="20"/>
          <w:szCs w:val="20"/>
        </w:rPr>
        <w:t>2.3 Research Instrument</w:t>
      </w:r>
    </w:p>
    <w:p w14:paraId="7593DDB4" w14:textId="77777777" w:rsidR="00717F2E" w:rsidRPr="007E5C64" w:rsidRDefault="00717F2E" w:rsidP="00764E58">
      <w:pPr>
        <w:jc w:val="both"/>
        <w:rPr>
          <w:rFonts w:ascii="Arial" w:hAnsi="Arial" w:cs="Arial"/>
          <w:b/>
          <w:bCs/>
          <w:sz w:val="20"/>
          <w:szCs w:val="20"/>
        </w:rPr>
      </w:pPr>
    </w:p>
    <w:p w14:paraId="7EB601C5" w14:textId="77777777" w:rsidR="00764E58" w:rsidRPr="00764E58" w:rsidRDefault="00764E58" w:rsidP="00764E58">
      <w:pPr>
        <w:jc w:val="both"/>
        <w:rPr>
          <w:rFonts w:ascii="Arial" w:hAnsi="Arial" w:cs="Arial"/>
          <w:sz w:val="20"/>
          <w:szCs w:val="20"/>
        </w:rPr>
      </w:pPr>
      <w:r w:rsidRPr="00764E58">
        <w:rPr>
          <w:rFonts w:ascii="Arial" w:hAnsi="Arial" w:cs="Arial"/>
          <w:sz w:val="20"/>
          <w:szCs w:val="20"/>
        </w:rPr>
        <w:t xml:space="preserve">The main data collection tool for this study consisted of researcher-made survey questionnaires designed to measure the levels of durability skills and occupational commitment among public elementary school teachers in the </w:t>
      </w:r>
      <w:proofErr w:type="spellStart"/>
      <w:r w:rsidRPr="00764E58">
        <w:rPr>
          <w:rFonts w:ascii="Arial" w:hAnsi="Arial" w:cs="Arial"/>
          <w:sz w:val="20"/>
          <w:szCs w:val="20"/>
        </w:rPr>
        <w:t>Malalag</w:t>
      </w:r>
      <w:proofErr w:type="spellEnd"/>
      <w:r w:rsidRPr="00764E58">
        <w:rPr>
          <w:rFonts w:ascii="Arial" w:hAnsi="Arial" w:cs="Arial"/>
          <w:sz w:val="20"/>
          <w:szCs w:val="20"/>
        </w:rPr>
        <w:t xml:space="preserve"> District, Division of Davao del Sur. These instruments were developed based on relevant theoretical frameworks, scholarly literature, and prior studies related to teacher resilience, professional sustainability, and organizational commitment. To ensure content accuracy and alignment with the study’s objectives, the questionnaires underwent face and content validation by a panel of experts in Educational Management, Psychology, and Elementary Education. Revisions were made </w:t>
      </w:r>
      <w:r w:rsidRPr="00764E58">
        <w:rPr>
          <w:rFonts w:ascii="Arial" w:hAnsi="Arial" w:cs="Arial"/>
          <w:sz w:val="20"/>
          <w:szCs w:val="20"/>
        </w:rPr>
        <w:lastRenderedPageBreak/>
        <w:t>based on the panel’s recommendations to improve the clarity, validity, and readability of the instruments.</w:t>
      </w:r>
    </w:p>
    <w:p w14:paraId="276EE2B2" w14:textId="77777777" w:rsidR="00764E58" w:rsidRPr="00764E58" w:rsidRDefault="00764E58" w:rsidP="00764E58">
      <w:pPr>
        <w:jc w:val="both"/>
        <w:rPr>
          <w:rFonts w:ascii="Arial" w:hAnsi="Arial" w:cs="Arial"/>
          <w:sz w:val="20"/>
          <w:szCs w:val="20"/>
        </w:rPr>
      </w:pPr>
    </w:p>
    <w:p w14:paraId="25023BED" w14:textId="2D06F358" w:rsidR="00817E0E" w:rsidRDefault="00764E58" w:rsidP="00764E58">
      <w:pPr>
        <w:jc w:val="both"/>
        <w:rPr>
          <w:rFonts w:ascii="Arial" w:hAnsi="Arial" w:cs="Arial"/>
          <w:sz w:val="20"/>
          <w:szCs w:val="20"/>
        </w:rPr>
      </w:pPr>
      <w:r w:rsidRPr="00764E58">
        <w:rPr>
          <w:rFonts w:ascii="Arial" w:hAnsi="Arial" w:cs="Arial"/>
          <w:sz w:val="20"/>
          <w:szCs w:val="20"/>
        </w:rPr>
        <w:t xml:space="preserve">To establish the reliability of the instruments, a pilot test was conducted involving 30 public elementary school teachers from a neighboring district not included in the main study. The results indicated high internal consistency, </w:t>
      </w:r>
      <w:r>
        <w:rPr>
          <w:rFonts w:ascii="Arial" w:hAnsi="Arial" w:cs="Arial"/>
          <w:sz w:val="20"/>
          <w:szCs w:val="20"/>
        </w:rPr>
        <w:t>with a Cronbach’s Alpha of 0.952</w:t>
      </w:r>
      <w:r w:rsidRPr="00764E58">
        <w:rPr>
          <w:rFonts w:ascii="Arial" w:hAnsi="Arial" w:cs="Arial"/>
          <w:sz w:val="20"/>
          <w:szCs w:val="20"/>
        </w:rPr>
        <w:t xml:space="preserve"> for the Dura</w:t>
      </w:r>
      <w:r>
        <w:rPr>
          <w:rFonts w:ascii="Arial" w:hAnsi="Arial" w:cs="Arial"/>
          <w:sz w:val="20"/>
          <w:szCs w:val="20"/>
        </w:rPr>
        <w:t>bility Skills subscale and 0.923</w:t>
      </w:r>
      <w:r w:rsidRPr="00764E58">
        <w:rPr>
          <w:rFonts w:ascii="Arial" w:hAnsi="Arial" w:cs="Arial"/>
          <w:sz w:val="20"/>
          <w:szCs w:val="20"/>
        </w:rPr>
        <w:t xml:space="preserve"> for the Occupational Commitment subscale.</w:t>
      </w:r>
    </w:p>
    <w:p w14:paraId="7EB24B42" w14:textId="77777777" w:rsidR="00764E58" w:rsidRDefault="00764E58" w:rsidP="00764E58">
      <w:pPr>
        <w:jc w:val="both"/>
        <w:rPr>
          <w:rFonts w:ascii="Arial" w:hAnsi="Arial" w:cs="Arial"/>
          <w:sz w:val="20"/>
          <w:szCs w:val="20"/>
        </w:rPr>
      </w:pPr>
    </w:p>
    <w:p w14:paraId="27C6641A" w14:textId="130AEBBC" w:rsidR="005D71AE" w:rsidRPr="007E5C64" w:rsidRDefault="00180859" w:rsidP="00764E58">
      <w:pPr>
        <w:jc w:val="both"/>
        <w:rPr>
          <w:rFonts w:ascii="Arial" w:hAnsi="Arial" w:cs="Arial"/>
          <w:b/>
          <w:bCs/>
          <w:sz w:val="20"/>
          <w:szCs w:val="20"/>
        </w:rPr>
      </w:pPr>
      <w:r w:rsidRPr="007E5C64">
        <w:rPr>
          <w:rFonts w:ascii="Arial" w:hAnsi="Arial" w:cs="Arial"/>
          <w:b/>
          <w:bCs/>
          <w:sz w:val="20"/>
          <w:szCs w:val="20"/>
        </w:rPr>
        <w:t>2.4 Data Gathering Procedure</w:t>
      </w:r>
    </w:p>
    <w:p w14:paraId="0409FDF5" w14:textId="77777777" w:rsidR="00CC5ECD" w:rsidRPr="007E5C64" w:rsidRDefault="00CC5ECD" w:rsidP="005D71AE">
      <w:pPr>
        <w:rPr>
          <w:rFonts w:ascii="Arial" w:hAnsi="Arial" w:cs="Arial"/>
          <w:b/>
          <w:bCs/>
          <w:sz w:val="20"/>
          <w:szCs w:val="20"/>
        </w:rPr>
      </w:pPr>
    </w:p>
    <w:p w14:paraId="478A122E" w14:textId="77777777" w:rsidR="0064327B" w:rsidRPr="0064327B" w:rsidRDefault="0064327B" w:rsidP="0064327B">
      <w:pPr>
        <w:pStyle w:val="Heading1"/>
        <w:jc w:val="both"/>
        <w:rPr>
          <w:rFonts w:cs="Arial"/>
          <w:b w:val="0"/>
          <w:kern w:val="0"/>
          <w:sz w:val="20"/>
        </w:rPr>
      </w:pPr>
      <w:r w:rsidRPr="0064327B">
        <w:rPr>
          <w:rFonts w:cs="Arial"/>
          <w:b w:val="0"/>
          <w:kern w:val="0"/>
          <w:sz w:val="20"/>
        </w:rPr>
        <w:t xml:space="preserve">Data collection followed a systematic and ethically sound procedure. The researcher first obtained an endorsement from the Dean of the Graduate School and secured ethical clearance from the institution’s Ethics Review Committee. A formal request was then submitted to the Office of the Schools Division Superintendent of the Division of Davao del Sur. Upon approval, an endorsement letter was issued to the School Heads of the public elementary schools in </w:t>
      </w:r>
      <w:proofErr w:type="spellStart"/>
      <w:r w:rsidRPr="0064327B">
        <w:rPr>
          <w:rFonts w:cs="Arial"/>
          <w:b w:val="0"/>
          <w:kern w:val="0"/>
          <w:sz w:val="20"/>
        </w:rPr>
        <w:t>Malalag</w:t>
      </w:r>
      <w:proofErr w:type="spellEnd"/>
      <w:r w:rsidRPr="0064327B">
        <w:rPr>
          <w:rFonts w:cs="Arial"/>
          <w:b w:val="0"/>
          <w:kern w:val="0"/>
          <w:sz w:val="20"/>
        </w:rPr>
        <w:t xml:space="preserve"> District to authorize the conduct of the study.</w:t>
      </w:r>
    </w:p>
    <w:p w14:paraId="16E84123" w14:textId="77777777" w:rsidR="0064327B" w:rsidRPr="0064327B" w:rsidRDefault="0064327B" w:rsidP="0064327B">
      <w:pPr>
        <w:pStyle w:val="Heading1"/>
        <w:jc w:val="both"/>
        <w:rPr>
          <w:rFonts w:cs="Arial"/>
          <w:b w:val="0"/>
          <w:kern w:val="0"/>
          <w:sz w:val="20"/>
        </w:rPr>
      </w:pPr>
    </w:p>
    <w:p w14:paraId="44D872FA" w14:textId="77777777" w:rsidR="0064327B" w:rsidRDefault="0064327B" w:rsidP="0064327B">
      <w:pPr>
        <w:pStyle w:val="Heading1"/>
        <w:jc w:val="both"/>
        <w:rPr>
          <w:rFonts w:cs="Arial"/>
          <w:b w:val="0"/>
          <w:kern w:val="0"/>
          <w:sz w:val="20"/>
        </w:rPr>
      </w:pPr>
      <w:r w:rsidRPr="0064327B">
        <w:rPr>
          <w:rFonts w:cs="Arial"/>
          <w:b w:val="0"/>
          <w:kern w:val="0"/>
          <w:sz w:val="20"/>
        </w:rPr>
        <w:t>A pilot test was initially conducted to assess the reliability and clarity of the research instruments. Based on the results, necessary refinements were made to enhance the final version of the survey questionnaires. These finalized instruments were then distributed to the 131 teacher-respondents using the universal sampling approach. Each respondent was oriented on the objectives of the study and was given instructions for accurately accomplishing the questionnaire. The completed surveys were collected personally by the researcher. All responses were subsequently submitted to a professional statistician for encoding, tabulation, and statistical analysis.</w:t>
      </w:r>
    </w:p>
    <w:p w14:paraId="1C13872C" w14:textId="58836C23" w:rsidR="00717F2E" w:rsidRPr="007E5C64" w:rsidRDefault="00180859" w:rsidP="0064327B">
      <w:pPr>
        <w:pStyle w:val="Heading1"/>
        <w:rPr>
          <w:rFonts w:cs="Arial"/>
          <w:sz w:val="20"/>
        </w:rPr>
      </w:pPr>
      <w:r w:rsidRPr="007E5C64">
        <w:rPr>
          <w:rFonts w:cs="Arial"/>
          <w:sz w:val="20"/>
        </w:rPr>
        <w:t>2.5 Data Analysis</w:t>
      </w:r>
    </w:p>
    <w:p w14:paraId="3CB0DE7E" w14:textId="77777777" w:rsidR="005D71AE" w:rsidRPr="007E5C64" w:rsidRDefault="005D71AE" w:rsidP="00304469">
      <w:pPr>
        <w:pStyle w:val="Head1"/>
        <w:jc w:val="both"/>
        <w:rPr>
          <w:rFonts w:ascii="Arial" w:hAnsi="Arial" w:cs="Arial"/>
          <w:b w:val="0"/>
          <w:caps w:val="0"/>
          <w:sz w:val="20"/>
        </w:rPr>
      </w:pPr>
    </w:p>
    <w:p w14:paraId="4061EE12" w14:textId="3C08F687" w:rsidR="00DC34B2" w:rsidRDefault="00DC34B2" w:rsidP="00E77BF7">
      <w:pPr>
        <w:pStyle w:val="Head1"/>
        <w:jc w:val="both"/>
        <w:rPr>
          <w:rFonts w:ascii="Arial" w:hAnsi="Arial" w:cs="Arial"/>
          <w:b w:val="0"/>
          <w:caps w:val="0"/>
          <w:sz w:val="20"/>
        </w:rPr>
      </w:pPr>
      <w:r w:rsidRPr="00DC34B2">
        <w:rPr>
          <w:rFonts w:ascii="Arial" w:hAnsi="Arial" w:cs="Arial"/>
          <w:b w:val="0"/>
          <w:caps w:val="0"/>
          <w:sz w:val="20"/>
          <w:highlight w:val="yellow"/>
        </w:rPr>
        <w:t>To analyze the data collected and effectively address the research questions of this study, the following statistical tools were utilized using SPSS version 21:</w:t>
      </w:r>
    </w:p>
    <w:p w14:paraId="6DFCD87B" w14:textId="16D339ED" w:rsidR="00E77BF7" w:rsidRPr="00E77BF7" w:rsidRDefault="00E77BF7" w:rsidP="00E77BF7">
      <w:pPr>
        <w:pStyle w:val="Head1"/>
        <w:jc w:val="both"/>
        <w:rPr>
          <w:rFonts w:ascii="Arial" w:hAnsi="Arial" w:cs="Arial"/>
          <w:b w:val="0"/>
          <w:caps w:val="0"/>
          <w:sz w:val="20"/>
        </w:rPr>
      </w:pPr>
      <w:r w:rsidRPr="00E77BF7">
        <w:rPr>
          <w:rFonts w:ascii="Arial" w:hAnsi="Arial" w:cs="Arial"/>
          <w:b w:val="0"/>
          <w:caps w:val="0"/>
          <w:sz w:val="20"/>
        </w:rPr>
        <w:t xml:space="preserve">Mean. This was used to determine the levels of durability skills and occupational commitment among the respondents. </w:t>
      </w:r>
    </w:p>
    <w:p w14:paraId="4D1119A0" w14:textId="4D05A5AD" w:rsidR="00E77BF7" w:rsidRPr="00E77BF7" w:rsidRDefault="00E77BF7" w:rsidP="00E77BF7">
      <w:pPr>
        <w:pStyle w:val="Head1"/>
        <w:jc w:val="both"/>
        <w:rPr>
          <w:rFonts w:ascii="Arial" w:hAnsi="Arial" w:cs="Arial"/>
          <w:b w:val="0"/>
          <w:caps w:val="0"/>
          <w:sz w:val="20"/>
        </w:rPr>
      </w:pPr>
      <w:r w:rsidRPr="00E77BF7">
        <w:rPr>
          <w:rFonts w:ascii="Arial" w:hAnsi="Arial" w:cs="Arial"/>
          <w:b w:val="0"/>
          <w:caps w:val="0"/>
          <w:sz w:val="20"/>
        </w:rPr>
        <w:t>Pearson Product-Moment Correlation Coefficient (Pearson r). This statistical tool was employed to assess the strength and direction of the relationship between durability skills and occupational commitment. It helped determine whether a significant relationship existed between the two primary variables.</w:t>
      </w:r>
    </w:p>
    <w:p w14:paraId="54E1E55E" w14:textId="60E754E8" w:rsidR="005923EA" w:rsidRPr="00E77BF7" w:rsidRDefault="00E77BF7" w:rsidP="00E77BF7">
      <w:pPr>
        <w:pStyle w:val="Head1"/>
        <w:jc w:val="both"/>
        <w:rPr>
          <w:rFonts w:ascii="Arial" w:hAnsi="Arial" w:cs="Arial"/>
          <w:b w:val="0"/>
          <w:caps w:val="0"/>
          <w:sz w:val="20"/>
        </w:rPr>
      </w:pPr>
      <w:r w:rsidRPr="00E77BF7">
        <w:rPr>
          <w:rFonts w:ascii="Arial" w:hAnsi="Arial" w:cs="Arial"/>
          <w:b w:val="0"/>
          <w:caps w:val="0"/>
          <w:sz w:val="20"/>
        </w:rPr>
        <w:t>Multiple Regression Analysis. This was used to evaluate the extent to which the specific dimensions of durability skills significantly predicted the levels of occupational commitment. Through this analysis, the study identified which aspects of durability skills had the most substantial influence on teachers’ professional commitment in the public elementary school setting.</w:t>
      </w:r>
    </w:p>
    <w:p w14:paraId="54D02440" w14:textId="330D7BFD" w:rsidR="00717F2E" w:rsidRPr="007E5C64" w:rsidRDefault="00180859">
      <w:pPr>
        <w:pStyle w:val="Head1"/>
        <w:spacing w:after="0"/>
        <w:jc w:val="both"/>
        <w:rPr>
          <w:rFonts w:ascii="Arial" w:hAnsi="Arial" w:cs="Arial"/>
          <w:sz w:val="20"/>
        </w:rPr>
      </w:pPr>
      <w:r w:rsidRPr="007E5C64">
        <w:rPr>
          <w:rFonts w:ascii="Arial" w:hAnsi="Arial" w:cs="Arial"/>
          <w:sz w:val="20"/>
        </w:rPr>
        <w:t>3. results and discussion</w:t>
      </w:r>
    </w:p>
    <w:p w14:paraId="500B7B33" w14:textId="77777777" w:rsidR="00717F2E" w:rsidRPr="007E5C64" w:rsidRDefault="00717F2E">
      <w:pPr>
        <w:rPr>
          <w:rFonts w:ascii="Arial" w:hAnsi="Arial" w:cs="Arial"/>
          <w:b/>
          <w:i/>
          <w:sz w:val="20"/>
          <w:szCs w:val="20"/>
        </w:rPr>
      </w:pPr>
    </w:p>
    <w:p w14:paraId="1DF55D87" w14:textId="59510AA8" w:rsidR="005D71AE" w:rsidRPr="007E5C64" w:rsidRDefault="00180859">
      <w:pPr>
        <w:suppressAutoHyphens/>
        <w:jc w:val="both"/>
        <w:rPr>
          <w:rFonts w:ascii="Arial" w:hAnsi="Arial" w:cs="Arial"/>
          <w:b/>
          <w:sz w:val="20"/>
          <w:szCs w:val="20"/>
        </w:rPr>
      </w:pPr>
      <w:r w:rsidRPr="007E5C64">
        <w:rPr>
          <w:rFonts w:ascii="Arial" w:hAnsi="Arial" w:cs="Arial"/>
          <w:b/>
          <w:sz w:val="20"/>
          <w:szCs w:val="20"/>
        </w:rPr>
        <w:t xml:space="preserve">3.1 </w:t>
      </w:r>
      <w:r w:rsidR="00B712CE" w:rsidRPr="00B712CE">
        <w:rPr>
          <w:rFonts w:ascii="Arial" w:hAnsi="Arial" w:cs="Arial"/>
          <w:b/>
          <w:sz w:val="20"/>
          <w:szCs w:val="20"/>
        </w:rPr>
        <w:t>Level of Bolstering Durability Skills among Public Elementary School Teachers</w:t>
      </w:r>
    </w:p>
    <w:p w14:paraId="1B38FF68" w14:textId="77777777" w:rsidR="00EF4B2D" w:rsidRPr="007E5C64" w:rsidRDefault="00EF4B2D">
      <w:pPr>
        <w:suppressAutoHyphens/>
        <w:jc w:val="both"/>
        <w:rPr>
          <w:rFonts w:ascii="Arial" w:hAnsi="Arial" w:cs="Arial"/>
          <w:b/>
          <w:sz w:val="20"/>
          <w:szCs w:val="20"/>
        </w:rPr>
      </w:pPr>
    </w:p>
    <w:p w14:paraId="496DE70A" w14:textId="1ED58A36" w:rsidR="002F5C4B" w:rsidRPr="007E5C64" w:rsidRDefault="00180859">
      <w:pPr>
        <w:suppressAutoHyphens/>
        <w:jc w:val="both"/>
        <w:rPr>
          <w:rFonts w:ascii="Arial" w:hAnsi="Arial" w:cs="Arial"/>
          <w:i/>
          <w:iCs/>
          <w:sz w:val="20"/>
          <w:szCs w:val="20"/>
        </w:rPr>
      </w:pPr>
      <w:r w:rsidRPr="007E5C64">
        <w:rPr>
          <w:rFonts w:ascii="Arial" w:hAnsi="Arial" w:cs="Arial"/>
          <w:iCs/>
          <w:sz w:val="20"/>
          <w:szCs w:val="20"/>
        </w:rPr>
        <w:lastRenderedPageBreak/>
        <w:t>Table 1</w:t>
      </w:r>
      <w:r w:rsidR="00CC5ECD" w:rsidRPr="007E5C64">
        <w:rPr>
          <w:rFonts w:ascii="Arial" w:hAnsi="Arial" w:cs="Arial"/>
          <w:iCs/>
          <w:sz w:val="20"/>
          <w:szCs w:val="20"/>
        </w:rPr>
        <w:t>.</w:t>
      </w:r>
      <w:r w:rsidR="00CC5ECD" w:rsidRPr="007E5C64">
        <w:rPr>
          <w:sz w:val="20"/>
          <w:szCs w:val="20"/>
        </w:rPr>
        <w:t xml:space="preserve"> </w:t>
      </w:r>
      <w:r w:rsidR="00B712CE" w:rsidRPr="00B712CE">
        <w:rPr>
          <w:rFonts w:ascii="Arial" w:hAnsi="Arial" w:cs="Arial"/>
          <w:i/>
          <w:iCs/>
          <w:sz w:val="20"/>
          <w:szCs w:val="20"/>
        </w:rPr>
        <w:t>Level of Bolstering Durability Skills among Public Elementary School Teachers</w:t>
      </w:r>
    </w:p>
    <w:p w14:paraId="67CCBDF6" w14:textId="77777777" w:rsidR="00D21D9E" w:rsidRPr="007E5C64" w:rsidRDefault="00D21D9E">
      <w:pPr>
        <w:suppressAutoHyphens/>
        <w:jc w:val="both"/>
        <w:rPr>
          <w:rFonts w:ascii="Arial" w:hAnsi="Arial" w:cs="Arial"/>
          <w:i/>
          <w:sz w:val="20"/>
          <w:szCs w:val="20"/>
        </w:rPr>
      </w:pPr>
    </w:p>
    <w:tbl>
      <w:tblPr>
        <w:tblW w:w="8491" w:type="dxa"/>
        <w:tblInd w:w="108" w:type="dxa"/>
        <w:tblBorders>
          <w:top w:val="single" w:sz="4" w:space="0" w:color="auto"/>
          <w:bottom w:val="single" w:sz="4" w:space="0" w:color="auto"/>
        </w:tblBorders>
        <w:tblLayout w:type="fixed"/>
        <w:tblLook w:val="04A0" w:firstRow="1" w:lastRow="0" w:firstColumn="1" w:lastColumn="0" w:noHBand="0" w:noVBand="1"/>
      </w:tblPr>
      <w:tblGrid>
        <w:gridCol w:w="4294"/>
        <w:gridCol w:w="42"/>
        <w:gridCol w:w="866"/>
        <w:gridCol w:w="1004"/>
        <w:gridCol w:w="19"/>
        <w:gridCol w:w="2254"/>
        <w:gridCol w:w="12"/>
      </w:tblGrid>
      <w:tr w:rsidR="00B712CE" w14:paraId="3933DC6B" w14:textId="77777777" w:rsidTr="00526840">
        <w:trPr>
          <w:gridAfter w:val="1"/>
          <w:wAfter w:w="12" w:type="dxa"/>
          <w:trHeight w:val="34"/>
        </w:trPr>
        <w:tc>
          <w:tcPr>
            <w:tcW w:w="4336" w:type="dxa"/>
            <w:gridSpan w:val="2"/>
            <w:tcBorders>
              <w:bottom w:val="single" w:sz="4" w:space="0" w:color="auto"/>
            </w:tcBorders>
          </w:tcPr>
          <w:p w14:paraId="70C240FF" w14:textId="77777777" w:rsidR="00B712CE" w:rsidRDefault="00B712CE" w:rsidP="00526840">
            <w:pPr>
              <w:jc w:val="center"/>
              <w:rPr>
                <w:rFonts w:ascii="Arial" w:eastAsia="Arial" w:hAnsi="Arial"/>
                <w:b/>
                <w:color w:val="000000" w:themeColor="text1"/>
              </w:rPr>
            </w:pPr>
            <w:r>
              <w:rPr>
                <w:rFonts w:ascii="Arial" w:eastAsia="Arial" w:hAnsi="Arial"/>
                <w:b/>
                <w:color w:val="000000" w:themeColor="text1"/>
              </w:rPr>
              <w:t>Domains</w:t>
            </w:r>
          </w:p>
        </w:tc>
        <w:tc>
          <w:tcPr>
            <w:tcW w:w="866" w:type="dxa"/>
            <w:tcBorders>
              <w:bottom w:val="single" w:sz="4" w:space="0" w:color="auto"/>
            </w:tcBorders>
          </w:tcPr>
          <w:p w14:paraId="674461A2" w14:textId="77777777" w:rsidR="00B712CE" w:rsidRDefault="00B712CE" w:rsidP="00526840">
            <w:pPr>
              <w:jc w:val="center"/>
              <w:rPr>
                <w:rFonts w:ascii="Arial" w:eastAsia="Arial" w:hAnsi="Arial"/>
                <w:b/>
                <w:color w:val="000000" w:themeColor="text1"/>
              </w:rPr>
            </w:pPr>
            <w:r>
              <w:rPr>
                <w:rFonts w:ascii="Arial" w:eastAsia="Arial" w:hAnsi="Arial"/>
                <w:b/>
                <w:color w:val="000000" w:themeColor="text1"/>
              </w:rPr>
              <w:t>SD</w:t>
            </w:r>
          </w:p>
        </w:tc>
        <w:tc>
          <w:tcPr>
            <w:tcW w:w="1023" w:type="dxa"/>
            <w:gridSpan w:val="2"/>
            <w:tcBorders>
              <w:bottom w:val="single" w:sz="4" w:space="0" w:color="auto"/>
            </w:tcBorders>
          </w:tcPr>
          <w:p w14:paraId="45626C60" w14:textId="77777777" w:rsidR="00B712CE" w:rsidRDefault="00B712CE" w:rsidP="00526840">
            <w:pPr>
              <w:jc w:val="center"/>
              <w:rPr>
                <w:rFonts w:ascii="Arial" w:eastAsia="Arial" w:hAnsi="Arial"/>
                <w:b/>
                <w:color w:val="000000" w:themeColor="text1"/>
              </w:rPr>
            </w:pPr>
            <w:r>
              <w:rPr>
                <w:rFonts w:ascii="Arial" w:eastAsia="Arial" w:hAnsi="Arial"/>
                <w:b/>
                <w:color w:val="000000" w:themeColor="text1"/>
              </w:rPr>
              <w:t>Mean</w:t>
            </w:r>
          </w:p>
        </w:tc>
        <w:tc>
          <w:tcPr>
            <w:tcW w:w="2254" w:type="dxa"/>
            <w:tcBorders>
              <w:bottom w:val="single" w:sz="4" w:space="0" w:color="auto"/>
            </w:tcBorders>
          </w:tcPr>
          <w:p w14:paraId="6BE4879F" w14:textId="77777777" w:rsidR="00B712CE" w:rsidRDefault="00B712CE" w:rsidP="00526840">
            <w:pPr>
              <w:jc w:val="center"/>
              <w:rPr>
                <w:rFonts w:ascii="Arial" w:eastAsia="Arial" w:hAnsi="Arial"/>
                <w:b/>
                <w:color w:val="000000" w:themeColor="text1"/>
              </w:rPr>
            </w:pPr>
            <w:r>
              <w:rPr>
                <w:rFonts w:ascii="Arial" w:eastAsia="Arial" w:hAnsi="Arial"/>
                <w:b/>
                <w:color w:val="000000" w:themeColor="text1"/>
              </w:rPr>
              <w:t>Descriptive Level</w:t>
            </w:r>
          </w:p>
        </w:tc>
      </w:tr>
      <w:tr w:rsidR="00B712CE" w14:paraId="160CB83A" w14:textId="77777777" w:rsidTr="00526840">
        <w:trPr>
          <w:gridAfter w:val="1"/>
          <w:wAfter w:w="12" w:type="dxa"/>
          <w:trHeight w:val="193"/>
        </w:trPr>
        <w:tc>
          <w:tcPr>
            <w:tcW w:w="4336" w:type="dxa"/>
            <w:gridSpan w:val="2"/>
            <w:tcBorders>
              <w:top w:val="single" w:sz="4" w:space="0" w:color="auto"/>
            </w:tcBorders>
          </w:tcPr>
          <w:p w14:paraId="159BBFE1" w14:textId="77777777" w:rsidR="00B712CE" w:rsidRDefault="00B712CE" w:rsidP="00526840">
            <w:pPr>
              <w:ind w:left="406"/>
              <w:rPr>
                <w:rFonts w:ascii="Arial" w:eastAsia="Arial" w:hAnsi="Arial"/>
                <w:color w:val="000000" w:themeColor="text1"/>
              </w:rPr>
            </w:pPr>
            <w:r>
              <w:rPr>
                <w:rFonts w:ascii="Arial" w:hAnsi="Arial" w:cs="Arial"/>
                <w:color w:val="000000" w:themeColor="text1"/>
              </w:rPr>
              <w:t>Emotional Resilience</w:t>
            </w:r>
          </w:p>
        </w:tc>
        <w:tc>
          <w:tcPr>
            <w:tcW w:w="866" w:type="dxa"/>
            <w:tcBorders>
              <w:top w:val="single" w:sz="4" w:space="0" w:color="auto"/>
            </w:tcBorders>
          </w:tcPr>
          <w:p w14:paraId="131CC766" w14:textId="77777777" w:rsidR="00B712CE" w:rsidRDefault="00B712CE" w:rsidP="00526840">
            <w:pPr>
              <w:jc w:val="center"/>
              <w:rPr>
                <w:rFonts w:ascii="Arial" w:eastAsia="Arial" w:hAnsi="Arial"/>
                <w:color w:val="000000" w:themeColor="text1"/>
              </w:rPr>
            </w:pPr>
            <w:r>
              <w:rPr>
                <w:rFonts w:ascii="Arial" w:hAnsi="Arial" w:cs="Arial"/>
                <w:color w:val="000000" w:themeColor="text1"/>
              </w:rPr>
              <w:t>0.40</w:t>
            </w:r>
          </w:p>
        </w:tc>
        <w:tc>
          <w:tcPr>
            <w:tcW w:w="1023" w:type="dxa"/>
            <w:gridSpan w:val="2"/>
            <w:tcBorders>
              <w:top w:val="single" w:sz="4" w:space="0" w:color="auto"/>
            </w:tcBorders>
          </w:tcPr>
          <w:p w14:paraId="521A516C" w14:textId="77777777" w:rsidR="00B712CE" w:rsidRDefault="00B712CE" w:rsidP="00526840">
            <w:pPr>
              <w:jc w:val="center"/>
              <w:rPr>
                <w:rFonts w:ascii="Arial" w:eastAsia="Arial" w:hAnsi="Arial"/>
                <w:color w:val="000000" w:themeColor="text1"/>
              </w:rPr>
            </w:pPr>
            <w:r>
              <w:rPr>
                <w:rFonts w:ascii="Arial" w:hAnsi="Arial" w:cs="Arial"/>
                <w:color w:val="000000" w:themeColor="text1"/>
              </w:rPr>
              <w:t>4.72</w:t>
            </w:r>
          </w:p>
        </w:tc>
        <w:tc>
          <w:tcPr>
            <w:tcW w:w="2254" w:type="dxa"/>
            <w:tcBorders>
              <w:top w:val="single" w:sz="4" w:space="0" w:color="auto"/>
            </w:tcBorders>
          </w:tcPr>
          <w:p w14:paraId="56B26D02" w14:textId="77777777" w:rsidR="00B712CE" w:rsidRDefault="00B712CE" w:rsidP="00526840">
            <w:pPr>
              <w:jc w:val="center"/>
              <w:rPr>
                <w:rFonts w:ascii="Arial" w:eastAsia="Arial" w:hAnsi="Arial"/>
                <w:color w:val="000000" w:themeColor="text1"/>
              </w:rPr>
            </w:pPr>
            <w:r>
              <w:rPr>
                <w:rFonts w:ascii="Arial" w:hAnsi="Arial" w:cs="Arial"/>
                <w:color w:val="000000" w:themeColor="text1"/>
              </w:rPr>
              <w:t>Very High</w:t>
            </w:r>
          </w:p>
        </w:tc>
      </w:tr>
      <w:tr w:rsidR="00B712CE" w14:paraId="73F9698F" w14:textId="77777777" w:rsidTr="00526840">
        <w:trPr>
          <w:gridAfter w:val="1"/>
          <w:wAfter w:w="12" w:type="dxa"/>
          <w:trHeight w:val="275"/>
        </w:trPr>
        <w:tc>
          <w:tcPr>
            <w:tcW w:w="4336" w:type="dxa"/>
            <w:gridSpan w:val="2"/>
          </w:tcPr>
          <w:p w14:paraId="01043C07" w14:textId="77777777" w:rsidR="00B712CE" w:rsidRDefault="00B712CE" w:rsidP="00526840">
            <w:pPr>
              <w:widowControl w:val="0"/>
              <w:ind w:left="406"/>
              <w:rPr>
                <w:rFonts w:ascii="Arial" w:eastAsia="Arial" w:hAnsi="Arial"/>
                <w:color w:val="000000" w:themeColor="text1"/>
              </w:rPr>
            </w:pPr>
            <w:r>
              <w:rPr>
                <w:rFonts w:ascii="Arial" w:hAnsi="Arial" w:cs="Arial"/>
                <w:color w:val="000000" w:themeColor="text1"/>
              </w:rPr>
              <w:t>Stress Management</w:t>
            </w:r>
          </w:p>
        </w:tc>
        <w:tc>
          <w:tcPr>
            <w:tcW w:w="866" w:type="dxa"/>
          </w:tcPr>
          <w:p w14:paraId="1A7F7970" w14:textId="77777777" w:rsidR="00B712CE" w:rsidRDefault="00B712CE" w:rsidP="00526840">
            <w:pPr>
              <w:jc w:val="center"/>
              <w:rPr>
                <w:rFonts w:ascii="Arial" w:eastAsia="Arial" w:hAnsi="Arial"/>
                <w:color w:val="000000" w:themeColor="text1"/>
              </w:rPr>
            </w:pPr>
            <w:r>
              <w:rPr>
                <w:rFonts w:ascii="Arial" w:hAnsi="Arial" w:cs="Arial"/>
                <w:color w:val="000000" w:themeColor="text1"/>
              </w:rPr>
              <w:t>0.39</w:t>
            </w:r>
          </w:p>
        </w:tc>
        <w:tc>
          <w:tcPr>
            <w:tcW w:w="1023" w:type="dxa"/>
            <w:gridSpan w:val="2"/>
          </w:tcPr>
          <w:p w14:paraId="27628D90" w14:textId="77777777" w:rsidR="00B712CE" w:rsidRDefault="00B712CE" w:rsidP="00526840">
            <w:pPr>
              <w:jc w:val="center"/>
              <w:rPr>
                <w:rFonts w:ascii="Arial" w:eastAsia="Arial" w:hAnsi="Arial"/>
                <w:color w:val="000000" w:themeColor="text1"/>
              </w:rPr>
            </w:pPr>
            <w:r>
              <w:rPr>
                <w:rFonts w:ascii="Arial" w:hAnsi="Arial" w:cs="Arial"/>
                <w:color w:val="000000" w:themeColor="text1"/>
              </w:rPr>
              <w:t>4.73</w:t>
            </w:r>
          </w:p>
        </w:tc>
        <w:tc>
          <w:tcPr>
            <w:tcW w:w="2254" w:type="dxa"/>
          </w:tcPr>
          <w:p w14:paraId="0ADDA46C" w14:textId="77777777" w:rsidR="00B712CE" w:rsidRDefault="00B712CE" w:rsidP="00526840">
            <w:pPr>
              <w:jc w:val="center"/>
              <w:rPr>
                <w:rFonts w:ascii="Arial" w:eastAsia="Arial" w:hAnsi="Arial"/>
                <w:color w:val="000000" w:themeColor="text1"/>
              </w:rPr>
            </w:pPr>
            <w:r>
              <w:rPr>
                <w:rFonts w:ascii="Arial" w:hAnsi="Arial" w:cs="Arial"/>
                <w:color w:val="000000" w:themeColor="text1"/>
              </w:rPr>
              <w:t>Very High</w:t>
            </w:r>
          </w:p>
        </w:tc>
      </w:tr>
      <w:tr w:rsidR="00B712CE" w14:paraId="77081DB8" w14:textId="77777777" w:rsidTr="00526840">
        <w:trPr>
          <w:gridAfter w:val="1"/>
          <w:wAfter w:w="12" w:type="dxa"/>
          <w:trHeight w:val="275"/>
        </w:trPr>
        <w:tc>
          <w:tcPr>
            <w:tcW w:w="4336" w:type="dxa"/>
            <w:gridSpan w:val="2"/>
          </w:tcPr>
          <w:p w14:paraId="42537C7C" w14:textId="77777777" w:rsidR="00B712CE" w:rsidRDefault="00B712CE" w:rsidP="00526840">
            <w:pPr>
              <w:widowControl w:val="0"/>
              <w:ind w:left="406"/>
              <w:rPr>
                <w:rFonts w:ascii="Arial" w:eastAsia="Arial" w:hAnsi="Arial"/>
                <w:color w:val="000000" w:themeColor="text1"/>
              </w:rPr>
            </w:pPr>
            <w:r>
              <w:rPr>
                <w:rFonts w:ascii="Arial" w:hAnsi="Arial" w:cs="Arial"/>
                <w:color w:val="000000" w:themeColor="text1"/>
              </w:rPr>
              <w:t>Adaptability and Flexibility</w:t>
            </w:r>
          </w:p>
        </w:tc>
        <w:tc>
          <w:tcPr>
            <w:tcW w:w="866" w:type="dxa"/>
          </w:tcPr>
          <w:p w14:paraId="17DB8813" w14:textId="77777777" w:rsidR="00B712CE" w:rsidRDefault="00B712CE" w:rsidP="00526840">
            <w:pPr>
              <w:jc w:val="center"/>
              <w:rPr>
                <w:rFonts w:ascii="Arial" w:eastAsia="Arial" w:hAnsi="Arial"/>
                <w:color w:val="000000" w:themeColor="text1"/>
              </w:rPr>
            </w:pPr>
            <w:r>
              <w:rPr>
                <w:rFonts w:ascii="Arial" w:hAnsi="Arial" w:cs="Arial"/>
                <w:color w:val="000000" w:themeColor="text1"/>
              </w:rPr>
              <w:t>0.40</w:t>
            </w:r>
          </w:p>
        </w:tc>
        <w:tc>
          <w:tcPr>
            <w:tcW w:w="1023" w:type="dxa"/>
            <w:gridSpan w:val="2"/>
          </w:tcPr>
          <w:p w14:paraId="5C001160" w14:textId="77777777" w:rsidR="00B712CE" w:rsidRDefault="00B712CE" w:rsidP="00526840">
            <w:pPr>
              <w:jc w:val="center"/>
              <w:rPr>
                <w:rFonts w:ascii="Arial" w:eastAsia="Arial" w:hAnsi="Arial"/>
                <w:color w:val="000000" w:themeColor="text1"/>
              </w:rPr>
            </w:pPr>
            <w:r>
              <w:rPr>
                <w:rFonts w:ascii="Arial" w:hAnsi="Arial" w:cs="Arial"/>
                <w:color w:val="000000" w:themeColor="text1"/>
              </w:rPr>
              <w:t>4.72</w:t>
            </w:r>
          </w:p>
        </w:tc>
        <w:tc>
          <w:tcPr>
            <w:tcW w:w="2254" w:type="dxa"/>
          </w:tcPr>
          <w:p w14:paraId="09A76CDD" w14:textId="77777777" w:rsidR="00B712CE" w:rsidRDefault="00B712CE" w:rsidP="00526840">
            <w:pPr>
              <w:jc w:val="center"/>
              <w:rPr>
                <w:rFonts w:ascii="Arial" w:eastAsia="Arial" w:hAnsi="Arial"/>
                <w:color w:val="000000" w:themeColor="text1"/>
              </w:rPr>
            </w:pPr>
            <w:r>
              <w:rPr>
                <w:rFonts w:ascii="Arial" w:hAnsi="Arial" w:cs="Arial"/>
                <w:color w:val="000000" w:themeColor="text1"/>
              </w:rPr>
              <w:t>Very High</w:t>
            </w:r>
          </w:p>
        </w:tc>
      </w:tr>
      <w:tr w:rsidR="00B712CE" w14:paraId="17D7E1CF" w14:textId="77777777" w:rsidTr="00526840">
        <w:trPr>
          <w:gridAfter w:val="1"/>
          <w:wAfter w:w="12" w:type="dxa"/>
          <w:trHeight w:val="275"/>
        </w:trPr>
        <w:tc>
          <w:tcPr>
            <w:tcW w:w="4336" w:type="dxa"/>
            <w:gridSpan w:val="2"/>
          </w:tcPr>
          <w:p w14:paraId="0D6907F8" w14:textId="77777777" w:rsidR="00B712CE" w:rsidRDefault="00B712CE" w:rsidP="00526840">
            <w:pPr>
              <w:widowControl w:val="0"/>
              <w:ind w:left="406"/>
              <w:rPr>
                <w:rFonts w:ascii="Arial" w:eastAsia="Arial" w:hAnsi="Arial"/>
                <w:color w:val="000000" w:themeColor="text1"/>
              </w:rPr>
            </w:pPr>
            <w:r>
              <w:rPr>
                <w:rFonts w:ascii="Arial" w:hAnsi="Arial" w:cs="Arial"/>
                <w:color w:val="000000" w:themeColor="text1"/>
              </w:rPr>
              <w:t>Supportive Work Environment</w:t>
            </w:r>
          </w:p>
        </w:tc>
        <w:tc>
          <w:tcPr>
            <w:tcW w:w="866" w:type="dxa"/>
          </w:tcPr>
          <w:p w14:paraId="11636CC5" w14:textId="77777777" w:rsidR="00B712CE" w:rsidRDefault="00B712CE" w:rsidP="00526840">
            <w:pPr>
              <w:jc w:val="center"/>
              <w:rPr>
                <w:rFonts w:ascii="Arial" w:eastAsia="Arial" w:hAnsi="Arial"/>
                <w:color w:val="000000" w:themeColor="text1"/>
              </w:rPr>
            </w:pPr>
            <w:r>
              <w:rPr>
                <w:rFonts w:ascii="Arial" w:hAnsi="Arial" w:cs="Arial"/>
                <w:color w:val="000000" w:themeColor="text1"/>
              </w:rPr>
              <w:t>0.38</w:t>
            </w:r>
          </w:p>
        </w:tc>
        <w:tc>
          <w:tcPr>
            <w:tcW w:w="1023" w:type="dxa"/>
            <w:gridSpan w:val="2"/>
          </w:tcPr>
          <w:p w14:paraId="2E507378" w14:textId="77777777" w:rsidR="00B712CE" w:rsidRDefault="00B712CE" w:rsidP="00526840">
            <w:pPr>
              <w:jc w:val="center"/>
              <w:rPr>
                <w:rFonts w:ascii="Arial" w:eastAsia="Arial" w:hAnsi="Arial"/>
                <w:color w:val="000000" w:themeColor="text1"/>
              </w:rPr>
            </w:pPr>
            <w:r>
              <w:rPr>
                <w:rFonts w:ascii="Arial" w:hAnsi="Arial" w:cs="Arial"/>
                <w:color w:val="000000" w:themeColor="text1"/>
              </w:rPr>
              <w:t>4.74</w:t>
            </w:r>
          </w:p>
        </w:tc>
        <w:tc>
          <w:tcPr>
            <w:tcW w:w="2254" w:type="dxa"/>
          </w:tcPr>
          <w:p w14:paraId="5F6A9B62" w14:textId="77777777" w:rsidR="00B712CE" w:rsidRDefault="00B712CE" w:rsidP="00526840">
            <w:pPr>
              <w:jc w:val="center"/>
              <w:rPr>
                <w:rFonts w:ascii="Arial" w:eastAsia="Arial" w:hAnsi="Arial"/>
                <w:color w:val="000000" w:themeColor="text1"/>
              </w:rPr>
            </w:pPr>
            <w:r>
              <w:rPr>
                <w:rFonts w:ascii="Arial" w:hAnsi="Arial" w:cs="Arial"/>
                <w:color w:val="000000" w:themeColor="text1"/>
              </w:rPr>
              <w:t>Very High</w:t>
            </w:r>
          </w:p>
        </w:tc>
      </w:tr>
      <w:tr w:rsidR="00B712CE" w14:paraId="1AE1DCCC" w14:textId="77777777" w:rsidTr="00526840">
        <w:trPr>
          <w:gridAfter w:val="1"/>
          <w:wAfter w:w="12" w:type="dxa"/>
          <w:trHeight w:val="275"/>
        </w:trPr>
        <w:tc>
          <w:tcPr>
            <w:tcW w:w="4336" w:type="dxa"/>
            <w:gridSpan w:val="2"/>
          </w:tcPr>
          <w:p w14:paraId="4FFE888E" w14:textId="77777777" w:rsidR="00B712CE" w:rsidRDefault="00B712CE" w:rsidP="00526840">
            <w:pPr>
              <w:widowControl w:val="0"/>
              <w:ind w:left="406"/>
              <w:rPr>
                <w:rFonts w:ascii="Arial" w:eastAsia="Arial" w:hAnsi="Arial"/>
                <w:color w:val="000000" w:themeColor="text1"/>
              </w:rPr>
            </w:pPr>
            <w:r>
              <w:rPr>
                <w:rFonts w:ascii="Arial" w:hAnsi="Arial" w:cs="Arial"/>
                <w:color w:val="000000" w:themeColor="text1"/>
              </w:rPr>
              <w:t>Self-care and Work-life Balance</w:t>
            </w:r>
          </w:p>
        </w:tc>
        <w:tc>
          <w:tcPr>
            <w:tcW w:w="866" w:type="dxa"/>
          </w:tcPr>
          <w:p w14:paraId="72C99EED" w14:textId="77777777" w:rsidR="00B712CE" w:rsidRDefault="00B712CE" w:rsidP="00526840">
            <w:pPr>
              <w:jc w:val="center"/>
              <w:rPr>
                <w:rFonts w:ascii="Arial" w:eastAsia="Arial" w:hAnsi="Arial"/>
                <w:color w:val="000000" w:themeColor="text1"/>
              </w:rPr>
            </w:pPr>
            <w:r>
              <w:rPr>
                <w:rFonts w:ascii="Arial" w:hAnsi="Arial" w:cs="Arial"/>
                <w:color w:val="000000" w:themeColor="text1"/>
              </w:rPr>
              <w:t>0.41</w:t>
            </w:r>
          </w:p>
        </w:tc>
        <w:tc>
          <w:tcPr>
            <w:tcW w:w="1023" w:type="dxa"/>
            <w:gridSpan w:val="2"/>
          </w:tcPr>
          <w:p w14:paraId="3BE2E727" w14:textId="77777777" w:rsidR="00B712CE" w:rsidRDefault="00B712CE" w:rsidP="00526840">
            <w:pPr>
              <w:jc w:val="center"/>
              <w:rPr>
                <w:rFonts w:ascii="Arial" w:eastAsia="Arial" w:hAnsi="Arial"/>
                <w:color w:val="000000" w:themeColor="text1"/>
              </w:rPr>
            </w:pPr>
            <w:r>
              <w:rPr>
                <w:rFonts w:ascii="Arial" w:hAnsi="Arial" w:cs="Arial"/>
                <w:color w:val="000000" w:themeColor="text1"/>
              </w:rPr>
              <w:t>4.71</w:t>
            </w:r>
          </w:p>
        </w:tc>
        <w:tc>
          <w:tcPr>
            <w:tcW w:w="2254" w:type="dxa"/>
          </w:tcPr>
          <w:p w14:paraId="0ACAA328" w14:textId="77777777" w:rsidR="00B712CE" w:rsidRDefault="00B712CE" w:rsidP="00526840">
            <w:pPr>
              <w:jc w:val="center"/>
              <w:rPr>
                <w:rFonts w:ascii="Arial" w:eastAsia="Arial" w:hAnsi="Arial"/>
                <w:color w:val="000000" w:themeColor="text1"/>
              </w:rPr>
            </w:pPr>
            <w:r>
              <w:rPr>
                <w:rFonts w:ascii="Arial" w:hAnsi="Arial" w:cs="Arial"/>
                <w:color w:val="000000" w:themeColor="text1"/>
              </w:rPr>
              <w:t>Very High</w:t>
            </w:r>
          </w:p>
        </w:tc>
      </w:tr>
      <w:tr w:rsidR="00B712CE" w14:paraId="6FDD8A1B" w14:textId="77777777" w:rsidTr="00526840">
        <w:trPr>
          <w:gridAfter w:val="1"/>
          <w:wAfter w:w="12" w:type="dxa"/>
          <w:trHeight w:val="275"/>
        </w:trPr>
        <w:tc>
          <w:tcPr>
            <w:tcW w:w="4336" w:type="dxa"/>
            <w:gridSpan w:val="2"/>
          </w:tcPr>
          <w:p w14:paraId="65E0387A" w14:textId="77777777" w:rsidR="00B712CE" w:rsidRDefault="00B712CE" w:rsidP="00526840">
            <w:pPr>
              <w:widowControl w:val="0"/>
              <w:ind w:left="406"/>
              <w:rPr>
                <w:rFonts w:ascii="Arial" w:eastAsia="Arial" w:hAnsi="Arial"/>
                <w:color w:val="000000" w:themeColor="text1"/>
              </w:rPr>
            </w:pPr>
            <w:r>
              <w:rPr>
                <w:rFonts w:ascii="Arial" w:hAnsi="Arial" w:cs="Arial"/>
                <w:color w:val="000000" w:themeColor="text1"/>
              </w:rPr>
              <w:t>Sense of Purpose and Motivation</w:t>
            </w:r>
          </w:p>
        </w:tc>
        <w:tc>
          <w:tcPr>
            <w:tcW w:w="866" w:type="dxa"/>
          </w:tcPr>
          <w:p w14:paraId="65E38D44" w14:textId="77777777" w:rsidR="00B712CE" w:rsidRDefault="00B712CE" w:rsidP="00526840">
            <w:pPr>
              <w:jc w:val="center"/>
              <w:rPr>
                <w:rFonts w:ascii="Arial" w:eastAsia="Arial" w:hAnsi="Arial"/>
                <w:color w:val="000000" w:themeColor="text1"/>
              </w:rPr>
            </w:pPr>
            <w:r>
              <w:rPr>
                <w:rFonts w:ascii="Arial" w:hAnsi="Arial" w:cs="Arial"/>
                <w:color w:val="000000" w:themeColor="text1"/>
              </w:rPr>
              <w:t>0.40</w:t>
            </w:r>
          </w:p>
        </w:tc>
        <w:tc>
          <w:tcPr>
            <w:tcW w:w="1023" w:type="dxa"/>
            <w:gridSpan w:val="2"/>
          </w:tcPr>
          <w:p w14:paraId="65AF4796" w14:textId="77777777" w:rsidR="00B712CE" w:rsidRDefault="00B712CE" w:rsidP="00526840">
            <w:pPr>
              <w:jc w:val="center"/>
              <w:rPr>
                <w:rFonts w:ascii="Arial" w:eastAsia="Arial" w:hAnsi="Arial"/>
                <w:color w:val="000000" w:themeColor="text1"/>
              </w:rPr>
            </w:pPr>
            <w:r>
              <w:rPr>
                <w:rFonts w:ascii="Arial" w:hAnsi="Arial" w:cs="Arial"/>
                <w:color w:val="000000" w:themeColor="text1"/>
              </w:rPr>
              <w:t>4.73</w:t>
            </w:r>
          </w:p>
        </w:tc>
        <w:tc>
          <w:tcPr>
            <w:tcW w:w="2254" w:type="dxa"/>
          </w:tcPr>
          <w:p w14:paraId="105A3630" w14:textId="77777777" w:rsidR="00B712CE" w:rsidRDefault="00B712CE" w:rsidP="00526840">
            <w:pPr>
              <w:jc w:val="center"/>
              <w:rPr>
                <w:rFonts w:ascii="Arial" w:eastAsia="Arial" w:hAnsi="Arial"/>
                <w:color w:val="000000" w:themeColor="text1"/>
              </w:rPr>
            </w:pPr>
            <w:r>
              <w:rPr>
                <w:rFonts w:ascii="Arial" w:hAnsi="Arial" w:cs="Arial"/>
                <w:color w:val="000000" w:themeColor="text1"/>
              </w:rPr>
              <w:t>Very High</w:t>
            </w:r>
          </w:p>
        </w:tc>
      </w:tr>
      <w:tr w:rsidR="00B712CE" w14:paraId="2B8FB710" w14:textId="77777777" w:rsidTr="00526840">
        <w:trPr>
          <w:trHeight w:val="259"/>
        </w:trPr>
        <w:tc>
          <w:tcPr>
            <w:tcW w:w="4294" w:type="dxa"/>
          </w:tcPr>
          <w:p w14:paraId="21081044" w14:textId="77777777" w:rsidR="00B712CE" w:rsidRDefault="00B712CE" w:rsidP="00526840">
            <w:pPr>
              <w:jc w:val="center"/>
              <w:rPr>
                <w:rFonts w:ascii="Arial" w:eastAsia="Arial" w:hAnsi="Arial"/>
                <w:b/>
                <w:color w:val="000000" w:themeColor="text1"/>
              </w:rPr>
            </w:pPr>
            <w:r>
              <w:rPr>
                <w:rFonts w:ascii="Arial" w:eastAsia="Arial" w:hAnsi="Arial"/>
                <w:b/>
                <w:color w:val="000000" w:themeColor="text1"/>
              </w:rPr>
              <w:t>Overall</w:t>
            </w:r>
          </w:p>
        </w:tc>
        <w:tc>
          <w:tcPr>
            <w:tcW w:w="908" w:type="dxa"/>
            <w:gridSpan w:val="2"/>
          </w:tcPr>
          <w:p w14:paraId="4D64CE41" w14:textId="77777777" w:rsidR="00B712CE" w:rsidRDefault="00B712CE" w:rsidP="00526840">
            <w:pPr>
              <w:jc w:val="center"/>
              <w:rPr>
                <w:rFonts w:ascii="Arial" w:eastAsia="Arial" w:hAnsi="Arial"/>
                <w:b/>
                <w:color w:val="000000" w:themeColor="text1"/>
              </w:rPr>
            </w:pPr>
            <w:r>
              <w:rPr>
                <w:rFonts w:ascii="Arial" w:eastAsia="Arial" w:hAnsi="Arial"/>
                <w:b/>
                <w:color w:val="000000" w:themeColor="text1"/>
              </w:rPr>
              <w:t>0.40</w:t>
            </w:r>
          </w:p>
        </w:tc>
        <w:tc>
          <w:tcPr>
            <w:tcW w:w="1004" w:type="dxa"/>
          </w:tcPr>
          <w:p w14:paraId="2F496D61" w14:textId="77777777" w:rsidR="00B712CE" w:rsidRDefault="00B712CE" w:rsidP="00526840">
            <w:pPr>
              <w:jc w:val="center"/>
              <w:rPr>
                <w:rFonts w:ascii="Arial" w:eastAsia="Arial" w:hAnsi="Arial"/>
                <w:b/>
                <w:color w:val="000000" w:themeColor="text1"/>
              </w:rPr>
            </w:pPr>
            <w:r>
              <w:rPr>
                <w:rFonts w:ascii="Arial" w:eastAsia="Arial" w:hAnsi="Arial"/>
                <w:b/>
                <w:color w:val="000000" w:themeColor="text1"/>
              </w:rPr>
              <w:t>4.72</w:t>
            </w:r>
          </w:p>
        </w:tc>
        <w:tc>
          <w:tcPr>
            <w:tcW w:w="2285" w:type="dxa"/>
            <w:gridSpan w:val="3"/>
          </w:tcPr>
          <w:p w14:paraId="2EF5ECF1" w14:textId="77777777" w:rsidR="00B712CE" w:rsidRDefault="00B712CE" w:rsidP="00526840">
            <w:pPr>
              <w:jc w:val="center"/>
              <w:rPr>
                <w:rFonts w:ascii="Arial" w:eastAsia="Arial" w:hAnsi="Arial"/>
                <w:b/>
                <w:color w:val="000000" w:themeColor="text1"/>
              </w:rPr>
            </w:pPr>
            <w:r>
              <w:rPr>
                <w:rFonts w:ascii="Arial" w:eastAsia="Arial" w:hAnsi="Arial"/>
                <w:b/>
                <w:color w:val="000000" w:themeColor="text1"/>
              </w:rPr>
              <w:t>Very High</w:t>
            </w:r>
          </w:p>
        </w:tc>
      </w:tr>
    </w:tbl>
    <w:p w14:paraId="20CF6BE0" w14:textId="77777777" w:rsidR="00D453B9" w:rsidRPr="00FF2146" w:rsidRDefault="00D453B9" w:rsidP="003248E3">
      <w:pPr>
        <w:jc w:val="both"/>
        <w:rPr>
          <w:rFonts w:ascii="Arial" w:hAnsi="Arial" w:cs="Arial"/>
          <w:sz w:val="20"/>
          <w:szCs w:val="20"/>
        </w:rPr>
      </w:pPr>
    </w:p>
    <w:p w14:paraId="5536E101" w14:textId="5AA5B6EE" w:rsidR="00B712CE" w:rsidRDefault="00B712CE" w:rsidP="00B712CE">
      <w:pPr>
        <w:jc w:val="both"/>
        <w:rPr>
          <w:rFonts w:ascii="Arial" w:hAnsi="Arial" w:cs="Arial"/>
          <w:sz w:val="20"/>
          <w:szCs w:val="20"/>
        </w:rPr>
      </w:pPr>
      <w:r>
        <w:rPr>
          <w:rFonts w:ascii="Arial" w:hAnsi="Arial" w:cs="Arial"/>
          <w:sz w:val="20"/>
          <w:szCs w:val="20"/>
        </w:rPr>
        <w:t>Presented in Table 1</w:t>
      </w:r>
      <w:r w:rsidRPr="00B712CE">
        <w:rPr>
          <w:rFonts w:ascii="Arial" w:hAnsi="Arial" w:cs="Arial"/>
          <w:sz w:val="20"/>
          <w:szCs w:val="20"/>
        </w:rPr>
        <w:t xml:space="preserve"> is the bolstering durability skills among public elementary school teachers, based on the mean scores and standard deviations.</w:t>
      </w:r>
      <w:r>
        <w:rPr>
          <w:rFonts w:ascii="Arial" w:hAnsi="Arial" w:cs="Arial"/>
          <w:sz w:val="20"/>
          <w:szCs w:val="20"/>
        </w:rPr>
        <w:t xml:space="preserve"> </w:t>
      </w:r>
      <w:r w:rsidRPr="00B712CE">
        <w:rPr>
          <w:rFonts w:ascii="Arial" w:hAnsi="Arial" w:cs="Arial"/>
          <w:sz w:val="20"/>
          <w:szCs w:val="20"/>
        </w:rPr>
        <w:t>The domain supportive work environment received the highest mean of 4.74, categorized as very high, followed by both stress management and sense of purpose and motivation with identical means of 4.73. Emotional resilience and adaptability and flexibility both registered a mean of 4.72, while self-care and work-life balance had the lowest mean of 4.71. Despite the variation, all domains are still categorized as very high. The overall mean of 4.72 is described as very high, indicating that teachers consistently exhibit strong durability skills across all domains. The overall standard deviation of 0.40 suggests highly consistent responses, with most perceptions closely clustered around the average.</w:t>
      </w:r>
    </w:p>
    <w:p w14:paraId="2267BB7A" w14:textId="77777777" w:rsidR="00B712CE" w:rsidRPr="00B712CE" w:rsidRDefault="00B712CE" w:rsidP="00B712CE">
      <w:pPr>
        <w:jc w:val="both"/>
        <w:rPr>
          <w:rFonts w:ascii="Arial" w:hAnsi="Arial" w:cs="Arial"/>
          <w:sz w:val="20"/>
          <w:szCs w:val="20"/>
        </w:rPr>
      </w:pPr>
    </w:p>
    <w:p w14:paraId="3562D52E" w14:textId="231D5C0D" w:rsidR="00B712CE" w:rsidRDefault="00B712CE" w:rsidP="00B712CE">
      <w:pPr>
        <w:jc w:val="both"/>
        <w:rPr>
          <w:rFonts w:ascii="Arial" w:hAnsi="Arial" w:cs="Arial"/>
          <w:sz w:val="20"/>
          <w:szCs w:val="20"/>
        </w:rPr>
      </w:pPr>
      <w:r w:rsidRPr="00B712CE">
        <w:rPr>
          <w:rFonts w:ascii="Arial" w:hAnsi="Arial" w:cs="Arial"/>
          <w:sz w:val="20"/>
          <w:szCs w:val="20"/>
        </w:rPr>
        <w:t>This finding implies that public elementary school teachers actively demonstrate a high level of durability skills, particularly in maintaining a supportive work environment and effectively managing stress. These domains reflect their capacity to sustain well-being, build professional relationships, and maintain focus and motivation despite occupational challenges. Even the relatively lower score of self-care and work-life balance remains very high, underlining the overall strength of these resilience-building traits among educators.</w:t>
      </w:r>
    </w:p>
    <w:p w14:paraId="38612C80" w14:textId="77777777" w:rsidR="00B712CE" w:rsidRPr="00B712CE" w:rsidRDefault="00B712CE" w:rsidP="00B712CE">
      <w:pPr>
        <w:jc w:val="both"/>
        <w:rPr>
          <w:rFonts w:ascii="Arial" w:hAnsi="Arial" w:cs="Arial"/>
          <w:sz w:val="20"/>
          <w:szCs w:val="20"/>
        </w:rPr>
      </w:pPr>
    </w:p>
    <w:p w14:paraId="68D2CDDA" w14:textId="2B991C2E" w:rsidR="005923EA" w:rsidRPr="00B712CE" w:rsidRDefault="00B712CE" w:rsidP="00B712CE">
      <w:pPr>
        <w:jc w:val="both"/>
        <w:rPr>
          <w:rFonts w:ascii="Arial" w:hAnsi="Arial" w:cs="Arial"/>
          <w:sz w:val="20"/>
          <w:szCs w:val="20"/>
        </w:rPr>
      </w:pPr>
      <w:r w:rsidRPr="00B712CE">
        <w:rPr>
          <w:rFonts w:ascii="Arial" w:hAnsi="Arial" w:cs="Arial"/>
          <w:sz w:val="20"/>
          <w:szCs w:val="20"/>
        </w:rPr>
        <w:t xml:space="preserve">This result aligns with Iqbal and Ali (2024), who emphasized that teachers with strong bolstering durability skills are better equipped to overcome professional challenges and actively promote student growth. These durability skills, including resilience, persistence, and adaptability, serve as essential tools that enable educators to sustain their commitment and effectiveness over time. Similarly, Thompson (2024) further noted that a robust sense of purpose, reinforced by these durability skills, significantly boosts job satisfaction and perseverance, helping teachers to navigate stress and setbacks without losing motivation. Moreover, </w:t>
      </w:r>
      <w:proofErr w:type="spellStart"/>
      <w:r w:rsidRPr="00B712CE">
        <w:rPr>
          <w:rFonts w:ascii="Arial" w:hAnsi="Arial" w:cs="Arial"/>
          <w:sz w:val="20"/>
          <w:szCs w:val="20"/>
        </w:rPr>
        <w:t>Sipahioglu</w:t>
      </w:r>
      <w:proofErr w:type="spellEnd"/>
      <w:r w:rsidRPr="00B712CE">
        <w:rPr>
          <w:rFonts w:ascii="Arial" w:hAnsi="Arial" w:cs="Arial"/>
          <w:sz w:val="20"/>
          <w:szCs w:val="20"/>
        </w:rPr>
        <w:t xml:space="preserve"> (2019) highlighted that educators with well-developed durability skills and clear goals contribute substantially to fostering a positive school culture, strengthening collaboration, and building resilient educational systems that can adapt to evolving demands and challenges.</w:t>
      </w:r>
    </w:p>
    <w:p w14:paraId="1CE422C5" w14:textId="77777777" w:rsidR="00B712CE" w:rsidRDefault="00B712CE">
      <w:pPr>
        <w:jc w:val="both"/>
        <w:rPr>
          <w:rFonts w:ascii="Arial" w:hAnsi="Arial" w:cs="Arial"/>
          <w:b/>
          <w:sz w:val="20"/>
          <w:szCs w:val="20"/>
        </w:rPr>
      </w:pPr>
    </w:p>
    <w:p w14:paraId="4CED0B34" w14:textId="77777777" w:rsidR="00B712CE" w:rsidRDefault="00B712CE">
      <w:pPr>
        <w:jc w:val="both"/>
        <w:rPr>
          <w:rFonts w:ascii="Arial" w:hAnsi="Arial" w:cs="Arial"/>
          <w:b/>
          <w:sz w:val="20"/>
          <w:szCs w:val="20"/>
        </w:rPr>
      </w:pPr>
    </w:p>
    <w:p w14:paraId="04DC4014" w14:textId="59F6BFB7" w:rsidR="00E16D4E" w:rsidRPr="007E5C64" w:rsidRDefault="00180859">
      <w:pPr>
        <w:jc w:val="both"/>
        <w:rPr>
          <w:rFonts w:ascii="Arial" w:hAnsi="Arial" w:cs="Arial"/>
          <w:b/>
          <w:sz w:val="20"/>
          <w:szCs w:val="20"/>
        </w:rPr>
      </w:pPr>
      <w:r w:rsidRPr="007E5C64">
        <w:rPr>
          <w:rFonts w:ascii="Arial" w:hAnsi="Arial" w:cs="Arial"/>
          <w:b/>
          <w:sz w:val="20"/>
          <w:szCs w:val="20"/>
        </w:rPr>
        <w:t xml:space="preserve">3.2 </w:t>
      </w:r>
      <w:r w:rsidR="00B712CE" w:rsidRPr="00B712CE">
        <w:rPr>
          <w:rFonts w:ascii="Arial" w:hAnsi="Arial" w:cs="Arial"/>
          <w:b/>
          <w:sz w:val="20"/>
          <w:szCs w:val="20"/>
        </w:rPr>
        <w:t>Level of Occupational Commitment among Public Elementary School Teachers</w:t>
      </w:r>
    </w:p>
    <w:p w14:paraId="49153FC3" w14:textId="77777777" w:rsidR="00E16D4E" w:rsidRPr="007E5C64" w:rsidRDefault="00E16D4E">
      <w:pPr>
        <w:jc w:val="both"/>
        <w:rPr>
          <w:rFonts w:ascii="Arial" w:hAnsi="Arial" w:cs="Arial"/>
          <w:b/>
          <w:sz w:val="20"/>
          <w:szCs w:val="20"/>
        </w:rPr>
      </w:pPr>
    </w:p>
    <w:p w14:paraId="543BF791" w14:textId="02B029ED" w:rsidR="00FF2146" w:rsidRDefault="00180859">
      <w:pPr>
        <w:jc w:val="both"/>
        <w:rPr>
          <w:rFonts w:ascii="Arial" w:hAnsi="Arial" w:cs="Arial"/>
          <w:i/>
          <w:sz w:val="20"/>
          <w:szCs w:val="20"/>
        </w:rPr>
      </w:pPr>
      <w:r w:rsidRPr="007E5C64">
        <w:rPr>
          <w:rFonts w:ascii="Arial" w:hAnsi="Arial" w:cs="Arial"/>
          <w:iCs/>
          <w:sz w:val="20"/>
          <w:szCs w:val="20"/>
        </w:rPr>
        <w:t>Table 2</w:t>
      </w:r>
      <w:r w:rsidR="00781D5E" w:rsidRPr="007E5C64">
        <w:rPr>
          <w:rFonts w:ascii="Arial" w:hAnsi="Arial" w:cs="Arial"/>
          <w:iCs/>
          <w:sz w:val="20"/>
          <w:szCs w:val="20"/>
        </w:rPr>
        <w:t>.</w:t>
      </w:r>
      <w:r w:rsidRPr="007E5C64">
        <w:rPr>
          <w:rFonts w:ascii="Arial" w:hAnsi="Arial" w:cs="Arial"/>
          <w:iCs/>
          <w:sz w:val="20"/>
          <w:szCs w:val="20"/>
        </w:rPr>
        <w:t xml:space="preserve"> </w:t>
      </w:r>
      <w:r w:rsidR="00B712CE" w:rsidRPr="00B712CE">
        <w:rPr>
          <w:rFonts w:ascii="Arial" w:hAnsi="Arial" w:cs="Arial"/>
          <w:i/>
          <w:sz w:val="20"/>
          <w:szCs w:val="20"/>
        </w:rPr>
        <w:t>Level of Occupational Commitment among Public Elementary School Teachers</w:t>
      </w:r>
    </w:p>
    <w:p w14:paraId="3B450CFD" w14:textId="77777777" w:rsidR="00B712CE" w:rsidRPr="007E5C64" w:rsidRDefault="00B712CE">
      <w:pPr>
        <w:jc w:val="both"/>
        <w:rPr>
          <w:rFonts w:ascii="Arial" w:hAnsi="Arial" w:cs="Arial"/>
          <w:i/>
          <w:sz w:val="20"/>
          <w:szCs w:val="20"/>
        </w:rPr>
      </w:pPr>
    </w:p>
    <w:tbl>
      <w:tblPr>
        <w:tblW w:w="8373" w:type="dxa"/>
        <w:tblInd w:w="108" w:type="dxa"/>
        <w:tblBorders>
          <w:top w:val="single" w:sz="4" w:space="0" w:color="auto"/>
          <w:bottom w:val="single" w:sz="4" w:space="0" w:color="auto"/>
        </w:tblBorders>
        <w:tblLayout w:type="fixed"/>
        <w:tblLook w:val="04A0" w:firstRow="1" w:lastRow="0" w:firstColumn="1" w:lastColumn="0" w:noHBand="0" w:noVBand="1"/>
      </w:tblPr>
      <w:tblGrid>
        <w:gridCol w:w="4235"/>
        <w:gridCol w:w="41"/>
        <w:gridCol w:w="854"/>
        <w:gridCol w:w="990"/>
        <w:gridCol w:w="19"/>
        <w:gridCol w:w="2223"/>
        <w:gridCol w:w="11"/>
      </w:tblGrid>
      <w:tr w:rsidR="00B712CE" w14:paraId="26D3C5C7" w14:textId="77777777" w:rsidTr="00526840">
        <w:trPr>
          <w:gridAfter w:val="1"/>
          <w:wAfter w:w="11" w:type="dxa"/>
          <w:trHeight w:val="35"/>
        </w:trPr>
        <w:tc>
          <w:tcPr>
            <w:tcW w:w="4276" w:type="dxa"/>
            <w:gridSpan w:val="2"/>
            <w:tcBorders>
              <w:bottom w:val="single" w:sz="4" w:space="0" w:color="auto"/>
            </w:tcBorders>
          </w:tcPr>
          <w:p w14:paraId="3DCF7CDE" w14:textId="77777777" w:rsidR="00B712CE" w:rsidRDefault="00B712CE" w:rsidP="00526840">
            <w:pPr>
              <w:jc w:val="center"/>
              <w:rPr>
                <w:rFonts w:ascii="Arial" w:eastAsia="Arial" w:hAnsi="Arial"/>
                <w:b/>
              </w:rPr>
            </w:pPr>
            <w:r>
              <w:rPr>
                <w:rFonts w:ascii="Arial" w:eastAsia="Arial" w:hAnsi="Arial"/>
                <w:b/>
              </w:rPr>
              <w:t>Domains</w:t>
            </w:r>
          </w:p>
        </w:tc>
        <w:tc>
          <w:tcPr>
            <w:tcW w:w="854" w:type="dxa"/>
            <w:tcBorders>
              <w:bottom w:val="single" w:sz="4" w:space="0" w:color="auto"/>
            </w:tcBorders>
          </w:tcPr>
          <w:p w14:paraId="5BF61DD3" w14:textId="77777777" w:rsidR="00B712CE" w:rsidRDefault="00B712CE" w:rsidP="00526840">
            <w:pPr>
              <w:jc w:val="center"/>
              <w:rPr>
                <w:rFonts w:ascii="Arial" w:eastAsia="Arial" w:hAnsi="Arial"/>
                <w:b/>
              </w:rPr>
            </w:pPr>
            <w:r>
              <w:rPr>
                <w:rFonts w:ascii="Arial" w:eastAsia="Arial" w:hAnsi="Arial"/>
                <w:b/>
              </w:rPr>
              <w:t>SD</w:t>
            </w:r>
          </w:p>
        </w:tc>
        <w:tc>
          <w:tcPr>
            <w:tcW w:w="1009" w:type="dxa"/>
            <w:gridSpan w:val="2"/>
            <w:tcBorders>
              <w:bottom w:val="single" w:sz="4" w:space="0" w:color="auto"/>
            </w:tcBorders>
          </w:tcPr>
          <w:p w14:paraId="0BE304F1" w14:textId="77777777" w:rsidR="00B712CE" w:rsidRDefault="00B712CE" w:rsidP="00526840">
            <w:pPr>
              <w:jc w:val="center"/>
              <w:rPr>
                <w:rFonts w:ascii="Arial" w:eastAsia="Arial" w:hAnsi="Arial"/>
                <w:b/>
              </w:rPr>
            </w:pPr>
            <w:r>
              <w:rPr>
                <w:rFonts w:ascii="Arial" w:eastAsia="Arial" w:hAnsi="Arial"/>
                <w:b/>
              </w:rPr>
              <w:t>Mean</w:t>
            </w:r>
          </w:p>
        </w:tc>
        <w:tc>
          <w:tcPr>
            <w:tcW w:w="2223" w:type="dxa"/>
            <w:tcBorders>
              <w:bottom w:val="single" w:sz="4" w:space="0" w:color="auto"/>
            </w:tcBorders>
          </w:tcPr>
          <w:p w14:paraId="1F414A80" w14:textId="77777777" w:rsidR="00B712CE" w:rsidRDefault="00B712CE" w:rsidP="00526840">
            <w:pPr>
              <w:jc w:val="center"/>
              <w:rPr>
                <w:rFonts w:ascii="Arial" w:eastAsia="Arial" w:hAnsi="Arial"/>
                <w:b/>
              </w:rPr>
            </w:pPr>
            <w:r>
              <w:rPr>
                <w:rFonts w:ascii="Arial" w:eastAsia="Arial" w:hAnsi="Arial"/>
                <w:b/>
              </w:rPr>
              <w:t>Descriptive Level</w:t>
            </w:r>
          </w:p>
        </w:tc>
      </w:tr>
      <w:tr w:rsidR="00B712CE" w14:paraId="4AD64134" w14:textId="77777777" w:rsidTr="00526840">
        <w:trPr>
          <w:gridAfter w:val="1"/>
          <w:wAfter w:w="11" w:type="dxa"/>
          <w:trHeight w:val="197"/>
        </w:trPr>
        <w:tc>
          <w:tcPr>
            <w:tcW w:w="4276" w:type="dxa"/>
            <w:gridSpan w:val="2"/>
            <w:tcBorders>
              <w:top w:val="single" w:sz="4" w:space="0" w:color="auto"/>
            </w:tcBorders>
          </w:tcPr>
          <w:p w14:paraId="25571C64" w14:textId="77777777" w:rsidR="00B712CE" w:rsidRDefault="00B712CE" w:rsidP="00526840">
            <w:pPr>
              <w:ind w:left="415"/>
              <w:rPr>
                <w:rFonts w:ascii="Arial" w:eastAsia="Arial" w:hAnsi="Arial"/>
              </w:rPr>
            </w:pPr>
            <w:r>
              <w:rPr>
                <w:rFonts w:ascii="Arial" w:hAnsi="Arial" w:cs="Arial"/>
                <w:color w:val="000000"/>
              </w:rPr>
              <w:t>Job Satisfaction</w:t>
            </w:r>
          </w:p>
        </w:tc>
        <w:tc>
          <w:tcPr>
            <w:tcW w:w="854" w:type="dxa"/>
            <w:tcBorders>
              <w:top w:val="single" w:sz="4" w:space="0" w:color="auto"/>
            </w:tcBorders>
          </w:tcPr>
          <w:p w14:paraId="19E8EB8B" w14:textId="77777777" w:rsidR="00B712CE" w:rsidRDefault="00B712CE" w:rsidP="00526840">
            <w:pPr>
              <w:jc w:val="center"/>
              <w:rPr>
                <w:rFonts w:ascii="Arial" w:eastAsia="Arial" w:hAnsi="Arial"/>
              </w:rPr>
            </w:pPr>
            <w:r>
              <w:rPr>
                <w:rFonts w:ascii="Arial" w:hAnsi="Arial" w:cs="Arial"/>
                <w:color w:val="000000"/>
              </w:rPr>
              <w:t>0.41</w:t>
            </w:r>
          </w:p>
        </w:tc>
        <w:tc>
          <w:tcPr>
            <w:tcW w:w="1009" w:type="dxa"/>
            <w:gridSpan w:val="2"/>
            <w:tcBorders>
              <w:top w:val="single" w:sz="4" w:space="0" w:color="auto"/>
            </w:tcBorders>
          </w:tcPr>
          <w:p w14:paraId="17A0E45A" w14:textId="77777777" w:rsidR="00B712CE" w:rsidRDefault="00B712CE" w:rsidP="00526840">
            <w:pPr>
              <w:jc w:val="center"/>
              <w:rPr>
                <w:rFonts w:ascii="Arial" w:eastAsia="Arial" w:hAnsi="Arial"/>
              </w:rPr>
            </w:pPr>
            <w:r>
              <w:rPr>
                <w:rFonts w:ascii="Arial" w:hAnsi="Arial" w:cs="Arial"/>
                <w:color w:val="000000"/>
              </w:rPr>
              <w:t>4.73</w:t>
            </w:r>
          </w:p>
        </w:tc>
        <w:tc>
          <w:tcPr>
            <w:tcW w:w="2223" w:type="dxa"/>
            <w:tcBorders>
              <w:top w:val="single" w:sz="4" w:space="0" w:color="auto"/>
            </w:tcBorders>
          </w:tcPr>
          <w:p w14:paraId="126514A9" w14:textId="77777777" w:rsidR="00B712CE" w:rsidRDefault="00B712CE" w:rsidP="00526840">
            <w:pPr>
              <w:jc w:val="center"/>
              <w:rPr>
                <w:rFonts w:ascii="Arial" w:eastAsia="Arial" w:hAnsi="Arial"/>
              </w:rPr>
            </w:pPr>
            <w:r>
              <w:rPr>
                <w:rFonts w:ascii="Arial" w:hAnsi="Arial" w:cs="Arial"/>
                <w:color w:val="000000"/>
              </w:rPr>
              <w:t>Very High</w:t>
            </w:r>
          </w:p>
        </w:tc>
      </w:tr>
      <w:tr w:rsidR="00B712CE" w14:paraId="0BC83266" w14:textId="77777777" w:rsidTr="00526840">
        <w:trPr>
          <w:gridAfter w:val="1"/>
          <w:wAfter w:w="11" w:type="dxa"/>
          <w:trHeight w:val="280"/>
        </w:trPr>
        <w:tc>
          <w:tcPr>
            <w:tcW w:w="4276" w:type="dxa"/>
            <w:gridSpan w:val="2"/>
          </w:tcPr>
          <w:p w14:paraId="18904F5F" w14:textId="77777777" w:rsidR="00B712CE" w:rsidRDefault="00B712CE" w:rsidP="00526840">
            <w:pPr>
              <w:widowControl w:val="0"/>
              <w:ind w:left="415"/>
              <w:rPr>
                <w:rFonts w:ascii="Arial" w:eastAsia="Arial" w:hAnsi="Arial"/>
              </w:rPr>
            </w:pPr>
            <w:r>
              <w:rPr>
                <w:rFonts w:ascii="Arial" w:hAnsi="Arial" w:cs="Arial"/>
                <w:color w:val="000000"/>
              </w:rPr>
              <w:t>Organizational Commitment</w:t>
            </w:r>
          </w:p>
        </w:tc>
        <w:tc>
          <w:tcPr>
            <w:tcW w:w="854" w:type="dxa"/>
          </w:tcPr>
          <w:p w14:paraId="73419D11" w14:textId="77777777" w:rsidR="00B712CE" w:rsidRDefault="00B712CE" w:rsidP="00526840">
            <w:pPr>
              <w:jc w:val="center"/>
              <w:rPr>
                <w:rFonts w:ascii="Arial" w:eastAsia="Arial" w:hAnsi="Arial"/>
              </w:rPr>
            </w:pPr>
            <w:r>
              <w:rPr>
                <w:rFonts w:ascii="Arial" w:hAnsi="Arial" w:cs="Arial"/>
                <w:color w:val="000000"/>
              </w:rPr>
              <w:t>0.42</w:t>
            </w:r>
          </w:p>
        </w:tc>
        <w:tc>
          <w:tcPr>
            <w:tcW w:w="1009" w:type="dxa"/>
            <w:gridSpan w:val="2"/>
          </w:tcPr>
          <w:p w14:paraId="37337FCD" w14:textId="77777777" w:rsidR="00B712CE" w:rsidRDefault="00B712CE" w:rsidP="00526840">
            <w:pPr>
              <w:jc w:val="center"/>
              <w:rPr>
                <w:rFonts w:ascii="Arial" w:eastAsia="Arial" w:hAnsi="Arial"/>
              </w:rPr>
            </w:pPr>
            <w:r>
              <w:rPr>
                <w:rFonts w:ascii="Arial" w:hAnsi="Arial" w:cs="Arial"/>
                <w:color w:val="000000"/>
              </w:rPr>
              <w:t>4.75</w:t>
            </w:r>
          </w:p>
        </w:tc>
        <w:tc>
          <w:tcPr>
            <w:tcW w:w="2223" w:type="dxa"/>
          </w:tcPr>
          <w:p w14:paraId="4DBAA13B" w14:textId="77777777" w:rsidR="00B712CE" w:rsidRDefault="00B712CE" w:rsidP="00526840">
            <w:pPr>
              <w:jc w:val="center"/>
              <w:rPr>
                <w:rFonts w:ascii="Arial" w:eastAsia="Arial" w:hAnsi="Arial"/>
              </w:rPr>
            </w:pPr>
            <w:r>
              <w:rPr>
                <w:rFonts w:ascii="Arial" w:hAnsi="Arial" w:cs="Arial"/>
                <w:color w:val="000000"/>
              </w:rPr>
              <w:t>Very High</w:t>
            </w:r>
          </w:p>
        </w:tc>
      </w:tr>
      <w:tr w:rsidR="00B712CE" w14:paraId="0F39738A" w14:textId="77777777" w:rsidTr="00526840">
        <w:trPr>
          <w:gridAfter w:val="1"/>
          <w:wAfter w:w="11" w:type="dxa"/>
          <w:trHeight w:val="280"/>
        </w:trPr>
        <w:tc>
          <w:tcPr>
            <w:tcW w:w="4276" w:type="dxa"/>
            <w:gridSpan w:val="2"/>
          </w:tcPr>
          <w:p w14:paraId="1A421DFE" w14:textId="77777777" w:rsidR="00B712CE" w:rsidRDefault="00B712CE" w:rsidP="00526840">
            <w:pPr>
              <w:widowControl w:val="0"/>
              <w:ind w:left="415"/>
              <w:rPr>
                <w:rFonts w:ascii="Arial" w:eastAsia="Arial" w:hAnsi="Arial"/>
              </w:rPr>
            </w:pPr>
            <w:r>
              <w:rPr>
                <w:rFonts w:ascii="Arial" w:hAnsi="Arial" w:cs="Arial"/>
                <w:color w:val="000000"/>
              </w:rPr>
              <w:t>Job Security and Compensation</w:t>
            </w:r>
          </w:p>
        </w:tc>
        <w:tc>
          <w:tcPr>
            <w:tcW w:w="854" w:type="dxa"/>
          </w:tcPr>
          <w:p w14:paraId="75854FD1" w14:textId="77777777" w:rsidR="00B712CE" w:rsidRDefault="00B712CE" w:rsidP="00526840">
            <w:pPr>
              <w:jc w:val="center"/>
              <w:rPr>
                <w:rFonts w:ascii="Arial" w:eastAsia="Arial" w:hAnsi="Arial"/>
              </w:rPr>
            </w:pPr>
            <w:r>
              <w:rPr>
                <w:rFonts w:ascii="Arial" w:hAnsi="Arial" w:cs="Arial"/>
                <w:color w:val="000000"/>
              </w:rPr>
              <w:t>0.40</w:t>
            </w:r>
          </w:p>
        </w:tc>
        <w:tc>
          <w:tcPr>
            <w:tcW w:w="1009" w:type="dxa"/>
            <w:gridSpan w:val="2"/>
          </w:tcPr>
          <w:p w14:paraId="16540E1F" w14:textId="77777777" w:rsidR="00B712CE" w:rsidRDefault="00B712CE" w:rsidP="00526840">
            <w:pPr>
              <w:jc w:val="center"/>
              <w:rPr>
                <w:rFonts w:ascii="Arial" w:eastAsia="Arial" w:hAnsi="Arial"/>
              </w:rPr>
            </w:pPr>
            <w:r>
              <w:rPr>
                <w:rFonts w:ascii="Arial" w:hAnsi="Arial" w:cs="Arial"/>
                <w:color w:val="000000"/>
              </w:rPr>
              <w:t>4.76</w:t>
            </w:r>
          </w:p>
        </w:tc>
        <w:tc>
          <w:tcPr>
            <w:tcW w:w="2223" w:type="dxa"/>
          </w:tcPr>
          <w:p w14:paraId="31AE8538" w14:textId="77777777" w:rsidR="00B712CE" w:rsidRDefault="00B712CE" w:rsidP="00526840">
            <w:pPr>
              <w:jc w:val="center"/>
              <w:rPr>
                <w:rFonts w:ascii="Arial" w:eastAsia="Arial" w:hAnsi="Arial"/>
              </w:rPr>
            </w:pPr>
            <w:r>
              <w:rPr>
                <w:rFonts w:ascii="Arial" w:hAnsi="Arial" w:cs="Arial"/>
                <w:color w:val="000000"/>
              </w:rPr>
              <w:t>Very High</w:t>
            </w:r>
          </w:p>
        </w:tc>
      </w:tr>
      <w:tr w:rsidR="00B712CE" w14:paraId="2057970B" w14:textId="77777777" w:rsidTr="00526840">
        <w:trPr>
          <w:trHeight w:val="264"/>
        </w:trPr>
        <w:tc>
          <w:tcPr>
            <w:tcW w:w="4235" w:type="dxa"/>
          </w:tcPr>
          <w:p w14:paraId="2A121F78" w14:textId="77777777" w:rsidR="00B712CE" w:rsidRDefault="00B712CE" w:rsidP="00526840">
            <w:pPr>
              <w:jc w:val="center"/>
              <w:rPr>
                <w:rFonts w:ascii="Arial" w:eastAsia="Arial" w:hAnsi="Arial"/>
                <w:b/>
                <w:color w:val="000000"/>
              </w:rPr>
            </w:pPr>
            <w:r>
              <w:rPr>
                <w:rFonts w:ascii="Arial" w:eastAsia="Arial" w:hAnsi="Arial"/>
                <w:b/>
                <w:color w:val="000000"/>
              </w:rPr>
              <w:lastRenderedPageBreak/>
              <w:t>Overall</w:t>
            </w:r>
          </w:p>
        </w:tc>
        <w:tc>
          <w:tcPr>
            <w:tcW w:w="895" w:type="dxa"/>
            <w:gridSpan w:val="2"/>
          </w:tcPr>
          <w:p w14:paraId="144E0A20" w14:textId="77777777" w:rsidR="00B712CE" w:rsidRDefault="00B712CE" w:rsidP="00526840">
            <w:pPr>
              <w:jc w:val="center"/>
              <w:rPr>
                <w:rFonts w:ascii="Arial" w:eastAsia="Arial" w:hAnsi="Arial"/>
                <w:b/>
              </w:rPr>
            </w:pPr>
            <w:r>
              <w:rPr>
                <w:rFonts w:ascii="Arial" w:eastAsia="Arial" w:hAnsi="Arial"/>
                <w:b/>
              </w:rPr>
              <w:t>0.41</w:t>
            </w:r>
          </w:p>
        </w:tc>
        <w:tc>
          <w:tcPr>
            <w:tcW w:w="990" w:type="dxa"/>
          </w:tcPr>
          <w:p w14:paraId="10E724B3" w14:textId="77777777" w:rsidR="00B712CE" w:rsidRDefault="00B712CE" w:rsidP="00526840">
            <w:pPr>
              <w:jc w:val="center"/>
              <w:rPr>
                <w:rFonts w:ascii="Arial" w:eastAsia="Arial" w:hAnsi="Arial"/>
                <w:b/>
              </w:rPr>
            </w:pPr>
            <w:r>
              <w:rPr>
                <w:rFonts w:ascii="Arial" w:eastAsia="Arial" w:hAnsi="Arial"/>
                <w:b/>
              </w:rPr>
              <w:t>4.75</w:t>
            </w:r>
          </w:p>
        </w:tc>
        <w:tc>
          <w:tcPr>
            <w:tcW w:w="2253" w:type="dxa"/>
            <w:gridSpan w:val="3"/>
          </w:tcPr>
          <w:p w14:paraId="0E77ADEA" w14:textId="77777777" w:rsidR="00B712CE" w:rsidRDefault="00B712CE" w:rsidP="00526840">
            <w:pPr>
              <w:jc w:val="center"/>
              <w:rPr>
                <w:rFonts w:ascii="Arial" w:eastAsia="Arial" w:hAnsi="Arial"/>
                <w:b/>
              </w:rPr>
            </w:pPr>
            <w:r>
              <w:rPr>
                <w:rFonts w:ascii="Arial" w:eastAsia="Arial" w:hAnsi="Arial"/>
                <w:b/>
              </w:rPr>
              <w:t>Very High</w:t>
            </w:r>
          </w:p>
        </w:tc>
      </w:tr>
    </w:tbl>
    <w:p w14:paraId="684686C3" w14:textId="77777777" w:rsidR="00A574C3" w:rsidRPr="00FF2146" w:rsidRDefault="00A574C3">
      <w:pPr>
        <w:jc w:val="both"/>
        <w:rPr>
          <w:rFonts w:ascii="Arial" w:hAnsi="Arial" w:cs="Arial"/>
          <w:b/>
          <w:iCs/>
          <w:sz w:val="20"/>
          <w:szCs w:val="20"/>
        </w:rPr>
      </w:pPr>
    </w:p>
    <w:p w14:paraId="21ED3F61" w14:textId="47C96E25" w:rsidR="0073677C" w:rsidRPr="007E5C64" w:rsidRDefault="0073677C" w:rsidP="0073677C">
      <w:pPr>
        <w:jc w:val="both"/>
        <w:rPr>
          <w:rFonts w:ascii="Arial" w:hAnsi="Arial" w:cs="Arial"/>
          <w:sz w:val="20"/>
          <w:szCs w:val="20"/>
        </w:rPr>
      </w:pPr>
    </w:p>
    <w:p w14:paraId="3AABE0F6" w14:textId="02C500BE" w:rsidR="00B712CE" w:rsidRDefault="00B712CE" w:rsidP="00B712CE">
      <w:pPr>
        <w:jc w:val="both"/>
        <w:rPr>
          <w:rFonts w:ascii="Arial" w:hAnsi="Arial" w:cs="Arial"/>
          <w:sz w:val="20"/>
          <w:szCs w:val="20"/>
        </w:rPr>
      </w:pPr>
      <w:r>
        <w:rPr>
          <w:rFonts w:ascii="Arial" w:hAnsi="Arial" w:cs="Arial"/>
          <w:sz w:val="20"/>
          <w:szCs w:val="20"/>
        </w:rPr>
        <w:t>Presented in Table 2</w:t>
      </w:r>
      <w:r w:rsidRPr="00B712CE">
        <w:rPr>
          <w:rFonts w:ascii="Arial" w:hAnsi="Arial" w:cs="Arial"/>
          <w:sz w:val="20"/>
          <w:szCs w:val="20"/>
        </w:rPr>
        <w:t xml:space="preserve"> is </w:t>
      </w:r>
      <w:r>
        <w:rPr>
          <w:rFonts w:ascii="Arial" w:hAnsi="Arial" w:cs="Arial"/>
          <w:sz w:val="20"/>
          <w:szCs w:val="20"/>
        </w:rPr>
        <w:t xml:space="preserve">the </w:t>
      </w:r>
      <w:r w:rsidRPr="00B712CE">
        <w:rPr>
          <w:rFonts w:ascii="Arial" w:hAnsi="Arial" w:cs="Arial"/>
          <w:sz w:val="20"/>
          <w:szCs w:val="20"/>
        </w:rPr>
        <w:t>level of occupational commitment among public elementary school teachers, based on the mean scores and standard deviations.</w:t>
      </w:r>
      <w:r>
        <w:rPr>
          <w:rFonts w:ascii="Arial" w:hAnsi="Arial" w:cs="Arial"/>
          <w:sz w:val="20"/>
          <w:szCs w:val="20"/>
        </w:rPr>
        <w:t xml:space="preserve"> </w:t>
      </w:r>
      <w:r w:rsidRPr="00B712CE">
        <w:rPr>
          <w:rFonts w:ascii="Arial" w:hAnsi="Arial" w:cs="Arial"/>
          <w:sz w:val="20"/>
          <w:szCs w:val="20"/>
        </w:rPr>
        <w:t>The domain job security and compensation received the highest mean of 4.76, categorized as very high, followed closely by organizational commitment with a mean of 4.75. Job satisfaction ranked third with a mean of 4.73, which is still categorized as very high. The overall mean of 4.75 is described as very high, indicating that teachers consistently demonstrate a strong level of occupational commitment across all domains. The overall standard deviation of 0.41 suggests relatively consistent responses, with most values closely centered around the mean.</w:t>
      </w:r>
    </w:p>
    <w:p w14:paraId="5ABA34BD" w14:textId="77777777" w:rsidR="00B712CE" w:rsidRPr="00B712CE" w:rsidRDefault="00B712CE" w:rsidP="00B712CE">
      <w:pPr>
        <w:jc w:val="both"/>
        <w:rPr>
          <w:rFonts w:ascii="Arial" w:hAnsi="Arial" w:cs="Arial"/>
          <w:sz w:val="20"/>
          <w:szCs w:val="20"/>
        </w:rPr>
      </w:pPr>
    </w:p>
    <w:p w14:paraId="6EE21628" w14:textId="5017C540" w:rsidR="00B712CE" w:rsidRDefault="00B712CE" w:rsidP="00B712CE">
      <w:pPr>
        <w:jc w:val="both"/>
        <w:rPr>
          <w:rFonts w:ascii="Arial" w:hAnsi="Arial" w:cs="Arial"/>
          <w:sz w:val="20"/>
          <w:szCs w:val="20"/>
        </w:rPr>
      </w:pPr>
      <w:r w:rsidRPr="00B712CE">
        <w:rPr>
          <w:rFonts w:ascii="Arial" w:hAnsi="Arial" w:cs="Arial"/>
          <w:sz w:val="20"/>
          <w:szCs w:val="20"/>
        </w:rPr>
        <w:t>This finding implies that public elementary school teachers are highly committed to their profession, as evidenced by their strong perceptions of job satisfaction, organizational loyalty, and the importance of job security and fair compensation. The highest mean for job security and compensation highlights the significance of stable employment and adequate pay in fostering dedication to the teaching profession. Together, these domains underscore the essential role of supportive working conditions in sustaining teacher commitment and institutional stability.</w:t>
      </w:r>
    </w:p>
    <w:p w14:paraId="3AF719D8" w14:textId="77777777" w:rsidR="00B712CE" w:rsidRPr="00B712CE" w:rsidRDefault="00B712CE" w:rsidP="00B712CE">
      <w:pPr>
        <w:jc w:val="both"/>
        <w:rPr>
          <w:rFonts w:ascii="Arial" w:hAnsi="Arial" w:cs="Arial"/>
          <w:sz w:val="20"/>
          <w:szCs w:val="20"/>
        </w:rPr>
      </w:pPr>
    </w:p>
    <w:p w14:paraId="1B3EFEAA" w14:textId="7278DFBC" w:rsidR="00C2756B" w:rsidRPr="00B712CE" w:rsidRDefault="00B712CE" w:rsidP="00B712CE">
      <w:pPr>
        <w:jc w:val="both"/>
        <w:rPr>
          <w:rFonts w:ascii="Arial" w:hAnsi="Arial" w:cs="Arial"/>
          <w:sz w:val="20"/>
          <w:szCs w:val="20"/>
        </w:rPr>
      </w:pPr>
      <w:r w:rsidRPr="00B712CE">
        <w:rPr>
          <w:rFonts w:ascii="Arial" w:hAnsi="Arial" w:cs="Arial"/>
          <w:sz w:val="20"/>
          <w:szCs w:val="20"/>
        </w:rPr>
        <w:t xml:space="preserve">This finding affirms the importance of strong occupational commitment, as supported by the study of MacLeod (2020), who emphasized that teachers with strong levels of occupational commitment demonstrate sustained engagement and long-term effectiveness in their roles. Their research indicated that when teachers feel organizationally supported and satisfied, they are more likely to remain in the profession and actively contribute to continuous school improvement. Similarly, Al </w:t>
      </w:r>
      <w:proofErr w:type="spellStart"/>
      <w:r w:rsidRPr="00B712CE">
        <w:rPr>
          <w:rFonts w:ascii="Arial" w:hAnsi="Arial" w:cs="Arial"/>
          <w:sz w:val="20"/>
          <w:szCs w:val="20"/>
        </w:rPr>
        <w:t>Sulaimi</w:t>
      </w:r>
      <w:proofErr w:type="spellEnd"/>
      <w:r w:rsidRPr="00B712CE">
        <w:rPr>
          <w:rFonts w:ascii="Arial" w:hAnsi="Arial" w:cs="Arial"/>
          <w:sz w:val="20"/>
          <w:szCs w:val="20"/>
        </w:rPr>
        <w:t xml:space="preserve"> and bin </w:t>
      </w:r>
      <w:proofErr w:type="spellStart"/>
      <w:r w:rsidRPr="00B712CE">
        <w:rPr>
          <w:rFonts w:ascii="Arial" w:hAnsi="Arial" w:cs="Arial"/>
          <w:sz w:val="20"/>
          <w:szCs w:val="20"/>
        </w:rPr>
        <w:t>Jantan</w:t>
      </w:r>
      <w:proofErr w:type="spellEnd"/>
      <w:r w:rsidRPr="00B712CE">
        <w:rPr>
          <w:rFonts w:ascii="Arial" w:hAnsi="Arial" w:cs="Arial"/>
          <w:sz w:val="20"/>
          <w:szCs w:val="20"/>
        </w:rPr>
        <w:t xml:space="preserve"> (2024) highlighted that strong occupational commitment, bolstered by job security and fair compensation, leads to greater teacher morale and retention. Furthermore, </w:t>
      </w:r>
      <w:proofErr w:type="spellStart"/>
      <w:r w:rsidRPr="00B712CE">
        <w:rPr>
          <w:rFonts w:ascii="Arial" w:hAnsi="Arial" w:cs="Arial"/>
          <w:sz w:val="20"/>
          <w:szCs w:val="20"/>
        </w:rPr>
        <w:t>Mohd</w:t>
      </w:r>
      <w:proofErr w:type="spellEnd"/>
      <w:r w:rsidRPr="00B712CE">
        <w:rPr>
          <w:rFonts w:ascii="Arial" w:hAnsi="Arial" w:cs="Arial"/>
          <w:sz w:val="20"/>
          <w:szCs w:val="20"/>
        </w:rPr>
        <w:t xml:space="preserve"> Sofian (2024) further noted that teachers with strong organizational commitment help foster cohesive school communities, enhance student performance, and play a pivotal role in educational leadership and career advancement.</w:t>
      </w:r>
    </w:p>
    <w:p w14:paraId="266DB0D2" w14:textId="77777777" w:rsidR="00B712CE" w:rsidRDefault="00B712CE" w:rsidP="00C2756B">
      <w:pPr>
        <w:jc w:val="both"/>
        <w:rPr>
          <w:rFonts w:ascii="Arial" w:hAnsi="Arial" w:cs="Arial"/>
          <w:b/>
          <w:bCs/>
          <w:iCs/>
          <w:sz w:val="20"/>
          <w:szCs w:val="20"/>
        </w:rPr>
      </w:pPr>
    </w:p>
    <w:p w14:paraId="7A385026" w14:textId="77777777" w:rsidR="00FB1E60" w:rsidRDefault="00781D5E" w:rsidP="00C2756B">
      <w:pPr>
        <w:jc w:val="both"/>
        <w:rPr>
          <w:rFonts w:ascii="Arial" w:hAnsi="Arial" w:cs="Arial"/>
          <w:b/>
          <w:bCs/>
          <w:iCs/>
          <w:sz w:val="20"/>
          <w:szCs w:val="20"/>
        </w:rPr>
      </w:pPr>
      <w:r w:rsidRPr="007E5C64">
        <w:rPr>
          <w:rFonts w:ascii="Arial" w:hAnsi="Arial" w:cs="Arial"/>
          <w:b/>
          <w:bCs/>
          <w:iCs/>
          <w:sz w:val="20"/>
          <w:szCs w:val="20"/>
        </w:rPr>
        <w:t xml:space="preserve">3.3 </w:t>
      </w:r>
      <w:r w:rsidR="00FB1E60" w:rsidRPr="00FB1E60">
        <w:rPr>
          <w:rFonts w:ascii="Arial" w:hAnsi="Arial" w:cs="Arial"/>
          <w:b/>
          <w:bCs/>
          <w:iCs/>
          <w:sz w:val="20"/>
          <w:szCs w:val="20"/>
        </w:rPr>
        <w:t xml:space="preserve">Significant Relationship Between the Level of Bolstering Durability Skills and Occupational Commitment of Public Elementary School Teachers </w:t>
      </w:r>
    </w:p>
    <w:p w14:paraId="104A6789" w14:textId="77777777" w:rsidR="00FB1E60" w:rsidRDefault="00FB1E60" w:rsidP="00C2756B">
      <w:pPr>
        <w:jc w:val="both"/>
        <w:rPr>
          <w:rFonts w:ascii="Arial" w:hAnsi="Arial" w:cs="Arial"/>
          <w:b/>
          <w:bCs/>
          <w:iCs/>
          <w:sz w:val="20"/>
          <w:szCs w:val="20"/>
        </w:rPr>
      </w:pPr>
    </w:p>
    <w:p w14:paraId="6D8E81B7" w14:textId="2EE602B1" w:rsidR="00C2756B" w:rsidRPr="00C2756B" w:rsidRDefault="00180859" w:rsidP="00C2756B">
      <w:pPr>
        <w:jc w:val="both"/>
        <w:rPr>
          <w:rFonts w:ascii="Arial" w:hAnsi="Arial" w:cs="Arial"/>
          <w:i/>
          <w:sz w:val="20"/>
          <w:szCs w:val="20"/>
        </w:rPr>
      </w:pPr>
      <w:r w:rsidRPr="007E5C64">
        <w:rPr>
          <w:rFonts w:ascii="Arial" w:hAnsi="Arial" w:cs="Arial"/>
          <w:iCs/>
          <w:sz w:val="20"/>
          <w:szCs w:val="20"/>
        </w:rPr>
        <w:t>Table 3</w:t>
      </w:r>
      <w:r w:rsidR="00781D5E" w:rsidRPr="007E5C64">
        <w:rPr>
          <w:rFonts w:ascii="Arial" w:hAnsi="Arial" w:cs="Arial"/>
          <w:iCs/>
          <w:sz w:val="20"/>
          <w:szCs w:val="20"/>
        </w:rPr>
        <w:t>.</w:t>
      </w:r>
      <w:r w:rsidRPr="007E5C64">
        <w:rPr>
          <w:rFonts w:ascii="Arial" w:hAnsi="Arial" w:cs="Arial"/>
          <w:iCs/>
          <w:sz w:val="20"/>
          <w:szCs w:val="20"/>
        </w:rPr>
        <w:t xml:space="preserve">  </w:t>
      </w:r>
      <w:r w:rsidR="00FB1E60" w:rsidRPr="00FB1E60">
        <w:rPr>
          <w:rFonts w:ascii="Arial" w:hAnsi="Arial" w:cs="Arial"/>
          <w:i/>
          <w:sz w:val="20"/>
          <w:szCs w:val="20"/>
        </w:rPr>
        <w:t>Significant Relationship Between the Level of Bolstering Durability Skills and Occupational Commitment of Public Elementary School Teachers</w:t>
      </w:r>
    </w:p>
    <w:p w14:paraId="3E38AC03" w14:textId="203D5FBC" w:rsidR="00D815DA" w:rsidRPr="007E5C64" w:rsidRDefault="00D815DA" w:rsidP="00F927B2">
      <w:pPr>
        <w:jc w:val="both"/>
        <w:rPr>
          <w:rFonts w:ascii="Arial" w:hAnsi="Arial" w:cs="Arial"/>
          <w:i/>
          <w:sz w:val="20"/>
          <w:szCs w:val="20"/>
        </w:rPr>
      </w:pPr>
    </w:p>
    <w:p w14:paraId="3580D37C" w14:textId="77777777" w:rsidR="00017E5D" w:rsidRPr="007E5C64" w:rsidRDefault="00017E5D" w:rsidP="00F927B2">
      <w:pPr>
        <w:jc w:val="both"/>
        <w:rPr>
          <w:rFonts w:ascii="Arial" w:hAnsi="Arial" w:cs="Arial"/>
          <w:iCs/>
          <w:sz w:val="20"/>
          <w:szCs w:val="20"/>
        </w:rPr>
      </w:pPr>
    </w:p>
    <w:tbl>
      <w:tblPr>
        <w:tblW w:w="8144" w:type="dxa"/>
        <w:tblInd w:w="108" w:type="dxa"/>
        <w:tblBorders>
          <w:top w:val="single" w:sz="4" w:space="0" w:color="auto"/>
          <w:bottom w:val="single" w:sz="4" w:space="0" w:color="auto"/>
        </w:tblBorders>
        <w:tblLayout w:type="fixed"/>
        <w:tblLook w:val="04A0" w:firstRow="1" w:lastRow="0" w:firstColumn="1" w:lastColumn="0" w:noHBand="0" w:noVBand="1"/>
      </w:tblPr>
      <w:tblGrid>
        <w:gridCol w:w="1387"/>
        <w:gridCol w:w="863"/>
        <w:gridCol w:w="774"/>
        <w:gridCol w:w="774"/>
        <w:gridCol w:w="774"/>
        <w:gridCol w:w="1562"/>
        <w:gridCol w:w="863"/>
        <w:gridCol w:w="1147"/>
      </w:tblGrid>
      <w:tr w:rsidR="007E36A6" w:rsidRPr="007E36A6" w14:paraId="1C621CC5" w14:textId="77777777" w:rsidTr="007E36A6">
        <w:trPr>
          <w:trHeight w:val="234"/>
        </w:trPr>
        <w:tc>
          <w:tcPr>
            <w:tcW w:w="1387" w:type="dxa"/>
            <w:tcBorders>
              <w:bottom w:val="single" w:sz="4" w:space="0" w:color="auto"/>
            </w:tcBorders>
          </w:tcPr>
          <w:p w14:paraId="1C4EBFC9" w14:textId="77777777" w:rsidR="007E36A6" w:rsidRPr="007E36A6" w:rsidRDefault="007E36A6" w:rsidP="00526840">
            <w:pPr>
              <w:widowControl w:val="0"/>
              <w:jc w:val="center"/>
              <w:rPr>
                <w:rFonts w:ascii="Arial" w:eastAsia="Arial" w:hAnsi="Arial"/>
                <w:b/>
                <w:sz w:val="20"/>
                <w:szCs w:val="20"/>
              </w:rPr>
            </w:pPr>
            <w:r w:rsidRPr="007E36A6">
              <w:rPr>
                <w:rFonts w:ascii="Arial" w:eastAsia="Arial" w:hAnsi="Arial"/>
                <w:b/>
                <w:sz w:val="20"/>
                <w:szCs w:val="20"/>
              </w:rPr>
              <w:t>Variables</w:t>
            </w:r>
          </w:p>
        </w:tc>
        <w:tc>
          <w:tcPr>
            <w:tcW w:w="863" w:type="dxa"/>
            <w:tcBorders>
              <w:bottom w:val="single" w:sz="4" w:space="0" w:color="auto"/>
            </w:tcBorders>
          </w:tcPr>
          <w:p w14:paraId="142040D0" w14:textId="77777777" w:rsidR="007E36A6" w:rsidRPr="007E36A6" w:rsidRDefault="007E36A6" w:rsidP="00526840">
            <w:pPr>
              <w:widowControl w:val="0"/>
              <w:jc w:val="center"/>
              <w:rPr>
                <w:rFonts w:ascii="Arial" w:eastAsia="Arial" w:hAnsi="Arial"/>
                <w:b/>
                <w:sz w:val="20"/>
                <w:szCs w:val="20"/>
              </w:rPr>
            </w:pPr>
            <w:r w:rsidRPr="007E36A6">
              <w:rPr>
                <w:rFonts w:ascii="Arial" w:eastAsia="Arial" w:hAnsi="Arial"/>
                <w:b/>
                <w:sz w:val="20"/>
                <w:szCs w:val="20"/>
              </w:rPr>
              <w:t>Mean</w:t>
            </w:r>
          </w:p>
        </w:tc>
        <w:tc>
          <w:tcPr>
            <w:tcW w:w="774" w:type="dxa"/>
            <w:tcBorders>
              <w:bottom w:val="single" w:sz="4" w:space="0" w:color="auto"/>
            </w:tcBorders>
          </w:tcPr>
          <w:p w14:paraId="34632748" w14:textId="77777777" w:rsidR="007E36A6" w:rsidRPr="007E36A6" w:rsidRDefault="007E36A6" w:rsidP="00526840">
            <w:pPr>
              <w:widowControl w:val="0"/>
              <w:jc w:val="center"/>
              <w:rPr>
                <w:rFonts w:ascii="Arial" w:eastAsia="Arial" w:hAnsi="Arial"/>
                <w:b/>
                <w:sz w:val="20"/>
                <w:szCs w:val="20"/>
              </w:rPr>
            </w:pPr>
            <w:r w:rsidRPr="007E36A6">
              <w:rPr>
                <w:rFonts w:ascii="Arial" w:eastAsia="Arial" w:hAnsi="Arial"/>
                <w:b/>
                <w:sz w:val="20"/>
                <w:szCs w:val="20"/>
              </w:rPr>
              <w:t>SD</w:t>
            </w:r>
          </w:p>
        </w:tc>
        <w:tc>
          <w:tcPr>
            <w:tcW w:w="774" w:type="dxa"/>
            <w:tcBorders>
              <w:bottom w:val="single" w:sz="4" w:space="0" w:color="auto"/>
            </w:tcBorders>
          </w:tcPr>
          <w:p w14:paraId="5AE6C614" w14:textId="77777777" w:rsidR="007E36A6" w:rsidRPr="007E36A6" w:rsidRDefault="007E36A6" w:rsidP="00526840">
            <w:pPr>
              <w:widowControl w:val="0"/>
              <w:jc w:val="center"/>
              <w:rPr>
                <w:rFonts w:ascii="Arial" w:eastAsia="Arial" w:hAnsi="Arial"/>
                <w:b/>
                <w:sz w:val="20"/>
                <w:szCs w:val="20"/>
              </w:rPr>
            </w:pPr>
            <w:r w:rsidRPr="007E36A6">
              <w:rPr>
                <w:rFonts w:ascii="Arial" w:eastAsia="Arial" w:hAnsi="Arial"/>
                <w:b/>
                <w:sz w:val="20"/>
                <w:szCs w:val="20"/>
              </w:rPr>
              <w:t>R</w:t>
            </w:r>
          </w:p>
        </w:tc>
        <w:tc>
          <w:tcPr>
            <w:tcW w:w="774" w:type="dxa"/>
            <w:tcBorders>
              <w:bottom w:val="single" w:sz="4" w:space="0" w:color="auto"/>
            </w:tcBorders>
          </w:tcPr>
          <w:p w14:paraId="6249CDB2" w14:textId="77777777" w:rsidR="007E36A6" w:rsidRPr="007E36A6" w:rsidRDefault="007E36A6" w:rsidP="00526840">
            <w:pPr>
              <w:shd w:val="clear" w:color="auto" w:fill="FFFFFF"/>
              <w:spacing w:after="120"/>
              <w:jc w:val="center"/>
              <w:rPr>
                <w:rFonts w:ascii="Arial" w:eastAsia="Arial" w:hAnsi="Arial"/>
                <w:b/>
                <w:sz w:val="20"/>
                <w:szCs w:val="20"/>
              </w:rPr>
            </w:pPr>
            <w:r w:rsidRPr="007E36A6">
              <w:rPr>
                <w:rFonts w:ascii="Arial" w:eastAsia="Arial" w:hAnsi="Arial"/>
                <w:b/>
                <w:sz w:val="20"/>
                <w:szCs w:val="20"/>
              </w:rPr>
              <w:t>R²</w:t>
            </w:r>
          </w:p>
          <w:p w14:paraId="44651D1A" w14:textId="77777777" w:rsidR="007E36A6" w:rsidRPr="007E36A6" w:rsidRDefault="007E36A6" w:rsidP="00526840">
            <w:pPr>
              <w:widowControl w:val="0"/>
              <w:jc w:val="center"/>
              <w:rPr>
                <w:rFonts w:ascii="Arial" w:eastAsia="Arial" w:hAnsi="Arial"/>
                <w:b/>
                <w:sz w:val="20"/>
                <w:szCs w:val="20"/>
              </w:rPr>
            </w:pPr>
          </w:p>
        </w:tc>
        <w:tc>
          <w:tcPr>
            <w:tcW w:w="1562" w:type="dxa"/>
            <w:tcBorders>
              <w:bottom w:val="single" w:sz="4" w:space="0" w:color="auto"/>
            </w:tcBorders>
          </w:tcPr>
          <w:p w14:paraId="761A3673" w14:textId="77777777" w:rsidR="007E36A6" w:rsidRPr="007E36A6" w:rsidRDefault="007E36A6" w:rsidP="00526840">
            <w:pPr>
              <w:widowControl w:val="0"/>
              <w:jc w:val="center"/>
              <w:rPr>
                <w:rFonts w:ascii="Arial" w:eastAsia="Arial" w:hAnsi="Arial"/>
                <w:b/>
                <w:sz w:val="20"/>
                <w:szCs w:val="20"/>
              </w:rPr>
            </w:pPr>
            <w:r w:rsidRPr="007E36A6">
              <w:rPr>
                <w:rFonts w:ascii="Arial" w:eastAsia="Arial" w:hAnsi="Arial"/>
                <w:b/>
                <w:sz w:val="20"/>
                <w:szCs w:val="20"/>
              </w:rPr>
              <w:t>Degree of Relationship</w:t>
            </w:r>
          </w:p>
        </w:tc>
        <w:tc>
          <w:tcPr>
            <w:tcW w:w="863" w:type="dxa"/>
            <w:tcBorders>
              <w:bottom w:val="single" w:sz="4" w:space="0" w:color="auto"/>
            </w:tcBorders>
          </w:tcPr>
          <w:p w14:paraId="66A7C8F8" w14:textId="77777777" w:rsidR="007E36A6" w:rsidRPr="007E36A6" w:rsidRDefault="007E36A6" w:rsidP="00526840">
            <w:pPr>
              <w:widowControl w:val="0"/>
              <w:jc w:val="center"/>
              <w:rPr>
                <w:rFonts w:ascii="Arial" w:eastAsia="Arial" w:hAnsi="Arial"/>
                <w:b/>
                <w:sz w:val="20"/>
                <w:szCs w:val="20"/>
              </w:rPr>
            </w:pPr>
            <w:r w:rsidRPr="007E36A6">
              <w:rPr>
                <w:rFonts w:ascii="Arial" w:eastAsia="Arial" w:hAnsi="Arial"/>
                <w:b/>
                <w:sz w:val="20"/>
                <w:szCs w:val="20"/>
              </w:rPr>
              <w:t>p-value</w:t>
            </w:r>
          </w:p>
        </w:tc>
        <w:tc>
          <w:tcPr>
            <w:tcW w:w="1147" w:type="dxa"/>
            <w:tcBorders>
              <w:bottom w:val="single" w:sz="4" w:space="0" w:color="auto"/>
            </w:tcBorders>
          </w:tcPr>
          <w:p w14:paraId="4DD5C136" w14:textId="77777777" w:rsidR="007E36A6" w:rsidRPr="007E36A6" w:rsidRDefault="007E36A6" w:rsidP="00526840">
            <w:pPr>
              <w:widowControl w:val="0"/>
              <w:jc w:val="center"/>
              <w:rPr>
                <w:rFonts w:ascii="Arial" w:eastAsia="Arial" w:hAnsi="Arial"/>
                <w:b/>
                <w:sz w:val="20"/>
                <w:szCs w:val="20"/>
              </w:rPr>
            </w:pPr>
            <w:r w:rsidRPr="007E36A6">
              <w:rPr>
                <w:rFonts w:ascii="Arial" w:eastAsia="Arial" w:hAnsi="Arial"/>
                <w:b/>
                <w:sz w:val="20"/>
                <w:szCs w:val="20"/>
              </w:rPr>
              <w:t>Decision</w:t>
            </w:r>
          </w:p>
        </w:tc>
      </w:tr>
      <w:tr w:rsidR="007E36A6" w:rsidRPr="007E36A6" w14:paraId="07596A9D" w14:textId="77777777" w:rsidTr="007E36A6">
        <w:trPr>
          <w:trHeight w:val="592"/>
        </w:trPr>
        <w:tc>
          <w:tcPr>
            <w:tcW w:w="1387" w:type="dxa"/>
            <w:tcBorders>
              <w:top w:val="single" w:sz="4" w:space="0" w:color="auto"/>
            </w:tcBorders>
          </w:tcPr>
          <w:p w14:paraId="7AF67779" w14:textId="77777777" w:rsidR="007E36A6" w:rsidRPr="007E36A6" w:rsidRDefault="007E36A6" w:rsidP="00526840">
            <w:pPr>
              <w:widowControl w:val="0"/>
              <w:jc w:val="center"/>
              <w:rPr>
                <w:rFonts w:ascii="Arial" w:eastAsia="Arial" w:hAnsi="Arial"/>
                <w:sz w:val="20"/>
                <w:szCs w:val="20"/>
              </w:rPr>
            </w:pPr>
            <w:r w:rsidRPr="007E36A6">
              <w:rPr>
                <w:rFonts w:ascii="Arial" w:hAnsi="Arial" w:cs="Arial"/>
                <w:color w:val="000000"/>
                <w:sz w:val="20"/>
                <w:szCs w:val="20"/>
              </w:rPr>
              <w:t>Bolstering Durability Skills</w:t>
            </w:r>
          </w:p>
        </w:tc>
        <w:tc>
          <w:tcPr>
            <w:tcW w:w="863" w:type="dxa"/>
            <w:tcBorders>
              <w:top w:val="single" w:sz="4" w:space="0" w:color="auto"/>
            </w:tcBorders>
          </w:tcPr>
          <w:p w14:paraId="5C5248DA" w14:textId="77777777" w:rsidR="007E36A6" w:rsidRPr="007E36A6" w:rsidRDefault="007E36A6" w:rsidP="00526840">
            <w:pPr>
              <w:widowControl w:val="0"/>
              <w:spacing w:line="480" w:lineRule="auto"/>
              <w:jc w:val="center"/>
              <w:rPr>
                <w:rFonts w:ascii="Arial" w:eastAsia="Arial" w:hAnsi="Arial"/>
                <w:sz w:val="20"/>
                <w:szCs w:val="20"/>
              </w:rPr>
            </w:pPr>
            <w:r w:rsidRPr="007E36A6">
              <w:rPr>
                <w:rFonts w:ascii="Arial" w:hAnsi="Arial" w:cs="Arial"/>
                <w:color w:val="000000"/>
                <w:sz w:val="20"/>
                <w:szCs w:val="20"/>
              </w:rPr>
              <w:t>4.73</w:t>
            </w:r>
          </w:p>
        </w:tc>
        <w:tc>
          <w:tcPr>
            <w:tcW w:w="774" w:type="dxa"/>
            <w:tcBorders>
              <w:top w:val="single" w:sz="4" w:space="0" w:color="auto"/>
            </w:tcBorders>
          </w:tcPr>
          <w:p w14:paraId="5BC1C29D" w14:textId="77777777" w:rsidR="007E36A6" w:rsidRPr="007E36A6" w:rsidRDefault="007E36A6" w:rsidP="00526840">
            <w:pPr>
              <w:widowControl w:val="0"/>
              <w:spacing w:line="480" w:lineRule="auto"/>
              <w:jc w:val="center"/>
              <w:rPr>
                <w:rFonts w:ascii="Arial" w:eastAsia="Arial" w:hAnsi="Arial"/>
                <w:sz w:val="20"/>
                <w:szCs w:val="20"/>
              </w:rPr>
            </w:pPr>
            <w:r w:rsidRPr="007E36A6">
              <w:rPr>
                <w:rFonts w:ascii="Arial" w:hAnsi="Arial" w:cs="Arial"/>
                <w:color w:val="000000"/>
                <w:sz w:val="20"/>
                <w:szCs w:val="20"/>
              </w:rPr>
              <w:t>0.40</w:t>
            </w:r>
          </w:p>
        </w:tc>
        <w:tc>
          <w:tcPr>
            <w:tcW w:w="774" w:type="dxa"/>
            <w:vMerge w:val="restart"/>
            <w:tcBorders>
              <w:top w:val="single" w:sz="4" w:space="0" w:color="auto"/>
            </w:tcBorders>
          </w:tcPr>
          <w:p w14:paraId="3353DEB2" w14:textId="77777777" w:rsidR="007E36A6" w:rsidRPr="007E36A6" w:rsidRDefault="007E36A6" w:rsidP="00526840">
            <w:pPr>
              <w:widowControl w:val="0"/>
              <w:spacing w:line="480" w:lineRule="auto"/>
              <w:jc w:val="center"/>
              <w:rPr>
                <w:rFonts w:ascii="Arial" w:eastAsia="Arial" w:hAnsi="Arial"/>
                <w:sz w:val="20"/>
                <w:szCs w:val="20"/>
              </w:rPr>
            </w:pPr>
            <w:r w:rsidRPr="007E36A6">
              <w:rPr>
                <w:rFonts w:ascii="Arial" w:hAnsi="Arial" w:cs="Arial"/>
                <w:color w:val="000000"/>
                <w:sz w:val="20"/>
                <w:szCs w:val="20"/>
              </w:rPr>
              <w:t>0.882</w:t>
            </w:r>
          </w:p>
        </w:tc>
        <w:tc>
          <w:tcPr>
            <w:tcW w:w="774" w:type="dxa"/>
            <w:vMerge w:val="restart"/>
            <w:tcBorders>
              <w:top w:val="single" w:sz="4" w:space="0" w:color="auto"/>
            </w:tcBorders>
          </w:tcPr>
          <w:p w14:paraId="33932E74" w14:textId="77777777" w:rsidR="007E36A6" w:rsidRPr="007E36A6" w:rsidRDefault="007E36A6" w:rsidP="00526840">
            <w:pPr>
              <w:widowControl w:val="0"/>
              <w:spacing w:line="480" w:lineRule="auto"/>
              <w:jc w:val="center"/>
              <w:rPr>
                <w:rFonts w:ascii="Arial" w:eastAsia="Arial" w:hAnsi="Arial"/>
                <w:sz w:val="20"/>
                <w:szCs w:val="20"/>
              </w:rPr>
            </w:pPr>
            <w:r w:rsidRPr="007E36A6">
              <w:rPr>
                <w:rFonts w:ascii="Arial" w:hAnsi="Arial" w:cs="Arial"/>
                <w:color w:val="000000"/>
                <w:sz w:val="20"/>
                <w:szCs w:val="20"/>
              </w:rPr>
              <w:t>0.778</w:t>
            </w:r>
          </w:p>
        </w:tc>
        <w:tc>
          <w:tcPr>
            <w:tcW w:w="1562" w:type="dxa"/>
            <w:vMerge w:val="restart"/>
            <w:tcBorders>
              <w:top w:val="single" w:sz="4" w:space="0" w:color="auto"/>
            </w:tcBorders>
          </w:tcPr>
          <w:p w14:paraId="3069DF2D" w14:textId="77777777" w:rsidR="007E36A6" w:rsidRPr="007E36A6" w:rsidRDefault="007E36A6" w:rsidP="00526840">
            <w:pPr>
              <w:widowControl w:val="0"/>
              <w:spacing w:line="480" w:lineRule="auto"/>
              <w:jc w:val="center"/>
              <w:rPr>
                <w:rFonts w:ascii="Arial" w:eastAsia="Arial" w:hAnsi="Arial"/>
                <w:sz w:val="20"/>
                <w:szCs w:val="20"/>
              </w:rPr>
            </w:pPr>
            <w:r w:rsidRPr="007E36A6">
              <w:rPr>
                <w:rFonts w:ascii="Arial" w:hAnsi="Arial" w:cs="Arial"/>
                <w:color w:val="000000"/>
                <w:sz w:val="20"/>
                <w:szCs w:val="20"/>
              </w:rPr>
              <w:t>High</w:t>
            </w:r>
          </w:p>
        </w:tc>
        <w:tc>
          <w:tcPr>
            <w:tcW w:w="863" w:type="dxa"/>
            <w:vMerge w:val="restart"/>
            <w:tcBorders>
              <w:top w:val="single" w:sz="4" w:space="0" w:color="auto"/>
            </w:tcBorders>
          </w:tcPr>
          <w:p w14:paraId="68A37C50" w14:textId="77777777" w:rsidR="007E36A6" w:rsidRPr="007E36A6" w:rsidRDefault="007E36A6" w:rsidP="00526840">
            <w:pPr>
              <w:widowControl w:val="0"/>
              <w:spacing w:line="480" w:lineRule="auto"/>
              <w:jc w:val="center"/>
              <w:rPr>
                <w:rFonts w:ascii="Arial" w:eastAsia="Arial" w:hAnsi="Arial"/>
                <w:sz w:val="20"/>
                <w:szCs w:val="20"/>
              </w:rPr>
            </w:pPr>
            <w:r w:rsidRPr="007E36A6">
              <w:rPr>
                <w:rFonts w:ascii="Arial" w:hAnsi="Arial" w:cs="Arial"/>
                <w:color w:val="000000"/>
                <w:sz w:val="20"/>
                <w:szCs w:val="20"/>
              </w:rPr>
              <w:t>0.000</w:t>
            </w:r>
          </w:p>
        </w:tc>
        <w:tc>
          <w:tcPr>
            <w:tcW w:w="1147" w:type="dxa"/>
            <w:vMerge w:val="restart"/>
            <w:tcBorders>
              <w:top w:val="single" w:sz="4" w:space="0" w:color="auto"/>
            </w:tcBorders>
          </w:tcPr>
          <w:p w14:paraId="62E50764" w14:textId="77777777" w:rsidR="007E36A6" w:rsidRPr="007E36A6" w:rsidRDefault="007E36A6" w:rsidP="00526840">
            <w:pPr>
              <w:widowControl w:val="0"/>
              <w:jc w:val="center"/>
              <w:rPr>
                <w:rFonts w:ascii="Arial" w:eastAsia="Arial" w:hAnsi="Arial"/>
                <w:sz w:val="20"/>
                <w:szCs w:val="20"/>
              </w:rPr>
            </w:pPr>
            <w:r w:rsidRPr="007E36A6">
              <w:rPr>
                <w:rFonts w:ascii="Arial" w:hAnsi="Arial" w:cs="Arial"/>
                <w:color w:val="000000"/>
                <w:sz w:val="20"/>
                <w:szCs w:val="20"/>
              </w:rPr>
              <w:t>Reject Ho1</w:t>
            </w:r>
          </w:p>
        </w:tc>
      </w:tr>
      <w:tr w:rsidR="007E36A6" w:rsidRPr="007E36A6" w14:paraId="1CBBF2A7" w14:textId="77777777" w:rsidTr="007E36A6">
        <w:trPr>
          <w:trHeight w:val="102"/>
        </w:trPr>
        <w:tc>
          <w:tcPr>
            <w:tcW w:w="1387" w:type="dxa"/>
          </w:tcPr>
          <w:p w14:paraId="0C5BB000" w14:textId="77777777" w:rsidR="007E36A6" w:rsidRPr="007E36A6" w:rsidRDefault="007E36A6" w:rsidP="00526840">
            <w:pPr>
              <w:widowControl w:val="0"/>
              <w:jc w:val="center"/>
              <w:rPr>
                <w:rFonts w:ascii="Arial" w:eastAsia="Arial" w:hAnsi="Arial"/>
                <w:sz w:val="20"/>
                <w:szCs w:val="20"/>
              </w:rPr>
            </w:pPr>
            <w:r w:rsidRPr="007E36A6">
              <w:rPr>
                <w:rFonts w:ascii="Arial" w:hAnsi="Arial" w:cs="Arial"/>
                <w:color w:val="000000"/>
                <w:sz w:val="20"/>
                <w:szCs w:val="20"/>
              </w:rPr>
              <w:t>Occupational Commitment</w:t>
            </w:r>
          </w:p>
        </w:tc>
        <w:tc>
          <w:tcPr>
            <w:tcW w:w="863" w:type="dxa"/>
          </w:tcPr>
          <w:p w14:paraId="347BB4DC" w14:textId="77777777" w:rsidR="007E36A6" w:rsidRPr="007E36A6" w:rsidRDefault="007E36A6" w:rsidP="00526840">
            <w:pPr>
              <w:widowControl w:val="0"/>
              <w:spacing w:line="480" w:lineRule="auto"/>
              <w:jc w:val="center"/>
              <w:rPr>
                <w:rFonts w:ascii="Arial" w:eastAsia="Arial" w:hAnsi="Arial"/>
                <w:sz w:val="20"/>
                <w:szCs w:val="20"/>
              </w:rPr>
            </w:pPr>
            <w:r w:rsidRPr="007E36A6">
              <w:rPr>
                <w:rFonts w:ascii="Arial" w:hAnsi="Arial" w:cs="Arial"/>
                <w:color w:val="000000"/>
                <w:sz w:val="20"/>
                <w:szCs w:val="20"/>
              </w:rPr>
              <w:t>4.75</w:t>
            </w:r>
          </w:p>
        </w:tc>
        <w:tc>
          <w:tcPr>
            <w:tcW w:w="774" w:type="dxa"/>
          </w:tcPr>
          <w:p w14:paraId="08D632FE" w14:textId="77777777" w:rsidR="007E36A6" w:rsidRPr="007E36A6" w:rsidRDefault="007E36A6" w:rsidP="00526840">
            <w:pPr>
              <w:jc w:val="center"/>
              <w:rPr>
                <w:rFonts w:ascii="Arial" w:eastAsia="Arial" w:hAnsi="Arial"/>
                <w:sz w:val="20"/>
                <w:szCs w:val="20"/>
              </w:rPr>
            </w:pPr>
            <w:r w:rsidRPr="007E36A6">
              <w:rPr>
                <w:rFonts w:ascii="Arial" w:hAnsi="Arial" w:cs="Arial"/>
                <w:color w:val="000000"/>
                <w:sz w:val="20"/>
                <w:szCs w:val="20"/>
              </w:rPr>
              <w:t>0.41</w:t>
            </w:r>
          </w:p>
        </w:tc>
        <w:tc>
          <w:tcPr>
            <w:tcW w:w="774" w:type="dxa"/>
            <w:vMerge/>
          </w:tcPr>
          <w:p w14:paraId="1C6EF04D" w14:textId="77777777" w:rsidR="007E36A6" w:rsidRPr="007E36A6" w:rsidRDefault="007E36A6" w:rsidP="00526840">
            <w:pPr>
              <w:widowControl w:val="0"/>
              <w:spacing w:line="480" w:lineRule="auto"/>
              <w:jc w:val="center"/>
              <w:rPr>
                <w:rFonts w:ascii="Arial" w:eastAsia="Arial" w:hAnsi="Arial"/>
                <w:sz w:val="20"/>
                <w:szCs w:val="20"/>
              </w:rPr>
            </w:pPr>
          </w:p>
        </w:tc>
        <w:tc>
          <w:tcPr>
            <w:tcW w:w="774" w:type="dxa"/>
            <w:vMerge/>
          </w:tcPr>
          <w:p w14:paraId="67056C06" w14:textId="77777777" w:rsidR="007E36A6" w:rsidRPr="007E36A6" w:rsidRDefault="007E36A6" w:rsidP="00526840">
            <w:pPr>
              <w:widowControl w:val="0"/>
              <w:spacing w:line="480" w:lineRule="auto"/>
              <w:jc w:val="center"/>
              <w:rPr>
                <w:rFonts w:ascii="Arial" w:eastAsia="Arial" w:hAnsi="Arial"/>
                <w:sz w:val="20"/>
                <w:szCs w:val="20"/>
              </w:rPr>
            </w:pPr>
          </w:p>
        </w:tc>
        <w:tc>
          <w:tcPr>
            <w:tcW w:w="1562" w:type="dxa"/>
            <w:vMerge/>
          </w:tcPr>
          <w:p w14:paraId="560E08E8" w14:textId="77777777" w:rsidR="007E36A6" w:rsidRPr="007E36A6" w:rsidRDefault="007E36A6" w:rsidP="00526840">
            <w:pPr>
              <w:widowControl w:val="0"/>
              <w:spacing w:line="480" w:lineRule="auto"/>
              <w:jc w:val="center"/>
              <w:rPr>
                <w:rFonts w:ascii="Arial" w:eastAsia="Arial" w:hAnsi="Arial"/>
                <w:sz w:val="20"/>
                <w:szCs w:val="20"/>
              </w:rPr>
            </w:pPr>
          </w:p>
        </w:tc>
        <w:tc>
          <w:tcPr>
            <w:tcW w:w="863" w:type="dxa"/>
            <w:vMerge/>
          </w:tcPr>
          <w:p w14:paraId="7378873E" w14:textId="77777777" w:rsidR="007E36A6" w:rsidRPr="007E36A6" w:rsidRDefault="007E36A6" w:rsidP="00526840">
            <w:pPr>
              <w:widowControl w:val="0"/>
              <w:spacing w:line="480" w:lineRule="auto"/>
              <w:jc w:val="center"/>
              <w:rPr>
                <w:rFonts w:ascii="Arial" w:eastAsia="Arial" w:hAnsi="Arial"/>
                <w:sz w:val="20"/>
                <w:szCs w:val="20"/>
              </w:rPr>
            </w:pPr>
          </w:p>
        </w:tc>
        <w:tc>
          <w:tcPr>
            <w:tcW w:w="1147" w:type="dxa"/>
            <w:vMerge/>
          </w:tcPr>
          <w:p w14:paraId="71E942FE" w14:textId="77777777" w:rsidR="007E36A6" w:rsidRPr="007E36A6" w:rsidRDefault="007E36A6" w:rsidP="00526840">
            <w:pPr>
              <w:widowControl w:val="0"/>
              <w:spacing w:line="480" w:lineRule="auto"/>
              <w:jc w:val="center"/>
              <w:rPr>
                <w:rFonts w:ascii="Arial" w:eastAsia="Arial" w:hAnsi="Arial"/>
                <w:sz w:val="20"/>
                <w:szCs w:val="20"/>
              </w:rPr>
            </w:pPr>
          </w:p>
        </w:tc>
      </w:tr>
    </w:tbl>
    <w:p w14:paraId="1BDBE2B2" w14:textId="77777777" w:rsidR="00717F2E" w:rsidRPr="007E36A6" w:rsidRDefault="00717F2E">
      <w:pPr>
        <w:jc w:val="both"/>
        <w:rPr>
          <w:rFonts w:ascii="Arial" w:hAnsi="Arial" w:cs="Arial"/>
          <w:sz w:val="20"/>
          <w:szCs w:val="20"/>
        </w:rPr>
      </w:pPr>
    </w:p>
    <w:p w14:paraId="0CF0089A" w14:textId="5A72FDC6" w:rsidR="00EE2A19" w:rsidRDefault="007E36A6" w:rsidP="00EE2A19">
      <w:pPr>
        <w:jc w:val="both"/>
        <w:rPr>
          <w:rFonts w:ascii="Arial" w:hAnsi="Arial" w:cs="Arial"/>
          <w:sz w:val="20"/>
          <w:szCs w:val="20"/>
        </w:rPr>
      </w:pPr>
      <w:r>
        <w:rPr>
          <w:rFonts w:ascii="Arial" w:hAnsi="Arial" w:cs="Arial"/>
          <w:sz w:val="20"/>
          <w:szCs w:val="20"/>
        </w:rPr>
        <w:t>Presented in Table 3</w:t>
      </w:r>
      <w:r w:rsidRPr="007E36A6">
        <w:rPr>
          <w:rFonts w:ascii="Arial" w:hAnsi="Arial" w:cs="Arial"/>
          <w:sz w:val="20"/>
          <w:szCs w:val="20"/>
        </w:rPr>
        <w:t xml:space="preserve"> is the correlation analysis between the level of bolstering durability skills and occupational commitment among public elementary school teachers.</w:t>
      </w:r>
      <w:r w:rsidR="00EE2A19">
        <w:rPr>
          <w:rFonts w:ascii="Arial" w:hAnsi="Arial" w:cs="Arial"/>
          <w:sz w:val="20"/>
          <w:szCs w:val="20"/>
        </w:rPr>
        <w:t xml:space="preserve"> </w:t>
      </w:r>
      <w:r w:rsidR="00EE2A19" w:rsidRPr="00EE2A19">
        <w:rPr>
          <w:rFonts w:ascii="Arial" w:hAnsi="Arial" w:cs="Arial"/>
          <w:sz w:val="20"/>
          <w:szCs w:val="20"/>
        </w:rPr>
        <w:t xml:space="preserve">The relationship between these two variables shows a correlation coefficient (r) of 0.882 with a p-value of 0.000, which is less than the 0.05 significance level. This indicates a high and statistically significant positive relationship between bolstering durability skills and occupational commitment. The coefficient of determination (R²) of 0.778 suggests that approximately 77.8% of the variation </w:t>
      </w:r>
      <w:r w:rsidR="00EE2A19" w:rsidRPr="00EE2A19">
        <w:rPr>
          <w:rFonts w:ascii="Arial" w:hAnsi="Arial" w:cs="Arial"/>
          <w:sz w:val="20"/>
          <w:szCs w:val="20"/>
        </w:rPr>
        <w:lastRenderedPageBreak/>
        <w:t>in Occupational Commitment can be explained by the level of Bolstering Durability Skills. Since the p-value is less than 0.05, the null hypothesis (Ho1) is rejected, confirming that there is a significant relationship between the level of bolstering durability skills and occupational commitment.</w:t>
      </w:r>
    </w:p>
    <w:p w14:paraId="087E86AD" w14:textId="77777777" w:rsidR="00EE2A19" w:rsidRPr="00EE2A19" w:rsidRDefault="00EE2A19" w:rsidP="00EE2A19">
      <w:pPr>
        <w:jc w:val="both"/>
        <w:rPr>
          <w:rFonts w:ascii="Arial" w:hAnsi="Arial" w:cs="Arial"/>
          <w:sz w:val="20"/>
          <w:szCs w:val="20"/>
        </w:rPr>
      </w:pPr>
    </w:p>
    <w:p w14:paraId="6F86C18D" w14:textId="35401D9A" w:rsidR="00EE2A19" w:rsidRDefault="00EE2A19" w:rsidP="00EE2A19">
      <w:pPr>
        <w:jc w:val="both"/>
        <w:rPr>
          <w:rFonts w:ascii="Arial" w:hAnsi="Arial" w:cs="Arial"/>
          <w:sz w:val="20"/>
          <w:szCs w:val="20"/>
        </w:rPr>
      </w:pPr>
      <w:r w:rsidRPr="00EE2A19">
        <w:rPr>
          <w:rFonts w:ascii="Arial" w:hAnsi="Arial" w:cs="Arial"/>
          <w:sz w:val="20"/>
          <w:szCs w:val="20"/>
        </w:rPr>
        <w:t>This finding suggests that teachers who demonstrate strong durability skills, such as emotional resilience, adaptability, stress management, and self-care, are more likely to be highly committed to their profession. The high positive correlation reinforces the idea that cultivating these skills is crucial not only for teacher well-being but also for fostering deeper commitment to their roles. Promoting the development of durability skills may therefore serve as an effective strategy to strengthen occupational engagement and reduce teacher turnover in public elementary schools.</w:t>
      </w:r>
    </w:p>
    <w:p w14:paraId="77BC6360" w14:textId="77777777" w:rsidR="00EE2A19" w:rsidRPr="00EE2A19" w:rsidRDefault="00EE2A19" w:rsidP="00EE2A19">
      <w:pPr>
        <w:jc w:val="both"/>
        <w:rPr>
          <w:rFonts w:ascii="Arial" w:hAnsi="Arial" w:cs="Arial"/>
          <w:sz w:val="20"/>
          <w:szCs w:val="20"/>
        </w:rPr>
      </w:pPr>
    </w:p>
    <w:p w14:paraId="6CB47AA7" w14:textId="1FBC349D" w:rsidR="00D34F2E" w:rsidRPr="007E36A6" w:rsidRDefault="00EE2A19" w:rsidP="00EE2A19">
      <w:pPr>
        <w:jc w:val="both"/>
        <w:rPr>
          <w:rFonts w:ascii="Arial" w:hAnsi="Arial" w:cs="Arial"/>
          <w:sz w:val="20"/>
          <w:szCs w:val="20"/>
        </w:rPr>
      </w:pPr>
      <w:r w:rsidRPr="00EE2A19">
        <w:rPr>
          <w:rFonts w:ascii="Arial" w:hAnsi="Arial" w:cs="Arial"/>
          <w:sz w:val="20"/>
          <w:szCs w:val="20"/>
        </w:rPr>
        <w:t xml:space="preserve">This finding aligns with the study of Ilyas et al. (2023), who emphasized that teachers with strong emotional and psychological durability exhibit higher professional commitment and reduced burnout. Similarly, </w:t>
      </w:r>
      <w:proofErr w:type="spellStart"/>
      <w:r w:rsidRPr="00EE2A19">
        <w:rPr>
          <w:rFonts w:ascii="Arial" w:hAnsi="Arial" w:cs="Arial"/>
          <w:sz w:val="20"/>
          <w:szCs w:val="20"/>
        </w:rPr>
        <w:t>Karsili</w:t>
      </w:r>
      <w:proofErr w:type="spellEnd"/>
      <w:r w:rsidRPr="00EE2A19">
        <w:rPr>
          <w:rFonts w:ascii="Arial" w:hAnsi="Arial" w:cs="Arial"/>
          <w:sz w:val="20"/>
          <w:szCs w:val="20"/>
        </w:rPr>
        <w:t xml:space="preserve"> et al. (2021) concluded that adaptability, stress management, and a supportive work environment contribute significantly to occupational longevity and job satisfaction. Moreover, Gómez-Borges et al. (2021) further supported the idea that self-care and a strong sense of motivation are key indicators of sustained occupational engagement, highlighting the importance of personal well-being in professional success.</w:t>
      </w:r>
    </w:p>
    <w:p w14:paraId="45EF25E5" w14:textId="77777777" w:rsidR="007E36A6" w:rsidRDefault="007E36A6" w:rsidP="00151F8F">
      <w:pPr>
        <w:jc w:val="both"/>
        <w:rPr>
          <w:rFonts w:ascii="Arial" w:hAnsi="Arial" w:cs="Arial"/>
          <w:b/>
          <w:bCs/>
          <w:iCs/>
          <w:sz w:val="20"/>
          <w:szCs w:val="20"/>
        </w:rPr>
      </w:pPr>
    </w:p>
    <w:p w14:paraId="0D8ABDEF" w14:textId="0BBB82E9" w:rsidR="00914755" w:rsidRPr="007E5C64" w:rsidRDefault="00665D1C" w:rsidP="00151F8F">
      <w:pPr>
        <w:jc w:val="both"/>
        <w:rPr>
          <w:rFonts w:ascii="Arial" w:hAnsi="Arial" w:cs="Arial"/>
          <w:b/>
          <w:bCs/>
          <w:iCs/>
          <w:sz w:val="20"/>
          <w:szCs w:val="20"/>
        </w:rPr>
      </w:pPr>
      <w:r w:rsidRPr="007E5C64">
        <w:rPr>
          <w:rFonts w:ascii="Arial" w:hAnsi="Arial" w:cs="Arial"/>
          <w:b/>
          <w:bCs/>
          <w:iCs/>
          <w:sz w:val="20"/>
          <w:szCs w:val="20"/>
        </w:rPr>
        <w:t>3.4</w:t>
      </w:r>
      <w:r w:rsidR="00271F07" w:rsidRPr="007E5C64">
        <w:rPr>
          <w:rFonts w:ascii="Arial" w:hAnsi="Arial" w:cs="Arial"/>
          <w:b/>
          <w:bCs/>
          <w:iCs/>
          <w:sz w:val="20"/>
          <w:szCs w:val="20"/>
        </w:rPr>
        <w:t>.</w:t>
      </w:r>
      <w:r w:rsidRPr="007E5C64">
        <w:rPr>
          <w:rFonts w:ascii="Arial" w:hAnsi="Arial" w:cs="Arial"/>
          <w:b/>
          <w:bCs/>
          <w:iCs/>
          <w:sz w:val="20"/>
          <w:szCs w:val="20"/>
        </w:rPr>
        <w:t xml:space="preserve"> </w:t>
      </w:r>
      <w:r w:rsidR="00221348" w:rsidRPr="00221348">
        <w:rPr>
          <w:rFonts w:ascii="Arial" w:hAnsi="Arial" w:cs="Arial"/>
          <w:b/>
          <w:bCs/>
          <w:iCs/>
          <w:sz w:val="20"/>
          <w:szCs w:val="20"/>
        </w:rPr>
        <w:t>Significant Influence of the Domains in the Level of Bolstering Durability Skills on Occupational Commitment of Public Elementary School Teachers</w:t>
      </w:r>
    </w:p>
    <w:p w14:paraId="7568132A" w14:textId="77777777" w:rsidR="00914755" w:rsidRPr="007E5C64" w:rsidRDefault="00914755" w:rsidP="00665D1C">
      <w:pPr>
        <w:rPr>
          <w:rFonts w:ascii="Arial" w:hAnsi="Arial" w:cs="Arial"/>
          <w:b/>
          <w:bCs/>
          <w:iCs/>
          <w:sz w:val="20"/>
          <w:szCs w:val="20"/>
        </w:rPr>
      </w:pPr>
    </w:p>
    <w:p w14:paraId="23A03924" w14:textId="0273A155" w:rsidR="00211C41" w:rsidRPr="00211C41" w:rsidRDefault="00B364F1" w:rsidP="00211C41">
      <w:pPr>
        <w:jc w:val="both"/>
        <w:rPr>
          <w:rFonts w:ascii="Arial" w:eastAsia="Arial" w:hAnsi="Arial"/>
          <w:i/>
          <w:sz w:val="20"/>
          <w:szCs w:val="20"/>
        </w:rPr>
      </w:pPr>
      <w:r w:rsidRPr="007E5C64">
        <w:rPr>
          <w:rFonts w:ascii="Arial" w:eastAsia="Arial" w:hAnsi="Arial"/>
          <w:b/>
          <w:sz w:val="20"/>
          <w:szCs w:val="20"/>
        </w:rPr>
        <w:t xml:space="preserve">Table 4. </w:t>
      </w:r>
      <w:r w:rsidR="00221348" w:rsidRPr="00221348">
        <w:rPr>
          <w:rFonts w:ascii="Arial" w:eastAsia="Arial" w:hAnsi="Arial"/>
          <w:i/>
          <w:sz w:val="20"/>
          <w:szCs w:val="20"/>
        </w:rPr>
        <w:t>Significant Influence of the Domains in the Level of Bolstering Durability Skills on Occupational Commitment of Public Elementary School Teachers</w:t>
      </w:r>
    </w:p>
    <w:p w14:paraId="42F31227" w14:textId="41639036" w:rsidR="00187916" w:rsidRPr="007E5C64" w:rsidRDefault="00187916" w:rsidP="00B364F1">
      <w:pPr>
        <w:jc w:val="both"/>
        <w:rPr>
          <w:rFonts w:ascii="Arial" w:eastAsia="Arial" w:hAnsi="Arial"/>
          <w:i/>
          <w:sz w:val="20"/>
          <w:szCs w:val="20"/>
        </w:rPr>
      </w:pPr>
    </w:p>
    <w:tbl>
      <w:tblPr>
        <w:tblW w:w="8160" w:type="dxa"/>
        <w:tblInd w:w="108" w:type="dxa"/>
        <w:tblBorders>
          <w:top w:val="single" w:sz="4" w:space="0" w:color="000000"/>
          <w:bottom w:val="single" w:sz="4" w:space="0" w:color="000000"/>
        </w:tblBorders>
        <w:tblLayout w:type="fixed"/>
        <w:tblLook w:val="04A0" w:firstRow="1" w:lastRow="0" w:firstColumn="1" w:lastColumn="0" w:noHBand="0" w:noVBand="1"/>
      </w:tblPr>
      <w:tblGrid>
        <w:gridCol w:w="1755"/>
        <w:gridCol w:w="929"/>
        <w:gridCol w:w="978"/>
        <w:gridCol w:w="1029"/>
        <w:gridCol w:w="998"/>
        <w:gridCol w:w="1052"/>
        <w:gridCol w:w="1419"/>
      </w:tblGrid>
      <w:tr w:rsidR="00221348" w14:paraId="16B25DA8" w14:textId="77777777" w:rsidTr="00221348">
        <w:trPr>
          <w:trHeight w:val="317"/>
        </w:trPr>
        <w:tc>
          <w:tcPr>
            <w:tcW w:w="1755" w:type="dxa"/>
            <w:tcBorders>
              <w:top w:val="single" w:sz="4" w:space="0" w:color="000000"/>
              <w:bottom w:val="single" w:sz="4" w:space="0" w:color="000000"/>
            </w:tcBorders>
          </w:tcPr>
          <w:p w14:paraId="52BA92B6" w14:textId="77777777" w:rsidR="00221348" w:rsidRDefault="00221348" w:rsidP="00526840">
            <w:pPr>
              <w:widowControl w:val="0"/>
              <w:jc w:val="center"/>
              <w:rPr>
                <w:rFonts w:ascii="Arial" w:eastAsia="Arial" w:hAnsi="Arial"/>
                <w:b/>
                <w:sz w:val="22"/>
                <w:szCs w:val="22"/>
              </w:rPr>
            </w:pPr>
            <w:r>
              <w:rPr>
                <w:rFonts w:ascii="Arial" w:eastAsia="Arial" w:hAnsi="Arial"/>
                <w:b/>
                <w:sz w:val="22"/>
                <w:szCs w:val="22"/>
              </w:rPr>
              <w:t>Domains</w:t>
            </w:r>
          </w:p>
        </w:tc>
        <w:tc>
          <w:tcPr>
            <w:tcW w:w="929" w:type="dxa"/>
            <w:tcBorders>
              <w:top w:val="single" w:sz="4" w:space="0" w:color="000000"/>
              <w:bottom w:val="single" w:sz="4" w:space="0" w:color="000000"/>
            </w:tcBorders>
          </w:tcPr>
          <w:p w14:paraId="5A9B3F89" w14:textId="77777777" w:rsidR="00221348" w:rsidRDefault="00221348" w:rsidP="00526840">
            <w:pPr>
              <w:widowControl w:val="0"/>
              <w:jc w:val="center"/>
              <w:rPr>
                <w:rFonts w:ascii="Arial" w:eastAsia="Arial" w:hAnsi="Arial"/>
                <w:b/>
                <w:sz w:val="22"/>
                <w:szCs w:val="22"/>
              </w:rPr>
            </w:pPr>
            <w:r>
              <w:rPr>
                <w:rFonts w:ascii="Arial" w:eastAsia="Arial" w:hAnsi="Arial"/>
                <w:b/>
                <w:sz w:val="22"/>
                <w:szCs w:val="22"/>
              </w:rPr>
              <w:t>B</w:t>
            </w:r>
          </w:p>
        </w:tc>
        <w:tc>
          <w:tcPr>
            <w:tcW w:w="978" w:type="dxa"/>
            <w:tcBorders>
              <w:top w:val="single" w:sz="4" w:space="0" w:color="000000"/>
              <w:bottom w:val="single" w:sz="4" w:space="0" w:color="000000"/>
            </w:tcBorders>
          </w:tcPr>
          <w:p w14:paraId="10E1486F" w14:textId="77777777" w:rsidR="00221348" w:rsidRDefault="00221348" w:rsidP="00526840">
            <w:pPr>
              <w:widowControl w:val="0"/>
              <w:jc w:val="center"/>
              <w:rPr>
                <w:rFonts w:ascii="Arial" w:eastAsia="Arial" w:hAnsi="Arial"/>
                <w:b/>
                <w:sz w:val="22"/>
                <w:szCs w:val="22"/>
              </w:rPr>
            </w:pPr>
            <w:r>
              <w:rPr>
                <w:rFonts w:ascii="Arial" w:eastAsia="Arial" w:hAnsi="Arial"/>
                <w:b/>
                <w:sz w:val="22"/>
                <w:szCs w:val="22"/>
              </w:rPr>
              <w:t>BE</w:t>
            </w:r>
          </w:p>
        </w:tc>
        <w:tc>
          <w:tcPr>
            <w:tcW w:w="1029" w:type="dxa"/>
            <w:tcBorders>
              <w:top w:val="single" w:sz="4" w:space="0" w:color="000000"/>
              <w:bottom w:val="single" w:sz="4" w:space="0" w:color="000000"/>
            </w:tcBorders>
          </w:tcPr>
          <w:p w14:paraId="2DA47FC0" w14:textId="77777777" w:rsidR="00221348" w:rsidRDefault="00221348" w:rsidP="00526840">
            <w:pPr>
              <w:widowControl w:val="0"/>
              <w:jc w:val="center"/>
              <w:rPr>
                <w:rFonts w:ascii="Arial" w:eastAsia="Arial" w:hAnsi="Arial"/>
                <w:b/>
                <w:sz w:val="22"/>
                <w:szCs w:val="22"/>
              </w:rPr>
            </w:pPr>
            <w:r>
              <w:rPr>
                <w:rFonts w:ascii="Arial" w:eastAsia="Arial" w:hAnsi="Arial"/>
                <w:b/>
                <w:sz w:val="22"/>
                <w:szCs w:val="22"/>
              </w:rPr>
              <w:t>Beta</w:t>
            </w:r>
          </w:p>
        </w:tc>
        <w:tc>
          <w:tcPr>
            <w:tcW w:w="998" w:type="dxa"/>
            <w:tcBorders>
              <w:top w:val="single" w:sz="4" w:space="0" w:color="000000"/>
              <w:bottom w:val="single" w:sz="4" w:space="0" w:color="000000"/>
            </w:tcBorders>
          </w:tcPr>
          <w:p w14:paraId="1AC5AFC9" w14:textId="77777777" w:rsidR="00221348" w:rsidRDefault="00221348" w:rsidP="00526840">
            <w:pPr>
              <w:widowControl w:val="0"/>
              <w:jc w:val="center"/>
              <w:rPr>
                <w:rFonts w:ascii="Arial" w:eastAsia="Arial" w:hAnsi="Arial"/>
                <w:b/>
                <w:sz w:val="22"/>
                <w:szCs w:val="22"/>
              </w:rPr>
            </w:pPr>
            <w:r>
              <w:rPr>
                <w:rFonts w:ascii="Arial" w:eastAsia="Arial" w:hAnsi="Arial"/>
                <w:b/>
                <w:sz w:val="22"/>
                <w:szCs w:val="22"/>
              </w:rPr>
              <w:t>t-stat</w:t>
            </w:r>
          </w:p>
        </w:tc>
        <w:tc>
          <w:tcPr>
            <w:tcW w:w="1052" w:type="dxa"/>
            <w:tcBorders>
              <w:top w:val="single" w:sz="4" w:space="0" w:color="000000"/>
              <w:bottom w:val="single" w:sz="4" w:space="0" w:color="000000"/>
            </w:tcBorders>
          </w:tcPr>
          <w:p w14:paraId="2CF56CFD" w14:textId="77777777" w:rsidR="00221348" w:rsidRDefault="00221348" w:rsidP="00526840">
            <w:pPr>
              <w:widowControl w:val="0"/>
              <w:jc w:val="center"/>
              <w:rPr>
                <w:rFonts w:ascii="Arial" w:eastAsia="Arial" w:hAnsi="Arial"/>
                <w:b/>
                <w:sz w:val="22"/>
                <w:szCs w:val="22"/>
              </w:rPr>
            </w:pPr>
            <w:r>
              <w:rPr>
                <w:rFonts w:ascii="Arial" w:eastAsia="Arial" w:hAnsi="Arial"/>
                <w:b/>
                <w:sz w:val="22"/>
                <w:szCs w:val="22"/>
              </w:rPr>
              <w:t>p-value</w:t>
            </w:r>
          </w:p>
        </w:tc>
        <w:tc>
          <w:tcPr>
            <w:tcW w:w="1414" w:type="dxa"/>
            <w:tcBorders>
              <w:top w:val="single" w:sz="4" w:space="0" w:color="000000"/>
              <w:bottom w:val="single" w:sz="4" w:space="0" w:color="000000"/>
            </w:tcBorders>
          </w:tcPr>
          <w:p w14:paraId="5E62FDE0" w14:textId="77777777" w:rsidR="00221348" w:rsidRDefault="00221348" w:rsidP="00526840">
            <w:pPr>
              <w:widowControl w:val="0"/>
              <w:jc w:val="center"/>
              <w:rPr>
                <w:rFonts w:ascii="Arial" w:eastAsia="Arial" w:hAnsi="Arial"/>
                <w:b/>
                <w:sz w:val="22"/>
                <w:szCs w:val="22"/>
              </w:rPr>
            </w:pPr>
            <w:r>
              <w:rPr>
                <w:rFonts w:ascii="Arial" w:eastAsia="Arial" w:hAnsi="Arial"/>
                <w:b/>
                <w:sz w:val="22"/>
                <w:szCs w:val="22"/>
              </w:rPr>
              <w:t>Decision</w:t>
            </w:r>
          </w:p>
        </w:tc>
      </w:tr>
      <w:tr w:rsidR="00221348" w14:paraId="02E6C010" w14:textId="77777777" w:rsidTr="00221348">
        <w:trPr>
          <w:trHeight w:val="88"/>
        </w:trPr>
        <w:tc>
          <w:tcPr>
            <w:tcW w:w="1755" w:type="dxa"/>
            <w:tcBorders>
              <w:top w:val="single" w:sz="4" w:space="0" w:color="000000"/>
            </w:tcBorders>
          </w:tcPr>
          <w:p w14:paraId="53BFC35B" w14:textId="77777777" w:rsidR="00221348" w:rsidRDefault="00221348" w:rsidP="00526840">
            <w:pPr>
              <w:widowControl w:val="0"/>
              <w:jc w:val="center"/>
              <w:rPr>
                <w:rFonts w:ascii="Arial" w:eastAsia="Arial" w:hAnsi="Arial"/>
                <w:sz w:val="22"/>
                <w:szCs w:val="22"/>
              </w:rPr>
            </w:pPr>
            <w:r>
              <w:rPr>
                <w:rFonts w:ascii="Arial" w:hAnsi="Arial" w:cs="Arial"/>
                <w:color w:val="000000"/>
                <w:sz w:val="22"/>
                <w:szCs w:val="22"/>
              </w:rPr>
              <w:t>Constant</w:t>
            </w:r>
          </w:p>
        </w:tc>
        <w:tc>
          <w:tcPr>
            <w:tcW w:w="929" w:type="dxa"/>
            <w:tcBorders>
              <w:top w:val="single" w:sz="4" w:space="0" w:color="000000"/>
            </w:tcBorders>
          </w:tcPr>
          <w:p w14:paraId="7EB66547"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0.598</w:t>
            </w:r>
          </w:p>
        </w:tc>
        <w:tc>
          <w:tcPr>
            <w:tcW w:w="978" w:type="dxa"/>
            <w:tcBorders>
              <w:top w:val="single" w:sz="4" w:space="0" w:color="000000"/>
            </w:tcBorders>
          </w:tcPr>
          <w:p w14:paraId="36585239"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0.127</w:t>
            </w:r>
          </w:p>
        </w:tc>
        <w:tc>
          <w:tcPr>
            <w:tcW w:w="1029" w:type="dxa"/>
            <w:tcBorders>
              <w:top w:val="single" w:sz="4" w:space="0" w:color="000000"/>
            </w:tcBorders>
          </w:tcPr>
          <w:p w14:paraId="7557313E" w14:textId="77777777" w:rsidR="00221348" w:rsidRDefault="00221348" w:rsidP="00526840">
            <w:pPr>
              <w:autoSpaceDE w:val="0"/>
              <w:autoSpaceDN w:val="0"/>
              <w:adjustRightInd w:val="0"/>
              <w:jc w:val="center"/>
              <w:rPr>
                <w:sz w:val="22"/>
                <w:szCs w:val="22"/>
              </w:rPr>
            </w:pPr>
          </w:p>
        </w:tc>
        <w:tc>
          <w:tcPr>
            <w:tcW w:w="998" w:type="dxa"/>
            <w:tcBorders>
              <w:top w:val="single" w:sz="4" w:space="0" w:color="000000"/>
            </w:tcBorders>
          </w:tcPr>
          <w:p w14:paraId="2D08FDE1"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4.709</w:t>
            </w:r>
          </w:p>
        </w:tc>
        <w:tc>
          <w:tcPr>
            <w:tcW w:w="1052" w:type="dxa"/>
            <w:tcBorders>
              <w:top w:val="single" w:sz="4" w:space="0" w:color="000000"/>
            </w:tcBorders>
          </w:tcPr>
          <w:p w14:paraId="4D005902"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0.000</w:t>
            </w:r>
          </w:p>
        </w:tc>
        <w:tc>
          <w:tcPr>
            <w:tcW w:w="1414" w:type="dxa"/>
            <w:tcBorders>
              <w:top w:val="single" w:sz="4" w:space="0" w:color="000000"/>
            </w:tcBorders>
          </w:tcPr>
          <w:p w14:paraId="21638B61" w14:textId="77777777" w:rsidR="00221348" w:rsidRDefault="00221348" w:rsidP="00526840">
            <w:pPr>
              <w:widowControl w:val="0"/>
              <w:jc w:val="center"/>
              <w:rPr>
                <w:rFonts w:ascii="Arial" w:eastAsia="Arial" w:hAnsi="Arial"/>
                <w:sz w:val="22"/>
                <w:szCs w:val="22"/>
              </w:rPr>
            </w:pPr>
            <w:r>
              <w:rPr>
                <w:rFonts w:ascii="Arial" w:hAnsi="Arial" w:cs="Arial"/>
                <w:color w:val="000000"/>
                <w:sz w:val="22"/>
                <w:szCs w:val="22"/>
              </w:rPr>
              <w:t>Significant</w:t>
            </w:r>
          </w:p>
        </w:tc>
      </w:tr>
      <w:tr w:rsidR="00221348" w14:paraId="32D68711" w14:textId="77777777" w:rsidTr="00221348">
        <w:trPr>
          <w:trHeight w:val="512"/>
        </w:trPr>
        <w:tc>
          <w:tcPr>
            <w:tcW w:w="1755" w:type="dxa"/>
          </w:tcPr>
          <w:p w14:paraId="6962E5A6" w14:textId="77777777" w:rsidR="00221348" w:rsidRDefault="00221348" w:rsidP="00526840">
            <w:pPr>
              <w:jc w:val="center"/>
              <w:rPr>
                <w:rFonts w:ascii="Arial" w:eastAsia="Arial" w:hAnsi="Arial"/>
                <w:sz w:val="22"/>
                <w:szCs w:val="22"/>
              </w:rPr>
            </w:pPr>
            <w:r>
              <w:rPr>
                <w:rFonts w:ascii="Arial" w:hAnsi="Arial" w:cs="Arial"/>
                <w:color w:val="000000"/>
                <w:sz w:val="22"/>
                <w:szCs w:val="22"/>
              </w:rPr>
              <w:t>Emotional Resilience</w:t>
            </w:r>
          </w:p>
        </w:tc>
        <w:tc>
          <w:tcPr>
            <w:tcW w:w="929" w:type="dxa"/>
          </w:tcPr>
          <w:p w14:paraId="12110839"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0.058</w:t>
            </w:r>
          </w:p>
        </w:tc>
        <w:tc>
          <w:tcPr>
            <w:tcW w:w="978" w:type="dxa"/>
          </w:tcPr>
          <w:p w14:paraId="327520F0"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0.052</w:t>
            </w:r>
          </w:p>
        </w:tc>
        <w:tc>
          <w:tcPr>
            <w:tcW w:w="1029" w:type="dxa"/>
          </w:tcPr>
          <w:p w14:paraId="527D73CC"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0.069</w:t>
            </w:r>
          </w:p>
        </w:tc>
        <w:tc>
          <w:tcPr>
            <w:tcW w:w="998" w:type="dxa"/>
          </w:tcPr>
          <w:p w14:paraId="31D0466E"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1.106</w:t>
            </w:r>
          </w:p>
        </w:tc>
        <w:tc>
          <w:tcPr>
            <w:tcW w:w="1052" w:type="dxa"/>
          </w:tcPr>
          <w:p w14:paraId="1E2AC454"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0.270</w:t>
            </w:r>
          </w:p>
        </w:tc>
        <w:tc>
          <w:tcPr>
            <w:tcW w:w="1414" w:type="dxa"/>
          </w:tcPr>
          <w:p w14:paraId="69BA803D" w14:textId="77777777" w:rsidR="00221348" w:rsidRDefault="00221348" w:rsidP="00526840">
            <w:pPr>
              <w:widowControl w:val="0"/>
              <w:jc w:val="center"/>
              <w:rPr>
                <w:rFonts w:ascii="Arial" w:hAnsi="Arial"/>
                <w:sz w:val="22"/>
                <w:szCs w:val="22"/>
              </w:rPr>
            </w:pPr>
            <w:r>
              <w:rPr>
                <w:rFonts w:ascii="Arial" w:hAnsi="Arial" w:cs="Arial"/>
                <w:color w:val="000000"/>
                <w:sz w:val="22"/>
                <w:szCs w:val="22"/>
              </w:rPr>
              <w:t>Not Significant</w:t>
            </w:r>
          </w:p>
        </w:tc>
      </w:tr>
      <w:tr w:rsidR="00221348" w14:paraId="43F525C6" w14:textId="77777777" w:rsidTr="00221348">
        <w:trPr>
          <w:trHeight w:val="512"/>
        </w:trPr>
        <w:tc>
          <w:tcPr>
            <w:tcW w:w="1755" w:type="dxa"/>
          </w:tcPr>
          <w:p w14:paraId="6B086805" w14:textId="77777777" w:rsidR="00221348" w:rsidRDefault="00221348" w:rsidP="00526840">
            <w:pPr>
              <w:jc w:val="center"/>
              <w:rPr>
                <w:rFonts w:ascii="Arial" w:eastAsia="Arial" w:hAnsi="Arial"/>
                <w:sz w:val="22"/>
                <w:szCs w:val="22"/>
              </w:rPr>
            </w:pPr>
            <w:r>
              <w:rPr>
                <w:rFonts w:ascii="Arial" w:hAnsi="Arial" w:cs="Arial"/>
                <w:color w:val="000000"/>
                <w:sz w:val="22"/>
                <w:szCs w:val="22"/>
              </w:rPr>
              <w:t>Stress Management</w:t>
            </w:r>
          </w:p>
        </w:tc>
        <w:tc>
          <w:tcPr>
            <w:tcW w:w="929" w:type="dxa"/>
          </w:tcPr>
          <w:p w14:paraId="3C8B87A5"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0.264</w:t>
            </w:r>
          </w:p>
        </w:tc>
        <w:tc>
          <w:tcPr>
            <w:tcW w:w="978" w:type="dxa"/>
          </w:tcPr>
          <w:p w14:paraId="4FDF9A49"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0.054</w:t>
            </w:r>
          </w:p>
        </w:tc>
        <w:tc>
          <w:tcPr>
            <w:tcW w:w="1029" w:type="dxa"/>
          </w:tcPr>
          <w:p w14:paraId="502EB816"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0.289</w:t>
            </w:r>
          </w:p>
        </w:tc>
        <w:tc>
          <w:tcPr>
            <w:tcW w:w="998" w:type="dxa"/>
          </w:tcPr>
          <w:p w14:paraId="2B590E78"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4.872</w:t>
            </w:r>
          </w:p>
        </w:tc>
        <w:tc>
          <w:tcPr>
            <w:tcW w:w="1052" w:type="dxa"/>
          </w:tcPr>
          <w:p w14:paraId="128CC958"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0.000</w:t>
            </w:r>
          </w:p>
        </w:tc>
        <w:tc>
          <w:tcPr>
            <w:tcW w:w="1414" w:type="dxa"/>
          </w:tcPr>
          <w:p w14:paraId="3E14EDD7" w14:textId="77777777" w:rsidR="00221348" w:rsidRDefault="00221348" w:rsidP="00526840">
            <w:pPr>
              <w:widowControl w:val="0"/>
              <w:jc w:val="center"/>
              <w:rPr>
                <w:rFonts w:ascii="Arial" w:hAnsi="Arial"/>
                <w:sz w:val="22"/>
                <w:szCs w:val="22"/>
              </w:rPr>
            </w:pPr>
            <w:r>
              <w:rPr>
                <w:rFonts w:ascii="Arial" w:hAnsi="Arial" w:cs="Arial"/>
                <w:color w:val="000000"/>
                <w:sz w:val="22"/>
                <w:szCs w:val="22"/>
              </w:rPr>
              <w:t>Significant</w:t>
            </w:r>
          </w:p>
        </w:tc>
      </w:tr>
      <w:tr w:rsidR="00221348" w14:paraId="20D85068" w14:textId="77777777" w:rsidTr="00221348">
        <w:trPr>
          <w:trHeight w:val="512"/>
        </w:trPr>
        <w:tc>
          <w:tcPr>
            <w:tcW w:w="1755" w:type="dxa"/>
          </w:tcPr>
          <w:p w14:paraId="2EB70083" w14:textId="77777777" w:rsidR="00221348" w:rsidRDefault="00221348" w:rsidP="00526840">
            <w:pPr>
              <w:jc w:val="center"/>
              <w:rPr>
                <w:rFonts w:ascii="Arial" w:eastAsia="Arial" w:hAnsi="Arial"/>
                <w:sz w:val="22"/>
                <w:szCs w:val="22"/>
              </w:rPr>
            </w:pPr>
            <w:r>
              <w:rPr>
                <w:rFonts w:ascii="Arial" w:hAnsi="Arial" w:cs="Arial"/>
                <w:color w:val="000000"/>
                <w:sz w:val="22"/>
                <w:szCs w:val="22"/>
              </w:rPr>
              <w:t>Adaptability and Flexibility</w:t>
            </w:r>
          </w:p>
        </w:tc>
        <w:tc>
          <w:tcPr>
            <w:tcW w:w="929" w:type="dxa"/>
          </w:tcPr>
          <w:p w14:paraId="3D9B646D"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0.043</w:t>
            </w:r>
          </w:p>
        </w:tc>
        <w:tc>
          <w:tcPr>
            <w:tcW w:w="978" w:type="dxa"/>
          </w:tcPr>
          <w:p w14:paraId="0D688457"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0.050</w:t>
            </w:r>
          </w:p>
        </w:tc>
        <w:tc>
          <w:tcPr>
            <w:tcW w:w="1029" w:type="dxa"/>
          </w:tcPr>
          <w:p w14:paraId="7DA9AFCE"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0.054</w:t>
            </w:r>
          </w:p>
        </w:tc>
        <w:tc>
          <w:tcPr>
            <w:tcW w:w="998" w:type="dxa"/>
          </w:tcPr>
          <w:p w14:paraId="71CA667F"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0.865</w:t>
            </w:r>
          </w:p>
        </w:tc>
        <w:tc>
          <w:tcPr>
            <w:tcW w:w="1052" w:type="dxa"/>
          </w:tcPr>
          <w:p w14:paraId="7CCB0F4B"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0.388</w:t>
            </w:r>
          </w:p>
        </w:tc>
        <w:tc>
          <w:tcPr>
            <w:tcW w:w="1414" w:type="dxa"/>
          </w:tcPr>
          <w:p w14:paraId="1516A583" w14:textId="77777777" w:rsidR="00221348" w:rsidRDefault="00221348" w:rsidP="00526840">
            <w:pPr>
              <w:widowControl w:val="0"/>
              <w:jc w:val="center"/>
              <w:rPr>
                <w:rFonts w:ascii="Arial" w:hAnsi="Arial"/>
                <w:sz w:val="22"/>
                <w:szCs w:val="22"/>
              </w:rPr>
            </w:pPr>
            <w:r>
              <w:rPr>
                <w:rFonts w:ascii="Arial" w:hAnsi="Arial" w:cs="Arial"/>
                <w:color w:val="000000"/>
                <w:sz w:val="22"/>
                <w:szCs w:val="22"/>
              </w:rPr>
              <w:t>Not Significant</w:t>
            </w:r>
          </w:p>
        </w:tc>
      </w:tr>
      <w:tr w:rsidR="00221348" w14:paraId="1E2A0D38" w14:textId="77777777" w:rsidTr="00221348">
        <w:trPr>
          <w:trHeight w:val="512"/>
        </w:trPr>
        <w:tc>
          <w:tcPr>
            <w:tcW w:w="1755" w:type="dxa"/>
          </w:tcPr>
          <w:p w14:paraId="25917A01" w14:textId="77777777" w:rsidR="00221348" w:rsidRDefault="00221348" w:rsidP="00526840">
            <w:pPr>
              <w:jc w:val="center"/>
              <w:rPr>
                <w:rFonts w:ascii="Arial" w:eastAsia="Arial" w:hAnsi="Arial"/>
                <w:sz w:val="22"/>
                <w:szCs w:val="22"/>
              </w:rPr>
            </w:pPr>
            <w:r>
              <w:rPr>
                <w:rFonts w:ascii="Arial" w:hAnsi="Arial" w:cs="Arial"/>
                <w:color w:val="000000"/>
                <w:sz w:val="22"/>
                <w:szCs w:val="22"/>
              </w:rPr>
              <w:t>Supportive Work Environment</w:t>
            </w:r>
          </w:p>
        </w:tc>
        <w:tc>
          <w:tcPr>
            <w:tcW w:w="929" w:type="dxa"/>
          </w:tcPr>
          <w:p w14:paraId="59023222"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0.313</w:t>
            </w:r>
          </w:p>
        </w:tc>
        <w:tc>
          <w:tcPr>
            <w:tcW w:w="978" w:type="dxa"/>
          </w:tcPr>
          <w:p w14:paraId="444A1DEA"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0.052</w:t>
            </w:r>
          </w:p>
        </w:tc>
        <w:tc>
          <w:tcPr>
            <w:tcW w:w="1029" w:type="dxa"/>
          </w:tcPr>
          <w:p w14:paraId="6A6A727F"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0.342</w:t>
            </w:r>
          </w:p>
        </w:tc>
        <w:tc>
          <w:tcPr>
            <w:tcW w:w="998" w:type="dxa"/>
          </w:tcPr>
          <w:p w14:paraId="10B75FD6"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6.042</w:t>
            </w:r>
          </w:p>
        </w:tc>
        <w:tc>
          <w:tcPr>
            <w:tcW w:w="1052" w:type="dxa"/>
          </w:tcPr>
          <w:p w14:paraId="65E44538"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0.000</w:t>
            </w:r>
          </w:p>
        </w:tc>
        <w:tc>
          <w:tcPr>
            <w:tcW w:w="1414" w:type="dxa"/>
          </w:tcPr>
          <w:p w14:paraId="01406331" w14:textId="77777777" w:rsidR="00221348" w:rsidRDefault="00221348" w:rsidP="00526840">
            <w:pPr>
              <w:widowControl w:val="0"/>
              <w:jc w:val="center"/>
              <w:rPr>
                <w:rFonts w:ascii="Arial" w:eastAsia="Arial" w:hAnsi="Arial"/>
                <w:sz w:val="22"/>
                <w:szCs w:val="22"/>
              </w:rPr>
            </w:pPr>
            <w:r>
              <w:rPr>
                <w:rFonts w:ascii="Arial" w:hAnsi="Arial" w:cs="Arial"/>
                <w:color w:val="000000"/>
                <w:sz w:val="22"/>
                <w:szCs w:val="22"/>
              </w:rPr>
              <w:t>Significant</w:t>
            </w:r>
          </w:p>
        </w:tc>
      </w:tr>
      <w:tr w:rsidR="00221348" w14:paraId="06BA70CB" w14:textId="77777777" w:rsidTr="00221348">
        <w:trPr>
          <w:trHeight w:val="88"/>
        </w:trPr>
        <w:tc>
          <w:tcPr>
            <w:tcW w:w="1755" w:type="dxa"/>
          </w:tcPr>
          <w:p w14:paraId="4E49DC95" w14:textId="77777777" w:rsidR="00221348" w:rsidRDefault="00221348" w:rsidP="00526840">
            <w:pPr>
              <w:widowControl w:val="0"/>
              <w:jc w:val="center"/>
              <w:rPr>
                <w:rFonts w:ascii="Arial" w:eastAsia="Arial" w:hAnsi="Arial"/>
                <w:sz w:val="22"/>
                <w:szCs w:val="22"/>
              </w:rPr>
            </w:pPr>
            <w:r>
              <w:rPr>
                <w:rFonts w:ascii="Arial" w:hAnsi="Arial" w:cs="Arial"/>
                <w:color w:val="000000"/>
                <w:sz w:val="22"/>
                <w:szCs w:val="22"/>
              </w:rPr>
              <w:t>Self-care and Work-life Balance</w:t>
            </w:r>
          </w:p>
        </w:tc>
        <w:tc>
          <w:tcPr>
            <w:tcW w:w="929" w:type="dxa"/>
          </w:tcPr>
          <w:p w14:paraId="02A0312A"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0.025</w:t>
            </w:r>
          </w:p>
        </w:tc>
        <w:tc>
          <w:tcPr>
            <w:tcW w:w="978" w:type="dxa"/>
          </w:tcPr>
          <w:p w14:paraId="568AB8C7"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0.051</w:t>
            </w:r>
          </w:p>
        </w:tc>
        <w:tc>
          <w:tcPr>
            <w:tcW w:w="1029" w:type="dxa"/>
          </w:tcPr>
          <w:p w14:paraId="22DF7DB1"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0.030</w:t>
            </w:r>
          </w:p>
        </w:tc>
        <w:tc>
          <w:tcPr>
            <w:tcW w:w="998" w:type="dxa"/>
          </w:tcPr>
          <w:p w14:paraId="72E5C025"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0.492</w:t>
            </w:r>
          </w:p>
        </w:tc>
        <w:tc>
          <w:tcPr>
            <w:tcW w:w="1052" w:type="dxa"/>
          </w:tcPr>
          <w:p w14:paraId="73094B44"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0.623</w:t>
            </w:r>
          </w:p>
        </w:tc>
        <w:tc>
          <w:tcPr>
            <w:tcW w:w="1414" w:type="dxa"/>
          </w:tcPr>
          <w:p w14:paraId="46996B69" w14:textId="77777777" w:rsidR="00221348" w:rsidRDefault="00221348" w:rsidP="00526840">
            <w:pPr>
              <w:widowControl w:val="0"/>
              <w:jc w:val="center"/>
              <w:rPr>
                <w:rFonts w:ascii="Arial" w:eastAsia="Arial" w:hAnsi="Arial"/>
                <w:sz w:val="22"/>
                <w:szCs w:val="22"/>
              </w:rPr>
            </w:pPr>
            <w:r>
              <w:rPr>
                <w:rFonts w:ascii="Arial" w:hAnsi="Arial" w:cs="Arial"/>
                <w:color w:val="000000"/>
                <w:sz w:val="22"/>
                <w:szCs w:val="22"/>
              </w:rPr>
              <w:t>Not Significant</w:t>
            </w:r>
          </w:p>
        </w:tc>
      </w:tr>
      <w:tr w:rsidR="00221348" w14:paraId="33D9862A" w14:textId="77777777" w:rsidTr="00221348">
        <w:trPr>
          <w:trHeight w:val="512"/>
        </w:trPr>
        <w:tc>
          <w:tcPr>
            <w:tcW w:w="1755" w:type="dxa"/>
          </w:tcPr>
          <w:p w14:paraId="3985C076" w14:textId="77777777" w:rsidR="00221348" w:rsidRDefault="00221348" w:rsidP="00526840">
            <w:pPr>
              <w:widowControl w:val="0"/>
              <w:jc w:val="center"/>
              <w:rPr>
                <w:rFonts w:ascii="Arial" w:eastAsia="Arial" w:hAnsi="Arial"/>
                <w:sz w:val="22"/>
                <w:szCs w:val="22"/>
              </w:rPr>
            </w:pPr>
            <w:r>
              <w:rPr>
                <w:rFonts w:ascii="Arial" w:hAnsi="Arial" w:cs="Arial"/>
                <w:color w:val="000000"/>
                <w:sz w:val="22"/>
                <w:szCs w:val="22"/>
              </w:rPr>
              <w:t>Sense of Purpose and Motivation</w:t>
            </w:r>
          </w:p>
        </w:tc>
        <w:tc>
          <w:tcPr>
            <w:tcW w:w="929" w:type="dxa"/>
          </w:tcPr>
          <w:p w14:paraId="5B3548DB"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0.231</w:t>
            </w:r>
          </w:p>
        </w:tc>
        <w:tc>
          <w:tcPr>
            <w:tcW w:w="978" w:type="dxa"/>
          </w:tcPr>
          <w:p w14:paraId="2638D92B"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0.053</w:t>
            </w:r>
          </w:p>
        </w:tc>
        <w:tc>
          <w:tcPr>
            <w:tcW w:w="1029" w:type="dxa"/>
          </w:tcPr>
          <w:p w14:paraId="6DF017C4"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0.267</w:t>
            </w:r>
          </w:p>
        </w:tc>
        <w:tc>
          <w:tcPr>
            <w:tcW w:w="998" w:type="dxa"/>
          </w:tcPr>
          <w:p w14:paraId="2ECCAF8B"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4.336</w:t>
            </w:r>
          </w:p>
        </w:tc>
        <w:tc>
          <w:tcPr>
            <w:tcW w:w="1052" w:type="dxa"/>
          </w:tcPr>
          <w:p w14:paraId="7D772C5A"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0.000</w:t>
            </w:r>
          </w:p>
        </w:tc>
        <w:tc>
          <w:tcPr>
            <w:tcW w:w="1414" w:type="dxa"/>
          </w:tcPr>
          <w:p w14:paraId="5FED7620" w14:textId="77777777" w:rsidR="00221348" w:rsidRDefault="00221348" w:rsidP="00526840">
            <w:pPr>
              <w:widowControl w:val="0"/>
              <w:jc w:val="center"/>
              <w:rPr>
                <w:rFonts w:ascii="Arial" w:eastAsia="Arial" w:hAnsi="Arial"/>
                <w:sz w:val="22"/>
                <w:szCs w:val="22"/>
              </w:rPr>
            </w:pPr>
            <w:r>
              <w:rPr>
                <w:rFonts w:ascii="Arial" w:hAnsi="Arial" w:cs="Arial"/>
                <w:color w:val="000000"/>
                <w:sz w:val="22"/>
                <w:szCs w:val="22"/>
              </w:rPr>
              <w:t>Significant</w:t>
            </w:r>
          </w:p>
        </w:tc>
      </w:tr>
      <w:tr w:rsidR="00221348" w14:paraId="0C5B8460" w14:textId="77777777" w:rsidTr="00221348">
        <w:trPr>
          <w:trHeight w:val="354"/>
        </w:trPr>
        <w:tc>
          <w:tcPr>
            <w:tcW w:w="8160" w:type="dxa"/>
            <w:gridSpan w:val="7"/>
          </w:tcPr>
          <w:p w14:paraId="3AFCB93F" w14:textId="77777777" w:rsidR="00221348" w:rsidRDefault="00221348" w:rsidP="00526840">
            <w:pPr>
              <w:widowControl w:val="0"/>
              <w:jc w:val="both"/>
              <w:rPr>
                <w:rFonts w:ascii="Arial" w:eastAsia="Arial" w:hAnsi="Arial"/>
                <w:b/>
                <w:sz w:val="22"/>
                <w:szCs w:val="22"/>
                <w:u w:val="single"/>
              </w:rPr>
            </w:pPr>
            <w:r>
              <w:rPr>
                <w:rFonts w:ascii="Arial" w:eastAsia="Arial" w:hAnsi="Arial"/>
                <w:b/>
                <w:sz w:val="22"/>
                <w:szCs w:val="22"/>
                <w:u w:val="single"/>
              </w:rPr>
              <w:t>Regression Model</w:t>
            </w:r>
          </w:p>
        </w:tc>
      </w:tr>
      <w:tr w:rsidR="00221348" w14:paraId="39CBCD22" w14:textId="77777777" w:rsidTr="00221348">
        <w:trPr>
          <w:trHeight w:val="512"/>
        </w:trPr>
        <w:tc>
          <w:tcPr>
            <w:tcW w:w="8160" w:type="dxa"/>
            <w:gridSpan w:val="7"/>
          </w:tcPr>
          <w:p w14:paraId="2DF20C3A" w14:textId="77777777" w:rsidR="00221348" w:rsidRDefault="00221348" w:rsidP="00526840">
            <w:pPr>
              <w:widowControl w:val="0"/>
              <w:jc w:val="both"/>
              <w:rPr>
                <w:rFonts w:ascii="Arial" w:eastAsia="Arial" w:hAnsi="Arial"/>
                <w:sz w:val="22"/>
                <w:szCs w:val="22"/>
              </w:rPr>
            </w:pPr>
            <w:r>
              <w:rPr>
                <w:rFonts w:ascii="Arial" w:eastAsia="Arial" w:hAnsi="Arial"/>
                <w:sz w:val="22"/>
                <w:szCs w:val="22"/>
              </w:rPr>
              <w:t>Occupational Commitment = 0.598 + 0.313 (Supportive Work Environment) + 0.264 (Stress Management) + 0.231 (Sense of Purpose and Motivation)</w:t>
            </w:r>
          </w:p>
        </w:tc>
      </w:tr>
      <w:tr w:rsidR="00221348" w14:paraId="669F946D" w14:textId="77777777" w:rsidTr="00221348">
        <w:trPr>
          <w:trHeight w:val="78"/>
        </w:trPr>
        <w:tc>
          <w:tcPr>
            <w:tcW w:w="8160" w:type="dxa"/>
            <w:gridSpan w:val="7"/>
          </w:tcPr>
          <w:p w14:paraId="5A8976CE" w14:textId="77777777" w:rsidR="00221348" w:rsidRDefault="00221348" w:rsidP="00526840">
            <w:pPr>
              <w:widowControl w:val="0"/>
              <w:jc w:val="both"/>
              <w:rPr>
                <w:rFonts w:ascii="Arial" w:eastAsia="Arial" w:hAnsi="Arial"/>
                <w:sz w:val="22"/>
                <w:szCs w:val="22"/>
              </w:rPr>
            </w:pPr>
            <w:r>
              <w:rPr>
                <w:rFonts w:ascii="Arial" w:eastAsia="Arial" w:hAnsi="Arial"/>
                <w:sz w:val="22"/>
                <w:szCs w:val="22"/>
              </w:rPr>
              <w:t>R = 0.915; R² = 0.837; F = 198.472; p-value = 0.000</w:t>
            </w:r>
          </w:p>
        </w:tc>
      </w:tr>
    </w:tbl>
    <w:p w14:paraId="5CB07BF5" w14:textId="7437914E" w:rsidR="00D82866" w:rsidRPr="007E5C64" w:rsidRDefault="00D82866" w:rsidP="00D82866">
      <w:pPr>
        <w:jc w:val="both"/>
        <w:rPr>
          <w:rFonts w:ascii="Arial" w:hAnsi="Arial" w:cs="Arial"/>
          <w:sz w:val="20"/>
          <w:szCs w:val="20"/>
        </w:rPr>
      </w:pPr>
    </w:p>
    <w:p w14:paraId="6FDD1CAA" w14:textId="77777777" w:rsidR="00717F2E" w:rsidRPr="007E5C64" w:rsidRDefault="00717F2E">
      <w:pPr>
        <w:jc w:val="both"/>
        <w:rPr>
          <w:rFonts w:ascii="Arial" w:hAnsi="Arial" w:cs="Arial"/>
          <w:sz w:val="20"/>
          <w:szCs w:val="20"/>
        </w:rPr>
      </w:pPr>
    </w:p>
    <w:p w14:paraId="14F20EA9" w14:textId="30545D9D" w:rsidR="005A2D10" w:rsidRDefault="00221348" w:rsidP="00850E61">
      <w:pPr>
        <w:pStyle w:val="Body"/>
        <w:rPr>
          <w:rFonts w:ascii="Arial" w:hAnsi="Arial" w:cs="Arial"/>
        </w:rPr>
      </w:pPr>
      <w:r>
        <w:rPr>
          <w:rFonts w:ascii="Arial" w:hAnsi="Arial" w:cs="Arial"/>
        </w:rPr>
        <w:t>Presented in Table 4</w:t>
      </w:r>
      <w:r w:rsidRPr="00221348">
        <w:rPr>
          <w:rFonts w:ascii="Arial" w:hAnsi="Arial" w:cs="Arial"/>
        </w:rPr>
        <w:t xml:space="preserve"> is the regression analysis examining the significant influence of the domains in the level of bolstering durability skills, namely emotional resilience, stress management, adaptability and flexibility, supportive work environment, self-care and work-life balance, and sense of purpose and motivation on occupational commitment of public elementary school teachers. The regression model reveals that three domains, supportive work environment, stress management, and sense of purpose and motivation, significantly contribute to occupational commitment, while the other domains do not show a significant effect.</w:t>
      </w:r>
    </w:p>
    <w:p w14:paraId="38D0AA4D" w14:textId="77777777" w:rsidR="00221348" w:rsidRPr="00221348" w:rsidRDefault="00221348" w:rsidP="00221348">
      <w:pPr>
        <w:pStyle w:val="Body"/>
        <w:rPr>
          <w:rFonts w:ascii="Arial" w:hAnsi="Arial" w:cs="Arial"/>
        </w:rPr>
      </w:pPr>
      <w:r w:rsidRPr="00221348">
        <w:rPr>
          <w:rFonts w:ascii="Arial" w:hAnsi="Arial" w:cs="Arial"/>
        </w:rPr>
        <w:t>Among the significant predictors, supportive work environment has the strongest impact on occupational commitment (B = 0.313, Beta = 0.342, t = 6.042, p = 0.000), indicating that teachers who perceive a strong supportive environment are more likely to remain committed to their profession. Stress management also shows a significant positive influence (B = 0.264, Beta = 0.289, t = 4.872, p = 0.000), suggesting that effective coping strategies enhance teachers’ job commitment. Sense of purpose and motivation follows with a significant effect (B = 0.231, Beta = 0.267, t = 4.336, p = 0.000), highlighting the role of intrinsic motivation in sustaining occupational dedication. Emotional resilience (B = 0.058, Beta = 0.069, t = 1.106, p = 0.270), adaptability and flexibility (B = 0.043, Beta = 0.054, t = 0.865, p = 0.388), and self-care and work-life balance (B = 0.025, Beta = 0.030, t = 0.492, p = 0.623) were found not to have significant effects.</w:t>
      </w:r>
    </w:p>
    <w:p w14:paraId="382223B7" w14:textId="77777777" w:rsidR="00221348" w:rsidRPr="00221348" w:rsidRDefault="00221348" w:rsidP="00221348">
      <w:pPr>
        <w:pStyle w:val="Body"/>
        <w:rPr>
          <w:rFonts w:ascii="Arial" w:hAnsi="Arial" w:cs="Arial"/>
        </w:rPr>
      </w:pPr>
      <w:r w:rsidRPr="00221348">
        <w:rPr>
          <w:rFonts w:ascii="Arial" w:hAnsi="Arial" w:cs="Arial"/>
        </w:rPr>
        <w:t>The regression equation is as follows: Occupational Commitment = 0.598 + 0.313 (Supportive Work Environment) + 0.264 (Stress Management) + 0.231 (Sense of Purpose and Motivation). The model explains 83.7% of the variance in Occupational Commitment (R² = 0.837), with an F-value of 198.472 and a p-value of 0.000, indicating that the overall model is statistically significant.</w:t>
      </w:r>
    </w:p>
    <w:p w14:paraId="10C0F1DC" w14:textId="77777777" w:rsidR="00221348" w:rsidRPr="00221348" w:rsidRDefault="00221348" w:rsidP="00221348">
      <w:pPr>
        <w:pStyle w:val="Body"/>
        <w:rPr>
          <w:rFonts w:ascii="Arial" w:hAnsi="Arial" w:cs="Arial"/>
        </w:rPr>
      </w:pPr>
      <w:r w:rsidRPr="00221348">
        <w:rPr>
          <w:rFonts w:ascii="Arial" w:hAnsi="Arial" w:cs="Arial"/>
        </w:rPr>
        <w:t>This implies that fostering a supportive work culture, enhancing stress management strategies, and cultivating a strong sense of purpose significantly improve teachers’ occupational commitment. While emotional resilience, adaptability, and work-life balance are conceptually valuable, they did not show a direct statistical effect in this context, suggesting areas for further attention or possible mediation through other organizational variables.</w:t>
      </w:r>
    </w:p>
    <w:p w14:paraId="7AE5403D" w14:textId="11C7BF87" w:rsidR="00221348" w:rsidRPr="00221348" w:rsidRDefault="00221348" w:rsidP="00850E61">
      <w:pPr>
        <w:pStyle w:val="Body"/>
        <w:rPr>
          <w:rFonts w:ascii="Arial" w:hAnsi="Arial" w:cs="Arial"/>
        </w:rPr>
      </w:pPr>
      <w:r w:rsidRPr="00221348">
        <w:rPr>
          <w:rFonts w:ascii="Arial" w:hAnsi="Arial" w:cs="Arial"/>
        </w:rPr>
        <w:t xml:space="preserve">This finding is supported by </w:t>
      </w:r>
      <w:proofErr w:type="spellStart"/>
      <w:r w:rsidRPr="00221348">
        <w:rPr>
          <w:rFonts w:ascii="Arial" w:hAnsi="Arial" w:cs="Arial"/>
        </w:rPr>
        <w:t>Kiral</w:t>
      </w:r>
      <w:proofErr w:type="spellEnd"/>
      <w:r w:rsidRPr="00221348">
        <w:rPr>
          <w:rFonts w:ascii="Arial" w:hAnsi="Arial" w:cs="Arial"/>
        </w:rPr>
        <w:t xml:space="preserve"> (2020), who noted that teachers are more committed to their institutions when they feel supported by colleagues and administrators. Moreover, Khan et al. (2024) similarly emphasized the importance of stress management as a key driver of long-term occupational engagement. Furthermore, </w:t>
      </w:r>
      <w:proofErr w:type="spellStart"/>
      <w:r w:rsidRPr="00221348">
        <w:rPr>
          <w:rFonts w:ascii="Arial" w:hAnsi="Arial" w:cs="Arial"/>
        </w:rPr>
        <w:t>Chigeda</w:t>
      </w:r>
      <w:proofErr w:type="spellEnd"/>
      <w:r w:rsidRPr="00221348">
        <w:rPr>
          <w:rFonts w:ascii="Arial" w:hAnsi="Arial" w:cs="Arial"/>
        </w:rPr>
        <w:t xml:space="preserve"> et al. (2022) identified a clear link between a strong sense of purpose and increased dedication to teaching roles. However, other domains like emotional resilience, adaptability, and work-life balance, while important for personal well-being, may require contextual or institutional reinforcement to translate into higher commitment levels. This outcome indicates that certain internal and external factors interact differently in shaping teachers’ long-term professional dedication.</w:t>
      </w:r>
    </w:p>
    <w:p w14:paraId="08FEB9C6" w14:textId="5334356A" w:rsidR="002039CD" w:rsidRPr="007E5C64" w:rsidRDefault="00180859" w:rsidP="00850E61">
      <w:pPr>
        <w:pStyle w:val="Body"/>
        <w:rPr>
          <w:rFonts w:ascii="Arial" w:hAnsi="Arial" w:cs="Arial"/>
          <w:b/>
          <w:bCs/>
        </w:rPr>
      </w:pPr>
      <w:r w:rsidRPr="007E5C64">
        <w:rPr>
          <w:rFonts w:ascii="Arial" w:hAnsi="Arial" w:cs="Arial"/>
          <w:b/>
          <w:bCs/>
        </w:rPr>
        <w:t xml:space="preserve">5. </w:t>
      </w:r>
      <w:r w:rsidR="00B364F1" w:rsidRPr="007E5C64">
        <w:rPr>
          <w:rFonts w:ascii="Arial" w:hAnsi="Arial" w:cs="Arial"/>
          <w:b/>
          <w:bCs/>
        </w:rPr>
        <w:t>CONCLUSIONS</w:t>
      </w:r>
    </w:p>
    <w:p w14:paraId="5C0F493D" w14:textId="77777777" w:rsidR="00862875" w:rsidRPr="00862875" w:rsidRDefault="00862875" w:rsidP="00862875">
      <w:pPr>
        <w:pStyle w:val="ReferHead"/>
        <w:jc w:val="both"/>
        <w:rPr>
          <w:rFonts w:ascii="Arial" w:hAnsi="Arial" w:cs="Arial"/>
          <w:b w:val="0"/>
          <w:caps w:val="0"/>
          <w:sz w:val="20"/>
        </w:rPr>
      </w:pPr>
      <w:r w:rsidRPr="00862875">
        <w:rPr>
          <w:rFonts w:ascii="Arial" w:hAnsi="Arial" w:cs="Arial"/>
          <w:b w:val="0"/>
          <w:caps w:val="0"/>
          <w:sz w:val="20"/>
        </w:rPr>
        <w:t>Based on the findings of the study, the following conclusions were drawn:</w:t>
      </w:r>
    </w:p>
    <w:p w14:paraId="517992F5" w14:textId="77777777" w:rsidR="00862875" w:rsidRPr="00862875" w:rsidRDefault="00862875" w:rsidP="00862875">
      <w:pPr>
        <w:pStyle w:val="ReferHead"/>
        <w:jc w:val="both"/>
        <w:rPr>
          <w:rFonts w:ascii="Arial" w:hAnsi="Arial" w:cs="Arial"/>
          <w:b w:val="0"/>
          <w:caps w:val="0"/>
          <w:sz w:val="20"/>
        </w:rPr>
      </w:pPr>
      <w:r w:rsidRPr="00862875">
        <w:rPr>
          <w:rFonts w:ascii="Arial" w:hAnsi="Arial" w:cs="Arial"/>
          <w:b w:val="0"/>
          <w:caps w:val="0"/>
          <w:sz w:val="20"/>
        </w:rPr>
        <w:t xml:space="preserve">Firstly, the level of bolstering durability skills among public elementary school teachers is always observed. Teachers demonstrate strong emotional resilience, effective stress management, adaptability and flexibility, supportive work environments, self-care and work-life balance, and a clear sense of purpose and motivation. This implies that teachers possess </w:t>
      </w:r>
      <w:r w:rsidRPr="00862875">
        <w:rPr>
          <w:rFonts w:ascii="Arial" w:hAnsi="Arial" w:cs="Arial"/>
          <w:b w:val="0"/>
          <w:caps w:val="0"/>
          <w:sz w:val="20"/>
        </w:rPr>
        <w:lastRenderedPageBreak/>
        <w:t>the essential skills to manage professional challenges and maintain their well-being, which is vital for their sustained effectiveness.</w:t>
      </w:r>
    </w:p>
    <w:p w14:paraId="4007AD20" w14:textId="77777777" w:rsidR="00862875" w:rsidRPr="00862875" w:rsidRDefault="00862875" w:rsidP="00862875">
      <w:pPr>
        <w:pStyle w:val="ReferHead"/>
        <w:jc w:val="both"/>
        <w:rPr>
          <w:rFonts w:ascii="Arial" w:hAnsi="Arial" w:cs="Arial"/>
          <w:b w:val="0"/>
          <w:caps w:val="0"/>
          <w:sz w:val="20"/>
        </w:rPr>
      </w:pPr>
      <w:r w:rsidRPr="00862875">
        <w:rPr>
          <w:rFonts w:ascii="Arial" w:hAnsi="Arial" w:cs="Arial"/>
          <w:b w:val="0"/>
          <w:caps w:val="0"/>
          <w:sz w:val="20"/>
        </w:rPr>
        <w:t>Secondly, the level of occupational commitment among public elementary school teachers is always observed, with strong job satisfaction, organizational commitment, and confidence in job security and compensation. This implies that teachers are motivated and dedicated to their profession, which contributes to a stable and committed workforce.</w:t>
      </w:r>
    </w:p>
    <w:p w14:paraId="6BBC6DCD" w14:textId="57E68C7F" w:rsidR="003F001E" w:rsidRPr="003F001E" w:rsidRDefault="003F001E" w:rsidP="003F001E">
      <w:pPr>
        <w:pStyle w:val="ReferHead"/>
        <w:jc w:val="both"/>
        <w:rPr>
          <w:rFonts w:ascii="Arial" w:hAnsi="Arial" w:cs="Arial"/>
          <w:b w:val="0"/>
          <w:caps w:val="0"/>
          <w:sz w:val="20"/>
        </w:rPr>
      </w:pPr>
      <w:r w:rsidRPr="003F001E">
        <w:rPr>
          <w:rFonts w:ascii="Arial" w:hAnsi="Arial" w:cs="Arial"/>
          <w:b w:val="0"/>
          <w:caps w:val="0"/>
          <w:sz w:val="20"/>
        </w:rPr>
        <w:t xml:space="preserve">Thirdly, a significant and high correlation exists between bolstering durability skills and occupational commitment. This implies that teachers with stronger durability skills are more likely to remain committed to their profession, enhancing their long-term engagement and performance. </w:t>
      </w:r>
      <w:r w:rsidRPr="003F001E">
        <w:rPr>
          <w:rFonts w:ascii="Arial" w:hAnsi="Arial" w:cs="Arial"/>
          <w:b w:val="0"/>
          <w:caps w:val="0"/>
          <w:sz w:val="20"/>
          <w:highlight w:val="yellow"/>
        </w:rPr>
        <w:t>The null hypothesis stating that there is no significant relationship between durability skills and occupational commitment was therefore rejected.</w:t>
      </w:r>
    </w:p>
    <w:p w14:paraId="36CD3235" w14:textId="77777777" w:rsidR="003F001E" w:rsidRPr="003F001E" w:rsidRDefault="003F001E" w:rsidP="003F001E">
      <w:pPr>
        <w:pStyle w:val="ReferHead"/>
        <w:jc w:val="both"/>
        <w:rPr>
          <w:rFonts w:ascii="Arial" w:hAnsi="Arial" w:cs="Arial"/>
          <w:b w:val="0"/>
          <w:caps w:val="0"/>
          <w:sz w:val="20"/>
        </w:rPr>
      </w:pPr>
      <w:r w:rsidRPr="003F001E">
        <w:rPr>
          <w:rFonts w:ascii="Arial" w:hAnsi="Arial" w:cs="Arial"/>
          <w:b w:val="0"/>
          <w:caps w:val="0"/>
          <w:sz w:val="20"/>
        </w:rPr>
        <w:t xml:space="preserve">Finally, supportive work environment, stress management, and sense of purpose and motivation significantly influence occupational commitment, with the supportive work environment having the strongest impact. This implies that fostering a positive and supportive workplace, alongside effective stress coping and intrinsic motivation, is key to sustaining teacher commitment. Meanwhile, emotional resilience, adaptability, and self-care do not show significant direct effects, suggesting their role may be more complex or indirect. </w:t>
      </w:r>
      <w:r w:rsidRPr="003F001E">
        <w:rPr>
          <w:rFonts w:ascii="Arial" w:hAnsi="Arial" w:cs="Arial"/>
          <w:b w:val="0"/>
          <w:caps w:val="0"/>
          <w:sz w:val="20"/>
          <w:highlight w:val="yellow"/>
        </w:rPr>
        <w:t>Overall, the null hypothesis was rejected, indicating that durability skills as a whole significantly influence occupational commitment.</w:t>
      </w:r>
    </w:p>
    <w:p w14:paraId="32CA4429" w14:textId="51604914" w:rsidR="009676BB" w:rsidRDefault="00862875" w:rsidP="00862875">
      <w:pPr>
        <w:pStyle w:val="ReferHead"/>
        <w:spacing w:after="0"/>
        <w:jc w:val="both"/>
        <w:rPr>
          <w:rFonts w:ascii="Arial" w:hAnsi="Arial" w:cs="Arial"/>
          <w:b w:val="0"/>
          <w:caps w:val="0"/>
          <w:sz w:val="20"/>
        </w:rPr>
      </w:pPr>
      <w:r w:rsidRPr="00862875">
        <w:rPr>
          <w:rFonts w:ascii="Arial" w:hAnsi="Arial" w:cs="Arial"/>
          <w:b w:val="0"/>
          <w:caps w:val="0"/>
          <w:sz w:val="20"/>
        </w:rPr>
        <w:t xml:space="preserve">The findings of this study validate the theories of resilience, job demands and resources, and social cognitive processes in explaining the durability skills and occupational commitment of teachers. Resilience Theory, as described by Richardson (2002), highlights how teachers manage stress and adapt to challenges in their work. This study supports the idea that teachers who develop emotional regulation and coping skills are more likely to stay committed to their profession despite difficulties such as heavy workloads and limited resources. Furthermore, the Job Demands-Resources (JD-R) Model by Bakker and </w:t>
      </w:r>
      <w:proofErr w:type="spellStart"/>
      <w:r w:rsidRPr="00862875">
        <w:rPr>
          <w:rFonts w:ascii="Arial" w:hAnsi="Arial" w:cs="Arial"/>
          <w:b w:val="0"/>
          <w:caps w:val="0"/>
          <w:sz w:val="20"/>
        </w:rPr>
        <w:t>Demerouti</w:t>
      </w:r>
      <w:proofErr w:type="spellEnd"/>
      <w:r w:rsidRPr="00862875">
        <w:rPr>
          <w:rFonts w:ascii="Arial" w:hAnsi="Arial" w:cs="Arial"/>
          <w:b w:val="0"/>
          <w:caps w:val="0"/>
          <w:sz w:val="20"/>
        </w:rPr>
        <w:t xml:space="preserve"> (2007) explains how the balance between job demands and available resources affects teachers’ motivation and commitment. The results confirm that teachers with strong durability skills, supported by a positive work environment and resources, can better handle job pressures and maintain their dedication to teaching. Moreover, Bandura’s (1986) Social Cognitive Theory emphasizes the importance of self-efficacy, or teachers’ confidence in their abilities, in sustaining career persistence. This study validates that teachers who believe in their capacity to overcome challenges tend to be more motivated and committed to their profession.</w:t>
      </w:r>
    </w:p>
    <w:p w14:paraId="75E0781A" w14:textId="77777777" w:rsidR="00862875" w:rsidRPr="007E5C64" w:rsidRDefault="00862875" w:rsidP="00862875">
      <w:pPr>
        <w:pStyle w:val="ReferHead"/>
        <w:spacing w:after="0"/>
        <w:jc w:val="both"/>
        <w:rPr>
          <w:rFonts w:ascii="Arial" w:hAnsi="Arial" w:cs="Arial"/>
          <w:b w:val="0"/>
          <w:caps w:val="0"/>
          <w:sz w:val="20"/>
        </w:rPr>
      </w:pPr>
    </w:p>
    <w:p w14:paraId="295DD41E" w14:textId="01F6025E" w:rsidR="006A0F34" w:rsidRPr="007E5C64" w:rsidRDefault="006A0F34" w:rsidP="006A0F34">
      <w:pPr>
        <w:pStyle w:val="Body"/>
        <w:rPr>
          <w:rFonts w:ascii="Arial" w:hAnsi="Arial" w:cs="Arial"/>
        </w:rPr>
      </w:pPr>
      <w:r w:rsidRPr="007E5C64">
        <w:rPr>
          <w:rFonts w:ascii="Arial" w:hAnsi="Arial" w:cs="Arial"/>
          <w:b/>
          <w:bCs/>
        </w:rPr>
        <w:t>6. RECOMMENDATIONS</w:t>
      </w:r>
    </w:p>
    <w:p w14:paraId="517E8B38" w14:textId="77777777" w:rsidR="00862875" w:rsidRPr="00862875" w:rsidRDefault="00862875" w:rsidP="00862875">
      <w:pPr>
        <w:pStyle w:val="ReferHead"/>
        <w:jc w:val="both"/>
        <w:rPr>
          <w:rFonts w:ascii="Arial" w:hAnsi="Arial" w:cs="Arial"/>
          <w:b w:val="0"/>
          <w:caps w:val="0"/>
          <w:sz w:val="20"/>
        </w:rPr>
      </w:pPr>
      <w:r w:rsidRPr="00862875">
        <w:rPr>
          <w:rFonts w:ascii="Arial" w:hAnsi="Arial" w:cs="Arial"/>
          <w:b w:val="0"/>
          <w:caps w:val="0"/>
          <w:sz w:val="20"/>
        </w:rPr>
        <w:t>Based on the findings and conclusions of this study, the following recommendations were proposed:</w:t>
      </w:r>
    </w:p>
    <w:p w14:paraId="7EAFC499" w14:textId="77777777" w:rsidR="00862875" w:rsidRPr="00862875" w:rsidRDefault="00862875" w:rsidP="00862875">
      <w:pPr>
        <w:pStyle w:val="ReferHead"/>
        <w:jc w:val="both"/>
        <w:rPr>
          <w:rFonts w:ascii="Arial" w:hAnsi="Arial" w:cs="Arial"/>
          <w:b w:val="0"/>
          <w:caps w:val="0"/>
          <w:sz w:val="20"/>
        </w:rPr>
      </w:pPr>
      <w:r w:rsidRPr="00862875">
        <w:rPr>
          <w:rFonts w:ascii="Arial" w:hAnsi="Arial" w:cs="Arial"/>
          <w:b w:val="0"/>
          <w:caps w:val="0"/>
          <w:sz w:val="20"/>
        </w:rPr>
        <w:t>Firstly, considering the very high level of bolstering durability skills among public elementary school teachers, it is recommended that school administrators continue to foster supportive work environments, provide stress management programs, and promote teachers’ sense of purpose and motivation. This can be achieved through regular professional development workshops, wellness initiatives, and mentoring programs that build resilience and intrinsic motivation. Teachers are encouraged to actively engage in these programs and practice self-care to maintain their durability skills over time.</w:t>
      </w:r>
    </w:p>
    <w:p w14:paraId="381618F2" w14:textId="77777777" w:rsidR="00862875" w:rsidRPr="00862875" w:rsidRDefault="00862875" w:rsidP="00862875">
      <w:pPr>
        <w:pStyle w:val="ReferHead"/>
        <w:jc w:val="both"/>
        <w:rPr>
          <w:rFonts w:ascii="Arial" w:hAnsi="Arial" w:cs="Arial"/>
          <w:b w:val="0"/>
          <w:caps w:val="0"/>
          <w:sz w:val="20"/>
        </w:rPr>
      </w:pPr>
      <w:r w:rsidRPr="00862875">
        <w:rPr>
          <w:rFonts w:ascii="Arial" w:hAnsi="Arial" w:cs="Arial"/>
          <w:b w:val="0"/>
          <w:caps w:val="0"/>
          <w:sz w:val="20"/>
        </w:rPr>
        <w:t xml:space="preserve">Secondly, given the very high level of occupational commitment among teachers, school leaders should implement policies that sustain job satisfaction, organizational commitment, </w:t>
      </w:r>
      <w:r w:rsidRPr="00862875">
        <w:rPr>
          <w:rFonts w:ascii="Arial" w:hAnsi="Arial" w:cs="Arial"/>
          <w:b w:val="0"/>
          <w:caps w:val="0"/>
          <w:sz w:val="20"/>
        </w:rPr>
        <w:lastRenderedPageBreak/>
        <w:t>and job security. This includes offering competitive compensation, recognizing teacher achievements, and creating opportunities for career advancement. Teachers, in turn, may maintain open communication with administration and contribute positively to the school community to reinforce their commitment.</w:t>
      </w:r>
    </w:p>
    <w:p w14:paraId="42C7BD07" w14:textId="77777777" w:rsidR="00862875" w:rsidRPr="00862875" w:rsidRDefault="00862875" w:rsidP="00862875">
      <w:pPr>
        <w:pStyle w:val="ReferHead"/>
        <w:jc w:val="both"/>
        <w:rPr>
          <w:rFonts w:ascii="Arial" w:hAnsi="Arial" w:cs="Arial"/>
          <w:b w:val="0"/>
          <w:caps w:val="0"/>
          <w:sz w:val="20"/>
        </w:rPr>
      </w:pPr>
      <w:r w:rsidRPr="00862875">
        <w:rPr>
          <w:rFonts w:ascii="Arial" w:hAnsi="Arial" w:cs="Arial"/>
          <w:b w:val="0"/>
          <w:caps w:val="0"/>
          <w:sz w:val="20"/>
        </w:rPr>
        <w:t>Thirdly, since a significant and high correlation exists between bolstering durability skills and occupational commitment, it is advisable for schools to integrate durability skill development into teacher support frameworks. Collaborative efforts between school leaders and teachers to enhance supportive environments and stress coping mechanisms will promote sustained occupational commitment. Additionally, intrinsic motivators such as recognizing teacher purpose should be emphasized to keep educators dedicated.</w:t>
      </w:r>
    </w:p>
    <w:p w14:paraId="6F2B43B5" w14:textId="77777777" w:rsidR="00862875" w:rsidRDefault="00862875" w:rsidP="00862875">
      <w:pPr>
        <w:pStyle w:val="ReferHead"/>
        <w:spacing w:after="0"/>
        <w:jc w:val="both"/>
        <w:rPr>
          <w:rFonts w:ascii="Arial" w:hAnsi="Arial" w:cs="Arial"/>
          <w:b w:val="0"/>
          <w:caps w:val="0"/>
          <w:sz w:val="20"/>
        </w:rPr>
      </w:pPr>
      <w:r w:rsidRPr="00862875">
        <w:rPr>
          <w:rFonts w:ascii="Arial" w:hAnsi="Arial" w:cs="Arial"/>
          <w:b w:val="0"/>
          <w:caps w:val="0"/>
          <w:sz w:val="20"/>
        </w:rPr>
        <w:t>Finally, as supportive work environment, stress management, and sense of purpose and motivation significantly influence occupational commitment, these factors should be prioritized in policy making and teacher development programs. Although emotional resilience, adaptability, and self-care did not show significant direct effects, schools should still encourage their cultivation as they may have indirect benefits. Future researchers are encouraged to explore other factors influencing teacher durability and commitment, such as leadership styles, workload management, and community support, to strengthen teacher retention and performance.</w:t>
      </w:r>
    </w:p>
    <w:p w14:paraId="27E06E5E" w14:textId="77777777" w:rsidR="00862875" w:rsidRDefault="00862875" w:rsidP="00862875">
      <w:pPr>
        <w:pStyle w:val="ReferHead"/>
        <w:spacing w:after="0"/>
        <w:jc w:val="both"/>
        <w:rPr>
          <w:rFonts w:ascii="Arial" w:hAnsi="Arial" w:cs="Arial"/>
          <w:b w:val="0"/>
          <w:caps w:val="0"/>
          <w:sz w:val="20"/>
        </w:rPr>
      </w:pPr>
    </w:p>
    <w:p w14:paraId="7242A187" w14:textId="77777777" w:rsidR="00717F2E" w:rsidRPr="007E5C64" w:rsidRDefault="00717F2E">
      <w:pPr>
        <w:pStyle w:val="ReferHead"/>
        <w:spacing w:after="0"/>
        <w:jc w:val="both"/>
        <w:rPr>
          <w:rFonts w:ascii="Arial" w:hAnsi="Arial" w:cs="Arial"/>
          <w:b w:val="0"/>
          <w:caps w:val="0"/>
          <w:sz w:val="20"/>
        </w:rPr>
      </w:pPr>
    </w:p>
    <w:p w14:paraId="013BA332" w14:textId="2A671865" w:rsidR="00717F2E" w:rsidRPr="007E5C64" w:rsidRDefault="00F96A19">
      <w:pPr>
        <w:pStyle w:val="ReferHead"/>
        <w:spacing w:after="0"/>
        <w:jc w:val="both"/>
        <w:rPr>
          <w:rFonts w:ascii="Arial" w:hAnsi="Arial" w:cs="Arial"/>
          <w:bCs/>
          <w:sz w:val="20"/>
        </w:rPr>
      </w:pPr>
      <w:r>
        <w:rPr>
          <w:rFonts w:ascii="Arial" w:hAnsi="Arial" w:cs="Arial"/>
          <w:bCs/>
          <w:sz w:val="20"/>
        </w:rPr>
        <w:t xml:space="preserve">ETHICAL APPROVAL AND </w:t>
      </w:r>
      <w:bookmarkStart w:id="0" w:name="_GoBack"/>
      <w:bookmarkEnd w:id="0"/>
      <w:r w:rsidR="00180859" w:rsidRPr="007E5C64">
        <w:rPr>
          <w:rFonts w:ascii="Arial" w:hAnsi="Arial" w:cs="Arial"/>
          <w:bCs/>
          <w:sz w:val="20"/>
        </w:rPr>
        <w:t>Consent</w:t>
      </w:r>
    </w:p>
    <w:p w14:paraId="67F05F0C" w14:textId="77777777" w:rsidR="00717F2E" w:rsidRPr="007E5C64" w:rsidRDefault="00717F2E">
      <w:pPr>
        <w:pStyle w:val="ReferHead"/>
        <w:spacing w:after="0"/>
        <w:jc w:val="both"/>
        <w:rPr>
          <w:rFonts w:ascii="Arial" w:hAnsi="Arial" w:cs="Arial"/>
          <w:bCs/>
          <w:sz w:val="20"/>
        </w:rPr>
      </w:pPr>
    </w:p>
    <w:p w14:paraId="44DB347A" w14:textId="77777777" w:rsidR="005E6376" w:rsidRPr="005E6376" w:rsidRDefault="005E6376" w:rsidP="005E6376">
      <w:pPr>
        <w:jc w:val="both"/>
        <w:rPr>
          <w:rFonts w:ascii="Arial" w:hAnsi="Arial" w:cs="Arial"/>
          <w:sz w:val="20"/>
          <w:szCs w:val="20"/>
          <w:lang w:val="en-US"/>
        </w:rPr>
      </w:pPr>
      <w:r w:rsidRPr="005E6376">
        <w:rPr>
          <w:rFonts w:ascii="Arial" w:hAnsi="Arial" w:cs="Arial"/>
          <w:sz w:val="20"/>
          <w:szCs w:val="20"/>
          <w:lang w:val="en-US"/>
        </w:rPr>
        <w:t xml:space="preserve">This study was carried out in strict adherence to recognized ethical guidelines to safeguard the rights, dignity, and well-being of all participants. Prior to data collection, the researcher secured the necessary institutional approvals, including an endorsement from the Dean of the Graduate School and ethical clearance from the institution’s Ethics Review Committee. The study followed the ethical principles set forth by </w:t>
      </w:r>
      <w:proofErr w:type="spellStart"/>
      <w:r w:rsidRPr="005E6376">
        <w:rPr>
          <w:rFonts w:ascii="Arial" w:hAnsi="Arial" w:cs="Arial"/>
          <w:sz w:val="20"/>
          <w:szCs w:val="20"/>
          <w:lang w:val="en-US"/>
        </w:rPr>
        <w:t>Pregoner</w:t>
      </w:r>
      <w:proofErr w:type="spellEnd"/>
      <w:r w:rsidRPr="005E6376">
        <w:rPr>
          <w:rFonts w:ascii="Arial" w:hAnsi="Arial" w:cs="Arial"/>
          <w:sz w:val="20"/>
          <w:szCs w:val="20"/>
          <w:lang w:val="en-US"/>
        </w:rPr>
        <w:t xml:space="preserve"> et al. (2025), consistent with current standards in educational research involving human subjects. Participation was completely voluntary, and all respondents were fully informed about the study’s purpose, procedures, and their right to decline or withdraw at any point without penalty. Informed consent was obtained to ensure that participants clearly understood and agreed to their involvement. To maintain anonymity, no personally identifiable information was gathered, and all responses were treated with strict confidentiality. The data collected were used exclusively for academic purposes, affirming the ethical integrity, transparency, and respect for participant autonomy throughout the research process.</w:t>
      </w:r>
    </w:p>
    <w:p w14:paraId="640FEEDA" w14:textId="77777777" w:rsidR="005E6376" w:rsidRDefault="005E6376" w:rsidP="00CD4D57">
      <w:pPr>
        <w:pStyle w:val="ReferHead"/>
        <w:spacing w:after="0"/>
        <w:jc w:val="both"/>
        <w:rPr>
          <w:rFonts w:ascii="Arial" w:hAnsi="Arial" w:cs="Arial"/>
          <w:b w:val="0"/>
          <w:caps w:val="0"/>
          <w:sz w:val="20"/>
          <w:highlight w:val="yellow"/>
        </w:rPr>
      </w:pPr>
    </w:p>
    <w:p w14:paraId="2BC90047" w14:textId="4151394C" w:rsidR="00CD4D57" w:rsidRPr="007E5C64" w:rsidRDefault="00CD4D57" w:rsidP="00CD4D57">
      <w:pPr>
        <w:pStyle w:val="ReferHead"/>
        <w:spacing w:after="0"/>
        <w:jc w:val="both"/>
        <w:rPr>
          <w:rFonts w:ascii="Arial" w:hAnsi="Arial" w:cs="Arial"/>
          <w:b w:val="0"/>
          <w:caps w:val="0"/>
          <w:sz w:val="20"/>
          <w:highlight w:val="yellow"/>
        </w:rPr>
      </w:pPr>
      <w:r w:rsidRPr="007E5C64">
        <w:rPr>
          <w:rFonts w:ascii="Arial" w:hAnsi="Arial" w:cs="Arial"/>
          <w:b w:val="0"/>
          <w:caps w:val="0"/>
          <w:sz w:val="20"/>
          <w:highlight w:val="yellow"/>
        </w:rPr>
        <w:t>Disclaimer (Artificial Intelligence)</w:t>
      </w:r>
    </w:p>
    <w:p w14:paraId="591C5FF6" w14:textId="77777777" w:rsidR="00CD4D57" w:rsidRPr="007E5C64" w:rsidRDefault="00CD4D57" w:rsidP="00CD4D57">
      <w:pPr>
        <w:pStyle w:val="ReferHead"/>
        <w:spacing w:after="0"/>
        <w:jc w:val="both"/>
        <w:rPr>
          <w:rFonts w:ascii="Arial" w:hAnsi="Arial" w:cs="Arial"/>
          <w:b w:val="0"/>
          <w:caps w:val="0"/>
          <w:sz w:val="20"/>
          <w:highlight w:val="yellow"/>
        </w:rPr>
      </w:pPr>
    </w:p>
    <w:p w14:paraId="309A34BD" w14:textId="77777777" w:rsidR="00CD4D57" w:rsidRPr="007E5C64" w:rsidRDefault="00CD4D57" w:rsidP="00CD4D57">
      <w:pPr>
        <w:pStyle w:val="ReferHead"/>
        <w:spacing w:after="0"/>
        <w:jc w:val="both"/>
        <w:rPr>
          <w:rFonts w:ascii="Arial" w:hAnsi="Arial" w:cs="Arial"/>
          <w:b w:val="0"/>
          <w:caps w:val="0"/>
          <w:sz w:val="20"/>
          <w:highlight w:val="yellow"/>
        </w:rPr>
      </w:pPr>
    </w:p>
    <w:p w14:paraId="26E5FE5E" w14:textId="77777777" w:rsidR="00CD4D57" w:rsidRPr="007E5C64" w:rsidRDefault="00CD4D57" w:rsidP="00CD4D57">
      <w:pPr>
        <w:jc w:val="both"/>
        <w:rPr>
          <w:rFonts w:ascii="Arial" w:eastAsia="Calibri" w:hAnsi="Arial" w:cs="Arial"/>
          <w:kern w:val="2"/>
          <w:sz w:val="20"/>
          <w:szCs w:val="20"/>
          <w:highlight w:val="yellow"/>
        </w:rPr>
      </w:pPr>
      <w:r w:rsidRPr="007E5C64">
        <w:rPr>
          <w:rFonts w:ascii="Arial" w:eastAsia="Calibri" w:hAnsi="Arial" w:cs="Arial"/>
          <w:kern w:val="2"/>
          <w:sz w:val="20"/>
          <w:szCs w:val="20"/>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Pr="007E5C64" w:rsidRDefault="00CD4D57" w:rsidP="00CD4D57">
      <w:pPr>
        <w:jc w:val="both"/>
        <w:rPr>
          <w:rFonts w:ascii="Arial" w:eastAsia="Calibri" w:hAnsi="Arial" w:cs="Arial"/>
          <w:kern w:val="2"/>
          <w:sz w:val="20"/>
          <w:szCs w:val="20"/>
          <w:highlight w:val="yellow"/>
        </w:rPr>
      </w:pPr>
    </w:p>
    <w:p w14:paraId="4B95E7D5" w14:textId="77777777" w:rsidR="00CD4D57" w:rsidRPr="007E5C64" w:rsidRDefault="00CD4D57" w:rsidP="00CD4D57">
      <w:pPr>
        <w:numPr>
          <w:ilvl w:val="0"/>
          <w:numId w:val="4"/>
        </w:numPr>
        <w:ind w:left="540"/>
        <w:jc w:val="both"/>
        <w:rPr>
          <w:rFonts w:ascii="Arial" w:eastAsia="Calibri" w:hAnsi="Arial" w:cs="Arial"/>
          <w:kern w:val="2"/>
          <w:sz w:val="20"/>
          <w:szCs w:val="20"/>
          <w:highlight w:val="yellow"/>
        </w:rPr>
      </w:pPr>
      <w:r w:rsidRPr="007E5C64">
        <w:rPr>
          <w:rFonts w:ascii="Arial" w:eastAsia="Calibri" w:hAnsi="Arial" w:cs="Arial"/>
          <w:kern w:val="2"/>
          <w:sz w:val="20"/>
          <w:szCs w:val="20"/>
          <w:highlight w:val="yellow"/>
        </w:rPr>
        <w:t xml:space="preserve">Grammarly: Used for grammar and spellchecking, as well as suggestions for improving sentence structure and overall clarity. </w:t>
      </w:r>
    </w:p>
    <w:p w14:paraId="50EBBD08" w14:textId="77777777" w:rsidR="00CD4D57" w:rsidRPr="007E5C64" w:rsidRDefault="00CD4D57" w:rsidP="00CD4D57">
      <w:pPr>
        <w:numPr>
          <w:ilvl w:val="0"/>
          <w:numId w:val="4"/>
        </w:numPr>
        <w:ind w:left="540"/>
        <w:jc w:val="both"/>
        <w:rPr>
          <w:rFonts w:ascii="Arial" w:hAnsi="Arial" w:cs="Arial"/>
          <w:sz w:val="20"/>
          <w:szCs w:val="20"/>
          <w:highlight w:val="yellow"/>
        </w:rPr>
      </w:pPr>
      <w:proofErr w:type="spellStart"/>
      <w:r w:rsidRPr="007E5C64">
        <w:rPr>
          <w:rFonts w:ascii="Arial" w:eastAsia="Calibri" w:hAnsi="Arial" w:cs="Arial"/>
          <w:kern w:val="2"/>
          <w:sz w:val="20"/>
          <w:szCs w:val="20"/>
          <w:highlight w:val="yellow"/>
        </w:rPr>
        <w:t>Quillbot</w:t>
      </w:r>
      <w:proofErr w:type="spellEnd"/>
      <w:r w:rsidRPr="007E5C64">
        <w:rPr>
          <w:rFonts w:ascii="Arial" w:eastAsia="Calibri" w:hAnsi="Arial" w:cs="Arial"/>
          <w:kern w:val="2"/>
          <w:sz w:val="20"/>
          <w:szCs w:val="20"/>
          <w:highlight w:val="yellow"/>
        </w:rPr>
        <w:t>: Employed for paraphrasing and refining sentence flow to enhance readability and coherence.</w:t>
      </w:r>
    </w:p>
    <w:p w14:paraId="31F11220" w14:textId="77777777" w:rsidR="00CD4D57" w:rsidRPr="007E5C64" w:rsidRDefault="00CD4D57" w:rsidP="00505231">
      <w:pPr>
        <w:pStyle w:val="ReferHead"/>
        <w:spacing w:after="0"/>
        <w:jc w:val="both"/>
        <w:rPr>
          <w:rFonts w:ascii="Arial" w:hAnsi="Arial" w:cs="Arial"/>
          <w:b w:val="0"/>
          <w:caps w:val="0"/>
          <w:sz w:val="20"/>
        </w:rPr>
      </w:pPr>
    </w:p>
    <w:p w14:paraId="3710B9F1" w14:textId="77777777" w:rsidR="00151F8F" w:rsidRPr="007E5C64" w:rsidRDefault="00151F8F" w:rsidP="00505231">
      <w:pPr>
        <w:pStyle w:val="ReferHead"/>
        <w:spacing w:after="0"/>
        <w:jc w:val="both"/>
        <w:rPr>
          <w:rFonts w:ascii="Arial" w:hAnsi="Arial" w:cs="Arial"/>
          <w:b w:val="0"/>
          <w:caps w:val="0"/>
          <w:sz w:val="20"/>
        </w:rPr>
      </w:pPr>
    </w:p>
    <w:p w14:paraId="0E59BDBB" w14:textId="1325B6B4" w:rsidR="007D2B80" w:rsidRPr="007E5C64" w:rsidRDefault="00180859" w:rsidP="007D2B80">
      <w:pPr>
        <w:pStyle w:val="ReferHead"/>
        <w:spacing w:after="0"/>
        <w:jc w:val="both"/>
        <w:rPr>
          <w:rFonts w:ascii="Arial" w:hAnsi="Arial" w:cs="Arial"/>
          <w:sz w:val="20"/>
        </w:rPr>
      </w:pPr>
      <w:r w:rsidRPr="007E5C64">
        <w:rPr>
          <w:rFonts w:ascii="Arial" w:hAnsi="Arial" w:cs="Arial"/>
          <w:sz w:val="20"/>
        </w:rPr>
        <w:t>References</w:t>
      </w:r>
    </w:p>
    <w:p w14:paraId="4B5A9F55" w14:textId="77777777" w:rsidR="007A52F2" w:rsidRPr="007A52F2" w:rsidRDefault="007A52F2" w:rsidP="00C63652">
      <w:pPr>
        <w:jc w:val="both"/>
        <w:rPr>
          <w:sz w:val="20"/>
          <w:szCs w:val="20"/>
        </w:rPr>
      </w:pPr>
    </w:p>
    <w:p w14:paraId="1A4553BD" w14:textId="77777777" w:rsidR="00C63652" w:rsidRPr="00C63652" w:rsidRDefault="00C63652" w:rsidP="00C63652">
      <w:pPr>
        <w:ind w:left="709" w:hanging="709"/>
        <w:jc w:val="both"/>
      </w:pPr>
    </w:p>
    <w:p w14:paraId="56C3AF15" w14:textId="77777777" w:rsidR="00106DDD" w:rsidRDefault="00106DDD" w:rsidP="00106DDD"/>
    <w:p w14:paraId="3CF4CA2A" w14:textId="77777777" w:rsidR="007D038D" w:rsidRDefault="007D038D" w:rsidP="007D038D">
      <w:pPr>
        <w:ind w:left="720" w:hanging="720"/>
        <w:rPr>
          <w:rFonts w:ascii="Arial" w:hAnsi="Arial" w:cs="Arial"/>
          <w:color w:val="222222"/>
          <w:sz w:val="20"/>
          <w:szCs w:val="20"/>
          <w:shd w:val="clear" w:color="auto" w:fill="FFFFFF"/>
        </w:rPr>
      </w:pPr>
    </w:p>
    <w:p w14:paraId="15FC8D8B" w14:textId="77777777" w:rsidR="007D038D" w:rsidRDefault="007D038D" w:rsidP="007D038D">
      <w:pPr>
        <w:ind w:left="720" w:hanging="720"/>
        <w:rPr>
          <w:rFonts w:ascii="Arial" w:hAnsi="Arial" w:cs="Arial"/>
          <w:color w:val="222222"/>
          <w:sz w:val="20"/>
          <w:szCs w:val="20"/>
          <w:shd w:val="clear" w:color="auto" w:fill="FFFFFF"/>
        </w:rPr>
      </w:pPr>
    </w:p>
    <w:p w14:paraId="14CED0A3" w14:textId="77777777" w:rsidR="007D038D" w:rsidRDefault="007D038D" w:rsidP="007D038D">
      <w:pPr>
        <w:ind w:left="720" w:hanging="720"/>
        <w:rPr>
          <w:rFonts w:ascii="Arial" w:hAnsi="Arial" w:cs="Arial"/>
          <w:color w:val="222222"/>
          <w:sz w:val="20"/>
          <w:szCs w:val="20"/>
          <w:shd w:val="clear" w:color="auto" w:fill="FFFFFF"/>
        </w:rPr>
      </w:pPr>
    </w:p>
    <w:p w14:paraId="5D26A719" w14:textId="77777777" w:rsidR="007D038D" w:rsidRDefault="007D038D" w:rsidP="007D038D">
      <w:pPr>
        <w:ind w:left="720" w:hanging="720"/>
        <w:rPr>
          <w:rFonts w:ascii="Arial" w:hAnsi="Arial" w:cs="Arial"/>
          <w:color w:val="222222"/>
          <w:sz w:val="20"/>
          <w:szCs w:val="20"/>
          <w:shd w:val="clear" w:color="auto" w:fill="FFFFFF"/>
        </w:rPr>
      </w:pPr>
    </w:p>
    <w:p w14:paraId="2EE55887" w14:textId="77777777" w:rsidR="007D038D" w:rsidRDefault="007D038D" w:rsidP="007D038D">
      <w:pPr>
        <w:ind w:left="720" w:hanging="720"/>
      </w:pPr>
    </w:p>
    <w:p w14:paraId="2F8202D8" w14:textId="77777777" w:rsidR="007D038D" w:rsidRDefault="007D038D" w:rsidP="007D038D">
      <w:pPr>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Adanu</w:t>
      </w:r>
      <w:proofErr w:type="spellEnd"/>
      <w:r>
        <w:rPr>
          <w:rFonts w:ascii="Arial" w:hAnsi="Arial" w:cs="Arial"/>
          <w:color w:val="222222"/>
          <w:sz w:val="20"/>
          <w:szCs w:val="20"/>
          <w:shd w:val="clear" w:color="auto" w:fill="FFFFFF"/>
        </w:rPr>
        <w:t>, K. (2024). Staff development and commitment in Nigerian colleges of education: a pathway to institutional success. </w:t>
      </w:r>
      <w:r>
        <w:rPr>
          <w:rFonts w:ascii="Arial" w:hAnsi="Arial" w:cs="Arial"/>
          <w:i/>
          <w:iCs/>
          <w:color w:val="222222"/>
          <w:sz w:val="20"/>
          <w:szCs w:val="20"/>
          <w:shd w:val="clear" w:color="auto" w:fill="FFFFFF"/>
        </w:rPr>
        <w:t>Bulletin of Islamic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w:t>
      </w:r>
      <w:r>
        <w:rPr>
          <w:rFonts w:ascii="Arial" w:hAnsi="Arial" w:cs="Arial"/>
          <w:color w:val="222222"/>
          <w:sz w:val="20"/>
          <w:szCs w:val="20"/>
          <w:shd w:val="clear" w:color="auto" w:fill="FFFFFF"/>
        </w:rPr>
        <w:t xml:space="preserve">(4), 653-676. </w:t>
      </w:r>
      <w:hyperlink r:id="rId11" w:history="1">
        <w:r w:rsidRPr="0096419B">
          <w:rPr>
            <w:rStyle w:val="Hyperlink"/>
            <w:rFonts w:ascii="Arial" w:hAnsi="Arial" w:cs="Arial"/>
            <w:sz w:val="20"/>
            <w:szCs w:val="20"/>
            <w:shd w:val="clear" w:color="auto" w:fill="FFFFFF"/>
          </w:rPr>
          <w:t>http://birjournal.com/index.php/bir/article/download/158/180</w:t>
        </w:r>
      </w:hyperlink>
    </w:p>
    <w:p w14:paraId="29B3DD1B" w14:textId="77777777" w:rsidR="007D038D" w:rsidRDefault="007D038D" w:rsidP="007D038D">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Al </w:t>
      </w:r>
      <w:proofErr w:type="spellStart"/>
      <w:r>
        <w:rPr>
          <w:rFonts w:ascii="Arial" w:hAnsi="Arial" w:cs="Arial"/>
          <w:color w:val="222222"/>
          <w:sz w:val="20"/>
          <w:szCs w:val="20"/>
          <w:shd w:val="clear" w:color="auto" w:fill="FFFFFF"/>
        </w:rPr>
        <w:t>Sulaimi</w:t>
      </w:r>
      <w:proofErr w:type="spellEnd"/>
      <w:r>
        <w:rPr>
          <w:rFonts w:ascii="Arial" w:hAnsi="Arial" w:cs="Arial"/>
          <w:color w:val="222222"/>
          <w:sz w:val="20"/>
          <w:szCs w:val="20"/>
          <w:shd w:val="clear" w:color="auto" w:fill="FFFFFF"/>
        </w:rPr>
        <w:t xml:space="preserve">, H. A. H., &amp; bin </w:t>
      </w:r>
      <w:proofErr w:type="spellStart"/>
      <w:r>
        <w:rPr>
          <w:rFonts w:ascii="Arial" w:hAnsi="Arial" w:cs="Arial"/>
          <w:color w:val="222222"/>
          <w:sz w:val="20"/>
          <w:szCs w:val="20"/>
          <w:shd w:val="clear" w:color="auto" w:fill="FFFFFF"/>
        </w:rPr>
        <w:t>Jantan</w:t>
      </w:r>
      <w:proofErr w:type="spellEnd"/>
      <w:r>
        <w:rPr>
          <w:rFonts w:ascii="Arial" w:hAnsi="Arial" w:cs="Arial"/>
          <w:color w:val="222222"/>
          <w:sz w:val="20"/>
          <w:szCs w:val="20"/>
          <w:shd w:val="clear" w:color="auto" w:fill="FFFFFF"/>
        </w:rPr>
        <w:t>, M. D. (2024). Examining the effect compensation package, professional development, work stress, school leadership, and organizational support on female teacher job satisfaction in public schools of Muscat Oman. </w:t>
      </w:r>
      <w:r>
        <w:rPr>
          <w:rFonts w:ascii="Arial" w:hAnsi="Arial" w:cs="Arial"/>
          <w:i/>
          <w:iCs/>
          <w:color w:val="222222"/>
          <w:sz w:val="20"/>
          <w:szCs w:val="20"/>
          <w:shd w:val="clear" w:color="auto" w:fill="FFFFFF"/>
        </w:rPr>
        <w:t>Journal of Human Resource and Sustainability Studies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 xml:space="preserve">(2), 358-370. </w:t>
      </w:r>
      <w:hyperlink r:id="rId12" w:history="1">
        <w:r w:rsidRPr="0096419B">
          <w:rPr>
            <w:rStyle w:val="Hyperlink"/>
            <w:rFonts w:ascii="Arial" w:hAnsi="Arial" w:cs="Arial"/>
            <w:sz w:val="20"/>
            <w:szCs w:val="20"/>
            <w:shd w:val="clear" w:color="auto" w:fill="FFFFFF"/>
          </w:rPr>
          <w:t>https://www.scirp.org/journal/paperinformation?paperid=133921</w:t>
        </w:r>
      </w:hyperlink>
    </w:p>
    <w:p w14:paraId="743616F8" w14:textId="77777777" w:rsidR="007D038D" w:rsidRDefault="007D038D" w:rsidP="007D038D">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Al </w:t>
      </w:r>
      <w:proofErr w:type="spellStart"/>
      <w:r>
        <w:rPr>
          <w:rFonts w:ascii="Arial" w:hAnsi="Arial" w:cs="Arial"/>
          <w:color w:val="222222"/>
          <w:sz w:val="20"/>
          <w:szCs w:val="20"/>
          <w:shd w:val="clear" w:color="auto" w:fill="FFFFFF"/>
        </w:rPr>
        <w:t>Sulaimi</w:t>
      </w:r>
      <w:proofErr w:type="spellEnd"/>
      <w:r>
        <w:rPr>
          <w:rFonts w:ascii="Arial" w:hAnsi="Arial" w:cs="Arial"/>
          <w:color w:val="222222"/>
          <w:sz w:val="20"/>
          <w:szCs w:val="20"/>
          <w:shd w:val="clear" w:color="auto" w:fill="FFFFFF"/>
        </w:rPr>
        <w:t xml:space="preserve">, H. A. H., &amp; bin </w:t>
      </w:r>
      <w:proofErr w:type="spellStart"/>
      <w:r>
        <w:rPr>
          <w:rFonts w:ascii="Arial" w:hAnsi="Arial" w:cs="Arial"/>
          <w:color w:val="222222"/>
          <w:sz w:val="20"/>
          <w:szCs w:val="20"/>
          <w:shd w:val="clear" w:color="auto" w:fill="FFFFFF"/>
        </w:rPr>
        <w:t>Jantan</w:t>
      </w:r>
      <w:proofErr w:type="spellEnd"/>
      <w:r>
        <w:rPr>
          <w:rFonts w:ascii="Arial" w:hAnsi="Arial" w:cs="Arial"/>
          <w:color w:val="222222"/>
          <w:sz w:val="20"/>
          <w:szCs w:val="20"/>
          <w:shd w:val="clear" w:color="auto" w:fill="FFFFFF"/>
        </w:rPr>
        <w:t>, M. D. (2024). Examining the effect compensation package, professional development, work stress, school leadership, and organizational support on female teacher job satisfaction in public schools of Muscat Oman. </w:t>
      </w:r>
      <w:r>
        <w:rPr>
          <w:rFonts w:ascii="Arial" w:hAnsi="Arial" w:cs="Arial"/>
          <w:i/>
          <w:iCs/>
          <w:color w:val="222222"/>
          <w:sz w:val="20"/>
          <w:szCs w:val="20"/>
          <w:shd w:val="clear" w:color="auto" w:fill="FFFFFF"/>
        </w:rPr>
        <w:t>Journal of Human Resource and Sustainability Studies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 xml:space="preserve">(2), 358-370. </w:t>
      </w:r>
      <w:hyperlink r:id="rId13" w:history="1">
        <w:r w:rsidRPr="0096419B">
          <w:rPr>
            <w:rStyle w:val="Hyperlink"/>
            <w:rFonts w:ascii="Arial" w:hAnsi="Arial" w:cs="Arial"/>
            <w:sz w:val="20"/>
            <w:szCs w:val="20"/>
            <w:shd w:val="clear" w:color="auto" w:fill="FFFFFF"/>
          </w:rPr>
          <w:t>https://www.scirp.org/journal/paperinformation?paperid=133921</w:t>
        </w:r>
      </w:hyperlink>
    </w:p>
    <w:p w14:paraId="5A1C10D8" w14:textId="77777777" w:rsidR="007D038D" w:rsidRDefault="007D038D" w:rsidP="007D038D">
      <w:pPr>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Austinson</w:t>
      </w:r>
      <w:proofErr w:type="spellEnd"/>
      <w:r>
        <w:rPr>
          <w:rFonts w:ascii="Arial" w:hAnsi="Arial" w:cs="Arial"/>
          <w:color w:val="222222"/>
          <w:sz w:val="20"/>
          <w:szCs w:val="20"/>
          <w:shd w:val="clear" w:color="auto" w:fill="FFFFFF"/>
        </w:rPr>
        <w:t>, M. A. (2022). </w:t>
      </w:r>
      <w:r>
        <w:rPr>
          <w:rFonts w:ascii="Arial" w:hAnsi="Arial" w:cs="Arial"/>
          <w:i/>
          <w:iCs/>
          <w:color w:val="222222"/>
          <w:sz w:val="20"/>
          <w:szCs w:val="20"/>
          <w:shd w:val="clear" w:color="auto" w:fill="FFFFFF"/>
        </w:rPr>
        <w:t>Teachers’ Use of Boundary Management Tactics to Maintain Work-Life Balance</w:t>
      </w:r>
      <w:r>
        <w:rPr>
          <w:rFonts w:ascii="Arial" w:hAnsi="Arial" w:cs="Arial"/>
          <w:color w:val="222222"/>
          <w:sz w:val="20"/>
          <w:szCs w:val="20"/>
          <w:shd w:val="clear" w:color="auto" w:fill="FFFFFF"/>
        </w:rPr>
        <w:t xml:space="preserve">. Northwest Nazarene University. </w:t>
      </w:r>
      <w:hyperlink r:id="rId14" w:history="1">
        <w:r w:rsidRPr="0096419B">
          <w:rPr>
            <w:rStyle w:val="Hyperlink"/>
            <w:rFonts w:ascii="Arial" w:hAnsi="Arial" w:cs="Arial"/>
            <w:sz w:val="20"/>
            <w:szCs w:val="20"/>
            <w:shd w:val="clear" w:color="auto" w:fill="FFFFFF"/>
          </w:rPr>
          <w:t>https://search.proquest.com/openview/670354fcadcf863d486e9f92b0a23606/1?pq-origsite=gscholar&amp;cbl=18750&amp;diss=y</w:t>
        </w:r>
      </w:hyperlink>
    </w:p>
    <w:p w14:paraId="01BF05EA" w14:textId="77777777" w:rsidR="007D038D" w:rsidRDefault="007D038D" w:rsidP="007D038D">
      <w:pPr>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Badaruddin</w:t>
      </w:r>
      <w:proofErr w:type="spellEnd"/>
      <w:r>
        <w:rPr>
          <w:rFonts w:ascii="Arial" w:hAnsi="Arial" w:cs="Arial"/>
          <w:color w:val="222222"/>
          <w:sz w:val="20"/>
          <w:szCs w:val="20"/>
          <w:shd w:val="clear" w:color="auto" w:fill="FFFFFF"/>
        </w:rPr>
        <w:t xml:space="preserve">, B., </w:t>
      </w:r>
      <w:proofErr w:type="spellStart"/>
      <w:r>
        <w:rPr>
          <w:rFonts w:ascii="Arial" w:hAnsi="Arial" w:cs="Arial"/>
          <w:color w:val="222222"/>
          <w:sz w:val="20"/>
          <w:szCs w:val="20"/>
          <w:shd w:val="clear" w:color="auto" w:fill="FFFFFF"/>
        </w:rPr>
        <w:t>Surianto</w:t>
      </w:r>
      <w:proofErr w:type="spellEnd"/>
      <w:r>
        <w:rPr>
          <w:rFonts w:ascii="Arial" w:hAnsi="Arial" w:cs="Arial"/>
          <w:color w:val="222222"/>
          <w:sz w:val="20"/>
          <w:szCs w:val="20"/>
          <w:shd w:val="clear" w:color="auto" w:fill="FFFFFF"/>
        </w:rPr>
        <w:t xml:space="preserve">, S., &amp; </w:t>
      </w:r>
      <w:proofErr w:type="spellStart"/>
      <w:r>
        <w:rPr>
          <w:rFonts w:ascii="Arial" w:hAnsi="Arial" w:cs="Arial"/>
          <w:color w:val="222222"/>
          <w:sz w:val="20"/>
          <w:szCs w:val="20"/>
          <w:shd w:val="clear" w:color="auto" w:fill="FFFFFF"/>
        </w:rPr>
        <w:t>Fatmasari</w:t>
      </w:r>
      <w:proofErr w:type="spellEnd"/>
      <w:r>
        <w:rPr>
          <w:rFonts w:ascii="Arial" w:hAnsi="Arial" w:cs="Arial"/>
          <w:color w:val="222222"/>
          <w:sz w:val="20"/>
          <w:szCs w:val="20"/>
          <w:shd w:val="clear" w:color="auto" w:fill="FFFFFF"/>
        </w:rPr>
        <w:t>, F. (2024). Work-Life Balance and Professional Development: Their Impact on Employee Performance. </w:t>
      </w:r>
      <w:proofErr w:type="spellStart"/>
      <w:r>
        <w:rPr>
          <w:rFonts w:ascii="Arial" w:hAnsi="Arial" w:cs="Arial"/>
          <w:i/>
          <w:iCs/>
          <w:color w:val="222222"/>
          <w:sz w:val="20"/>
          <w:szCs w:val="20"/>
          <w:shd w:val="clear" w:color="auto" w:fill="FFFFFF"/>
        </w:rPr>
        <w:t>Paradoks</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Jurnal</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Ilmu</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Ekonomi</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w:t>
      </w:r>
      <w:r>
        <w:rPr>
          <w:rFonts w:ascii="Arial" w:hAnsi="Arial" w:cs="Arial"/>
          <w:color w:val="222222"/>
          <w:sz w:val="20"/>
          <w:szCs w:val="20"/>
          <w:shd w:val="clear" w:color="auto" w:fill="FFFFFF"/>
        </w:rPr>
        <w:t xml:space="preserve">(4), 409-424. </w:t>
      </w:r>
      <w:hyperlink r:id="rId15" w:history="1">
        <w:r w:rsidRPr="0096419B">
          <w:rPr>
            <w:rStyle w:val="Hyperlink"/>
            <w:rFonts w:ascii="Arial" w:hAnsi="Arial" w:cs="Arial"/>
            <w:sz w:val="20"/>
            <w:szCs w:val="20"/>
            <w:shd w:val="clear" w:color="auto" w:fill="FFFFFF"/>
          </w:rPr>
          <w:t>https://jurnal.feb-umi.id/index.php/PARADOKS/article/view/986</w:t>
        </w:r>
      </w:hyperlink>
    </w:p>
    <w:p w14:paraId="18529483" w14:textId="77777777" w:rsidR="007D038D" w:rsidRDefault="007D038D" w:rsidP="007D038D">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Baguio, M. P. A. B., &amp; Baguio, J. B. (2025). Professional Reputation and Service Efficacy of Teachers in Public Elementary Schools. </w:t>
      </w:r>
      <w:r>
        <w:rPr>
          <w:rFonts w:ascii="Arial" w:hAnsi="Arial" w:cs="Arial"/>
          <w:i/>
          <w:iCs/>
          <w:color w:val="222222"/>
          <w:sz w:val="20"/>
          <w:szCs w:val="20"/>
          <w:shd w:val="clear" w:color="auto" w:fill="FFFFFF"/>
        </w:rPr>
        <w:t>Asian Journal of Education and Social Studies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51</w:t>
      </w:r>
      <w:r>
        <w:rPr>
          <w:rFonts w:ascii="Arial" w:hAnsi="Arial" w:cs="Arial"/>
          <w:color w:val="222222"/>
          <w:sz w:val="20"/>
          <w:szCs w:val="20"/>
          <w:shd w:val="clear" w:color="auto" w:fill="FFFFFF"/>
        </w:rPr>
        <w:t xml:space="preserve">(1), 165-174. </w:t>
      </w:r>
      <w:hyperlink r:id="rId16" w:history="1">
        <w:r w:rsidRPr="0096419B">
          <w:rPr>
            <w:rStyle w:val="Hyperlink"/>
            <w:rFonts w:ascii="Arial" w:hAnsi="Arial" w:cs="Arial"/>
            <w:sz w:val="20"/>
            <w:szCs w:val="20"/>
            <w:shd w:val="clear" w:color="auto" w:fill="FFFFFF"/>
          </w:rPr>
          <w:t>https://hal.science/hal-04894432/</w:t>
        </w:r>
      </w:hyperlink>
    </w:p>
    <w:p w14:paraId="33182967" w14:textId="77777777" w:rsidR="007D038D" w:rsidRDefault="007D038D" w:rsidP="007D038D">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Barksdale, T. L. (2022). </w:t>
      </w:r>
      <w:r>
        <w:rPr>
          <w:rFonts w:ascii="Arial" w:hAnsi="Arial" w:cs="Arial"/>
          <w:i/>
          <w:iCs/>
          <w:color w:val="222222"/>
          <w:sz w:val="20"/>
          <w:szCs w:val="20"/>
          <w:shd w:val="clear" w:color="auto" w:fill="FFFFFF"/>
        </w:rPr>
        <w:t>A sense of belonging: An examination of the impact of leadership behaviors on teacher morale in rural middle schools</w:t>
      </w:r>
      <w:r>
        <w:rPr>
          <w:rFonts w:ascii="Arial" w:hAnsi="Arial" w:cs="Arial"/>
          <w:color w:val="222222"/>
          <w:sz w:val="20"/>
          <w:szCs w:val="20"/>
          <w:shd w:val="clear" w:color="auto" w:fill="FFFFFF"/>
        </w:rPr>
        <w:t xml:space="preserve"> (Doctoral dissertation, Gardner-Webb University). </w:t>
      </w:r>
      <w:hyperlink r:id="rId17" w:history="1">
        <w:r w:rsidRPr="0096419B">
          <w:rPr>
            <w:rStyle w:val="Hyperlink"/>
            <w:rFonts w:ascii="Arial" w:hAnsi="Arial" w:cs="Arial"/>
            <w:sz w:val="20"/>
            <w:szCs w:val="20"/>
            <w:shd w:val="clear" w:color="auto" w:fill="FFFFFF"/>
          </w:rPr>
          <w:t>https://search.proquest.com/openview/086f70300918cbdb14fefe170d94856a/1?pq-origsite=gscholar&amp;cbl=18750&amp;diss=y</w:t>
        </w:r>
      </w:hyperlink>
    </w:p>
    <w:p w14:paraId="40F92DA8" w14:textId="77777777" w:rsidR="007D038D" w:rsidRDefault="007D038D" w:rsidP="007D038D">
      <w:pPr>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Chigeda</w:t>
      </w:r>
      <w:proofErr w:type="spellEnd"/>
      <w:r>
        <w:rPr>
          <w:rFonts w:ascii="Arial" w:hAnsi="Arial" w:cs="Arial"/>
          <w:color w:val="222222"/>
          <w:sz w:val="20"/>
          <w:szCs w:val="20"/>
          <w:shd w:val="clear" w:color="auto" w:fill="FFFFFF"/>
        </w:rPr>
        <w:t xml:space="preserve">, F., </w:t>
      </w:r>
      <w:proofErr w:type="spellStart"/>
      <w:r>
        <w:rPr>
          <w:rFonts w:ascii="Arial" w:hAnsi="Arial" w:cs="Arial"/>
          <w:color w:val="222222"/>
          <w:sz w:val="20"/>
          <w:szCs w:val="20"/>
          <w:shd w:val="clear" w:color="auto" w:fill="FFFFFF"/>
        </w:rPr>
        <w:t>Ndofirepi</w:t>
      </w:r>
      <w:proofErr w:type="spellEnd"/>
      <w:r>
        <w:rPr>
          <w:rFonts w:ascii="Arial" w:hAnsi="Arial" w:cs="Arial"/>
          <w:color w:val="222222"/>
          <w:sz w:val="20"/>
          <w:szCs w:val="20"/>
          <w:shd w:val="clear" w:color="auto" w:fill="FFFFFF"/>
        </w:rPr>
        <w:t>, T. M., &amp; Steyn, R. (2022). Continuance in organizational commitment: The role of emotional intelligence, work</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life balance support, and work</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related stress. </w:t>
      </w:r>
      <w:r>
        <w:rPr>
          <w:rFonts w:ascii="Arial" w:hAnsi="Arial" w:cs="Arial"/>
          <w:i/>
          <w:iCs/>
          <w:color w:val="222222"/>
          <w:sz w:val="20"/>
          <w:szCs w:val="20"/>
          <w:shd w:val="clear" w:color="auto" w:fill="FFFFFF"/>
        </w:rPr>
        <w:t>Global Business and Organizational Excellence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42</w:t>
      </w:r>
      <w:r>
        <w:rPr>
          <w:rFonts w:ascii="Arial" w:hAnsi="Arial" w:cs="Arial"/>
          <w:color w:val="222222"/>
          <w:sz w:val="20"/>
          <w:szCs w:val="20"/>
          <w:shd w:val="clear" w:color="auto" w:fill="FFFFFF"/>
        </w:rPr>
        <w:t xml:space="preserve">(1), 22-38. </w:t>
      </w:r>
      <w:hyperlink r:id="rId18" w:history="1">
        <w:r w:rsidRPr="0096419B">
          <w:rPr>
            <w:rStyle w:val="Hyperlink"/>
            <w:rFonts w:ascii="Arial" w:hAnsi="Arial" w:cs="Arial"/>
            <w:sz w:val="20"/>
            <w:szCs w:val="20"/>
            <w:shd w:val="clear" w:color="auto" w:fill="FFFFFF"/>
          </w:rPr>
          <w:t>https://onlinelibrary.wiley.com/doi/abs/10.1002/joe.22172</w:t>
        </w:r>
      </w:hyperlink>
    </w:p>
    <w:p w14:paraId="32596CAF" w14:textId="77777777" w:rsidR="007D038D" w:rsidRDefault="007D038D" w:rsidP="007D038D">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Domingo, C. R., Gerber, N. C., Harris, D., Mamo, L., Pasion, S. G., </w:t>
      </w:r>
      <w:proofErr w:type="spellStart"/>
      <w:r>
        <w:rPr>
          <w:rFonts w:ascii="Arial" w:hAnsi="Arial" w:cs="Arial"/>
          <w:color w:val="222222"/>
          <w:sz w:val="20"/>
          <w:szCs w:val="20"/>
          <w:shd w:val="clear" w:color="auto" w:fill="FFFFFF"/>
        </w:rPr>
        <w:t>Rebanal</w:t>
      </w:r>
      <w:proofErr w:type="spellEnd"/>
      <w:r>
        <w:rPr>
          <w:rFonts w:ascii="Arial" w:hAnsi="Arial" w:cs="Arial"/>
          <w:color w:val="222222"/>
          <w:sz w:val="20"/>
          <w:szCs w:val="20"/>
          <w:shd w:val="clear" w:color="auto" w:fill="FFFFFF"/>
        </w:rPr>
        <w:t>, R. D., &amp; Rosser, S. V. (2022). More service or more advancement: Institutional barriers to academic success for women and women of color faculty at a large public comprehensive minority-serving state university. </w:t>
      </w:r>
      <w:r>
        <w:rPr>
          <w:rFonts w:ascii="Arial" w:hAnsi="Arial" w:cs="Arial"/>
          <w:i/>
          <w:iCs/>
          <w:color w:val="222222"/>
          <w:sz w:val="20"/>
          <w:szCs w:val="20"/>
          <w:shd w:val="clear" w:color="auto" w:fill="FFFFFF"/>
        </w:rPr>
        <w:t>Journal of Diversity in Higher Education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w:t>
      </w:r>
      <w:r>
        <w:rPr>
          <w:rFonts w:ascii="Arial" w:hAnsi="Arial" w:cs="Arial"/>
          <w:color w:val="222222"/>
          <w:sz w:val="20"/>
          <w:szCs w:val="20"/>
          <w:shd w:val="clear" w:color="auto" w:fill="FFFFFF"/>
        </w:rPr>
        <w:t xml:space="preserve">(3), 365. </w:t>
      </w:r>
      <w:hyperlink r:id="rId19" w:history="1">
        <w:r w:rsidRPr="0096419B">
          <w:rPr>
            <w:rStyle w:val="Hyperlink"/>
            <w:rFonts w:ascii="Arial" w:hAnsi="Arial" w:cs="Arial"/>
            <w:sz w:val="20"/>
            <w:szCs w:val="20"/>
            <w:shd w:val="clear" w:color="auto" w:fill="FFFFFF"/>
          </w:rPr>
          <w:t>https://psycnet.apa.org/fulltext/2020-72084-001.html</w:t>
        </w:r>
      </w:hyperlink>
    </w:p>
    <w:p w14:paraId="2BAB4992" w14:textId="77777777" w:rsidR="007D038D" w:rsidRDefault="007D038D" w:rsidP="007D038D">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Gómez-Borges, A., </w:t>
      </w:r>
      <w:proofErr w:type="spellStart"/>
      <w:r>
        <w:rPr>
          <w:rFonts w:ascii="Arial" w:hAnsi="Arial" w:cs="Arial"/>
          <w:color w:val="222222"/>
          <w:sz w:val="20"/>
          <w:szCs w:val="20"/>
          <w:shd w:val="clear" w:color="auto" w:fill="FFFFFF"/>
        </w:rPr>
        <w:t>Zuberbühler</w:t>
      </w:r>
      <w:proofErr w:type="spellEnd"/>
      <w:r>
        <w:rPr>
          <w:rFonts w:ascii="Arial" w:hAnsi="Arial" w:cs="Arial"/>
          <w:color w:val="222222"/>
          <w:sz w:val="20"/>
          <w:szCs w:val="20"/>
          <w:shd w:val="clear" w:color="auto" w:fill="FFFFFF"/>
        </w:rPr>
        <w:t xml:space="preserve">, M. J. P., Martínez, I. M., &amp; </w:t>
      </w:r>
      <w:proofErr w:type="spellStart"/>
      <w:r>
        <w:rPr>
          <w:rFonts w:ascii="Arial" w:hAnsi="Arial" w:cs="Arial"/>
          <w:color w:val="222222"/>
          <w:sz w:val="20"/>
          <w:szCs w:val="20"/>
          <w:shd w:val="clear" w:color="auto" w:fill="FFFFFF"/>
        </w:rPr>
        <w:t>Salanova</w:t>
      </w:r>
      <w:proofErr w:type="spellEnd"/>
      <w:r>
        <w:rPr>
          <w:rFonts w:ascii="Arial" w:hAnsi="Arial" w:cs="Arial"/>
          <w:color w:val="222222"/>
          <w:sz w:val="20"/>
          <w:szCs w:val="20"/>
          <w:shd w:val="clear" w:color="auto" w:fill="FFFFFF"/>
        </w:rPr>
        <w:t>, M. (2022). Self-care at work matters: How job and personal resources mediate between self-care and psychological well-being. </w:t>
      </w:r>
      <w:proofErr w:type="spellStart"/>
      <w:r>
        <w:rPr>
          <w:rFonts w:ascii="Arial" w:hAnsi="Arial" w:cs="Arial"/>
          <w:i/>
          <w:iCs/>
          <w:color w:val="222222"/>
          <w:sz w:val="20"/>
          <w:szCs w:val="20"/>
          <w:shd w:val="clear" w:color="auto" w:fill="FFFFFF"/>
        </w:rPr>
        <w:t>Revista</w:t>
      </w:r>
      <w:proofErr w:type="spellEnd"/>
      <w:r>
        <w:rPr>
          <w:rFonts w:ascii="Arial" w:hAnsi="Arial" w:cs="Arial"/>
          <w:i/>
          <w:iCs/>
          <w:color w:val="222222"/>
          <w:sz w:val="20"/>
          <w:szCs w:val="20"/>
          <w:shd w:val="clear" w:color="auto" w:fill="FFFFFF"/>
        </w:rPr>
        <w:t xml:space="preserve"> de </w:t>
      </w:r>
      <w:proofErr w:type="spellStart"/>
      <w:r>
        <w:rPr>
          <w:rFonts w:ascii="Arial" w:hAnsi="Arial" w:cs="Arial"/>
          <w:i/>
          <w:iCs/>
          <w:color w:val="222222"/>
          <w:sz w:val="20"/>
          <w:szCs w:val="20"/>
          <w:shd w:val="clear" w:color="auto" w:fill="FFFFFF"/>
        </w:rPr>
        <w:t>Psicología</w:t>
      </w:r>
      <w:proofErr w:type="spellEnd"/>
      <w:r>
        <w:rPr>
          <w:rFonts w:ascii="Arial" w:hAnsi="Arial" w:cs="Arial"/>
          <w:i/>
          <w:iCs/>
          <w:color w:val="222222"/>
          <w:sz w:val="20"/>
          <w:szCs w:val="20"/>
          <w:shd w:val="clear" w:color="auto" w:fill="FFFFFF"/>
        </w:rPr>
        <w:t xml:space="preserve"> del </w:t>
      </w:r>
      <w:proofErr w:type="spellStart"/>
      <w:r>
        <w:rPr>
          <w:rFonts w:ascii="Arial" w:hAnsi="Arial" w:cs="Arial"/>
          <w:i/>
          <w:iCs/>
          <w:color w:val="222222"/>
          <w:sz w:val="20"/>
          <w:szCs w:val="20"/>
          <w:shd w:val="clear" w:color="auto" w:fill="FFFFFF"/>
        </w:rPr>
        <w:t>Trabajo</w:t>
      </w:r>
      <w:proofErr w:type="spellEnd"/>
      <w:r>
        <w:rPr>
          <w:rFonts w:ascii="Arial" w:hAnsi="Arial" w:cs="Arial"/>
          <w:i/>
          <w:iCs/>
          <w:color w:val="222222"/>
          <w:sz w:val="20"/>
          <w:szCs w:val="20"/>
          <w:shd w:val="clear" w:color="auto" w:fill="FFFFFF"/>
        </w:rPr>
        <w:t xml:space="preserve"> y de las </w:t>
      </w:r>
      <w:proofErr w:type="spellStart"/>
      <w:r>
        <w:rPr>
          <w:rFonts w:ascii="Arial" w:hAnsi="Arial" w:cs="Arial"/>
          <w:i/>
          <w:iCs/>
          <w:color w:val="222222"/>
          <w:sz w:val="20"/>
          <w:szCs w:val="20"/>
          <w:shd w:val="clear" w:color="auto" w:fill="FFFFFF"/>
        </w:rPr>
        <w:t>Organizaciones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38</w:t>
      </w:r>
      <w:r>
        <w:rPr>
          <w:rFonts w:ascii="Arial" w:hAnsi="Arial" w:cs="Arial"/>
          <w:color w:val="222222"/>
          <w:sz w:val="20"/>
          <w:szCs w:val="20"/>
          <w:shd w:val="clear" w:color="auto" w:fill="FFFFFF"/>
        </w:rPr>
        <w:t xml:space="preserve">(3), 231-239. </w:t>
      </w:r>
      <w:hyperlink r:id="rId20" w:history="1">
        <w:r w:rsidRPr="0096419B">
          <w:rPr>
            <w:rStyle w:val="Hyperlink"/>
            <w:rFonts w:ascii="Arial" w:hAnsi="Arial" w:cs="Arial"/>
            <w:sz w:val="20"/>
            <w:szCs w:val="20"/>
            <w:shd w:val="clear" w:color="auto" w:fill="FFFFFF"/>
          </w:rPr>
          <w:t>https://www.redalyc.org/journal/2313/231374563009/231374563009.pdf</w:t>
        </w:r>
      </w:hyperlink>
    </w:p>
    <w:p w14:paraId="65323144" w14:textId="77777777" w:rsidR="007D038D" w:rsidRDefault="007D038D" w:rsidP="007D038D">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Herrera, G., Vera, L., Pérez-</w:t>
      </w:r>
      <w:proofErr w:type="spellStart"/>
      <w:r>
        <w:rPr>
          <w:rFonts w:ascii="Arial" w:hAnsi="Arial" w:cs="Arial"/>
          <w:color w:val="222222"/>
          <w:sz w:val="20"/>
          <w:szCs w:val="20"/>
          <w:shd w:val="clear" w:color="auto" w:fill="FFFFFF"/>
        </w:rPr>
        <w:t>Fuster</w:t>
      </w:r>
      <w:proofErr w:type="spellEnd"/>
      <w:r>
        <w:rPr>
          <w:rFonts w:ascii="Arial" w:hAnsi="Arial" w:cs="Arial"/>
          <w:color w:val="222222"/>
          <w:sz w:val="20"/>
          <w:szCs w:val="20"/>
          <w:shd w:val="clear" w:color="auto" w:fill="FFFFFF"/>
        </w:rPr>
        <w:t xml:space="preserve">, P., López-Fernández, A., López, Á., </w:t>
      </w:r>
      <w:proofErr w:type="spellStart"/>
      <w:r>
        <w:rPr>
          <w:rFonts w:ascii="Arial" w:hAnsi="Arial" w:cs="Arial"/>
          <w:color w:val="222222"/>
          <w:sz w:val="20"/>
          <w:szCs w:val="20"/>
          <w:shd w:val="clear" w:color="auto" w:fill="FFFFFF"/>
        </w:rPr>
        <w:t>Savaş-Taşkesen</w:t>
      </w:r>
      <w:proofErr w:type="spellEnd"/>
      <w:r>
        <w:rPr>
          <w:rFonts w:ascii="Arial" w:hAnsi="Arial" w:cs="Arial"/>
          <w:color w:val="222222"/>
          <w:sz w:val="20"/>
          <w:szCs w:val="20"/>
          <w:shd w:val="clear" w:color="auto" w:fill="FFFFFF"/>
        </w:rPr>
        <w:t xml:space="preserve">, Ü., &amp; </w:t>
      </w:r>
      <w:proofErr w:type="spellStart"/>
      <w:r>
        <w:rPr>
          <w:rFonts w:ascii="Arial" w:hAnsi="Arial" w:cs="Arial"/>
          <w:color w:val="222222"/>
          <w:sz w:val="20"/>
          <w:szCs w:val="20"/>
          <w:shd w:val="clear" w:color="auto" w:fill="FFFFFF"/>
        </w:rPr>
        <w:t>Newbutt</w:t>
      </w:r>
      <w:proofErr w:type="spellEnd"/>
      <w:r>
        <w:rPr>
          <w:rFonts w:ascii="Arial" w:hAnsi="Arial" w:cs="Arial"/>
          <w:color w:val="222222"/>
          <w:sz w:val="20"/>
          <w:szCs w:val="20"/>
          <w:shd w:val="clear" w:color="auto" w:fill="FFFFFF"/>
        </w:rPr>
        <w:t xml:space="preserve">, N. (2024). Multisite usability and safety trial of an immersive virtual reality implementation of a work organization system for autistic learners: </w:t>
      </w:r>
      <w:r>
        <w:rPr>
          <w:rFonts w:ascii="Arial" w:hAnsi="Arial" w:cs="Arial"/>
          <w:color w:val="222222"/>
          <w:sz w:val="20"/>
          <w:szCs w:val="20"/>
          <w:shd w:val="clear" w:color="auto" w:fill="FFFFFF"/>
        </w:rPr>
        <w:lastRenderedPageBreak/>
        <w:t>implications for technology design. </w:t>
      </w:r>
      <w:r>
        <w:rPr>
          <w:rFonts w:ascii="Arial" w:hAnsi="Arial" w:cs="Arial"/>
          <w:i/>
          <w:iCs/>
          <w:color w:val="222222"/>
          <w:sz w:val="20"/>
          <w:szCs w:val="20"/>
          <w:shd w:val="clear" w:color="auto" w:fill="FFFFFF"/>
        </w:rPr>
        <w:t>Educational technology research and development</w:t>
      </w:r>
      <w:r>
        <w:rPr>
          <w:rFonts w:ascii="Arial" w:hAnsi="Arial" w:cs="Arial"/>
          <w:color w:val="222222"/>
          <w:sz w:val="20"/>
          <w:szCs w:val="20"/>
          <w:shd w:val="clear" w:color="auto" w:fill="FFFFFF"/>
        </w:rPr>
        <w:t xml:space="preserve">, 1-25. </w:t>
      </w:r>
      <w:hyperlink r:id="rId21" w:history="1">
        <w:r w:rsidRPr="0096419B">
          <w:rPr>
            <w:rStyle w:val="Hyperlink"/>
            <w:rFonts w:ascii="Arial" w:hAnsi="Arial" w:cs="Arial"/>
            <w:sz w:val="20"/>
            <w:szCs w:val="20"/>
            <w:shd w:val="clear" w:color="auto" w:fill="FFFFFF"/>
          </w:rPr>
          <w:t>https://link.springer.com/article/10.1007/s11423-024-10422-5</w:t>
        </w:r>
      </w:hyperlink>
    </w:p>
    <w:p w14:paraId="5198E5A1" w14:textId="77777777" w:rsidR="007D038D" w:rsidRDefault="007D038D" w:rsidP="007D038D">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Huang, W., Zhang, S., &amp; Li, H. (2023). Effects of person-job fit on occupational commitment among kindergarten teachers: Occupational well-being as mediator and perceived organizational support as moderator. </w:t>
      </w:r>
      <w:r>
        <w:rPr>
          <w:rFonts w:ascii="Arial" w:hAnsi="Arial" w:cs="Arial"/>
          <w:i/>
          <w:iCs/>
          <w:color w:val="222222"/>
          <w:sz w:val="20"/>
          <w:szCs w:val="20"/>
          <w:shd w:val="clear" w:color="auto" w:fill="FFFFFF"/>
        </w:rPr>
        <w:t>BMC psychology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w:t>
      </w:r>
      <w:r>
        <w:rPr>
          <w:rFonts w:ascii="Arial" w:hAnsi="Arial" w:cs="Arial"/>
          <w:color w:val="222222"/>
          <w:sz w:val="20"/>
          <w:szCs w:val="20"/>
          <w:shd w:val="clear" w:color="auto" w:fill="FFFFFF"/>
        </w:rPr>
        <w:t xml:space="preserve">(1), 402. </w:t>
      </w:r>
      <w:hyperlink r:id="rId22" w:history="1">
        <w:r w:rsidRPr="0096419B">
          <w:rPr>
            <w:rStyle w:val="Hyperlink"/>
            <w:rFonts w:ascii="Arial" w:hAnsi="Arial" w:cs="Arial"/>
            <w:sz w:val="20"/>
            <w:szCs w:val="20"/>
            <w:shd w:val="clear" w:color="auto" w:fill="FFFFFF"/>
          </w:rPr>
          <w:t>https://link.springer.com/article/10.1186/s40359-023-01441-7</w:t>
        </w:r>
      </w:hyperlink>
    </w:p>
    <w:p w14:paraId="71AE28DA" w14:textId="77777777" w:rsidR="007D038D" w:rsidRDefault="007D038D" w:rsidP="007D038D">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Ilyas, S., Abid, G., &amp; Ashfaq, F. (2023). The impact of perceived organizational support on professional commitment: a moderation of burnout and mediation of well-being. </w:t>
      </w:r>
      <w:r>
        <w:rPr>
          <w:rFonts w:ascii="Arial" w:hAnsi="Arial" w:cs="Arial"/>
          <w:i/>
          <w:iCs/>
          <w:color w:val="222222"/>
          <w:sz w:val="20"/>
          <w:szCs w:val="20"/>
          <w:shd w:val="clear" w:color="auto" w:fill="FFFFFF"/>
        </w:rPr>
        <w:t>International Journal of Sociology and Social Policy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43</w:t>
      </w:r>
      <w:r>
        <w:rPr>
          <w:rFonts w:ascii="Arial" w:hAnsi="Arial" w:cs="Arial"/>
          <w:color w:val="222222"/>
          <w:sz w:val="20"/>
          <w:szCs w:val="20"/>
          <w:shd w:val="clear" w:color="auto" w:fill="FFFFFF"/>
        </w:rPr>
        <w:t xml:space="preserve">(7/8), 710-726. </w:t>
      </w:r>
      <w:hyperlink r:id="rId23" w:history="1">
        <w:r w:rsidRPr="0096419B">
          <w:rPr>
            <w:rStyle w:val="Hyperlink"/>
            <w:rFonts w:ascii="Arial" w:hAnsi="Arial" w:cs="Arial"/>
            <w:sz w:val="20"/>
            <w:szCs w:val="20"/>
            <w:shd w:val="clear" w:color="auto" w:fill="FFFFFF"/>
          </w:rPr>
          <w:t>https://www.emerald.com/insight/content/doi/10.1108/ijssp-06-2022-0170/full/html</w:t>
        </w:r>
      </w:hyperlink>
    </w:p>
    <w:p w14:paraId="41622B75" w14:textId="77777777" w:rsidR="007D038D" w:rsidRDefault="007D038D" w:rsidP="007D038D">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Iqbal, S., &amp; Ali, A. (2024). Education and professional development: Opportunities and challenges for in-service teachers: a review. </w:t>
      </w:r>
      <w:proofErr w:type="spellStart"/>
      <w:r>
        <w:rPr>
          <w:rFonts w:ascii="Arial" w:hAnsi="Arial" w:cs="Arial"/>
          <w:i/>
          <w:iCs/>
          <w:color w:val="222222"/>
          <w:sz w:val="20"/>
          <w:szCs w:val="20"/>
          <w:shd w:val="clear" w:color="auto" w:fill="FFFFFF"/>
        </w:rPr>
        <w:t>Gomal</w:t>
      </w:r>
      <w:proofErr w:type="spellEnd"/>
      <w:r>
        <w:rPr>
          <w:rFonts w:ascii="Arial" w:hAnsi="Arial" w:cs="Arial"/>
          <w:i/>
          <w:iCs/>
          <w:color w:val="222222"/>
          <w:sz w:val="20"/>
          <w:szCs w:val="20"/>
          <w:shd w:val="clear" w:color="auto" w:fill="FFFFFF"/>
        </w:rPr>
        <w:t xml:space="preserve"> University Journal of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40</w:t>
      </w:r>
      <w:r>
        <w:rPr>
          <w:rFonts w:ascii="Arial" w:hAnsi="Arial" w:cs="Arial"/>
          <w:color w:val="222222"/>
          <w:sz w:val="20"/>
          <w:szCs w:val="20"/>
          <w:shd w:val="clear" w:color="auto" w:fill="FFFFFF"/>
        </w:rPr>
        <w:t xml:space="preserve">(1), 117-133. </w:t>
      </w:r>
      <w:hyperlink r:id="rId24" w:history="1">
        <w:r w:rsidRPr="0096419B">
          <w:rPr>
            <w:rStyle w:val="Hyperlink"/>
            <w:rFonts w:ascii="Arial" w:hAnsi="Arial" w:cs="Arial"/>
            <w:sz w:val="20"/>
            <w:szCs w:val="20"/>
            <w:shd w:val="clear" w:color="auto" w:fill="FFFFFF"/>
          </w:rPr>
          <w:t>http://gujr.com.pk/index.php/GUJR/article/view/1660</w:t>
        </w:r>
      </w:hyperlink>
    </w:p>
    <w:p w14:paraId="6E29EF82" w14:textId="77777777" w:rsidR="007D038D" w:rsidRDefault="007D038D" w:rsidP="007D038D">
      <w:pPr>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Jusoh</w:t>
      </w:r>
      <w:proofErr w:type="spellEnd"/>
      <w:r>
        <w:rPr>
          <w:rFonts w:ascii="Arial" w:hAnsi="Arial" w:cs="Arial"/>
          <w:color w:val="222222"/>
          <w:sz w:val="20"/>
          <w:szCs w:val="20"/>
          <w:shd w:val="clear" w:color="auto" w:fill="FFFFFF"/>
        </w:rPr>
        <w:t xml:space="preserve">, R., </w:t>
      </w:r>
      <w:proofErr w:type="spellStart"/>
      <w:r>
        <w:rPr>
          <w:rFonts w:ascii="Arial" w:hAnsi="Arial" w:cs="Arial"/>
          <w:color w:val="222222"/>
          <w:sz w:val="20"/>
          <w:szCs w:val="20"/>
          <w:shd w:val="clear" w:color="auto" w:fill="FFFFFF"/>
        </w:rPr>
        <w:t>Dasuki</w:t>
      </w:r>
      <w:proofErr w:type="spellEnd"/>
      <w:r>
        <w:rPr>
          <w:rFonts w:ascii="Arial" w:hAnsi="Arial" w:cs="Arial"/>
          <w:color w:val="222222"/>
          <w:sz w:val="20"/>
          <w:szCs w:val="20"/>
          <w:shd w:val="clear" w:color="auto" w:fill="FFFFFF"/>
        </w:rPr>
        <w:t>, N. M., Shu, Q., &amp; Amram, A. (2024). Sustainable Leadership: Encouraging Teacher Performance and Classroom Excellence. </w:t>
      </w:r>
      <w:r>
        <w:rPr>
          <w:rFonts w:ascii="Arial" w:hAnsi="Arial" w:cs="Arial"/>
          <w:i/>
          <w:iCs/>
          <w:color w:val="222222"/>
          <w:sz w:val="20"/>
          <w:szCs w:val="20"/>
          <w:shd w:val="clear" w:color="auto" w:fill="FFFFFF"/>
        </w:rPr>
        <w:t>International Journal of Academic Research in Business and Social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w:t>
      </w:r>
      <w:r>
        <w:rPr>
          <w:rFonts w:ascii="Arial" w:hAnsi="Arial" w:cs="Arial"/>
          <w:color w:val="222222"/>
          <w:sz w:val="20"/>
          <w:szCs w:val="20"/>
          <w:shd w:val="clear" w:color="auto" w:fill="FFFFFF"/>
        </w:rPr>
        <w:t>(11), 2350-2359.</w:t>
      </w:r>
      <w:r w:rsidRPr="00FD4D0D">
        <w:t xml:space="preserve"> </w:t>
      </w:r>
      <w:r w:rsidRPr="00FD4D0D">
        <w:rPr>
          <w:rFonts w:ascii="Arial" w:hAnsi="Arial" w:cs="Arial"/>
          <w:color w:val="222222"/>
          <w:sz w:val="20"/>
          <w:szCs w:val="20"/>
          <w:shd w:val="clear" w:color="auto" w:fill="FFFFFF"/>
        </w:rPr>
        <w:t>https://kwpublications.com/papers_submitted/13386/sustainable-leadership-encouraging-teacher-performance-and-classroom-excellence.pdf</w:t>
      </w:r>
    </w:p>
    <w:p w14:paraId="59D63D6B" w14:textId="77777777" w:rsidR="007D038D" w:rsidRDefault="007D038D" w:rsidP="007D038D">
      <w:pPr>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Karsili</w:t>
      </w:r>
      <w:proofErr w:type="spellEnd"/>
      <w:r>
        <w:rPr>
          <w:rFonts w:ascii="Arial" w:hAnsi="Arial" w:cs="Arial"/>
          <w:color w:val="222222"/>
          <w:sz w:val="20"/>
          <w:szCs w:val="20"/>
          <w:shd w:val="clear" w:color="auto" w:fill="FFFFFF"/>
        </w:rPr>
        <w:t xml:space="preserve">, H., </w:t>
      </w:r>
      <w:proofErr w:type="spellStart"/>
      <w:r>
        <w:rPr>
          <w:rFonts w:ascii="Arial" w:hAnsi="Arial" w:cs="Arial"/>
          <w:color w:val="222222"/>
          <w:sz w:val="20"/>
          <w:szCs w:val="20"/>
          <w:shd w:val="clear" w:color="auto" w:fill="FFFFFF"/>
        </w:rPr>
        <w:t>Yesiltas</w:t>
      </w:r>
      <w:proofErr w:type="spellEnd"/>
      <w:r>
        <w:rPr>
          <w:rFonts w:ascii="Arial" w:hAnsi="Arial" w:cs="Arial"/>
          <w:color w:val="222222"/>
          <w:sz w:val="20"/>
          <w:szCs w:val="20"/>
          <w:shd w:val="clear" w:color="auto" w:fill="FFFFFF"/>
        </w:rPr>
        <w:t xml:space="preserve">, M., &amp; </w:t>
      </w:r>
      <w:proofErr w:type="spellStart"/>
      <w:r>
        <w:rPr>
          <w:rFonts w:ascii="Arial" w:hAnsi="Arial" w:cs="Arial"/>
          <w:color w:val="222222"/>
          <w:sz w:val="20"/>
          <w:szCs w:val="20"/>
          <w:shd w:val="clear" w:color="auto" w:fill="FFFFFF"/>
        </w:rPr>
        <w:t>Berberoglu</w:t>
      </w:r>
      <w:proofErr w:type="spellEnd"/>
      <w:r>
        <w:rPr>
          <w:rFonts w:ascii="Arial" w:hAnsi="Arial" w:cs="Arial"/>
          <w:color w:val="222222"/>
          <w:sz w:val="20"/>
          <w:szCs w:val="20"/>
          <w:shd w:val="clear" w:color="auto" w:fill="FFFFFF"/>
        </w:rPr>
        <w:t>, A. (2021). Workplace flexibility for sustainable career satisfaction: case of handling in the aviation sector in North Cyprus. </w:t>
      </w:r>
      <w:r>
        <w:rPr>
          <w:rFonts w:ascii="Arial" w:hAnsi="Arial" w:cs="Arial"/>
          <w:i/>
          <w:iCs/>
          <w:color w:val="222222"/>
          <w:sz w:val="20"/>
          <w:szCs w:val="20"/>
          <w:shd w:val="clear" w:color="auto" w:fill="FFFFFF"/>
        </w:rPr>
        <w:t>Sustainability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 xml:space="preserve">(12), 6878. </w:t>
      </w:r>
      <w:hyperlink r:id="rId25" w:history="1">
        <w:r w:rsidRPr="0096419B">
          <w:rPr>
            <w:rStyle w:val="Hyperlink"/>
            <w:rFonts w:ascii="Arial" w:hAnsi="Arial" w:cs="Arial"/>
            <w:sz w:val="20"/>
            <w:szCs w:val="20"/>
            <w:shd w:val="clear" w:color="auto" w:fill="FFFFFF"/>
          </w:rPr>
          <w:t>https://www.mdpi.com/2071-1050/13/12/6878</w:t>
        </w:r>
      </w:hyperlink>
    </w:p>
    <w:p w14:paraId="0AFF20FE" w14:textId="77777777" w:rsidR="007D038D" w:rsidRDefault="007D038D" w:rsidP="007D038D">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Khan, A. J. J., </w:t>
      </w:r>
      <w:proofErr w:type="spellStart"/>
      <w:r>
        <w:rPr>
          <w:rFonts w:ascii="Arial" w:hAnsi="Arial" w:cs="Arial"/>
          <w:color w:val="222222"/>
          <w:sz w:val="20"/>
          <w:szCs w:val="20"/>
          <w:shd w:val="clear" w:color="auto" w:fill="FFFFFF"/>
        </w:rPr>
        <w:t>Yar</w:t>
      </w:r>
      <w:proofErr w:type="spellEnd"/>
      <w:r>
        <w:rPr>
          <w:rFonts w:ascii="Arial" w:hAnsi="Arial" w:cs="Arial"/>
          <w:color w:val="222222"/>
          <w:sz w:val="20"/>
          <w:szCs w:val="20"/>
          <w:shd w:val="clear" w:color="auto" w:fill="FFFFFF"/>
        </w:rPr>
        <w:t xml:space="preserve">, S., Fayyaz, S., </w:t>
      </w:r>
      <w:proofErr w:type="spellStart"/>
      <w:r>
        <w:rPr>
          <w:rFonts w:ascii="Arial" w:hAnsi="Arial" w:cs="Arial"/>
          <w:color w:val="222222"/>
          <w:sz w:val="20"/>
          <w:szCs w:val="20"/>
          <w:shd w:val="clear" w:color="auto" w:fill="FFFFFF"/>
        </w:rPr>
        <w:t>Adamopoulos</w:t>
      </w:r>
      <w:proofErr w:type="spellEnd"/>
      <w:r>
        <w:rPr>
          <w:rFonts w:ascii="Arial" w:hAnsi="Arial" w:cs="Arial"/>
          <w:color w:val="222222"/>
          <w:sz w:val="20"/>
          <w:szCs w:val="20"/>
          <w:shd w:val="clear" w:color="auto" w:fill="FFFFFF"/>
        </w:rPr>
        <w:t xml:space="preserve">, I., </w:t>
      </w:r>
      <w:proofErr w:type="spellStart"/>
      <w:r>
        <w:rPr>
          <w:rFonts w:ascii="Arial" w:hAnsi="Arial" w:cs="Arial"/>
          <w:color w:val="222222"/>
          <w:sz w:val="20"/>
          <w:szCs w:val="20"/>
          <w:shd w:val="clear" w:color="auto" w:fill="FFFFFF"/>
        </w:rPr>
        <w:t>Syrou</w:t>
      </w:r>
      <w:proofErr w:type="spellEnd"/>
      <w:r>
        <w:rPr>
          <w:rFonts w:ascii="Arial" w:hAnsi="Arial" w:cs="Arial"/>
          <w:color w:val="222222"/>
          <w:sz w:val="20"/>
          <w:szCs w:val="20"/>
          <w:shd w:val="clear" w:color="auto" w:fill="FFFFFF"/>
        </w:rPr>
        <w:t xml:space="preserve">, N., &amp; Jahangir, A. (2024). From Pressure to Performance, and Health Risks Control: Occupational Stress Management and Employee Engagement in Higher Education. </w:t>
      </w:r>
      <w:hyperlink r:id="rId26" w:history="1">
        <w:r w:rsidRPr="0096419B">
          <w:rPr>
            <w:rStyle w:val="Hyperlink"/>
            <w:rFonts w:ascii="Arial" w:hAnsi="Arial" w:cs="Arial"/>
            <w:sz w:val="20"/>
            <w:szCs w:val="20"/>
            <w:shd w:val="clear" w:color="auto" w:fill="FFFFFF"/>
          </w:rPr>
          <w:t>https://www.researchgate.net/profile/Ioannis-Adamopoulos/publication/387116753_From_Pressure_to_Performance_and_Health_Risks_Control_Occupational_Stress_Management_and_Employee_Engagement_in_Higher_Education/links/676120472d60b863e276a447/From-Pressure-to-Performance-and-Health-Risks-Control-Occupational-Stress-Management-and-Employee-Engagement-in-Higher-Education.pdf</w:t>
        </w:r>
      </w:hyperlink>
    </w:p>
    <w:p w14:paraId="78A1720F" w14:textId="77777777" w:rsidR="007D038D" w:rsidRDefault="007D038D" w:rsidP="007D038D">
      <w:pPr>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Kiral</w:t>
      </w:r>
      <w:proofErr w:type="spellEnd"/>
      <w:r>
        <w:rPr>
          <w:rFonts w:ascii="Arial" w:hAnsi="Arial" w:cs="Arial"/>
          <w:color w:val="222222"/>
          <w:sz w:val="20"/>
          <w:szCs w:val="20"/>
          <w:shd w:val="clear" w:color="auto" w:fill="FFFFFF"/>
        </w:rPr>
        <w:t>, B. (2020). The relationship between the empowerment of teachers by school administrators and organizational commitments of teachers. </w:t>
      </w:r>
      <w:r>
        <w:rPr>
          <w:rFonts w:ascii="Arial" w:hAnsi="Arial" w:cs="Arial"/>
          <w:i/>
          <w:iCs/>
          <w:color w:val="222222"/>
          <w:sz w:val="20"/>
          <w:szCs w:val="20"/>
          <w:shd w:val="clear" w:color="auto" w:fill="FFFFFF"/>
        </w:rPr>
        <w:t>International Online Journal of Education and Teaching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w:t>
      </w:r>
      <w:r>
        <w:rPr>
          <w:rFonts w:ascii="Arial" w:hAnsi="Arial" w:cs="Arial"/>
          <w:color w:val="222222"/>
          <w:sz w:val="20"/>
          <w:szCs w:val="20"/>
          <w:shd w:val="clear" w:color="auto" w:fill="FFFFFF"/>
        </w:rPr>
        <w:t xml:space="preserve">(1), 248-265. </w:t>
      </w:r>
      <w:hyperlink r:id="rId27" w:history="1">
        <w:r w:rsidRPr="0096419B">
          <w:rPr>
            <w:rStyle w:val="Hyperlink"/>
            <w:rFonts w:ascii="Arial" w:hAnsi="Arial" w:cs="Arial"/>
            <w:sz w:val="20"/>
            <w:szCs w:val="20"/>
            <w:shd w:val="clear" w:color="auto" w:fill="FFFFFF"/>
          </w:rPr>
          <w:t>https://eric.ed.gov/?id=EJ1244261</w:t>
        </w:r>
      </w:hyperlink>
    </w:p>
    <w:p w14:paraId="64A195B8" w14:textId="77777777" w:rsidR="007D038D" w:rsidRDefault="007D038D" w:rsidP="007D038D">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MacLeod, L. (2020). Shaping professional development of educators: The role of school leaders. </w:t>
      </w:r>
      <w:r>
        <w:rPr>
          <w:rFonts w:ascii="Arial" w:hAnsi="Arial" w:cs="Arial"/>
          <w:i/>
          <w:iCs/>
          <w:color w:val="222222"/>
          <w:sz w:val="20"/>
          <w:szCs w:val="20"/>
          <w:shd w:val="clear" w:color="auto" w:fill="FFFFFF"/>
        </w:rPr>
        <w:t>Critical perspectives on teaching, learning and leadership: enhancing educational outcomes</w:t>
      </w:r>
      <w:r>
        <w:rPr>
          <w:rFonts w:ascii="Arial" w:hAnsi="Arial" w:cs="Arial"/>
          <w:color w:val="222222"/>
          <w:sz w:val="20"/>
          <w:szCs w:val="20"/>
          <w:shd w:val="clear" w:color="auto" w:fill="FFFFFF"/>
        </w:rPr>
        <w:t xml:space="preserve">, 189-217. </w:t>
      </w:r>
      <w:hyperlink r:id="rId28" w:history="1">
        <w:r w:rsidRPr="0096419B">
          <w:rPr>
            <w:rStyle w:val="Hyperlink"/>
            <w:rFonts w:ascii="Arial" w:hAnsi="Arial" w:cs="Arial"/>
            <w:sz w:val="20"/>
            <w:szCs w:val="20"/>
            <w:shd w:val="clear" w:color="auto" w:fill="FFFFFF"/>
          </w:rPr>
          <w:t>https://link.springer.com/chapter/10.1007/978-981-15-6667-7_10</w:t>
        </w:r>
      </w:hyperlink>
    </w:p>
    <w:p w14:paraId="25F99FD1" w14:textId="77777777" w:rsidR="007D038D" w:rsidRDefault="007D038D" w:rsidP="007D038D">
      <w:pPr>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Mohd</w:t>
      </w:r>
      <w:proofErr w:type="spellEnd"/>
      <w:r>
        <w:rPr>
          <w:rFonts w:ascii="Arial" w:hAnsi="Arial" w:cs="Arial"/>
          <w:color w:val="222222"/>
          <w:sz w:val="20"/>
          <w:szCs w:val="20"/>
          <w:shd w:val="clear" w:color="auto" w:fill="FFFFFF"/>
        </w:rPr>
        <w:t xml:space="preserve"> Sofian, D. B. A. (2024). Investigating the Essential Function of School Leadership in Nurturing Teacher Professional Advancement and Sustaining Long-Term Commitment. </w:t>
      </w:r>
      <w:r>
        <w:rPr>
          <w:rFonts w:ascii="Arial" w:hAnsi="Arial" w:cs="Arial"/>
          <w:i/>
          <w:iCs/>
          <w:color w:val="222222"/>
          <w:sz w:val="20"/>
          <w:szCs w:val="20"/>
          <w:shd w:val="clear" w:color="auto" w:fill="FFFFFF"/>
        </w:rPr>
        <w:t>Available at SSRN 4684813</w:t>
      </w:r>
      <w:r>
        <w:rPr>
          <w:rFonts w:ascii="Arial" w:hAnsi="Arial" w:cs="Arial"/>
          <w:color w:val="222222"/>
          <w:sz w:val="20"/>
          <w:szCs w:val="20"/>
          <w:shd w:val="clear" w:color="auto" w:fill="FFFFFF"/>
        </w:rPr>
        <w:t xml:space="preserve">. </w:t>
      </w:r>
      <w:hyperlink r:id="rId29" w:history="1">
        <w:r w:rsidRPr="0096419B">
          <w:rPr>
            <w:rStyle w:val="Hyperlink"/>
            <w:rFonts w:ascii="Arial" w:hAnsi="Arial" w:cs="Arial"/>
            <w:sz w:val="20"/>
            <w:szCs w:val="20"/>
            <w:shd w:val="clear" w:color="auto" w:fill="FFFFFF"/>
          </w:rPr>
          <w:t>https://papers.ssrn.com/sol3/papers.cfm?abstract_id=4684813</w:t>
        </w:r>
      </w:hyperlink>
    </w:p>
    <w:p w14:paraId="7474E4F2" w14:textId="77777777" w:rsidR="007D038D" w:rsidRDefault="007D038D" w:rsidP="007D038D">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Nassir, M., &amp; </w:t>
      </w:r>
      <w:proofErr w:type="spellStart"/>
      <w:r>
        <w:rPr>
          <w:rFonts w:ascii="Arial" w:hAnsi="Arial" w:cs="Arial"/>
          <w:color w:val="222222"/>
          <w:sz w:val="20"/>
          <w:szCs w:val="20"/>
          <w:shd w:val="clear" w:color="auto" w:fill="FFFFFF"/>
        </w:rPr>
        <w:t>Benoliel</w:t>
      </w:r>
      <w:proofErr w:type="spellEnd"/>
      <w:r>
        <w:rPr>
          <w:rFonts w:ascii="Arial" w:hAnsi="Arial" w:cs="Arial"/>
          <w:color w:val="222222"/>
          <w:sz w:val="20"/>
          <w:szCs w:val="20"/>
          <w:shd w:val="clear" w:color="auto" w:fill="FFFFFF"/>
        </w:rPr>
        <w:t xml:space="preserve">, P. (2025). Promoting school effectiveness: Examining the mediating role of teachers’ </w:t>
      </w:r>
      <w:proofErr w:type="spellStart"/>
      <w:r>
        <w:rPr>
          <w:rFonts w:ascii="Arial" w:hAnsi="Arial" w:cs="Arial"/>
          <w:color w:val="222222"/>
          <w:sz w:val="20"/>
          <w:szCs w:val="20"/>
          <w:shd w:val="clear" w:color="auto" w:fill="FFFFFF"/>
        </w:rPr>
        <w:t>organisational</w:t>
      </w:r>
      <w:proofErr w:type="spellEnd"/>
      <w:r>
        <w:rPr>
          <w:rFonts w:ascii="Arial" w:hAnsi="Arial" w:cs="Arial"/>
          <w:color w:val="222222"/>
          <w:sz w:val="20"/>
          <w:szCs w:val="20"/>
          <w:shd w:val="clear" w:color="auto" w:fill="FFFFFF"/>
        </w:rPr>
        <w:t xml:space="preserve"> commitment and the moderating role of school cultural attributes. </w:t>
      </w:r>
      <w:r>
        <w:rPr>
          <w:rFonts w:ascii="Arial" w:hAnsi="Arial" w:cs="Arial"/>
          <w:i/>
          <w:iCs/>
          <w:color w:val="222222"/>
          <w:sz w:val="20"/>
          <w:szCs w:val="20"/>
          <w:shd w:val="clear" w:color="auto" w:fill="FFFFFF"/>
        </w:rPr>
        <w:t>Educational Management Administration &amp; Leadership</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53</w:t>
      </w:r>
      <w:r>
        <w:rPr>
          <w:rFonts w:ascii="Arial" w:hAnsi="Arial" w:cs="Arial"/>
          <w:color w:val="222222"/>
          <w:sz w:val="20"/>
          <w:szCs w:val="20"/>
          <w:shd w:val="clear" w:color="auto" w:fill="FFFFFF"/>
        </w:rPr>
        <w:t xml:space="preserve">(2), 456-478. </w:t>
      </w:r>
      <w:hyperlink r:id="rId30" w:history="1">
        <w:r w:rsidRPr="0096419B">
          <w:rPr>
            <w:rStyle w:val="Hyperlink"/>
            <w:rFonts w:ascii="Arial" w:hAnsi="Arial" w:cs="Arial"/>
            <w:sz w:val="20"/>
            <w:szCs w:val="20"/>
            <w:shd w:val="clear" w:color="auto" w:fill="FFFFFF"/>
          </w:rPr>
          <w:t>https://journals.sagepub.com/doi/abs/10.1177/17411432231167715</w:t>
        </w:r>
      </w:hyperlink>
    </w:p>
    <w:p w14:paraId="438017D1" w14:textId="77777777" w:rsidR="007D038D" w:rsidRDefault="007D038D" w:rsidP="007D038D">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Peña, H. K. V. D., &amp; </w:t>
      </w:r>
      <w:proofErr w:type="spellStart"/>
      <w:r>
        <w:rPr>
          <w:rFonts w:ascii="Arial" w:hAnsi="Arial" w:cs="Arial"/>
          <w:color w:val="222222"/>
          <w:sz w:val="20"/>
          <w:szCs w:val="20"/>
          <w:shd w:val="clear" w:color="auto" w:fill="FFFFFF"/>
        </w:rPr>
        <w:t>Galigao</w:t>
      </w:r>
      <w:proofErr w:type="spellEnd"/>
      <w:r>
        <w:rPr>
          <w:rFonts w:ascii="Arial" w:hAnsi="Arial" w:cs="Arial"/>
          <w:color w:val="222222"/>
          <w:sz w:val="20"/>
          <w:szCs w:val="20"/>
          <w:shd w:val="clear" w:color="auto" w:fill="FFFFFF"/>
        </w:rPr>
        <w:t xml:space="preserve">, R. P. (2024). Bridging the divide: an analysis of demand and supply of education resources in various countries around the world. </w:t>
      </w:r>
      <w:hyperlink r:id="rId31" w:history="1">
        <w:r w:rsidRPr="0096419B">
          <w:rPr>
            <w:rStyle w:val="Hyperlink"/>
            <w:rFonts w:ascii="Arial" w:hAnsi="Arial" w:cs="Arial"/>
            <w:sz w:val="20"/>
            <w:szCs w:val="20"/>
            <w:shd w:val="clear" w:color="auto" w:fill="FFFFFF"/>
          </w:rPr>
          <w:t>https://www.researchgate.net/profile/Himeji-Ken-Dela-Pena/publication/385785457_Bridging_the_divide_an_analysis_of_demand_and_supply_of_education_resources_in_various_countries_around_the_world/links/6735464069c07a4114468bdc/Bridging-the-divide-an-analysis-of-demand-and-supply-of-education-resources-in-various-countries-around-the-world.pdf</w:t>
        </w:r>
      </w:hyperlink>
    </w:p>
    <w:p w14:paraId="241E892A" w14:textId="77777777" w:rsidR="007D038D" w:rsidRDefault="007D038D" w:rsidP="007D038D">
      <w:pPr>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lastRenderedPageBreak/>
        <w:t>Pregoner</w:t>
      </w:r>
      <w:proofErr w:type="spellEnd"/>
      <w:r>
        <w:rPr>
          <w:rFonts w:ascii="Arial" w:hAnsi="Arial" w:cs="Arial"/>
          <w:color w:val="222222"/>
          <w:sz w:val="20"/>
          <w:szCs w:val="20"/>
          <w:shd w:val="clear" w:color="auto" w:fill="FFFFFF"/>
        </w:rPr>
        <w:t xml:space="preserve">, J. D., </w:t>
      </w:r>
      <w:proofErr w:type="spellStart"/>
      <w:r>
        <w:rPr>
          <w:rFonts w:ascii="Arial" w:hAnsi="Arial" w:cs="Arial"/>
          <w:color w:val="222222"/>
          <w:sz w:val="20"/>
          <w:szCs w:val="20"/>
          <w:shd w:val="clear" w:color="auto" w:fill="FFFFFF"/>
        </w:rPr>
        <w:t>Leopardas</w:t>
      </w:r>
      <w:proofErr w:type="spellEnd"/>
      <w:r>
        <w:rPr>
          <w:rFonts w:ascii="Arial" w:hAnsi="Arial" w:cs="Arial"/>
          <w:color w:val="222222"/>
          <w:sz w:val="20"/>
          <w:szCs w:val="20"/>
          <w:shd w:val="clear" w:color="auto" w:fill="FFFFFF"/>
        </w:rPr>
        <w:t xml:space="preserve">, R., </w:t>
      </w:r>
      <w:proofErr w:type="spellStart"/>
      <w:r>
        <w:rPr>
          <w:rFonts w:ascii="Arial" w:hAnsi="Arial" w:cs="Arial"/>
          <w:color w:val="222222"/>
          <w:sz w:val="20"/>
          <w:szCs w:val="20"/>
          <w:shd w:val="clear" w:color="auto" w:fill="FFFFFF"/>
        </w:rPr>
        <w:t>Ganancial</w:t>
      </w:r>
      <w:proofErr w:type="spellEnd"/>
      <w:r>
        <w:rPr>
          <w:rFonts w:ascii="Arial" w:hAnsi="Arial" w:cs="Arial"/>
          <w:color w:val="222222"/>
          <w:sz w:val="20"/>
          <w:szCs w:val="20"/>
          <w:shd w:val="clear" w:color="auto" w:fill="FFFFFF"/>
        </w:rPr>
        <w:t xml:space="preserve">, I. J., </w:t>
      </w:r>
      <w:proofErr w:type="spellStart"/>
      <w:r>
        <w:rPr>
          <w:rFonts w:ascii="Arial" w:hAnsi="Arial" w:cs="Arial"/>
          <w:color w:val="222222"/>
          <w:sz w:val="20"/>
          <w:szCs w:val="20"/>
          <w:shd w:val="clear" w:color="auto" w:fill="FFFFFF"/>
        </w:rPr>
        <w:t>Baguhin</w:t>
      </w:r>
      <w:proofErr w:type="spellEnd"/>
      <w:r>
        <w:rPr>
          <w:rFonts w:ascii="Arial" w:hAnsi="Arial" w:cs="Arial"/>
          <w:color w:val="222222"/>
          <w:sz w:val="20"/>
          <w:szCs w:val="20"/>
          <w:shd w:val="clear" w:color="auto" w:fill="FFFFFF"/>
        </w:rPr>
        <w:t xml:space="preserve">, M., &amp; </w:t>
      </w:r>
      <w:proofErr w:type="spellStart"/>
      <w:r>
        <w:rPr>
          <w:rFonts w:ascii="Arial" w:hAnsi="Arial" w:cs="Arial"/>
          <w:color w:val="222222"/>
          <w:sz w:val="20"/>
          <w:szCs w:val="20"/>
          <w:shd w:val="clear" w:color="auto" w:fill="FFFFFF"/>
        </w:rPr>
        <w:t>Sedo</w:t>
      </w:r>
      <w:proofErr w:type="spellEnd"/>
      <w:r>
        <w:rPr>
          <w:rFonts w:ascii="Arial" w:hAnsi="Arial" w:cs="Arial"/>
          <w:color w:val="222222"/>
          <w:sz w:val="20"/>
          <w:szCs w:val="20"/>
          <w:shd w:val="clear" w:color="auto" w:fill="FFFFFF"/>
        </w:rPr>
        <w:t>, F. (2025). Ethical Issues in Conducting Research Using Human Participants in the Post-COVID Era. </w:t>
      </w:r>
      <w:r>
        <w:rPr>
          <w:rFonts w:ascii="Arial" w:hAnsi="Arial" w:cs="Arial"/>
          <w:i/>
          <w:iCs/>
          <w:color w:val="222222"/>
          <w:sz w:val="20"/>
          <w:szCs w:val="20"/>
          <w:shd w:val="clear" w:color="auto" w:fill="FFFFFF"/>
        </w:rPr>
        <w:t>IMCC Journal of 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 xml:space="preserve">(1), 1-9. </w:t>
      </w:r>
      <w:hyperlink r:id="rId32" w:history="1">
        <w:r w:rsidRPr="0096419B">
          <w:rPr>
            <w:rStyle w:val="Hyperlink"/>
            <w:rFonts w:ascii="Arial" w:hAnsi="Arial" w:cs="Arial"/>
            <w:sz w:val="20"/>
            <w:szCs w:val="20"/>
            <w:shd w:val="clear" w:color="auto" w:fill="FFFFFF"/>
          </w:rPr>
          <w:t>https://hal.science/hal-05073466/</w:t>
        </w:r>
      </w:hyperlink>
    </w:p>
    <w:p w14:paraId="4280DABD" w14:textId="77777777" w:rsidR="007D038D" w:rsidRDefault="007D038D" w:rsidP="007D038D">
      <w:pPr>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Sipahioglu</w:t>
      </w:r>
      <w:proofErr w:type="spellEnd"/>
      <w:r>
        <w:rPr>
          <w:rFonts w:ascii="Arial" w:hAnsi="Arial" w:cs="Arial"/>
          <w:color w:val="222222"/>
          <w:sz w:val="20"/>
          <w:szCs w:val="20"/>
          <w:shd w:val="clear" w:color="auto" w:fill="FFFFFF"/>
        </w:rPr>
        <w:t>, M. (2025). Effective Leadership Strategies for Enhancing Student Success in Higher Education: Insights for Administrators, Faculty, and Policymakers. In </w:t>
      </w:r>
      <w:r>
        <w:rPr>
          <w:rFonts w:ascii="Arial" w:hAnsi="Arial" w:cs="Arial"/>
          <w:i/>
          <w:iCs/>
          <w:color w:val="222222"/>
          <w:sz w:val="20"/>
          <w:szCs w:val="20"/>
          <w:shd w:val="clear" w:color="auto" w:fill="FFFFFF"/>
        </w:rPr>
        <w:t>Navigating Leadership and Policy Management in Education</w:t>
      </w:r>
      <w:r>
        <w:rPr>
          <w:rFonts w:ascii="Arial" w:hAnsi="Arial" w:cs="Arial"/>
          <w:color w:val="222222"/>
          <w:sz w:val="20"/>
          <w:szCs w:val="20"/>
          <w:shd w:val="clear" w:color="auto" w:fill="FFFFFF"/>
        </w:rPr>
        <w:t xml:space="preserve"> (pp. 169-202). IGI Global. </w:t>
      </w:r>
      <w:hyperlink r:id="rId33" w:history="1">
        <w:r w:rsidRPr="0096419B">
          <w:rPr>
            <w:rStyle w:val="Hyperlink"/>
            <w:rFonts w:ascii="Arial" w:hAnsi="Arial" w:cs="Arial"/>
            <w:sz w:val="20"/>
            <w:szCs w:val="20"/>
            <w:shd w:val="clear" w:color="auto" w:fill="FFFFFF"/>
          </w:rPr>
          <w:t>https://www.igi-global.com/chapter/effective-leadership-strategies-for-enhancing-student-success-in-higher-education/358395</w:t>
        </w:r>
      </w:hyperlink>
    </w:p>
    <w:p w14:paraId="64544D44" w14:textId="77777777" w:rsidR="007D038D" w:rsidRDefault="007D038D" w:rsidP="007D038D">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Stoddart, F. A. (2024). The Role of Flexible Work Arrangements in Mitigating Teacher Burnout Caused by Heavy Workloads in Urban Schools. </w:t>
      </w:r>
      <w:r>
        <w:rPr>
          <w:rFonts w:ascii="Arial" w:hAnsi="Arial" w:cs="Arial"/>
          <w:i/>
          <w:iCs/>
          <w:color w:val="222222"/>
          <w:sz w:val="20"/>
          <w:szCs w:val="20"/>
          <w:shd w:val="clear" w:color="auto" w:fill="FFFFFF"/>
        </w:rPr>
        <w:t>Research and Advances in Education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 xml:space="preserve">(12), 27-35. </w:t>
      </w:r>
      <w:hyperlink r:id="rId34" w:history="1">
        <w:r w:rsidRPr="0096419B">
          <w:rPr>
            <w:rStyle w:val="Hyperlink"/>
            <w:rFonts w:ascii="Arial" w:hAnsi="Arial" w:cs="Arial"/>
            <w:sz w:val="20"/>
            <w:szCs w:val="20"/>
            <w:shd w:val="clear" w:color="auto" w:fill="FFFFFF"/>
          </w:rPr>
          <w:t>https://www.paradigmpress.org/rae/article/view/1451</w:t>
        </w:r>
      </w:hyperlink>
    </w:p>
    <w:p w14:paraId="112503EC" w14:textId="77777777" w:rsidR="007D038D" w:rsidRDefault="007D038D" w:rsidP="007D038D">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Thompson, M. (2024). </w:t>
      </w:r>
      <w:r>
        <w:rPr>
          <w:rFonts w:ascii="Arial" w:hAnsi="Arial" w:cs="Arial"/>
          <w:i/>
          <w:iCs/>
          <w:color w:val="222222"/>
          <w:sz w:val="20"/>
          <w:szCs w:val="20"/>
          <w:shd w:val="clear" w:color="auto" w:fill="FFFFFF"/>
        </w:rPr>
        <w:t>Navigating Challenges with Tenacity: Examination of Early Childhood Teachers’ Perseverance for At-Risk Student Populations</w:t>
      </w:r>
      <w:r>
        <w:rPr>
          <w:rFonts w:ascii="Arial" w:hAnsi="Arial" w:cs="Arial"/>
          <w:color w:val="222222"/>
          <w:sz w:val="20"/>
          <w:szCs w:val="20"/>
          <w:shd w:val="clear" w:color="auto" w:fill="FFFFFF"/>
        </w:rPr>
        <w:t xml:space="preserve"> (Doctoral dissertation). </w:t>
      </w:r>
      <w:hyperlink r:id="rId35" w:history="1">
        <w:r w:rsidRPr="0096419B">
          <w:rPr>
            <w:rStyle w:val="Hyperlink"/>
            <w:rFonts w:ascii="Arial" w:hAnsi="Arial" w:cs="Arial"/>
            <w:sz w:val="20"/>
            <w:szCs w:val="20"/>
            <w:shd w:val="clear" w:color="auto" w:fill="FFFFFF"/>
          </w:rPr>
          <w:t>https://uhcl-ir.tdl.org/items/24397a47-4586-40ff-a21b-9bb25a327545</w:t>
        </w:r>
      </w:hyperlink>
    </w:p>
    <w:p w14:paraId="54141C85" w14:textId="77777777" w:rsidR="007D038D" w:rsidRDefault="007D038D" w:rsidP="007D038D">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Tortola, R. (2024). Unveiling Resilience: Exploring Coping Strategies Among Teachers in the Department of Education. </w:t>
      </w:r>
      <w:hyperlink r:id="rId36" w:history="1">
        <w:r w:rsidRPr="0096419B">
          <w:rPr>
            <w:rStyle w:val="Hyperlink"/>
            <w:rFonts w:ascii="Arial" w:hAnsi="Arial" w:cs="Arial"/>
            <w:sz w:val="20"/>
            <w:szCs w:val="20"/>
            <w:shd w:val="clear" w:color="auto" w:fill="FFFFFF"/>
          </w:rPr>
          <w:t>https://philpapers.org/rec/TORURE</w:t>
        </w:r>
      </w:hyperlink>
    </w:p>
    <w:p w14:paraId="778677F4" w14:textId="516B2A74" w:rsidR="00C63652" w:rsidRPr="00C63652" w:rsidRDefault="00C63652" w:rsidP="007D038D">
      <w:pPr>
        <w:ind w:left="720" w:hanging="720"/>
      </w:pPr>
    </w:p>
    <w:sectPr w:rsidR="00C63652" w:rsidRPr="00C63652" w:rsidSect="00C12652">
      <w:footerReference w:type="default" r:id="rId37"/>
      <w:type w:val="continuous"/>
      <w:pgSz w:w="12240" w:h="15840"/>
      <w:pgMar w:top="1440" w:right="2016" w:bottom="2016" w:left="2016" w:header="720" w:footer="11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ABD9C" w14:textId="77777777" w:rsidR="0065151A" w:rsidRDefault="0065151A">
      <w:r>
        <w:separator/>
      </w:r>
    </w:p>
  </w:endnote>
  <w:endnote w:type="continuationSeparator" w:id="0">
    <w:p w14:paraId="7219A8F7" w14:textId="77777777" w:rsidR="0065151A" w:rsidRDefault="00651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7F36" w14:textId="31ACD7D4" w:rsidR="00106DDD" w:rsidRPr="00C12652" w:rsidRDefault="00106DDD" w:rsidP="00C126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106DDD" w:rsidRDefault="00106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0B705" w14:textId="77777777" w:rsidR="0065151A" w:rsidRDefault="0065151A">
      <w:r>
        <w:separator/>
      </w:r>
    </w:p>
  </w:footnote>
  <w:footnote w:type="continuationSeparator" w:id="0">
    <w:p w14:paraId="2EEC8611" w14:textId="77777777" w:rsidR="0065151A" w:rsidRDefault="00651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77777777" w:rsidR="00106DDD" w:rsidRDefault="00106DDD">
    <w:pPr>
      <w:ind w:left="2160"/>
      <w:jc w:val="center"/>
      <w:rPr>
        <w:rFonts w:eastAsia="Calibri"/>
        <w:i/>
        <w:sz w:val="18"/>
        <w:szCs w:val="22"/>
      </w:rPr>
    </w:pPr>
  </w:p>
  <w:p w14:paraId="2FE390C6" w14:textId="77777777" w:rsidR="00106DDD" w:rsidRDefault="00106DDD">
    <w:pPr>
      <w:ind w:left="4320"/>
      <w:rPr>
        <w:rFonts w:eastAsia="Calibri"/>
        <w:i/>
        <w:sz w:val="18"/>
        <w:szCs w:val="22"/>
      </w:rPr>
    </w:pPr>
    <w:r>
      <w:rPr>
        <w:rFonts w:eastAsia="Calibri"/>
        <w:i/>
        <w:sz w:val="18"/>
        <w:szCs w:val="22"/>
      </w:rPr>
      <w:t xml:space="preserve">.     </w:t>
    </w:r>
  </w:p>
  <w:p w14:paraId="4835D4B8" w14:textId="77777777" w:rsidR="00106DDD" w:rsidRDefault="00106DDD">
    <w:pPr>
      <w:jc w:val="center"/>
      <w:rPr>
        <w:rFonts w:eastAsia="Calibri"/>
        <w:i/>
        <w:sz w:val="18"/>
        <w:szCs w:val="22"/>
      </w:rPr>
    </w:pPr>
    <w:r>
      <w:rPr>
        <w:rFonts w:eastAsia="Calibri"/>
        <w:i/>
        <w:sz w:val="18"/>
        <w:szCs w:val="22"/>
      </w:rPr>
      <w:t>.</w:t>
    </w:r>
  </w:p>
  <w:p w14:paraId="542E7A0C" w14:textId="77777777" w:rsidR="00106DDD" w:rsidRDefault="00106DDD">
    <w:pPr>
      <w:spacing w:after="200"/>
      <w:jc w:val="center"/>
      <w:rPr>
        <w:rFonts w:eastAsia="Calibri"/>
        <w:b/>
        <w:i/>
        <w:sz w:val="32"/>
        <w:szCs w:val="22"/>
      </w:rPr>
    </w:pPr>
    <w:r>
      <w:rPr>
        <w:rFonts w:eastAsia="Calibri"/>
        <w:b/>
        <w:i/>
        <w:sz w:val="32"/>
        <w:szCs w:val="22"/>
      </w:rPr>
      <w:t xml:space="preserve">              . </w:t>
    </w:r>
  </w:p>
  <w:p w14:paraId="160D0B15" w14:textId="77777777" w:rsidR="00106DDD" w:rsidRDefault="00106DDD">
    <w:pPr>
      <w:jc w:val="center"/>
      <w:rPr>
        <w:rFonts w:eastAsia="Calibri"/>
        <w:i/>
        <w:sz w:val="18"/>
        <w:szCs w:val="22"/>
      </w:rPr>
    </w:pPr>
    <w:r>
      <w:rPr>
        <w:rFonts w:eastAsia="Calibri"/>
        <w:i/>
        <w:sz w:val="18"/>
        <w:szCs w:val="22"/>
      </w:rPr>
      <w:t xml:space="preserve">                     </w:t>
    </w:r>
  </w:p>
  <w:p w14:paraId="0D6EED9D" w14:textId="77777777" w:rsidR="00106DDD" w:rsidRDefault="00106DDD">
    <w:pPr>
      <w:tabs>
        <w:tab w:val="left" w:pos="2145"/>
      </w:tabs>
      <w:rPr>
        <w:rFonts w:eastAsia="Calibri"/>
        <w:i/>
        <w:sz w:val="18"/>
        <w:szCs w:val="22"/>
      </w:rPr>
    </w:pPr>
    <w:r>
      <w:rPr>
        <w:rFonts w:eastAsia="Calibri"/>
        <w:i/>
        <w:sz w:val="18"/>
        <w:szCs w:val="22"/>
      </w:rPr>
      <w:tab/>
      <w:t>.</w:t>
    </w:r>
  </w:p>
  <w:p w14:paraId="739E505C" w14:textId="77777777" w:rsidR="00106DDD" w:rsidRDefault="00106DDD">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kFAJlvtEQtAAAA"/>
  </w:docVars>
  <w:rsids>
    <w:rsidRoot w:val="00AA6219"/>
    <w:rsid w:val="00000F8F"/>
    <w:rsid w:val="000017FA"/>
    <w:rsid w:val="00004CD1"/>
    <w:rsid w:val="00005BE3"/>
    <w:rsid w:val="00007102"/>
    <w:rsid w:val="000077E4"/>
    <w:rsid w:val="00007978"/>
    <w:rsid w:val="000110B5"/>
    <w:rsid w:val="00012B12"/>
    <w:rsid w:val="00014095"/>
    <w:rsid w:val="00015AC8"/>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5D31"/>
    <w:rsid w:val="0005727A"/>
    <w:rsid w:val="00057C65"/>
    <w:rsid w:val="000603D4"/>
    <w:rsid w:val="00061339"/>
    <w:rsid w:val="000628C7"/>
    <w:rsid w:val="000647E2"/>
    <w:rsid w:val="00065B83"/>
    <w:rsid w:val="0006706E"/>
    <w:rsid w:val="0006786A"/>
    <w:rsid w:val="00067A0F"/>
    <w:rsid w:val="00067B98"/>
    <w:rsid w:val="00073A00"/>
    <w:rsid w:val="00073DA5"/>
    <w:rsid w:val="00074927"/>
    <w:rsid w:val="000763D2"/>
    <w:rsid w:val="00081ACB"/>
    <w:rsid w:val="000827FD"/>
    <w:rsid w:val="00084A16"/>
    <w:rsid w:val="00090DFA"/>
    <w:rsid w:val="00092E71"/>
    <w:rsid w:val="00095BAE"/>
    <w:rsid w:val="00095F34"/>
    <w:rsid w:val="00096483"/>
    <w:rsid w:val="00096CB5"/>
    <w:rsid w:val="00096E7E"/>
    <w:rsid w:val="000A2230"/>
    <w:rsid w:val="000A3474"/>
    <w:rsid w:val="000A3EDA"/>
    <w:rsid w:val="000A47FA"/>
    <w:rsid w:val="000A61FE"/>
    <w:rsid w:val="000A65D3"/>
    <w:rsid w:val="000A77F6"/>
    <w:rsid w:val="000B03FC"/>
    <w:rsid w:val="000B1E33"/>
    <w:rsid w:val="000B25F2"/>
    <w:rsid w:val="000B6BC1"/>
    <w:rsid w:val="000B75B1"/>
    <w:rsid w:val="000B7B2C"/>
    <w:rsid w:val="000C43E4"/>
    <w:rsid w:val="000C5AE7"/>
    <w:rsid w:val="000C6E8D"/>
    <w:rsid w:val="000C70E2"/>
    <w:rsid w:val="000C73EB"/>
    <w:rsid w:val="000D2384"/>
    <w:rsid w:val="000D23E6"/>
    <w:rsid w:val="000D31C5"/>
    <w:rsid w:val="000D5F80"/>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0CCE"/>
    <w:rsid w:val="00103357"/>
    <w:rsid w:val="00106DDD"/>
    <w:rsid w:val="00107572"/>
    <w:rsid w:val="0011125C"/>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3F8B"/>
    <w:rsid w:val="00146358"/>
    <w:rsid w:val="00147E94"/>
    <w:rsid w:val="00147F5C"/>
    <w:rsid w:val="00151F8F"/>
    <w:rsid w:val="001542F7"/>
    <w:rsid w:val="001550F4"/>
    <w:rsid w:val="001568A2"/>
    <w:rsid w:val="0016056F"/>
    <w:rsid w:val="00161B3A"/>
    <w:rsid w:val="00162528"/>
    <w:rsid w:val="001627B6"/>
    <w:rsid w:val="00163510"/>
    <w:rsid w:val="00163988"/>
    <w:rsid w:val="00163BC4"/>
    <w:rsid w:val="00171A32"/>
    <w:rsid w:val="001720E7"/>
    <w:rsid w:val="001744EE"/>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3779"/>
    <w:rsid w:val="001A5CAA"/>
    <w:rsid w:val="001B0427"/>
    <w:rsid w:val="001B0E69"/>
    <w:rsid w:val="001B1ACC"/>
    <w:rsid w:val="001B41D7"/>
    <w:rsid w:val="001B489B"/>
    <w:rsid w:val="001B785F"/>
    <w:rsid w:val="001B7F30"/>
    <w:rsid w:val="001C1039"/>
    <w:rsid w:val="001C12F6"/>
    <w:rsid w:val="001C2FC3"/>
    <w:rsid w:val="001C4AD5"/>
    <w:rsid w:val="001C572B"/>
    <w:rsid w:val="001C71EE"/>
    <w:rsid w:val="001C73EE"/>
    <w:rsid w:val="001D0BDE"/>
    <w:rsid w:val="001D10E2"/>
    <w:rsid w:val="001D1898"/>
    <w:rsid w:val="001D3A51"/>
    <w:rsid w:val="001D4380"/>
    <w:rsid w:val="001D7EA8"/>
    <w:rsid w:val="001E10D2"/>
    <w:rsid w:val="001E25B4"/>
    <w:rsid w:val="001E44FE"/>
    <w:rsid w:val="001E5B29"/>
    <w:rsid w:val="001E6121"/>
    <w:rsid w:val="001E7EB7"/>
    <w:rsid w:val="001F7DC4"/>
    <w:rsid w:val="001F7F3C"/>
    <w:rsid w:val="00200595"/>
    <w:rsid w:val="00200CF7"/>
    <w:rsid w:val="0020136A"/>
    <w:rsid w:val="002039CD"/>
    <w:rsid w:val="00203AF9"/>
    <w:rsid w:val="00204835"/>
    <w:rsid w:val="002074B8"/>
    <w:rsid w:val="00210C28"/>
    <w:rsid w:val="00211C41"/>
    <w:rsid w:val="00213BFA"/>
    <w:rsid w:val="002170C0"/>
    <w:rsid w:val="00221348"/>
    <w:rsid w:val="00224DE5"/>
    <w:rsid w:val="002274C1"/>
    <w:rsid w:val="002309B8"/>
    <w:rsid w:val="00231920"/>
    <w:rsid w:val="0023195C"/>
    <w:rsid w:val="0023428D"/>
    <w:rsid w:val="00237589"/>
    <w:rsid w:val="00240CE3"/>
    <w:rsid w:val="00241741"/>
    <w:rsid w:val="0024282C"/>
    <w:rsid w:val="00245CB7"/>
    <w:rsid w:val="002460DC"/>
    <w:rsid w:val="00246DC7"/>
    <w:rsid w:val="00250985"/>
    <w:rsid w:val="0025105D"/>
    <w:rsid w:val="00251748"/>
    <w:rsid w:val="00251946"/>
    <w:rsid w:val="002556F6"/>
    <w:rsid w:val="00256452"/>
    <w:rsid w:val="00256882"/>
    <w:rsid w:val="002622D4"/>
    <w:rsid w:val="00264A59"/>
    <w:rsid w:val="00266E67"/>
    <w:rsid w:val="00267833"/>
    <w:rsid w:val="00271F07"/>
    <w:rsid w:val="00274899"/>
    <w:rsid w:val="002755D7"/>
    <w:rsid w:val="002814B3"/>
    <w:rsid w:val="00283105"/>
    <w:rsid w:val="00283BED"/>
    <w:rsid w:val="00284C4C"/>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2C17"/>
    <w:rsid w:val="002E3D6C"/>
    <w:rsid w:val="002E4205"/>
    <w:rsid w:val="002F2031"/>
    <w:rsid w:val="002F2D06"/>
    <w:rsid w:val="002F42EB"/>
    <w:rsid w:val="002F5C4B"/>
    <w:rsid w:val="002F5E64"/>
    <w:rsid w:val="0030202C"/>
    <w:rsid w:val="00303A6C"/>
    <w:rsid w:val="00303E14"/>
    <w:rsid w:val="00304434"/>
    <w:rsid w:val="00304469"/>
    <w:rsid w:val="003074EB"/>
    <w:rsid w:val="003078F7"/>
    <w:rsid w:val="00314853"/>
    <w:rsid w:val="00315186"/>
    <w:rsid w:val="00315729"/>
    <w:rsid w:val="003157D5"/>
    <w:rsid w:val="00315947"/>
    <w:rsid w:val="003207E7"/>
    <w:rsid w:val="00320B81"/>
    <w:rsid w:val="00321D38"/>
    <w:rsid w:val="003227FA"/>
    <w:rsid w:val="00323BB4"/>
    <w:rsid w:val="003248E3"/>
    <w:rsid w:val="00324CBC"/>
    <w:rsid w:val="00324DE7"/>
    <w:rsid w:val="00325EA8"/>
    <w:rsid w:val="00326909"/>
    <w:rsid w:val="0033343E"/>
    <w:rsid w:val="00333690"/>
    <w:rsid w:val="003340B8"/>
    <w:rsid w:val="00337044"/>
    <w:rsid w:val="003377DA"/>
    <w:rsid w:val="00340616"/>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076B"/>
    <w:rsid w:val="00362B79"/>
    <w:rsid w:val="00362D97"/>
    <w:rsid w:val="00363B3A"/>
    <w:rsid w:val="00363CA7"/>
    <w:rsid w:val="00371430"/>
    <w:rsid w:val="00371FB6"/>
    <w:rsid w:val="003731F4"/>
    <w:rsid w:val="003763C1"/>
    <w:rsid w:val="00376A55"/>
    <w:rsid w:val="00376BBE"/>
    <w:rsid w:val="00377430"/>
    <w:rsid w:val="00377AD0"/>
    <w:rsid w:val="0038437D"/>
    <w:rsid w:val="00384B44"/>
    <w:rsid w:val="003872C9"/>
    <w:rsid w:val="0039224F"/>
    <w:rsid w:val="00394EAF"/>
    <w:rsid w:val="00395884"/>
    <w:rsid w:val="00395955"/>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0907"/>
    <w:rsid w:val="003C4335"/>
    <w:rsid w:val="003C44A6"/>
    <w:rsid w:val="003C4C86"/>
    <w:rsid w:val="003C6258"/>
    <w:rsid w:val="003D154D"/>
    <w:rsid w:val="003D171B"/>
    <w:rsid w:val="003D2D0A"/>
    <w:rsid w:val="003D3677"/>
    <w:rsid w:val="003D4C18"/>
    <w:rsid w:val="003D61C5"/>
    <w:rsid w:val="003D6BA6"/>
    <w:rsid w:val="003D7548"/>
    <w:rsid w:val="003D7E45"/>
    <w:rsid w:val="003E2904"/>
    <w:rsid w:val="003E3399"/>
    <w:rsid w:val="003E37A2"/>
    <w:rsid w:val="003E467A"/>
    <w:rsid w:val="003E49AD"/>
    <w:rsid w:val="003E671C"/>
    <w:rsid w:val="003E7C0F"/>
    <w:rsid w:val="003F001E"/>
    <w:rsid w:val="003F10CF"/>
    <w:rsid w:val="003F2281"/>
    <w:rsid w:val="003F3B63"/>
    <w:rsid w:val="003F760A"/>
    <w:rsid w:val="00401927"/>
    <w:rsid w:val="00403CB1"/>
    <w:rsid w:val="004040B3"/>
    <w:rsid w:val="00404135"/>
    <w:rsid w:val="0041027F"/>
    <w:rsid w:val="00410AB7"/>
    <w:rsid w:val="00412475"/>
    <w:rsid w:val="0041280F"/>
    <w:rsid w:val="004138D3"/>
    <w:rsid w:val="00415D76"/>
    <w:rsid w:val="00416DDE"/>
    <w:rsid w:val="00422769"/>
    <w:rsid w:val="00423789"/>
    <w:rsid w:val="00430496"/>
    <w:rsid w:val="00432C42"/>
    <w:rsid w:val="00432DD0"/>
    <w:rsid w:val="00434182"/>
    <w:rsid w:val="004346E5"/>
    <w:rsid w:val="00434ED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547F"/>
    <w:rsid w:val="00486F48"/>
    <w:rsid w:val="00490B0B"/>
    <w:rsid w:val="00491EFD"/>
    <w:rsid w:val="00495915"/>
    <w:rsid w:val="004B0522"/>
    <w:rsid w:val="004B1A50"/>
    <w:rsid w:val="004B1AFD"/>
    <w:rsid w:val="004B72AD"/>
    <w:rsid w:val="004C0CFF"/>
    <w:rsid w:val="004C0FB0"/>
    <w:rsid w:val="004C23DD"/>
    <w:rsid w:val="004C482A"/>
    <w:rsid w:val="004C6530"/>
    <w:rsid w:val="004D07E8"/>
    <w:rsid w:val="004D0827"/>
    <w:rsid w:val="004D0C87"/>
    <w:rsid w:val="004D305E"/>
    <w:rsid w:val="004D4277"/>
    <w:rsid w:val="004D4879"/>
    <w:rsid w:val="004E1DA9"/>
    <w:rsid w:val="004E21A0"/>
    <w:rsid w:val="004E5345"/>
    <w:rsid w:val="004E5924"/>
    <w:rsid w:val="004E6386"/>
    <w:rsid w:val="004F0467"/>
    <w:rsid w:val="004F2D55"/>
    <w:rsid w:val="004F45E4"/>
    <w:rsid w:val="004F7E11"/>
    <w:rsid w:val="00500D35"/>
    <w:rsid w:val="00502516"/>
    <w:rsid w:val="00502C0C"/>
    <w:rsid w:val="00502D46"/>
    <w:rsid w:val="00503ADC"/>
    <w:rsid w:val="00504CAB"/>
    <w:rsid w:val="00505231"/>
    <w:rsid w:val="00505F06"/>
    <w:rsid w:val="00506828"/>
    <w:rsid w:val="0050761B"/>
    <w:rsid w:val="00507A73"/>
    <w:rsid w:val="00517AFC"/>
    <w:rsid w:val="00523F46"/>
    <w:rsid w:val="00524ED0"/>
    <w:rsid w:val="0053056E"/>
    <w:rsid w:val="0053144C"/>
    <w:rsid w:val="00531BB9"/>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7306"/>
    <w:rsid w:val="00570131"/>
    <w:rsid w:val="0057110B"/>
    <w:rsid w:val="00572250"/>
    <w:rsid w:val="00573D3E"/>
    <w:rsid w:val="00574C91"/>
    <w:rsid w:val="00575E98"/>
    <w:rsid w:val="005811D6"/>
    <w:rsid w:val="00581800"/>
    <w:rsid w:val="00582069"/>
    <w:rsid w:val="00587F26"/>
    <w:rsid w:val="00590BF3"/>
    <w:rsid w:val="00591549"/>
    <w:rsid w:val="005923EA"/>
    <w:rsid w:val="00592DF4"/>
    <w:rsid w:val="005A2D10"/>
    <w:rsid w:val="005A463E"/>
    <w:rsid w:val="005A4C3F"/>
    <w:rsid w:val="005A6405"/>
    <w:rsid w:val="005A6625"/>
    <w:rsid w:val="005B0E96"/>
    <w:rsid w:val="005B1BAF"/>
    <w:rsid w:val="005B222E"/>
    <w:rsid w:val="005B2E0E"/>
    <w:rsid w:val="005B3F31"/>
    <w:rsid w:val="005B5EA4"/>
    <w:rsid w:val="005C2662"/>
    <w:rsid w:val="005C2AB0"/>
    <w:rsid w:val="005C3039"/>
    <w:rsid w:val="005C456F"/>
    <w:rsid w:val="005C540B"/>
    <w:rsid w:val="005C6F1A"/>
    <w:rsid w:val="005C784C"/>
    <w:rsid w:val="005D17F6"/>
    <w:rsid w:val="005D1CBB"/>
    <w:rsid w:val="005D28C5"/>
    <w:rsid w:val="005D2C58"/>
    <w:rsid w:val="005D4AE9"/>
    <w:rsid w:val="005D5C0A"/>
    <w:rsid w:val="005D5F0B"/>
    <w:rsid w:val="005D71AE"/>
    <w:rsid w:val="005E2A7F"/>
    <w:rsid w:val="005E5539"/>
    <w:rsid w:val="005E6376"/>
    <w:rsid w:val="005F3517"/>
    <w:rsid w:val="005F3FD1"/>
    <w:rsid w:val="005F4FB1"/>
    <w:rsid w:val="005F5CD3"/>
    <w:rsid w:val="005F7B39"/>
    <w:rsid w:val="006013F0"/>
    <w:rsid w:val="00602BF5"/>
    <w:rsid w:val="0060378C"/>
    <w:rsid w:val="006039E7"/>
    <w:rsid w:val="00604A7A"/>
    <w:rsid w:val="0060632C"/>
    <w:rsid w:val="00606EB7"/>
    <w:rsid w:val="00611918"/>
    <w:rsid w:val="00612546"/>
    <w:rsid w:val="0061357D"/>
    <w:rsid w:val="00613CF9"/>
    <w:rsid w:val="00615452"/>
    <w:rsid w:val="006162E2"/>
    <w:rsid w:val="00617FDD"/>
    <w:rsid w:val="00620108"/>
    <w:rsid w:val="006203C5"/>
    <w:rsid w:val="00621CBF"/>
    <w:rsid w:val="00622252"/>
    <w:rsid w:val="0062246A"/>
    <w:rsid w:val="00624014"/>
    <w:rsid w:val="006264DB"/>
    <w:rsid w:val="006273A5"/>
    <w:rsid w:val="00633614"/>
    <w:rsid w:val="00633D23"/>
    <w:rsid w:val="00633F68"/>
    <w:rsid w:val="00635BF6"/>
    <w:rsid w:val="00636EB2"/>
    <w:rsid w:val="006375B8"/>
    <w:rsid w:val="00641362"/>
    <w:rsid w:val="00641364"/>
    <w:rsid w:val="00641370"/>
    <w:rsid w:val="00641BF9"/>
    <w:rsid w:val="00642019"/>
    <w:rsid w:val="00642BE9"/>
    <w:rsid w:val="0064327B"/>
    <w:rsid w:val="0065144C"/>
    <w:rsid w:val="0065151A"/>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2A06"/>
    <w:rsid w:val="00683035"/>
    <w:rsid w:val="00686953"/>
    <w:rsid w:val="00686A69"/>
    <w:rsid w:val="00687DEA"/>
    <w:rsid w:val="00687E67"/>
    <w:rsid w:val="00687FCD"/>
    <w:rsid w:val="00692B46"/>
    <w:rsid w:val="006944BD"/>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66D1"/>
    <w:rsid w:val="006B7388"/>
    <w:rsid w:val="006B77F3"/>
    <w:rsid w:val="006C0110"/>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4528"/>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D13"/>
    <w:rsid w:val="00742E2C"/>
    <w:rsid w:val="00744278"/>
    <w:rsid w:val="00745358"/>
    <w:rsid w:val="0074551A"/>
    <w:rsid w:val="00746A58"/>
    <w:rsid w:val="00746E59"/>
    <w:rsid w:val="0074780A"/>
    <w:rsid w:val="00754C9A"/>
    <w:rsid w:val="00754DDF"/>
    <w:rsid w:val="0075599A"/>
    <w:rsid w:val="00755B57"/>
    <w:rsid w:val="00756316"/>
    <w:rsid w:val="00756864"/>
    <w:rsid w:val="0075735E"/>
    <w:rsid w:val="00757F7F"/>
    <w:rsid w:val="00761D52"/>
    <w:rsid w:val="00764E58"/>
    <w:rsid w:val="00766500"/>
    <w:rsid w:val="00766599"/>
    <w:rsid w:val="0076770C"/>
    <w:rsid w:val="007701E3"/>
    <w:rsid w:val="00771EA9"/>
    <w:rsid w:val="00772172"/>
    <w:rsid w:val="00776F82"/>
    <w:rsid w:val="0077749E"/>
    <w:rsid w:val="00777894"/>
    <w:rsid w:val="00777EFB"/>
    <w:rsid w:val="00781D5E"/>
    <w:rsid w:val="00781F66"/>
    <w:rsid w:val="00790ADA"/>
    <w:rsid w:val="00791230"/>
    <w:rsid w:val="0079158F"/>
    <w:rsid w:val="00793F54"/>
    <w:rsid w:val="007969E9"/>
    <w:rsid w:val="007A2E32"/>
    <w:rsid w:val="007A351A"/>
    <w:rsid w:val="007A52F2"/>
    <w:rsid w:val="007A5FBD"/>
    <w:rsid w:val="007B0C10"/>
    <w:rsid w:val="007B541F"/>
    <w:rsid w:val="007C102A"/>
    <w:rsid w:val="007C3792"/>
    <w:rsid w:val="007C4C8B"/>
    <w:rsid w:val="007C4E84"/>
    <w:rsid w:val="007C6F64"/>
    <w:rsid w:val="007D038D"/>
    <w:rsid w:val="007D0606"/>
    <w:rsid w:val="007D2288"/>
    <w:rsid w:val="007D2B80"/>
    <w:rsid w:val="007D30D2"/>
    <w:rsid w:val="007D3FB5"/>
    <w:rsid w:val="007D4CAA"/>
    <w:rsid w:val="007D7251"/>
    <w:rsid w:val="007D7C3E"/>
    <w:rsid w:val="007E088F"/>
    <w:rsid w:val="007E36A6"/>
    <w:rsid w:val="007E565A"/>
    <w:rsid w:val="007E5C64"/>
    <w:rsid w:val="007E7A7F"/>
    <w:rsid w:val="007F209D"/>
    <w:rsid w:val="007F2720"/>
    <w:rsid w:val="007F43D3"/>
    <w:rsid w:val="007F6C64"/>
    <w:rsid w:val="007F6D8D"/>
    <w:rsid w:val="007F750C"/>
    <w:rsid w:val="007F7B32"/>
    <w:rsid w:val="007F7FDC"/>
    <w:rsid w:val="00804067"/>
    <w:rsid w:val="00804BC2"/>
    <w:rsid w:val="00805427"/>
    <w:rsid w:val="00810B02"/>
    <w:rsid w:val="0081431A"/>
    <w:rsid w:val="00814943"/>
    <w:rsid w:val="008157DD"/>
    <w:rsid w:val="00817E0E"/>
    <w:rsid w:val="008204D0"/>
    <w:rsid w:val="00821486"/>
    <w:rsid w:val="008216D2"/>
    <w:rsid w:val="008244F8"/>
    <w:rsid w:val="00826162"/>
    <w:rsid w:val="008265A1"/>
    <w:rsid w:val="00830F00"/>
    <w:rsid w:val="00831639"/>
    <w:rsid w:val="00831C82"/>
    <w:rsid w:val="0083216F"/>
    <w:rsid w:val="00834274"/>
    <w:rsid w:val="00836881"/>
    <w:rsid w:val="00836887"/>
    <w:rsid w:val="00844419"/>
    <w:rsid w:val="00844F98"/>
    <w:rsid w:val="008453DD"/>
    <w:rsid w:val="00847952"/>
    <w:rsid w:val="00850E61"/>
    <w:rsid w:val="00851CF6"/>
    <w:rsid w:val="0085546E"/>
    <w:rsid w:val="0085657A"/>
    <w:rsid w:val="00860000"/>
    <w:rsid w:val="00861C50"/>
    <w:rsid w:val="00862163"/>
    <w:rsid w:val="00862875"/>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7E29"/>
    <w:rsid w:val="008B459E"/>
    <w:rsid w:val="008B6AE3"/>
    <w:rsid w:val="008C1E2D"/>
    <w:rsid w:val="008C2330"/>
    <w:rsid w:val="008C3CF9"/>
    <w:rsid w:val="008C5747"/>
    <w:rsid w:val="008C65DE"/>
    <w:rsid w:val="008D0509"/>
    <w:rsid w:val="008D1544"/>
    <w:rsid w:val="008D4CC6"/>
    <w:rsid w:val="008D5531"/>
    <w:rsid w:val="008D6E31"/>
    <w:rsid w:val="008E13AE"/>
    <w:rsid w:val="008E1506"/>
    <w:rsid w:val="008E1D48"/>
    <w:rsid w:val="008E3BFB"/>
    <w:rsid w:val="008E710C"/>
    <w:rsid w:val="008F0221"/>
    <w:rsid w:val="008F2E29"/>
    <w:rsid w:val="008F446C"/>
    <w:rsid w:val="008F5B17"/>
    <w:rsid w:val="008F69D6"/>
    <w:rsid w:val="00902823"/>
    <w:rsid w:val="00907A49"/>
    <w:rsid w:val="00907C80"/>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47E63"/>
    <w:rsid w:val="009500A6"/>
    <w:rsid w:val="00951100"/>
    <w:rsid w:val="00952916"/>
    <w:rsid w:val="00957C18"/>
    <w:rsid w:val="00957C4C"/>
    <w:rsid w:val="00960222"/>
    <w:rsid w:val="00960D9E"/>
    <w:rsid w:val="009614E2"/>
    <w:rsid w:val="009628FB"/>
    <w:rsid w:val="00962B44"/>
    <w:rsid w:val="00962C41"/>
    <w:rsid w:val="00962EC8"/>
    <w:rsid w:val="009648BB"/>
    <w:rsid w:val="009659BA"/>
    <w:rsid w:val="0096663E"/>
    <w:rsid w:val="0096697A"/>
    <w:rsid w:val="00966B8A"/>
    <w:rsid w:val="009676BB"/>
    <w:rsid w:val="00970217"/>
    <w:rsid w:val="00972E76"/>
    <w:rsid w:val="00973D3A"/>
    <w:rsid w:val="00973FFA"/>
    <w:rsid w:val="0097678A"/>
    <w:rsid w:val="00976CB2"/>
    <w:rsid w:val="009770DF"/>
    <w:rsid w:val="00982C5E"/>
    <w:rsid w:val="00982CC1"/>
    <w:rsid w:val="00982E47"/>
    <w:rsid w:val="00983040"/>
    <w:rsid w:val="0098668C"/>
    <w:rsid w:val="009913C6"/>
    <w:rsid w:val="00991ABC"/>
    <w:rsid w:val="00994FC5"/>
    <w:rsid w:val="009950D9"/>
    <w:rsid w:val="00995521"/>
    <w:rsid w:val="009A361E"/>
    <w:rsid w:val="009A4B52"/>
    <w:rsid w:val="009A5463"/>
    <w:rsid w:val="009A5ABF"/>
    <w:rsid w:val="009B02B2"/>
    <w:rsid w:val="009B2860"/>
    <w:rsid w:val="009B2A64"/>
    <w:rsid w:val="009B3195"/>
    <w:rsid w:val="009B3AB1"/>
    <w:rsid w:val="009B3FB9"/>
    <w:rsid w:val="009B4824"/>
    <w:rsid w:val="009B4BA0"/>
    <w:rsid w:val="009B614E"/>
    <w:rsid w:val="009C0A64"/>
    <w:rsid w:val="009C211B"/>
    <w:rsid w:val="009C2465"/>
    <w:rsid w:val="009C4360"/>
    <w:rsid w:val="009C6219"/>
    <w:rsid w:val="009C66BE"/>
    <w:rsid w:val="009D062A"/>
    <w:rsid w:val="009D1ED1"/>
    <w:rsid w:val="009D346B"/>
    <w:rsid w:val="009D35A0"/>
    <w:rsid w:val="009D5D98"/>
    <w:rsid w:val="009D5F81"/>
    <w:rsid w:val="009D7EB7"/>
    <w:rsid w:val="009E048A"/>
    <w:rsid w:val="009E06BC"/>
    <w:rsid w:val="009E08E9"/>
    <w:rsid w:val="009E115B"/>
    <w:rsid w:val="009E1832"/>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18A"/>
    <w:rsid w:val="00A50958"/>
    <w:rsid w:val="00A51431"/>
    <w:rsid w:val="00A523B6"/>
    <w:rsid w:val="00A52A80"/>
    <w:rsid w:val="00A539AD"/>
    <w:rsid w:val="00A54DA1"/>
    <w:rsid w:val="00A54DF9"/>
    <w:rsid w:val="00A55529"/>
    <w:rsid w:val="00A561C5"/>
    <w:rsid w:val="00A57115"/>
    <w:rsid w:val="00A574C3"/>
    <w:rsid w:val="00A577B9"/>
    <w:rsid w:val="00A57D9D"/>
    <w:rsid w:val="00A61C0B"/>
    <w:rsid w:val="00A66CD3"/>
    <w:rsid w:val="00A705F7"/>
    <w:rsid w:val="00A73CD6"/>
    <w:rsid w:val="00A74632"/>
    <w:rsid w:val="00A863CA"/>
    <w:rsid w:val="00A9100D"/>
    <w:rsid w:val="00A92B33"/>
    <w:rsid w:val="00A94063"/>
    <w:rsid w:val="00A97CA7"/>
    <w:rsid w:val="00AA021D"/>
    <w:rsid w:val="00AA046F"/>
    <w:rsid w:val="00AA1319"/>
    <w:rsid w:val="00AA2464"/>
    <w:rsid w:val="00AA39D0"/>
    <w:rsid w:val="00AA619C"/>
    <w:rsid w:val="00AA6219"/>
    <w:rsid w:val="00AA74E0"/>
    <w:rsid w:val="00AB03A5"/>
    <w:rsid w:val="00AB0ED9"/>
    <w:rsid w:val="00AB132C"/>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646"/>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0ABE"/>
    <w:rsid w:val="00B211F4"/>
    <w:rsid w:val="00B21345"/>
    <w:rsid w:val="00B23046"/>
    <w:rsid w:val="00B23383"/>
    <w:rsid w:val="00B237FB"/>
    <w:rsid w:val="00B278F0"/>
    <w:rsid w:val="00B31AFA"/>
    <w:rsid w:val="00B32415"/>
    <w:rsid w:val="00B346C5"/>
    <w:rsid w:val="00B346D1"/>
    <w:rsid w:val="00B35882"/>
    <w:rsid w:val="00B35A5F"/>
    <w:rsid w:val="00B364F1"/>
    <w:rsid w:val="00B36CD1"/>
    <w:rsid w:val="00B37CEB"/>
    <w:rsid w:val="00B41F6F"/>
    <w:rsid w:val="00B44933"/>
    <w:rsid w:val="00B527D2"/>
    <w:rsid w:val="00B52896"/>
    <w:rsid w:val="00B52A44"/>
    <w:rsid w:val="00B549CE"/>
    <w:rsid w:val="00B55B85"/>
    <w:rsid w:val="00B55D37"/>
    <w:rsid w:val="00B55FCC"/>
    <w:rsid w:val="00B60155"/>
    <w:rsid w:val="00B62947"/>
    <w:rsid w:val="00B64177"/>
    <w:rsid w:val="00B66AB4"/>
    <w:rsid w:val="00B70D06"/>
    <w:rsid w:val="00B712CE"/>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549D"/>
    <w:rsid w:val="00BB698A"/>
    <w:rsid w:val="00BB6D95"/>
    <w:rsid w:val="00BB6DA6"/>
    <w:rsid w:val="00BB7A71"/>
    <w:rsid w:val="00BC2A3C"/>
    <w:rsid w:val="00BC53A0"/>
    <w:rsid w:val="00BC78EB"/>
    <w:rsid w:val="00BD07D8"/>
    <w:rsid w:val="00BD504C"/>
    <w:rsid w:val="00BD6DE7"/>
    <w:rsid w:val="00BD7404"/>
    <w:rsid w:val="00BD7576"/>
    <w:rsid w:val="00BD76E4"/>
    <w:rsid w:val="00BE0A38"/>
    <w:rsid w:val="00BE0E4E"/>
    <w:rsid w:val="00BE1295"/>
    <w:rsid w:val="00BE1782"/>
    <w:rsid w:val="00BE230B"/>
    <w:rsid w:val="00BE50CB"/>
    <w:rsid w:val="00BE62AD"/>
    <w:rsid w:val="00BF121F"/>
    <w:rsid w:val="00BF1D4D"/>
    <w:rsid w:val="00BF1F80"/>
    <w:rsid w:val="00BF2939"/>
    <w:rsid w:val="00BF2CC9"/>
    <w:rsid w:val="00BF7728"/>
    <w:rsid w:val="00C01D17"/>
    <w:rsid w:val="00C05B06"/>
    <w:rsid w:val="00C05F9F"/>
    <w:rsid w:val="00C06F68"/>
    <w:rsid w:val="00C07CB7"/>
    <w:rsid w:val="00C11D4D"/>
    <w:rsid w:val="00C12652"/>
    <w:rsid w:val="00C1385F"/>
    <w:rsid w:val="00C13D7A"/>
    <w:rsid w:val="00C13DDA"/>
    <w:rsid w:val="00C15151"/>
    <w:rsid w:val="00C15F69"/>
    <w:rsid w:val="00C166EF"/>
    <w:rsid w:val="00C17EB0"/>
    <w:rsid w:val="00C20AB9"/>
    <w:rsid w:val="00C237B6"/>
    <w:rsid w:val="00C23862"/>
    <w:rsid w:val="00C24DF4"/>
    <w:rsid w:val="00C2756B"/>
    <w:rsid w:val="00C275A8"/>
    <w:rsid w:val="00C27F5F"/>
    <w:rsid w:val="00C3075A"/>
    <w:rsid w:val="00C30A0F"/>
    <w:rsid w:val="00C31AEC"/>
    <w:rsid w:val="00C362F5"/>
    <w:rsid w:val="00C37E61"/>
    <w:rsid w:val="00C41063"/>
    <w:rsid w:val="00C417E2"/>
    <w:rsid w:val="00C4218D"/>
    <w:rsid w:val="00C425E7"/>
    <w:rsid w:val="00C43FC7"/>
    <w:rsid w:val="00C4471A"/>
    <w:rsid w:val="00C455E5"/>
    <w:rsid w:val="00C532EF"/>
    <w:rsid w:val="00C5460A"/>
    <w:rsid w:val="00C548AC"/>
    <w:rsid w:val="00C555E5"/>
    <w:rsid w:val="00C56639"/>
    <w:rsid w:val="00C60511"/>
    <w:rsid w:val="00C63652"/>
    <w:rsid w:val="00C63EF9"/>
    <w:rsid w:val="00C65D13"/>
    <w:rsid w:val="00C705A4"/>
    <w:rsid w:val="00C70F1B"/>
    <w:rsid w:val="00C71A47"/>
    <w:rsid w:val="00C72D2D"/>
    <w:rsid w:val="00C72DF1"/>
    <w:rsid w:val="00C73A36"/>
    <w:rsid w:val="00C73E17"/>
    <w:rsid w:val="00C741DB"/>
    <w:rsid w:val="00C7464C"/>
    <w:rsid w:val="00C75625"/>
    <w:rsid w:val="00C8034F"/>
    <w:rsid w:val="00C8198B"/>
    <w:rsid w:val="00C81A14"/>
    <w:rsid w:val="00C838DC"/>
    <w:rsid w:val="00C85588"/>
    <w:rsid w:val="00C85987"/>
    <w:rsid w:val="00C868A2"/>
    <w:rsid w:val="00C90676"/>
    <w:rsid w:val="00C944B7"/>
    <w:rsid w:val="00C94706"/>
    <w:rsid w:val="00C972A1"/>
    <w:rsid w:val="00CA01AA"/>
    <w:rsid w:val="00CA1A21"/>
    <w:rsid w:val="00CA30FF"/>
    <w:rsid w:val="00CA5187"/>
    <w:rsid w:val="00CA7890"/>
    <w:rsid w:val="00CB059F"/>
    <w:rsid w:val="00CB11B3"/>
    <w:rsid w:val="00CB2155"/>
    <w:rsid w:val="00CB37FD"/>
    <w:rsid w:val="00CB6F3A"/>
    <w:rsid w:val="00CB7AC1"/>
    <w:rsid w:val="00CC582A"/>
    <w:rsid w:val="00CC5ECD"/>
    <w:rsid w:val="00CC701F"/>
    <w:rsid w:val="00CC7073"/>
    <w:rsid w:val="00CD1124"/>
    <w:rsid w:val="00CD4D57"/>
    <w:rsid w:val="00CD6339"/>
    <w:rsid w:val="00CD6755"/>
    <w:rsid w:val="00CD6856"/>
    <w:rsid w:val="00CD6F56"/>
    <w:rsid w:val="00CD703B"/>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759"/>
    <w:rsid w:val="00D21D9E"/>
    <w:rsid w:val="00D21E8D"/>
    <w:rsid w:val="00D227D5"/>
    <w:rsid w:val="00D23445"/>
    <w:rsid w:val="00D23B1F"/>
    <w:rsid w:val="00D24440"/>
    <w:rsid w:val="00D2770A"/>
    <w:rsid w:val="00D311B1"/>
    <w:rsid w:val="00D31407"/>
    <w:rsid w:val="00D32F12"/>
    <w:rsid w:val="00D341E9"/>
    <w:rsid w:val="00D34F2E"/>
    <w:rsid w:val="00D41A18"/>
    <w:rsid w:val="00D42848"/>
    <w:rsid w:val="00D429C7"/>
    <w:rsid w:val="00D42F2F"/>
    <w:rsid w:val="00D430F1"/>
    <w:rsid w:val="00D453B9"/>
    <w:rsid w:val="00D468AD"/>
    <w:rsid w:val="00D46AD9"/>
    <w:rsid w:val="00D4745C"/>
    <w:rsid w:val="00D5041B"/>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326F"/>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34B2"/>
    <w:rsid w:val="00DD0B2B"/>
    <w:rsid w:val="00DD1370"/>
    <w:rsid w:val="00DD1EA9"/>
    <w:rsid w:val="00DD5EA2"/>
    <w:rsid w:val="00DD6431"/>
    <w:rsid w:val="00DD68C1"/>
    <w:rsid w:val="00DD6A4E"/>
    <w:rsid w:val="00DD733B"/>
    <w:rsid w:val="00DD7E9A"/>
    <w:rsid w:val="00DE15F0"/>
    <w:rsid w:val="00DE32FA"/>
    <w:rsid w:val="00DE3EAB"/>
    <w:rsid w:val="00DE5663"/>
    <w:rsid w:val="00DE7644"/>
    <w:rsid w:val="00DE767A"/>
    <w:rsid w:val="00DE78AA"/>
    <w:rsid w:val="00DF4C95"/>
    <w:rsid w:val="00E009EA"/>
    <w:rsid w:val="00E053D0"/>
    <w:rsid w:val="00E05D72"/>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BF7"/>
    <w:rsid w:val="00E8043E"/>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2411"/>
    <w:rsid w:val="00ED54F5"/>
    <w:rsid w:val="00ED755D"/>
    <w:rsid w:val="00EE04B6"/>
    <w:rsid w:val="00EE0BC5"/>
    <w:rsid w:val="00EE2A19"/>
    <w:rsid w:val="00EE3755"/>
    <w:rsid w:val="00EE52CB"/>
    <w:rsid w:val="00EE66A5"/>
    <w:rsid w:val="00EF15DE"/>
    <w:rsid w:val="00EF1EB5"/>
    <w:rsid w:val="00EF2383"/>
    <w:rsid w:val="00EF4B2D"/>
    <w:rsid w:val="00EF581D"/>
    <w:rsid w:val="00EF7DF2"/>
    <w:rsid w:val="00EF7FD8"/>
    <w:rsid w:val="00F01B0B"/>
    <w:rsid w:val="00F02CEA"/>
    <w:rsid w:val="00F03243"/>
    <w:rsid w:val="00F04F13"/>
    <w:rsid w:val="00F05FAA"/>
    <w:rsid w:val="00F06F59"/>
    <w:rsid w:val="00F071D7"/>
    <w:rsid w:val="00F07371"/>
    <w:rsid w:val="00F11DDA"/>
    <w:rsid w:val="00F12135"/>
    <w:rsid w:val="00F159E4"/>
    <w:rsid w:val="00F174B8"/>
    <w:rsid w:val="00F17988"/>
    <w:rsid w:val="00F20BD8"/>
    <w:rsid w:val="00F2100D"/>
    <w:rsid w:val="00F21FC5"/>
    <w:rsid w:val="00F23A67"/>
    <w:rsid w:val="00F266FB"/>
    <w:rsid w:val="00F26DEB"/>
    <w:rsid w:val="00F2706C"/>
    <w:rsid w:val="00F303EB"/>
    <w:rsid w:val="00F30D27"/>
    <w:rsid w:val="00F36ABC"/>
    <w:rsid w:val="00F379D4"/>
    <w:rsid w:val="00F40FB0"/>
    <w:rsid w:val="00F41F1C"/>
    <w:rsid w:val="00F4246D"/>
    <w:rsid w:val="00F42FC6"/>
    <w:rsid w:val="00F4685B"/>
    <w:rsid w:val="00F469F0"/>
    <w:rsid w:val="00F51246"/>
    <w:rsid w:val="00F5159C"/>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CA4"/>
    <w:rsid w:val="00F71EB8"/>
    <w:rsid w:val="00F74F93"/>
    <w:rsid w:val="00F755E4"/>
    <w:rsid w:val="00F759B7"/>
    <w:rsid w:val="00F77D02"/>
    <w:rsid w:val="00F80106"/>
    <w:rsid w:val="00F828E1"/>
    <w:rsid w:val="00F927B2"/>
    <w:rsid w:val="00F947E3"/>
    <w:rsid w:val="00F96071"/>
    <w:rsid w:val="00F96A19"/>
    <w:rsid w:val="00FA0D6E"/>
    <w:rsid w:val="00FA2543"/>
    <w:rsid w:val="00FA27FC"/>
    <w:rsid w:val="00FA3BB6"/>
    <w:rsid w:val="00FA5606"/>
    <w:rsid w:val="00FB1E60"/>
    <w:rsid w:val="00FB3A86"/>
    <w:rsid w:val="00FB469D"/>
    <w:rsid w:val="00FB6C0F"/>
    <w:rsid w:val="00FB7F6C"/>
    <w:rsid w:val="00FC4F69"/>
    <w:rsid w:val="00FD227E"/>
    <w:rsid w:val="00FD270D"/>
    <w:rsid w:val="00FD2B99"/>
    <w:rsid w:val="00FD36C8"/>
    <w:rsid w:val="00FD5070"/>
    <w:rsid w:val="00FD79D4"/>
    <w:rsid w:val="00FD7D01"/>
    <w:rsid w:val="00FE32B3"/>
    <w:rsid w:val="00FE379F"/>
    <w:rsid w:val="00FE44DE"/>
    <w:rsid w:val="00FE46CD"/>
    <w:rsid w:val="00FE75E5"/>
    <w:rsid w:val="00FF2146"/>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uiPriority="99"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3652"/>
    <w:rPr>
      <w:rFonts w:eastAsia="Times New Roman"/>
      <w:sz w:val="24"/>
      <w:szCs w:val="24"/>
      <w:lang w:val="en-PH"/>
    </w:rPr>
  </w:style>
  <w:style w:type="paragraph" w:styleId="Heading1">
    <w:name w:val="heading 1"/>
    <w:basedOn w:val="Normal"/>
    <w:next w:val="Normal"/>
    <w:qFormat/>
    <w:pPr>
      <w:keepNext/>
      <w:spacing w:before="240" w:after="60"/>
      <w:outlineLvl w:val="0"/>
    </w:pPr>
    <w:rPr>
      <w:rFonts w:ascii="Arial" w:hAnsi="Arial"/>
      <w:b/>
      <w:kern w:val="28"/>
      <w:sz w:val="28"/>
      <w:szCs w:val="20"/>
      <w:lang w:val="en-US"/>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lang w:val="en-US"/>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lang w:val="en-US"/>
    </w:rPr>
  </w:style>
  <w:style w:type="paragraph" w:styleId="BodyText">
    <w:name w:val="Body Text"/>
    <w:basedOn w:val="Normal"/>
    <w:link w:val="BodyTextChar"/>
    <w:qFormat/>
    <w:pPr>
      <w:spacing w:after="120"/>
    </w:pPr>
    <w:rPr>
      <w:rFonts w:ascii="Helvetica" w:hAnsi="Helvetica"/>
      <w:sz w:val="20"/>
      <w:szCs w:val="20"/>
      <w:lang w:val="en-US"/>
    </w:rPr>
  </w:style>
  <w:style w:type="paragraph" w:styleId="BodyText2">
    <w:name w:val="Body Text 2"/>
    <w:basedOn w:val="Normal"/>
    <w:link w:val="BodyText2Char"/>
    <w:qFormat/>
    <w:pPr>
      <w:spacing w:after="120" w:line="480" w:lineRule="auto"/>
    </w:pPr>
    <w:rPr>
      <w:rFonts w:ascii="Helvetica" w:hAnsi="Helvetica"/>
      <w:sz w:val="20"/>
      <w:szCs w:val="20"/>
      <w:lang w:val="en-US"/>
    </w:rPr>
  </w:style>
  <w:style w:type="paragraph" w:styleId="BodyText3">
    <w:name w:val="Body Text 3"/>
    <w:basedOn w:val="Normal"/>
    <w:link w:val="BodyText3Char"/>
    <w:qFormat/>
    <w:pPr>
      <w:spacing w:after="120"/>
    </w:pPr>
    <w:rPr>
      <w:rFonts w:ascii="Helvetica" w:hAnsi="Helvetica"/>
      <w:sz w:val="16"/>
      <w:szCs w:val="16"/>
      <w:lang w:val="en-US"/>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rPr>
      <w:rFonts w:ascii="Helvetica" w:hAnsi="Helvetica"/>
      <w:sz w:val="20"/>
      <w:szCs w:val="20"/>
      <w:lang w:val="en-US"/>
    </w:rPr>
  </w:style>
  <w:style w:type="paragraph" w:styleId="Header">
    <w:name w:val="header"/>
    <w:basedOn w:val="Normal"/>
    <w:pPr>
      <w:tabs>
        <w:tab w:val="center" w:pos="4320"/>
        <w:tab w:val="right" w:pos="8640"/>
      </w:tabs>
    </w:pPr>
    <w:rPr>
      <w:rFonts w:ascii="Helvetica" w:hAnsi="Helvetica"/>
      <w:sz w:val="20"/>
      <w:szCs w:val="20"/>
      <w:lang w:val="en-US"/>
    </w:rPr>
  </w:style>
  <w:style w:type="character" w:styleId="Hyperlink">
    <w:name w:val="Hyperlink"/>
    <w:basedOn w:val="DefaultParagraphFont"/>
    <w:uiPriority w:val="99"/>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lang w:val="en-US"/>
    </w:rPr>
  </w:style>
  <w:style w:type="paragraph" w:styleId="Signature">
    <w:name w:val="Signature"/>
    <w:basedOn w:val="Normal"/>
    <w:qFormat/>
    <w:pPr>
      <w:ind w:left="4320"/>
    </w:pPr>
    <w:rPr>
      <w:rFonts w:ascii="Helvetica" w:hAnsi="Helvetica"/>
      <w:sz w:val="20"/>
      <w:szCs w:val="20"/>
      <w:lang w:val="en-US"/>
    </w:r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rFonts w:ascii="Helvetica" w:hAnsi="Helvetica"/>
      <w:b/>
      <w:kern w:val="28"/>
      <w:sz w:val="36"/>
      <w:szCs w:val="20"/>
      <w:lang w:val="en-US"/>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rFonts w:ascii="Helvetica" w:hAnsi="Helvetica"/>
      <w:b/>
      <w:caps/>
      <w:sz w:val="20"/>
      <w:szCs w:val="20"/>
      <w:lang w:val="en-U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rFonts w:ascii="Helvetica" w:hAnsi="Helvetica"/>
      <w:b/>
      <w:sz w:val="28"/>
      <w:szCs w:val="20"/>
      <w:lang w:val="en-US"/>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rFonts w:ascii="Helvetica" w:hAnsi="Helvetica"/>
      <w:sz w:val="16"/>
      <w:szCs w:val="20"/>
      <w:lang w:val="en-US"/>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rFonts w:ascii="Helvetica" w:hAnsi="Helvetica"/>
      <w:caps/>
      <w:sz w:val="20"/>
      <w:szCs w:val="20"/>
      <w:lang w:val="en-U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rFonts w:ascii="Helvetica" w:hAnsi="Helvetica"/>
      <w:b/>
      <w:sz w:val="36"/>
      <w:szCs w:val="20"/>
      <w:lang w:val="en-US"/>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rPr>
      <w:rFonts w:ascii="Helvetica" w:hAnsi="Helvetica"/>
      <w:sz w:val="20"/>
      <w:szCs w:val="20"/>
      <w:lang w:val="en-US"/>
    </w:r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lang w:val="en-US"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DefaultParagraphFont"/>
    <w:uiPriority w:val="99"/>
    <w:semiHidden/>
    <w:unhideWhenUsed/>
    <w:rsid w:val="00213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533686651">
      <w:bodyDiv w:val="1"/>
      <w:marLeft w:val="0"/>
      <w:marRight w:val="0"/>
      <w:marTop w:val="0"/>
      <w:marBottom w:val="0"/>
      <w:divBdr>
        <w:top w:val="none" w:sz="0" w:space="0" w:color="auto"/>
        <w:left w:val="none" w:sz="0" w:space="0" w:color="auto"/>
        <w:bottom w:val="none" w:sz="0" w:space="0" w:color="auto"/>
        <w:right w:val="none" w:sz="0" w:space="0" w:color="auto"/>
      </w:divBdr>
    </w:div>
    <w:div w:id="2031756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cirp.org/journal/paperinformation?paperid=133921" TargetMode="External"/><Relationship Id="rId18" Type="http://schemas.openxmlformats.org/officeDocument/2006/relationships/hyperlink" Target="https://onlinelibrary.wiley.com/doi/abs/10.1002/joe.22172" TargetMode="External"/><Relationship Id="rId26" Type="http://schemas.openxmlformats.org/officeDocument/2006/relationships/hyperlink" Target="https://www.researchgate.net/profile/Ioannis-Adamopoulos/publication/387116753_From_Pressure_to_Performance_and_Health_Risks_Control_Occupational_Stress_Management_and_Employee_Engagement_in_Higher_Education/links/676120472d60b863e276a447/From-Pressure-to-Performance-and-Health-Risks-Control-Occupational-Stress-Management-and-Employee-Engagement-in-Higher-Education.pdf" TargetMode="External"/><Relationship Id="rId39" Type="http://schemas.openxmlformats.org/officeDocument/2006/relationships/theme" Target="theme/theme1.xml"/><Relationship Id="rId21" Type="http://schemas.openxmlformats.org/officeDocument/2006/relationships/hyperlink" Target="https://link.springer.com/article/10.1007/s11423-024-10422-5" TargetMode="External"/><Relationship Id="rId34" Type="http://schemas.openxmlformats.org/officeDocument/2006/relationships/hyperlink" Target="https://www.paradigmpress.org/rae/article/view/1451" TargetMode="External"/><Relationship Id="rId7" Type="http://schemas.openxmlformats.org/officeDocument/2006/relationships/endnotes" Target="endnotes.xml"/><Relationship Id="rId12" Type="http://schemas.openxmlformats.org/officeDocument/2006/relationships/hyperlink" Target="https://www.scirp.org/journal/paperinformation?paperid=133921" TargetMode="External"/><Relationship Id="rId17" Type="http://schemas.openxmlformats.org/officeDocument/2006/relationships/hyperlink" Target="https://search.proquest.com/openview/086f70300918cbdb14fefe170d94856a/1?pq-origsite=gscholar&amp;cbl=18750&amp;diss=y" TargetMode="External"/><Relationship Id="rId25" Type="http://schemas.openxmlformats.org/officeDocument/2006/relationships/hyperlink" Target="https://www.mdpi.com/2071-1050/13/12/6878" TargetMode="External"/><Relationship Id="rId33" Type="http://schemas.openxmlformats.org/officeDocument/2006/relationships/hyperlink" Target="https://www.igi-global.com/chapter/effective-leadership-strategies-for-enhancing-student-success-in-higher-education/35839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al.science/hal-04894432/" TargetMode="External"/><Relationship Id="rId20" Type="http://schemas.openxmlformats.org/officeDocument/2006/relationships/hyperlink" Target="https://www.redalyc.org/journal/2313/231374563009/231374563009.pdf" TargetMode="External"/><Relationship Id="rId29" Type="http://schemas.openxmlformats.org/officeDocument/2006/relationships/hyperlink" Target="https://papers.ssrn.com/sol3/papers.cfm?abstract_id=46848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rjournal.com/index.php/bir/article/download/158/180" TargetMode="External"/><Relationship Id="rId24" Type="http://schemas.openxmlformats.org/officeDocument/2006/relationships/hyperlink" Target="http://gujr.com.pk/index.php/GUJR/article/view/1660" TargetMode="External"/><Relationship Id="rId32" Type="http://schemas.openxmlformats.org/officeDocument/2006/relationships/hyperlink" Target="https://hal.science/hal-05073466/"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jurnal.feb-umi.id/index.php/PARADOKS/article/view/986" TargetMode="External"/><Relationship Id="rId23" Type="http://schemas.openxmlformats.org/officeDocument/2006/relationships/hyperlink" Target="https://www.emerald.com/insight/content/doi/10.1108/ijssp-06-2022-0170/full/html" TargetMode="External"/><Relationship Id="rId28" Type="http://schemas.openxmlformats.org/officeDocument/2006/relationships/hyperlink" Target="https://link.springer.com/chapter/10.1007/978-981-15-6667-7_10" TargetMode="External"/><Relationship Id="rId36" Type="http://schemas.openxmlformats.org/officeDocument/2006/relationships/hyperlink" Target="https://philpapers.org/rec/TORURE" TargetMode="External"/><Relationship Id="rId10" Type="http://schemas.openxmlformats.org/officeDocument/2006/relationships/image" Target="media/image1.png"/><Relationship Id="rId19" Type="http://schemas.openxmlformats.org/officeDocument/2006/relationships/hyperlink" Target="https://psycnet.apa.org/fulltext/2020-72084-001.html" TargetMode="External"/><Relationship Id="rId31" Type="http://schemas.openxmlformats.org/officeDocument/2006/relationships/hyperlink" Target="https://www.researchgate.net/profile/Himeji-Ken-Dela-Pena/publication/385785457_Bridging_the_divide_an_analysis_of_demand_and_supply_of_education_resources_in_various_countries_around_the_world/links/6735464069c07a4114468bdc/Bridging-the-divide-an-analysis-of-demand-and-supply-of-education-resources-in-various-countries-around-the-world.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earch.proquest.com/openview/670354fcadcf863d486e9f92b0a23606/1?pq-origsite=gscholar&amp;cbl=18750&amp;diss=y" TargetMode="External"/><Relationship Id="rId22" Type="http://schemas.openxmlformats.org/officeDocument/2006/relationships/hyperlink" Target="https://link.springer.com/article/10.1186/s40359-023-01441-7" TargetMode="External"/><Relationship Id="rId27" Type="http://schemas.openxmlformats.org/officeDocument/2006/relationships/hyperlink" Target="https://eric.ed.gov/?id=EJ1244261" TargetMode="External"/><Relationship Id="rId30" Type="http://schemas.openxmlformats.org/officeDocument/2006/relationships/hyperlink" Target="https://journals.sagepub.com/doi/abs/10.1177/17411432231167715" TargetMode="External"/><Relationship Id="rId35" Type="http://schemas.openxmlformats.org/officeDocument/2006/relationships/hyperlink" Target="https://uhcl-ir.tdl.org/items/24397a47-4586-40ff-a21b-9bb25a327545" TargetMode="Externa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39</TotalTime>
  <Pages>14</Pages>
  <Words>6758</Words>
  <Characters>38522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100</cp:revision>
  <cp:lastPrinted>2024-10-20T02:52:00Z</cp:lastPrinted>
  <dcterms:created xsi:type="dcterms:W3CDTF">2025-07-04T02:28:00Z</dcterms:created>
  <dcterms:modified xsi:type="dcterms:W3CDTF">2025-07-11T06:02:00Z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