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AA468" w14:textId="16EEEC4F" w:rsidR="00945D1C" w:rsidRPr="00077E16" w:rsidRDefault="0035690D" w:rsidP="009A6C53">
      <w:pPr>
        <w:jc w:val="center"/>
        <w:rPr>
          <w:rFonts w:ascii="Times New Roman" w:hAnsi="Times New Roman" w:cs="Times New Roman"/>
          <w:b/>
          <w:sz w:val="24"/>
          <w:szCs w:val="24"/>
        </w:rPr>
      </w:pPr>
      <w:r w:rsidRPr="00077E16">
        <w:rPr>
          <w:rFonts w:ascii="Times New Roman" w:hAnsi="Times New Roman" w:cs="Times New Roman"/>
          <w:b/>
          <w:sz w:val="24"/>
          <w:szCs w:val="24"/>
        </w:rPr>
        <w:t xml:space="preserve">Strategic Orientation and Corporate Goal Achievement: Evidence from Manufacturing Firms in </w:t>
      </w:r>
      <w:proofErr w:type="spellStart"/>
      <w:r w:rsidRPr="00077E16">
        <w:rPr>
          <w:rFonts w:ascii="Times New Roman" w:hAnsi="Times New Roman" w:cs="Times New Roman"/>
          <w:b/>
          <w:sz w:val="24"/>
          <w:szCs w:val="24"/>
        </w:rPr>
        <w:t>Kogi</w:t>
      </w:r>
      <w:proofErr w:type="spellEnd"/>
      <w:r w:rsidRPr="00077E16">
        <w:rPr>
          <w:rFonts w:ascii="Times New Roman" w:hAnsi="Times New Roman" w:cs="Times New Roman"/>
          <w:b/>
          <w:sz w:val="24"/>
          <w:szCs w:val="24"/>
        </w:rPr>
        <w:t xml:space="preserve"> State</w:t>
      </w:r>
    </w:p>
    <w:p w14:paraId="5A51FA1A" w14:textId="77777777" w:rsidR="0035690D" w:rsidRDefault="0035690D">
      <w:pPr>
        <w:rPr>
          <w:rFonts w:ascii="Times New Roman" w:hAnsi="Times New Roman" w:cs="Times New Roman"/>
          <w:b/>
          <w:sz w:val="24"/>
          <w:szCs w:val="24"/>
        </w:rPr>
      </w:pPr>
    </w:p>
    <w:p w14:paraId="3E5364A5" w14:textId="77777777" w:rsidR="00C4799B" w:rsidRDefault="00C4799B">
      <w:pPr>
        <w:rPr>
          <w:rFonts w:ascii="Times New Roman" w:hAnsi="Times New Roman" w:cs="Times New Roman"/>
          <w:b/>
          <w:sz w:val="24"/>
          <w:szCs w:val="24"/>
        </w:rPr>
      </w:pPr>
    </w:p>
    <w:p w14:paraId="2048E217" w14:textId="77777777" w:rsidR="00C4799B" w:rsidRDefault="00C4799B" w:rsidP="00C4799B">
      <w:pPr>
        <w:jc w:val="center"/>
        <w:rPr>
          <w:rFonts w:ascii="Times New Roman" w:hAnsi="Times New Roman" w:cs="Times New Roman"/>
          <w:b/>
          <w:sz w:val="24"/>
          <w:szCs w:val="24"/>
        </w:rPr>
      </w:pPr>
      <w:r>
        <w:rPr>
          <w:rFonts w:ascii="Times New Roman" w:hAnsi="Times New Roman" w:cs="Times New Roman"/>
          <w:b/>
          <w:sz w:val="24"/>
          <w:szCs w:val="24"/>
        </w:rPr>
        <w:t>Abstract</w:t>
      </w:r>
    </w:p>
    <w:p w14:paraId="27163F29" w14:textId="77777777" w:rsidR="00ED3B06" w:rsidRPr="00C4799B" w:rsidRDefault="00C4799B" w:rsidP="00C4799B">
      <w:pPr>
        <w:jc w:val="both"/>
        <w:rPr>
          <w:rFonts w:ascii="Times New Roman" w:hAnsi="Times New Roman" w:cs="Times New Roman"/>
          <w:i/>
          <w:sz w:val="24"/>
          <w:szCs w:val="24"/>
        </w:rPr>
      </w:pPr>
      <w:r w:rsidRPr="00C4799B">
        <w:rPr>
          <w:rFonts w:ascii="Times New Roman" w:hAnsi="Times New Roman" w:cs="Times New Roman"/>
          <w:i/>
          <w:sz w:val="24"/>
          <w:szCs w:val="24"/>
        </w:rPr>
        <w:t>This study focused on strategic orientation and corporate goal achievement. The study determined how market orientation affects market share of manufacturing firms, and ascertained how entrepreneurial orientation affects profitability of manufacturing firms. The study used a survey research approach. The registered small, medium, and large manufacturing companies that operate in Kogi State made up the study's population. The study selected a sample size of 150 companies. The study distributed a standardized questionnaire to key decision-makers in the selected companies, such as managers, directors, and business owners, to gather data. Regression analysis was used to evaluate the hypotheses, while descriptive statistics were employed to characterize the respondents' characteristics. Finding showed that market orientation has a significant positive effect on market share of manufacturing firms</w:t>
      </w:r>
      <w:r>
        <w:rPr>
          <w:rFonts w:ascii="Times New Roman" w:hAnsi="Times New Roman" w:cs="Times New Roman"/>
          <w:i/>
          <w:sz w:val="24"/>
          <w:szCs w:val="24"/>
        </w:rPr>
        <w:t xml:space="preserve"> </w:t>
      </w:r>
      <w:r w:rsidRPr="00C4799B">
        <w:rPr>
          <w:rFonts w:ascii="Times New Roman" w:hAnsi="Times New Roman" w:cs="Times New Roman"/>
          <w:i/>
          <w:sz w:val="24"/>
          <w:szCs w:val="24"/>
        </w:rPr>
        <w:t xml:space="preserve">(β= </w:t>
      </w:r>
      <w:r w:rsidRPr="00C4799B">
        <w:rPr>
          <w:rFonts w:ascii="Times New Roman" w:hAnsi="Times New Roman" w:cs="Times New Roman"/>
          <w:i/>
          <w:color w:val="000000"/>
          <w:sz w:val="24"/>
          <w:szCs w:val="24"/>
        </w:rPr>
        <w:t>0.658302; p-value &lt; 0.01)</w:t>
      </w:r>
      <w:r w:rsidRPr="00C4799B">
        <w:rPr>
          <w:rFonts w:ascii="Times New Roman" w:hAnsi="Times New Roman" w:cs="Times New Roman"/>
          <w:i/>
          <w:sz w:val="24"/>
          <w:szCs w:val="24"/>
        </w:rPr>
        <w:t>, and that entrepreneurial orientation has a significant positive effect on profitability of manufacturing firms</w:t>
      </w:r>
      <w:r>
        <w:rPr>
          <w:rFonts w:ascii="Times New Roman" w:hAnsi="Times New Roman" w:cs="Times New Roman"/>
          <w:i/>
          <w:sz w:val="24"/>
          <w:szCs w:val="24"/>
        </w:rPr>
        <w:t xml:space="preserve"> </w:t>
      </w:r>
      <w:r w:rsidRPr="00C4799B">
        <w:rPr>
          <w:rFonts w:ascii="Times New Roman" w:hAnsi="Times New Roman" w:cs="Times New Roman"/>
          <w:i/>
          <w:sz w:val="24"/>
          <w:szCs w:val="24"/>
        </w:rPr>
        <w:t xml:space="preserve">(β= </w:t>
      </w:r>
      <w:r w:rsidRPr="00C4799B">
        <w:rPr>
          <w:rFonts w:ascii="Times New Roman" w:hAnsi="Times New Roman" w:cs="Times New Roman"/>
          <w:i/>
          <w:color w:val="000000"/>
          <w:sz w:val="24"/>
          <w:szCs w:val="24"/>
        </w:rPr>
        <w:t>0.619873; p-value &lt; 0.01)</w:t>
      </w:r>
      <w:r w:rsidRPr="00C4799B">
        <w:rPr>
          <w:rFonts w:ascii="Times New Roman" w:hAnsi="Times New Roman" w:cs="Times New Roman"/>
          <w:bCs/>
          <w:i/>
          <w:color w:val="000000"/>
          <w:sz w:val="24"/>
          <w:szCs w:val="24"/>
        </w:rPr>
        <w:t xml:space="preserve">. </w:t>
      </w:r>
      <w:r w:rsidRPr="00C4799B">
        <w:rPr>
          <w:rFonts w:ascii="Times New Roman" w:hAnsi="Times New Roman" w:cs="Times New Roman"/>
          <w:i/>
          <w:sz w:val="24"/>
          <w:szCs w:val="24"/>
        </w:rPr>
        <w:t xml:space="preserve">The study concluded that strategic orientation can affect the achievement of corporate goals for manufacturing companies. The study recommended that to improve their market orientation and increase their market share, manufacturing companies should give top priority to competitive intelligence, market trends, and consumer wants. Furthermore, it recommended that to increase profitability, manufacturing companies should promote an entrepreneurial culture that rewards creativity, risk-taking, and initiative. Management should spend money on rewards programs and leadership development to encourage entrepreneurial </w:t>
      </w:r>
      <w:proofErr w:type="spellStart"/>
      <w:r w:rsidRPr="00C4799B">
        <w:rPr>
          <w:rFonts w:ascii="Times New Roman" w:hAnsi="Times New Roman" w:cs="Times New Roman"/>
          <w:i/>
          <w:sz w:val="24"/>
          <w:szCs w:val="24"/>
        </w:rPr>
        <w:t>endeavours</w:t>
      </w:r>
      <w:proofErr w:type="spellEnd"/>
      <w:r w:rsidRPr="00C4799B">
        <w:rPr>
          <w:rFonts w:ascii="Times New Roman" w:hAnsi="Times New Roman" w:cs="Times New Roman"/>
          <w:i/>
          <w:sz w:val="24"/>
          <w:szCs w:val="24"/>
        </w:rPr>
        <w:t xml:space="preserve"> at all organizational levels.</w:t>
      </w:r>
    </w:p>
    <w:p w14:paraId="1B81C138" w14:textId="77777777" w:rsidR="00C4799B" w:rsidRPr="00077E16" w:rsidRDefault="00C4799B" w:rsidP="00C4799B">
      <w:pPr>
        <w:jc w:val="both"/>
        <w:rPr>
          <w:rFonts w:ascii="Times New Roman" w:hAnsi="Times New Roman" w:cs="Times New Roman"/>
          <w:b/>
          <w:sz w:val="24"/>
          <w:szCs w:val="24"/>
        </w:rPr>
      </w:pPr>
      <w:r w:rsidRPr="00C4799B">
        <w:rPr>
          <w:rFonts w:ascii="Times New Roman" w:hAnsi="Times New Roman" w:cs="Times New Roman"/>
          <w:b/>
          <w:sz w:val="24"/>
          <w:szCs w:val="24"/>
        </w:rPr>
        <w:t xml:space="preserve">Keywords: </w:t>
      </w:r>
      <w:r w:rsidRPr="00C4799B">
        <w:rPr>
          <w:rFonts w:ascii="Times New Roman" w:hAnsi="Times New Roman" w:cs="Times New Roman"/>
          <w:sz w:val="24"/>
          <w:szCs w:val="24"/>
        </w:rPr>
        <w:t>Market Orientation</w:t>
      </w:r>
      <w:r>
        <w:rPr>
          <w:rFonts w:ascii="Times New Roman" w:hAnsi="Times New Roman" w:cs="Times New Roman"/>
          <w:sz w:val="24"/>
          <w:szCs w:val="24"/>
        </w:rPr>
        <w:t>,</w:t>
      </w:r>
      <w:r w:rsidRPr="00C4799B">
        <w:rPr>
          <w:rFonts w:ascii="Times New Roman" w:hAnsi="Times New Roman" w:cs="Times New Roman"/>
          <w:sz w:val="24"/>
          <w:szCs w:val="24"/>
        </w:rPr>
        <w:t xml:space="preserve"> Market Share</w:t>
      </w:r>
      <w:r>
        <w:rPr>
          <w:rFonts w:ascii="Times New Roman" w:hAnsi="Times New Roman" w:cs="Times New Roman"/>
          <w:sz w:val="24"/>
          <w:szCs w:val="24"/>
        </w:rPr>
        <w:t>,</w:t>
      </w:r>
      <w:r w:rsidRPr="00077E16">
        <w:rPr>
          <w:rFonts w:ascii="Times New Roman" w:hAnsi="Times New Roman" w:cs="Times New Roman"/>
          <w:sz w:val="24"/>
          <w:szCs w:val="24"/>
        </w:rPr>
        <w:t xml:space="preserve"> Entrepreneurial Orientation</w:t>
      </w:r>
      <w:r>
        <w:rPr>
          <w:rFonts w:ascii="Times New Roman" w:hAnsi="Times New Roman" w:cs="Times New Roman"/>
          <w:sz w:val="24"/>
          <w:szCs w:val="24"/>
        </w:rPr>
        <w:t>,</w:t>
      </w:r>
      <w:r w:rsidRPr="00077E16">
        <w:rPr>
          <w:rFonts w:ascii="Times New Roman" w:hAnsi="Times New Roman" w:cs="Times New Roman"/>
          <w:sz w:val="24"/>
          <w:szCs w:val="24"/>
        </w:rPr>
        <w:t xml:space="preserve"> Technology Orientation</w:t>
      </w:r>
      <w:r>
        <w:rPr>
          <w:rFonts w:ascii="Times New Roman" w:hAnsi="Times New Roman" w:cs="Times New Roman"/>
          <w:sz w:val="24"/>
          <w:szCs w:val="24"/>
        </w:rPr>
        <w:t>,</w:t>
      </w:r>
      <w:r w:rsidRPr="00077E16">
        <w:rPr>
          <w:rFonts w:ascii="Times New Roman" w:hAnsi="Times New Roman" w:cs="Times New Roman"/>
          <w:sz w:val="24"/>
          <w:szCs w:val="24"/>
        </w:rPr>
        <w:t xml:space="preserve"> Competitive Advantage</w:t>
      </w:r>
    </w:p>
    <w:p w14:paraId="5BDE3318" w14:textId="77777777" w:rsidR="0035690D" w:rsidRPr="00077E16" w:rsidRDefault="0035690D">
      <w:pPr>
        <w:rPr>
          <w:rFonts w:ascii="Times New Roman" w:hAnsi="Times New Roman" w:cs="Times New Roman"/>
          <w:b/>
          <w:sz w:val="24"/>
          <w:szCs w:val="24"/>
        </w:rPr>
      </w:pPr>
      <w:r w:rsidRPr="00077E16">
        <w:rPr>
          <w:rFonts w:ascii="Times New Roman" w:hAnsi="Times New Roman" w:cs="Times New Roman"/>
          <w:b/>
          <w:sz w:val="24"/>
          <w:szCs w:val="24"/>
        </w:rPr>
        <w:t>Introduction</w:t>
      </w:r>
    </w:p>
    <w:p w14:paraId="765B10EF" w14:textId="77777777" w:rsidR="00247C9A" w:rsidRPr="00077E16" w:rsidRDefault="00247C9A" w:rsidP="00247C9A">
      <w:pPr>
        <w:pStyle w:val="NormalWeb"/>
        <w:jc w:val="both"/>
      </w:pPr>
      <w:r w:rsidRPr="00077E16">
        <w:t>The term strategic orientation (SO) describes the guiding concepts that impact a company's strategic choices and actions meant to guarantee its long-term viability and exceptional performance (</w:t>
      </w:r>
      <w:proofErr w:type="spellStart"/>
      <w:r w:rsidRPr="00077E16">
        <w:t>Glaveli</w:t>
      </w:r>
      <w:proofErr w:type="spellEnd"/>
      <w:r w:rsidRPr="00077E16">
        <w:t xml:space="preserve"> &amp; </w:t>
      </w:r>
      <w:proofErr w:type="spellStart"/>
      <w:r w:rsidRPr="00077E16">
        <w:t>Geormas</w:t>
      </w:r>
      <w:proofErr w:type="spellEnd"/>
      <w:r w:rsidRPr="00077E16">
        <w:t xml:space="preserve">, 2018; Zhou &amp; Park, 2020). The way businesses adjust to their external surroundings, mobilize internal resources, and align their plans with performance goals is captured by a family of connected constructs rather than a single </w:t>
      </w:r>
      <w:proofErr w:type="spellStart"/>
      <w:r w:rsidRPr="00077E16">
        <w:t>behaviour</w:t>
      </w:r>
      <w:proofErr w:type="spellEnd"/>
      <w:r w:rsidRPr="00077E16">
        <w:t xml:space="preserve"> or structure (</w:t>
      </w:r>
      <w:proofErr w:type="spellStart"/>
      <w:r w:rsidRPr="00077E16">
        <w:t>Anamanjia</w:t>
      </w:r>
      <w:proofErr w:type="spellEnd"/>
      <w:r w:rsidRPr="00077E16">
        <w:t xml:space="preserve"> &amp; Maina, 2022; Schweiger et al., 2019). Being a multifaceted idea, SO includes a range of orientations, including technology, innovation, market, and entrepreneurial orientations. According to Ashal et al. (2021) and Wales et al. (2020), every orientation reflects a distinct aspect of a company's strategic attitude and works together to promote organizational performance. </w:t>
      </w:r>
    </w:p>
    <w:p w14:paraId="1EA58C46" w14:textId="77777777" w:rsidR="00814B82" w:rsidRPr="00077E16" w:rsidRDefault="00247C9A" w:rsidP="00247C9A">
      <w:pPr>
        <w:pStyle w:val="NormalWeb"/>
        <w:jc w:val="both"/>
      </w:pPr>
      <w:r w:rsidRPr="00077E16">
        <w:t xml:space="preserve">It has been demonstrated that strategic orientation affects various organizational outcomes, such as financial performance (Ashal et al., 2021), new product creation (Mu et al., 2017), and competitive advantage (Zhou &amp; Park, 2020). Its impact on corporate goal achievement—the </w:t>
      </w:r>
      <w:r w:rsidRPr="00077E16">
        <w:lastRenderedPageBreak/>
        <w:t>degree to which a company achieves its long-term strategic objectives, such as profitability, market expansion, product innovation, and operational efficiency—is especially pertinent to academics and practitioners (</w:t>
      </w:r>
      <w:proofErr w:type="spellStart"/>
      <w:r w:rsidRPr="00077E16">
        <w:t>AlQershi</w:t>
      </w:r>
      <w:proofErr w:type="spellEnd"/>
      <w:r w:rsidRPr="00077E16">
        <w:t xml:space="preserve"> et al., 2022; </w:t>
      </w:r>
      <w:proofErr w:type="spellStart"/>
      <w:r w:rsidRPr="00077E16">
        <w:t>Nejati</w:t>
      </w:r>
      <w:proofErr w:type="spellEnd"/>
      <w:r w:rsidRPr="00077E16">
        <w:t xml:space="preserve"> et al., 2017; Zhou &amp; Park, 2020). Across industries and countries, meta-analyses and longitudinal research have continuously confirmed the strong correlation between company performance and strategic direction (Schweiger et al., 2019). </w:t>
      </w:r>
      <w:r w:rsidRPr="00077E16">
        <w:br/>
        <w:t>The development of SO research has mostly been based on deconstructed conceptualizations of its constituent parts. Individual aspects, including market orientation (MO), entrepreneurial orientation (EO), and technological orientation (TO), have been extensively studied as distinct determinants of performance outcomes (</w:t>
      </w:r>
      <w:proofErr w:type="spellStart"/>
      <w:r w:rsidRPr="00077E16">
        <w:t>Buli</w:t>
      </w:r>
      <w:proofErr w:type="spellEnd"/>
      <w:r w:rsidRPr="00077E16">
        <w:t xml:space="preserve">, 2017; </w:t>
      </w:r>
      <w:proofErr w:type="spellStart"/>
      <w:r w:rsidRPr="00077E16">
        <w:t>Masa’deh</w:t>
      </w:r>
      <w:proofErr w:type="spellEnd"/>
      <w:r w:rsidRPr="00077E16">
        <w:t xml:space="preserve"> et al., 2018). These studies show that EO fosters creativity and opportunity seeking, TO propels technological adoption and process efficiency, and MO fosters responsiveness to consumer needs. Nonetheless, researchers have come to recognize that considering these orientations as separate factors ignores how intricate and dynamic strategic decision-making is in actual orga</w:t>
      </w:r>
      <w:r w:rsidR="00814B82" w:rsidRPr="00077E16">
        <w:t xml:space="preserve">nizations (Sun et al., 2024). </w:t>
      </w:r>
    </w:p>
    <w:p w14:paraId="50031F30" w14:textId="77777777" w:rsidR="00814B82" w:rsidRPr="00077E16" w:rsidRDefault="00247C9A" w:rsidP="00247C9A">
      <w:pPr>
        <w:pStyle w:val="NormalWeb"/>
        <w:jc w:val="both"/>
      </w:pPr>
      <w:r w:rsidRPr="00077E16">
        <w:t xml:space="preserve">Recent studies have begun to </w:t>
      </w:r>
      <w:r w:rsidR="00814B82" w:rsidRPr="00077E16">
        <w:t>look at SO</w:t>
      </w:r>
      <w:r w:rsidRPr="00077E16">
        <w:t xml:space="preserve"> as a combination of different approaches, arguing that companies often mix various strategies in unique ways based on their resources and the specific situations they face. This </w:t>
      </w:r>
      <w:r w:rsidR="00814B82" w:rsidRPr="00077E16">
        <w:t>approach</w:t>
      </w:r>
      <w:r w:rsidRPr="00077E16">
        <w:t xml:space="preserve"> asserts that a strategic alignment between orientations and the environment is essential for success, as no one orientation ensures optimal performance in every situation (McKenny et al., 2018; Sun et al., 2024). Fuzzy-set qualitative comparative analysis (</w:t>
      </w:r>
      <w:proofErr w:type="spellStart"/>
      <w:r w:rsidRPr="00077E16">
        <w:t>fsQCA</w:t>
      </w:r>
      <w:proofErr w:type="spellEnd"/>
      <w:r w:rsidRPr="00077E16">
        <w:t xml:space="preserve">) is one set-theoretic technique that has been developed to investigate various configurations and find distinct routes to goal achievement (Kumar et </w:t>
      </w:r>
      <w:r w:rsidR="00814B82" w:rsidRPr="00077E16">
        <w:t xml:space="preserve">al., 2022; Wang et al., 2024). </w:t>
      </w:r>
    </w:p>
    <w:p w14:paraId="22D05266" w14:textId="77777777" w:rsidR="00ED3B06" w:rsidRPr="00077E16" w:rsidRDefault="00247C9A" w:rsidP="00297DBA">
      <w:pPr>
        <w:pStyle w:val="NormalWeb"/>
        <w:jc w:val="both"/>
      </w:pPr>
      <w:r w:rsidRPr="00077E16">
        <w:t xml:space="preserve">Despite the increased interest in </w:t>
      </w:r>
      <w:r w:rsidR="00814B82" w:rsidRPr="00077E16">
        <w:t>SO</w:t>
      </w:r>
      <w:r w:rsidRPr="00077E16">
        <w:t xml:space="preserve">, less focus has been placed on how SO influences the accomplishment of business objectives in developing nations, especially at the subnational level. The location of Kogi State, Nigeria, which combines developing industrial zones, limited infrastructure, and changing market demands, makes it an intriguing place to study how </w:t>
      </w:r>
      <w:r w:rsidR="00814B82" w:rsidRPr="00077E16">
        <w:t>SO</w:t>
      </w:r>
      <w:r w:rsidRPr="00077E16">
        <w:t xml:space="preserve"> appears in manufacturing companies. Context-specific strategic configurations are necessary for these enterprises to succeed because of issues including legislative unpredictability, technological gaps, and restricted access to finance. Therefore, this study examines how corporate objective achievement among manufacturing firms in Kogi State is impacted by strategic orientation, operationalized through market orientation, entrepreneurial orientation, and technological orientation. By providing information from a less-studied area and showing how different types of strategic orientations work together to influence results in developing industrial settings, it contributes to the existing research on strategic management. </w:t>
      </w:r>
    </w:p>
    <w:p w14:paraId="2CF5E45A" w14:textId="77777777" w:rsidR="0035690D" w:rsidRPr="00077E16" w:rsidRDefault="002C7544" w:rsidP="00ED3B06">
      <w:pPr>
        <w:jc w:val="both"/>
        <w:rPr>
          <w:rFonts w:ascii="Times New Roman" w:hAnsi="Times New Roman" w:cs="Times New Roman"/>
          <w:b/>
          <w:sz w:val="24"/>
          <w:szCs w:val="24"/>
        </w:rPr>
      </w:pPr>
      <w:r w:rsidRPr="00077E16">
        <w:rPr>
          <w:rFonts w:ascii="Times New Roman" w:hAnsi="Times New Roman" w:cs="Times New Roman"/>
          <w:b/>
          <w:sz w:val="24"/>
          <w:szCs w:val="24"/>
        </w:rPr>
        <w:t>Objectives of the Study</w:t>
      </w:r>
    </w:p>
    <w:p w14:paraId="70462D9B" w14:textId="77777777" w:rsidR="002C7544" w:rsidRPr="00077E16" w:rsidRDefault="002C7544" w:rsidP="00ED3B06">
      <w:pPr>
        <w:jc w:val="both"/>
        <w:rPr>
          <w:rFonts w:ascii="Times New Roman" w:hAnsi="Times New Roman" w:cs="Times New Roman"/>
          <w:sz w:val="24"/>
          <w:szCs w:val="24"/>
        </w:rPr>
      </w:pPr>
      <w:r w:rsidRPr="00077E16">
        <w:rPr>
          <w:rFonts w:ascii="Times New Roman" w:hAnsi="Times New Roman" w:cs="Times New Roman"/>
          <w:sz w:val="24"/>
          <w:szCs w:val="24"/>
        </w:rPr>
        <w:t>The specific objectives of the study are to:</w:t>
      </w:r>
    </w:p>
    <w:p w14:paraId="4F507623" w14:textId="77777777" w:rsidR="002C7544" w:rsidRPr="00077E16" w:rsidRDefault="002C7544" w:rsidP="00ED3B06">
      <w:pPr>
        <w:pStyle w:val="ListParagraph"/>
        <w:numPr>
          <w:ilvl w:val="0"/>
          <w:numId w:val="1"/>
        </w:numPr>
        <w:jc w:val="both"/>
        <w:rPr>
          <w:rFonts w:ascii="Times New Roman" w:hAnsi="Times New Roman" w:cs="Times New Roman"/>
          <w:sz w:val="24"/>
          <w:szCs w:val="24"/>
        </w:rPr>
      </w:pPr>
      <w:r w:rsidRPr="00077E16">
        <w:rPr>
          <w:rFonts w:ascii="Times New Roman" w:hAnsi="Times New Roman" w:cs="Times New Roman"/>
          <w:sz w:val="24"/>
          <w:szCs w:val="24"/>
        </w:rPr>
        <w:t xml:space="preserve">Determine how market orientation affects market share of manufacturing firms, </w:t>
      </w:r>
    </w:p>
    <w:p w14:paraId="5CD10D08" w14:textId="77777777" w:rsidR="002C7544" w:rsidRPr="00077E16" w:rsidRDefault="002C7544" w:rsidP="00ED3B06">
      <w:pPr>
        <w:pStyle w:val="ListParagraph"/>
        <w:numPr>
          <w:ilvl w:val="0"/>
          <w:numId w:val="1"/>
        </w:numPr>
        <w:jc w:val="both"/>
        <w:rPr>
          <w:rFonts w:ascii="Times New Roman" w:hAnsi="Times New Roman" w:cs="Times New Roman"/>
          <w:sz w:val="24"/>
          <w:szCs w:val="24"/>
        </w:rPr>
      </w:pPr>
      <w:r w:rsidRPr="00077E16">
        <w:rPr>
          <w:rFonts w:ascii="Times New Roman" w:hAnsi="Times New Roman" w:cs="Times New Roman"/>
          <w:sz w:val="24"/>
          <w:szCs w:val="24"/>
        </w:rPr>
        <w:t xml:space="preserve">Ascertain how entrepreneurial orientation affects profitability of manufacturing firms, and </w:t>
      </w:r>
    </w:p>
    <w:p w14:paraId="5AEDD075" w14:textId="77777777" w:rsidR="008E09E3" w:rsidRPr="00077E16" w:rsidRDefault="002C7544" w:rsidP="00DD02CC">
      <w:pPr>
        <w:pStyle w:val="ListParagraph"/>
        <w:numPr>
          <w:ilvl w:val="0"/>
          <w:numId w:val="1"/>
        </w:numPr>
        <w:jc w:val="both"/>
        <w:rPr>
          <w:rFonts w:ascii="Times New Roman" w:hAnsi="Times New Roman" w:cs="Times New Roman"/>
          <w:sz w:val="24"/>
          <w:szCs w:val="24"/>
        </w:rPr>
      </w:pPr>
      <w:r w:rsidRPr="00077E16">
        <w:rPr>
          <w:rFonts w:ascii="Times New Roman" w:hAnsi="Times New Roman" w:cs="Times New Roman"/>
          <w:sz w:val="24"/>
          <w:szCs w:val="24"/>
        </w:rPr>
        <w:t>Assess how technology orientation affects competitive advantage of manufacturing firms.</w:t>
      </w:r>
    </w:p>
    <w:p w14:paraId="70630F90" w14:textId="77777777" w:rsidR="008E09E3" w:rsidRPr="00077E16" w:rsidRDefault="008E09E3" w:rsidP="008E09E3">
      <w:pPr>
        <w:jc w:val="both"/>
        <w:rPr>
          <w:rFonts w:ascii="Times New Roman" w:hAnsi="Times New Roman" w:cs="Times New Roman"/>
          <w:b/>
          <w:sz w:val="24"/>
          <w:szCs w:val="24"/>
        </w:rPr>
      </w:pPr>
      <w:r w:rsidRPr="00077E16">
        <w:rPr>
          <w:rFonts w:ascii="Times New Roman" w:hAnsi="Times New Roman" w:cs="Times New Roman"/>
          <w:b/>
          <w:sz w:val="24"/>
          <w:szCs w:val="24"/>
        </w:rPr>
        <w:t>Hypotheses of the Study</w:t>
      </w:r>
    </w:p>
    <w:p w14:paraId="2358F935" w14:textId="77777777" w:rsidR="008E09E3" w:rsidRPr="00077E16" w:rsidRDefault="008E09E3" w:rsidP="008E09E3">
      <w:pPr>
        <w:jc w:val="both"/>
        <w:rPr>
          <w:rFonts w:ascii="Times New Roman" w:hAnsi="Times New Roman" w:cs="Times New Roman"/>
          <w:sz w:val="24"/>
          <w:szCs w:val="24"/>
        </w:rPr>
      </w:pPr>
      <w:r w:rsidRPr="00077E16">
        <w:rPr>
          <w:rFonts w:ascii="Times New Roman" w:hAnsi="Times New Roman" w:cs="Times New Roman"/>
          <w:sz w:val="24"/>
          <w:szCs w:val="24"/>
        </w:rPr>
        <w:t>The hypotheses of the study were developed in the alternative form</w:t>
      </w:r>
      <w:r w:rsidR="001004E7" w:rsidRPr="00077E16">
        <w:rPr>
          <w:rFonts w:ascii="Times New Roman" w:hAnsi="Times New Roman" w:cs="Times New Roman"/>
          <w:sz w:val="24"/>
          <w:szCs w:val="24"/>
        </w:rPr>
        <w:t xml:space="preserve"> that</w:t>
      </w:r>
      <w:r w:rsidRPr="00077E16">
        <w:rPr>
          <w:rFonts w:ascii="Times New Roman" w:hAnsi="Times New Roman" w:cs="Times New Roman"/>
          <w:sz w:val="24"/>
          <w:szCs w:val="24"/>
        </w:rPr>
        <w:t>:</w:t>
      </w:r>
    </w:p>
    <w:p w14:paraId="275D1D54" w14:textId="77777777" w:rsidR="001004E7" w:rsidRPr="00077E16" w:rsidRDefault="008E09E3" w:rsidP="001004E7">
      <w:pPr>
        <w:spacing w:after="0"/>
        <w:jc w:val="both"/>
        <w:rPr>
          <w:rFonts w:ascii="Times New Roman" w:hAnsi="Times New Roman" w:cs="Times New Roman"/>
          <w:sz w:val="24"/>
          <w:szCs w:val="24"/>
        </w:rPr>
      </w:pPr>
      <w:r w:rsidRPr="00077E16">
        <w:rPr>
          <w:rFonts w:ascii="Times New Roman" w:hAnsi="Times New Roman" w:cs="Times New Roman"/>
          <w:sz w:val="24"/>
          <w:szCs w:val="24"/>
        </w:rPr>
        <w:t>H1:</w:t>
      </w:r>
      <w:r w:rsidRPr="00077E16">
        <w:rPr>
          <w:rFonts w:ascii="Times New Roman" w:hAnsi="Times New Roman" w:cs="Times New Roman"/>
          <w:sz w:val="24"/>
          <w:szCs w:val="24"/>
        </w:rPr>
        <w:tab/>
        <w:t xml:space="preserve">Market orientation has a significant effect on market share of manufacturing firms, </w:t>
      </w:r>
    </w:p>
    <w:p w14:paraId="3A3AE666" w14:textId="77777777" w:rsidR="008E09E3" w:rsidRPr="00077E16" w:rsidRDefault="001004E7" w:rsidP="001004E7">
      <w:pPr>
        <w:spacing w:after="0"/>
        <w:jc w:val="both"/>
        <w:rPr>
          <w:rFonts w:ascii="Times New Roman" w:hAnsi="Times New Roman" w:cs="Times New Roman"/>
          <w:sz w:val="24"/>
          <w:szCs w:val="24"/>
        </w:rPr>
      </w:pPr>
      <w:r w:rsidRPr="00077E16">
        <w:rPr>
          <w:rFonts w:ascii="Times New Roman" w:hAnsi="Times New Roman" w:cs="Times New Roman"/>
          <w:sz w:val="24"/>
          <w:szCs w:val="24"/>
        </w:rPr>
        <w:lastRenderedPageBreak/>
        <w:t>H3:</w:t>
      </w:r>
      <w:r w:rsidRPr="00077E16">
        <w:rPr>
          <w:rFonts w:ascii="Times New Roman" w:hAnsi="Times New Roman" w:cs="Times New Roman"/>
          <w:sz w:val="24"/>
          <w:szCs w:val="24"/>
        </w:rPr>
        <w:tab/>
        <w:t>E</w:t>
      </w:r>
      <w:r w:rsidR="008E09E3" w:rsidRPr="00077E16">
        <w:rPr>
          <w:rFonts w:ascii="Times New Roman" w:hAnsi="Times New Roman" w:cs="Times New Roman"/>
          <w:sz w:val="24"/>
          <w:szCs w:val="24"/>
        </w:rPr>
        <w:t xml:space="preserve">ntrepreneurial orientation </w:t>
      </w:r>
      <w:r w:rsidRPr="00077E16">
        <w:rPr>
          <w:rFonts w:ascii="Times New Roman" w:hAnsi="Times New Roman" w:cs="Times New Roman"/>
          <w:sz w:val="24"/>
          <w:szCs w:val="24"/>
        </w:rPr>
        <w:t>has a significant effect on</w:t>
      </w:r>
      <w:r w:rsidR="008E09E3" w:rsidRPr="00077E16">
        <w:rPr>
          <w:rFonts w:ascii="Times New Roman" w:hAnsi="Times New Roman" w:cs="Times New Roman"/>
          <w:sz w:val="24"/>
          <w:szCs w:val="24"/>
        </w:rPr>
        <w:t xml:space="preserve"> profitability of manufacturing firms, and </w:t>
      </w:r>
    </w:p>
    <w:p w14:paraId="00A5AA74" w14:textId="77777777" w:rsidR="008E09E3" w:rsidRPr="00077E16" w:rsidRDefault="001004E7" w:rsidP="00DD02CC">
      <w:pPr>
        <w:jc w:val="both"/>
        <w:rPr>
          <w:rFonts w:ascii="Times New Roman" w:hAnsi="Times New Roman" w:cs="Times New Roman"/>
          <w:b/>
          <w:sz w:val="24"/>
          <w:szCs w:val="24"/>
        </w:rPr>
      </w:pPr>
      <w:r w:rsidRPr="00077E16">
        <w:rPr>
          <w:rFonts w:ascii="Times New Roman" w:hAnsi="Times New Roman" w:cs="Times New Roman"/>
          <w:sz w:val="24"/>
          <w:szCs w:val="24"/>
        </w:rPr>
        <w:t>H4:</w:t>
      </w:r>
      <w:r w:rsidRPr="00077E16">
        <w:rPr>
          <w:rFonts w:ascii="Times New Roman" w:hAnsi="Times New Roman" w:cs="Times New Roman"/>
          <w:sz w:val="24"/>
          <w:szCs w:val="24"/>
        </w:rPr>
        <w:tab/>
        <w:t>T</w:t>
      </w:r>
      <w:r w:rsidR="008E09E3" w:rsidRPr="00077E16">
        <w:rPr>
          <w:rFonts w:ascii="Times New Roman" w:hAnsi="Times New Roman" w:cs="Times New Roman"/>
          <w:sz w:val="24"/>
          <w:szCs w:val="24"/>
        </w:rPr>
        <w:t xml:space="preserve">echnology orientation </w:t>
      </w:r>
      <w:r w:rsidRPr="00077E16">
        <w:rPr>
          <w:rFonts w:ascii="Times New Roman" w:hAnsi="Times New Roman" w:cs="Times New Roman"/>
          <w:sz w:val="24"/>
          <w:szCs w:val="24"/>
        </w:rPr>
        <w:t>has a significant effect on</w:t>
      </w:r>
      <w:r w:rsidR="008E09E3" w:rsidRPr="00077E16">
        <w:rPr>
          <w:rFonts w:ascii="Times New Roman" w:hAnsi="Times New Roman" w:cs="Times New Roman"/>
          <w:sz w:val="24"/>
          <w:szCs w:val="24"/>
        </w:rPr>
        <w:t xml:space="preserve"> competitive advantage of manufacturing firms.</w:t>
      </w:r>
      <w:r w:rsidRPr="00077E16">
        <w:rPr>
          <w:rFonts w:ascii="Times New Roman" w:hAnsi="Times New Roman" w:cs="Times New Roman"/>
          <w:sz w:val="24"/>
          <w:szCs w:val="24"/>
        </w:rPr>
        <w:t xml:space="preserve"> </w:t>
      </w:r>
    </w:p>
    <w:p w14:paraId="6E88DDFC" w14:textId="77777777" w:rsidR="00DD02CC" w:rsidRPr="00077E16" w:rsidRDefault="00DD02CC" w:rsidP="00DD02CC">
      <w:pPr>
        <w:jc w:val="both"/>
        <w:rPr>
          <w:rFonts w:ascii="Times New Roman" w:hAnsi="Times New Roman" w:cs="Times New Roman"/>
          <w:b/>
          <w:sz w:val="24"/>
          <w:szCs w:val="24"/>
        </w:rPr>
      </w:pPr>
      <w:r w:rsidRPr="00077E16">
        <w:rPr>
          <w:rFonts w:ascii="Times New Roman" w:hAnsi="Times New Roman" w:cs="Times New Roman"/>
          <w:b/>
          <w:sz w:val="24"/>
          <w:szCs w:val="24"/>
        </w:rPr>
        <w:t>Literature Review</w:t>
      </w:r>
    </w:p>
    <w:p w14:paraId="13B8EF15" w14:textId="77777777" w:rsidR="00957473" w:rsidRPr="00077E16" w:rsidRDefault="00814B82" w:rsidP="00957473">
      <w:pPr>
        <w:pStyle w:val="NormalWeb"/>
        <w:jc w:val="both"/>
      </w:pPr>
      <w:r w:rsidRPr="00077E16">
        <w:t>Strategic orientation greatly influences the competitive stance and long-term success of manufacturing companies, particularly in unstable business settings. Market orientation, entrepreneurial orientation, and technology orientation are features of strategic orientation that have attracted significant scholarly interest due to their contributions to various performance outcomes (</w:t>
      </w:r>
      <w:proofErr w:type="spellStart"/>
      <w:r w:rsidRPr="00077E16">
        <w:t>Buli</w:t>
      </w:r>
      <w:proofErr w:type="spellEnd"/>
      <w:r w:rsidRPr="00077E16">
        <w:t xml:space="preserve">, 2017; </w:t>
      </w:r>
      <w:proofErr w:type="spellStart"/>
      <w:r w:rsidRPr="00077E16">
        <w:t>Masa’deh</w:t>
      </w:r>
      <w:proofErr w:type="spellEnd"/>
      <w:r w:rsidRPr="00077E16">
        <w:t xml:space="preserve"> et al., 2018). Increased market share, particularly in consumer-driven businesses, has been consistently associated with market orientation. </w:t>
      </w:r>
      <w:proofErr w:type="spellStart"/>
      <w:r w:rsidRPr="00077E16">
        <w:t>Vishnoi</w:t>
      </w:r>
      <w:proofErr w:type="spellEnd"/>
      <w:r w:rsidRPr="00077E16">
        <w:t xml:space="preserve"> et al. (2019) and </w:t>
      </w:r>
      <w:proofErr w:type="spellStart"/>
      <w:r w:rsidRPr="00077E16">
        <w:t>Katsikea</w:t>
      </w:r>
      <w:proofErr w:type="spellEnd"/>
      <w:r w:rsidRPr="00077E16">
        <w:t xml:space="preserve"> et al. (2019) stress the significance of creating, sharing, and reacting to market intelligence as a means of enhancing client loyalty and satisfaction. According to </w:t>
      </w:r>
      <w:proofErr w:type="spellStart"/>
      <w:r w:rsidRPr="00077E16">
        <w:t>Handoyo</w:t>
      </w:r>
      <w:proofErr w:type="spellEnd"/>
      <w:r w:rsidRPr="00077E16">
        <w:t xml:space="preserve"> et al. (2023) and </w:t>
      </w:r>
      <w:proofErr w:type="spellStart"/>
      <w:r w:rsidRPr="00077E16">
        <w:t>Alogwuja</w:t>
      </w:r>
      <w:proofErr w:type="spellEnd"/>
      <w:r w:rsidRPr="00077E16">
        <w:t xml:space="preserve"> et al. (2025), companies that embrace a culture that prioritizes customers and competitors typically outperform their competitors, espe</w:t>
      </w:r>
      <w:r w:rsidR="00957473" w:rsidRPr="00077E16">
        <w:t>cially in dynamic marketplaces.</w:t>
      </w:r>
    </w:p>
    <w:p w14:paraId="38B8B240" w14:textId="77777777" w:rsidR="00DD02CC" w:rsidRPr="00077E16" w:rsidRDefault="00814B82" w:rsidP="00957473">
      <w:pPr>
        <w:pStyle w:val="NormalWeb"/>
        <w:jc w:val="both"/>
      </w:pPr>
      <w:r w:rsidRPr="00077E16">
        <w:t>A company's propensity for innovation, risk-taking, and initiative defines its entrepreneurial orientation. Numerous studies have established a high correlation between EO and profitability, particularly when businesses use innovation to take advantage of new market opportunities (Arunachalam et al., 2018; Hou et al., 2019). Soares and Perin (2020) verified the substantial impact of EO on financial performance using a meta-analysis. By integrating new technologies into processes and products, technology orientation helps businesses gain a competitive edge (</w:t>
      </w:r>
      <w:proofErr w:type="spellStart"/>
      <w:r w:rsidRPr="00077E16">
        <w:t>Masa'deh</w:t>
      </w:r>
      <w:proofErr w:type="spellEnd"/>
      <w:r w:rsidRPr="00077E16">
        <w:t xml:space="preserve"> et al., 2018). Prioritizing R&amp;D and digitization helps businesses become more efficient and flexible. Businesses in developing nations like Nigeria can improve responsiveness and overcome infrastructure constraints by implementing the right technologies (</w:t>
      </w:r>
      <w:proofErr w:type="spellStart"/>
      <w:r w:rsidRPr="00077E16">
        <w:t>Nakpodia</w:t>
      </w:r>
      <w:proofErr w:type="spellEnd"/>
      <w:r w:rsidRPr="00077E16">
        <w:t xml:space="preserve"> et al., 2024; </w:t>
      </w:r>
      <w:proofErr w:type="spellStart"/>
      <w:r w:rsidRPr="00077E16">
        <w:t>Obiki-Osafiele</w:t>
      </w:r>
      <w:proofErr w:type="spellEnd"/>
      <w:r w:rsidRPr="00077E16">
        <w:t xml:space="preserve"> et al., 2024).</w:t>
      </w:r>
    </w:p>
    <w:p w14:paraId="209B0EE1" w14:textId="77777777" w:rsidR="008E09E3" w:rsidRPr="00077E16" w:rsidRDefault="008E09E3" w:rsidP="009D5612">
      <w:pPr>
        <w:pStyle w:val="NormalWeb"/>
        <w:rPr>
          <w:b/>
        </w:rPr>
      </w:pPr>
      <w:r w:rsidRPr="00077E16">
        <w:rPr>
          <w:b/>
        </w:rPr>
        <w:t>Methodology</w:t>
      </w:r>
    </w:p>
    <w:p w14:paraId="7796881B" w14:textId="77777777" w:rsidR="00EA16EF" w:rsidRPr="00077E16" w:rsidRDefault="00B961B4" w:rsidP="00B961B4">
      <w:pPr>
        <w:pStyle w:val="NormalWeb"/>
        <w:jc w:val="both"/>
      </w:pPr>
      <w:r w:rsidRPr="00077E16">
        <w:t xml:space="preserve">The study used a survey research approach to investigate how corporate goal achievement among Kogi State manufacturing companies is impacted by strategic orientation, which includes market orientation, entrepreneurial orientation, and technological orientation. We selected this method to examine proposed relationships and employ numerical data for statistical analysis and inference. The registered small, medium, and large manufacturing companies that operate in Kogi State made up the study's population. To guarantee representation across various firm types, a stratified random sampling technique was utilized. We stratified the population based on firm size (small, medium, and large) and industrial sectors (food processing, metalworking, and textiles). We selected a sample size of 150 companies from this population, taking into account the expected response rates and adhering to </w:t>
      </w:r>
      <w:proofErr w:type="spellStart"/>
      <w:r w:rsidRPr="00077E16">
        <w:t>Krejcie</w:t>
      </w:r>
      <w:proofErr w:type="spellEnd"/>
      <w:r w:rsidRPr="00077E16">
        <w:t xml:space="preserve"> and Mo</w:t>
      </w:r>
      <w:r w:rsidR="00EA16EF" w:rsidRPr="00077E16">
        <w:t xml:space="preserve">rgan's (1970) recommendations. </w:t>
      </w:r>
    </w:p>
    <w:p w14:paraId="64F060C1" w14:textId="77777777" w:rsidR="002916B1" w:rsidRPr="00077E16" w:rsidRDefault="00B961B4" w:rsidP="003A5563">
      <w:pPr>
        <w:pStyle w:val="NormalWeb"/>
        <w:jc w:val="both"/>
      </w:pPr>
      <w:r w:rsidRPr="00077E16">
        <w:t xml:space="preserve">We distributed a standardized questionnaire to key decision-makers in the selected companies, such as managers, directors, and business owners, to gather data. The survey was broken up into two major portions that included demographic data as well as the key questions about achieving corporate goals, market orientation, entrepreneurial orientation, and technology orientation. We </w:t>
      </w:r>
      <w:r w:rsidRPr="00077E16">
        <w:lastRenderedPageBreak/>
        <w:t xml:space="preserve">measured all constructs using a 5-point Likert scale, ranging from "strongly disagree" (1) to "strongly agree" (5). The measurement items for technological orientation, entrepreneurial orientation, and market orientation were modified from </w:t>
      </w:r>
      <w:proofErr w:type="spellStart"/>
      <w:r w:rsidRPr="00077E16">
        <w:t>Gatignon</w:t>
      </w:r>
      <w:proofErr w:type="spellEnd"/>
      <w:r w:rsidRPr="00077E16">
        <w:t xml:space="preserve"> and </w:t>
      </w:r>
      <w:proofErr w:type="spellStart"/>
      <w:r w:rsidRPr="00077E16">
        <w:t>Xuereb</w:t>
      </w:r>
      <w:proofErr w:type="spellEnd"/>
      <w:r w:rsidRPr="00077E16">
        <w:t xml:space="preserve"> (1997), Lumpkin and </w:t>
      </w:r>
      <w:proofErr w:type="spellStart"/>
      <w:r w:rsidRPr="00077E16">
        <w:t>Dess</w:t>
      </w:r>
      <w:proofErr w:type="spellEnd"/>
      <w:r w:rsidRPr="00077E16">
        <w:t xml:space="preserve"> (1996), and </w:t>
      </w:r>
      <w:proofErr w:type="spellStart"/>
      <w:r w:rsidRPr="00077E16">
        <w:t>Narver</w:t>
      </w:r>
      <w:proofErr w:type="spellEnd"/>
      <w:r w:rsidRPr="00077E16">
        <w:t xml:space="preserve"> and Slater (1990). Operationally, market share, profitability, and competitive advantage were used to measure the accomplishment of corporate goals. EViews 12 was used for the analysis of the gathered data. Regression analysis and other inferential statistics were used to evaluate the hypotheses, while descriptive statistics were employed to characterize the respondents' characteristics.</w:t>
      </w:r>
      <w:r w:rsidR="002916B1" w:rsidRPr="00077E16">
        <w:t xml:space="preserve"> </w:t>
      </w:r>
      <w:r w:rsidR="002916B1" w:rsidRPr="00077E16">
        <w:rPr>
          <w:rFonts w:eastAsia="Batang"/>
        </w:rPr>
        <w:t>The regression models are;</w:t>
      </w:r>
    </w:p>
    <w:p w14:paraId="74BCAA25" w14:textId="77777777" w:rsidR="002916B1" w:rsidRPr="00077E16" w:rsidRDefault="002916B1" w:rsidP="002916B1">
      <w:pPr>
        <w:spacing w:after="0" w:line="240" w:lineRule="auto"/>
        <w:jc w:val="both"/>
        <w:rPr>
          <w:rFonts w:ascii="Times New Roman" w:eastAsia="Batang" w:hAnsi="Times New Roman" w:cs="Times New Roman"/>
          <w:sz w:val="24"/>
          <w:szCs w:val="24"/>
        </w:rPr>
      </w:pPr>
      <w:r w:rsidRPr="00077E16">
        <w:rPr>
          <w:rFonts w:ascii="Times New Roman" w:eastAsia="Batang" w:hAnsi="Times New Roman" w:cs="Times New Roman"/>
          <w:sz w:val="24"/>
          <w:szCs w:val="24"/>
        </w:rPr>
        <w:t>MKS</w:t>
      </w:r>
      <w:r w:rsidRPr="00077E16">
        <w:rPr>
          <w:rFonts w:ascii="Times New Roman" w:eastAsia="Batang" w:hAnsi="Times New Roman" w:cs="Times New Roman"/>
          <w:sz w:val="24"/>
          <w:szCs w:val="24"/>
        </w:rPr>
        <w:tab/>
      </w:r>
      <w:r w:rsidRPr="00077E16">
        <w:rPr>
          <w:rFonts w:ascii="Times New Roman" w:eastAsia="Batang" w:hAnsi="Times New Roman" w:cs="Times New Roman"/>
          <w:sz w:val="24"/>
          <w:szCs w:val="24"/>
        </w:rPr>
        <w:tab/>
        <w:t>= β</w:t>
      </w:r>
      <w:r w:rsidRPr="00077E16">
        <w:rPr>
          <w:rFonts w:ascii="Times New Roman" w:eastAsia="Batang" w:hAnsi="Times New Roman" w:cs="Times New Roman"/>
          <w:sz w:val="24"/>
          <w:szCs w:val="24"/>
          <w:vertAlign w:val="subscript"/>
        </w:rPr>
        <w:t>0</w:t>
      </w:r>
      <w:r w:rsidRPr="00077E16">
        <w:rPr>
          <w:rFonts w:ascii="Times New Roman" w:eastAsia="Batang" w:hAnsi="Times New Roman" w:cs="Times New Roman"/>
          <w:sz w:val="24"/>
          <w:szCs w:val="24"/>
        </w:rPr>
        <w:t xml:space="preserve"> + β</w:t>
      </w:r>
      <w:r w:rsidRPr="00077E16">
        <w:rPr>
          <w:rFonts w:ascii="Times New Roman" w:eastAsia="Batang" w:hAnsi="Times New Roman" w:cs="Times New Roman"/>
          <w:sz w:val="24"/>
          <w:szCs w:val="24"/>
          <w:vertAlign w:val="subscript"/>
        </w:rPr>
        <w:t>1</w:t>
      </w:r>
      <w:r w:rsidRPr="00077E16">
        <w:rPr>
          <w:rFonts w:ascii="Times New Roman" w:eastAsia="Batang" w:hAnsi="Times New Roman" w:cs="Times New Roman"/>
          <w:sz w:val="24"/>
          <w:szCs w:val="24"/>
        </w:rPr>
        <w:t>MKO +µ…………………………</w:t>
      </w:r>
      <w:r w:rsidRPr="00077E16">
        <w:rPr>
          <w:rFonts w:ascii="Times New Roman" w:eastAsia="Batang" w:hAnsi="Times New Roman" w:cs="Times New Roman"/>
          <w:sz w:val="24"/>
          <w:szCs w:val="24"/>
        </w:rPr>
        <w:tab/>
        <w:t>1</w:t>
      </w:r>
    </w:p>
    <w:p w14:paraId="04D84C13" w14:textId="77777777" w:rsidR="002916B1" w:rsidRPr="00077E16" w:rsidRDefault="002916B1" w:rsidP="002916B1">
      <w:pPr>
        <w:spacing w:after="0" w:line="240" w:lineRule="auto"/>
        <w:jc w:val="both"/>
        <w:rPr>
          <w:rFonts w:ascii="Times New Roman" w:eastAsia="Batang" w:hAnsi="Times New Roman" w:cs="Times New Roman"/>
          <w:sz w:val="24"/>
          <w:szCs w:val="24"/>
        </w:rPr>
      </w:pPr>
      <w:r w:rsidRPr="00077E16">
        <w:rPr>
          <w:rFonts w:ascii="Times New Roman" w:eastAsia="Batang" w:hAnsi="Times New Roman" w:cs="Times New Roman"/>
          <w:sz w:val="24"/>
          <w:szCs w:val="24"/>
        </w:rPr>
        <w:t xml:space="preserve">PFT </w:t>
      </w:r>
      <w:r w:rsidRPr="00077E16">
        <w:rPr>
          <w:rFonts w:ascii="Times New Roman" w:eastAsia="Batang" w:hAnsi="Times New Roman" w:cs="Times New Roman"/>
          <w:sz w:val="24"/>
          <w:szCs w:val="24"/>
        </w:rPr>
        <w:tab/>
      </w:r>
      <w:r w:rsidRPr="00077E16">
        <w:rPr>
          <w:rFonts w:ascii="Times New Roman" w:eastAsia="Batang" w:hAnsi="Times New Roman" w:cs="Times New Roman"/>
          <w:sz w:val="24"/>
          <w:szCs w:val="24"/>
        </w:rPr>
        <w:tab/>
        <w:t>= β</w:t>
      </w:r>
      <w:r w:rsidRPr="00077E16">
        <w:rPr>
          <w:rFonts w:ascii="Times New Roman" w:eastAsia="Batang" w:hAnsi="Times New Roman" w:cs="Times New Roman"/>
          <w:sz w:val="24"/>
          <w:szCs w:val="24"/>
          <w:vertAlign w:val="subscript"/>
        </w:rPr>
        <w:t>0</w:t>
      </w:r>
      <w:r w:rsidRPr="00077E16">
        <w:rPr>
          <w:rFonts w:ascii="Times New Roman" w:eastAsia="Batang" w:hAnsi="Times New Roman" w:cs="Times New Roman"/>
          <w:sz w:val="24"/>
          <w:szCs w:val="24"/>
        </w:rPr>
        <w:t xml:space="preserve"> + β</w:t>
      </w:r>
      <w:r w:rsidRPr="00077E16">
        <w:rPr>
          <w:rFonts w:ascii="Times New Roman" w:eastAsia="Batang" w:hAnsi="Times New Roman" w:cs="Times New Roman"/>
          <w:sz w:val="24"/>
          <w:szCs w:val="24"/>
          <w:vertAlign w:val="subscript"/>
        </w:rPr>
        <w:t>2</w:t>
      </w:r>
      <w:r w:rsidRPr="00077E16">
        <w:rPr>
          <w:rFonts w:ascii="Times New Roman" w:eastAsia="Batang" w:hAnsi="Times New Roman" w:cs="Times New Roman"/>
          <w:sz w:val="24"/>
          <w:szCs w:val="24"/>
        </w:rPr>
        <w:t>ENO +µ…………………………</w:t>
      </w:r>
      <w:r w:rsidRPr="00077E16">
        <w:rPr>
          <w:rFonts w:ascii="Times New Roman" w:eastAsia="Batang" w:hAnsi="Times New Roman" w:cs="Times New Roman"/>
          <w:sz w:val="24"/>
          <w:szCs w:val="24"/>
        </w:rPr>
        <w:tab/>
        <w:t>2</w:t>
      </w:r>
    </w:p>
    <w:p w14:paraId="78EB277A" w14:textId="77777777" w:rsidR="002916B1" w:rsidRPr="00077E16" w:rsidRDefault="002916B1" w:rsidP="002916B1">
      <w:pPr>
        <w:spacing w:after="200" w:line="240" w:lineRule="auto"/>
        <w:jc w:val="both"/>
        <w:rPr>
          <w:rFonts w:ascii="Times New Roman" w:eastAsia="Batang" w:hAnsi="Times New Roman" w:cs="Times New Roman"/>
          <w:sz w:val="24"/>
          <w:szCs w:val="24"/>
        </w:rPr>
      </w:pPr>
      <w:r w:rsidRPr="00077E16">
        <w:rPr>
          <w:rFonts w:ascii="Times New Roman" w:eastAsia="Batang" w:hAnsi="Times New Roman" w:cs="Times New Roman"/>
          <w:sz w:val="24"/>
          <w:szCs w:val="24"/>
        </w:rPr>
        <w:t>CMA</w:t>
      </w:r>
      <w:r w:rsidRPr="00077E16">
        <w:rPr>
          <w:rFonts w:ascii="Times New Roman" w:eastAsia="Batang" w:hAnsi="Times New Roman" w:cs="Times New Roman"/>
          <w:sz w:val="24"/>
          <w:szCs w:val="24"/>
        </w:rPr>
        <w:tab/>
      </w:r>
      <w:r w:rsidRPr="00077E16">
        <w:rPr>
          <w:rFonts w:ascii="Times New Roman" w:eastAsia="Batang" w:hAnsi="Times New Roman" w:cs="Times New Roman"/>
          <w:sz w:val="24"/>
          <w:szCs w:val="24"/>
        </w:rPr>
        <w:tab/>
        <w:t>= β</w:t>
      </w:r>
      <w:r w:rsidRPr="00077E16">
        <w:rPr>
          <w:rFonts w:ascii="Times New Roman" w:eastAsia="Batang" w:hAnsi="Times New Roman" w:cs="Times New Roman"/>
          <w:sz w:val="24"/>
          <w:szCs w:val="24"/>
          <w:vertAlign w:val="subscript"/>
        </w:rPr>
        <w:t>0</w:t>
      </w:r>
      <w:r w:rsidRPr="00077E16">
        <w:rPr>
          <w:rFonts w:ascii="Times New Roman" w:eastAsia="Batang" w:hAnsi="Times New Roman" w:cs="Times New Roman"/>
          <w:sz w:val="24"/>
          <w:szCs w:val="24"/>
        </w:rPr>
        <w:t xml:space="preserve"> + β</w:t>
      </w:r>
      <w:r w:rsidRPr="00077E16">
        <w:rPr>
          <w:rFonts w:ascii="Times New Roman" w:eastAsia="Batang" w:hAnsi="Times New Roman" w:cs="Times New Roman"/>
          <w:sz w:val="24"/>
          <w:szCs w:val="24"/>
          <w:vertAlign w:val="subscript"/>
        </w:rPr>
        <w:t>3</w:t>
      </w:r>
      <w:r w:rsidRPr="00077E16">
        <w:rPr>
          <w:rFonts w:ascii="Times New Roman" w:eastAsia="Batang" w:hAnsi="Times New Roman" w:cs="Times New Roman"/>
          <w:sz w:val="24"/>
          <w:szCs w:val="24"/>
        </w:rPr>
        <w:t>THO +µ………………………</w:t>
      </w:r>
      <w:r w:rsidRPr="00077E16">
        <w:rPr>
          <w:rFonts w:ascii="Times New Roman" w:eastAsia="Batang" w:hAnsi="Times New Roman" w:cs="Times New Roman"/>
          <w:sz w:val="24"/>
          <w:szCs w:val="24"/>
        </w:rPr>
        <w:tab/>
        <w:t>3</w:t>
      </w:r>
    </w:p>
    <w:p w14:paraId="70566476" w14:textId="77777777" w:rsidR="002916B1" w:rsidRPr="00077E16" w:rsidRDefault="002916B1" w:rsidP="002916B1">
      <w:pPr>
        <w:spacing w:after="0" w:line="240" w:lineRule="auto"/>
        <w:jc w:val="both"/>
        <w:rPr>
          <w:rFonts w:ascii="Times New Roman" w:eastAsia="Batang" w:hAnsi="Times New Roman" w:cs="Times New Roman"/>
          <w:sz w:val="24"/>
          <w:szCs w:val="24"/>
        </w:rPr>
      </w:pPr>
      <w:r w:rsidRPr="00077E16">
        <w:rPr>
          <w:rFonts w:ascii="Times New Roman" w:eastAsia="Batang" w:hAnsi="Times New Roman" w:cs="Times New Roman"/>
          <w:sz w:val="24"/>
          <w:szCs w:val="24"/>
        </w:rPr>
        <w:t>Where;</w:t>
      </w:r>
    </w:p>
    <w:p w14:paraId="3D58E77F" w14:textId="77777777" w:rsidR="002916B1" w:rsidRPr="00077E16" w:rsidRDefault="002916B1" w:rsidP="002916B1">
      <w:pPr>
        <w:spacing w:after="0" w:line="240" w:lineRule="auto"/>
        <w:jc w:val="both"/>
        <w:rPr>
          <w:rFonts w:ascii="Times New Roman" w:eastAsia="Batang" w:hAnsi="Times New Roman" w:cs="Times New Roman"/>
          <w:sz w:val="24"/>
          <w:szCs w:val="24"/>
        </w:rPr>
      </w:pPr>
      <w:r w:rsidRPr="00077E16">
        <w:rPr>
          <w:rFonts w:ascii="Times New Roman" w:eastAsia="Batang" w:hAnsi="Times New Roman" w:cs="Times New Roman"/>
          <w:sz w:val="24"/>
          <w:szCs w:val="24"/>
        </w:rPr>
        <w:t>β0 =   the intercept autonomous parameter estimates</w:t>
      </w:r>
    </w:p>
    <w:p w14:paraId="16B5CAE1" w14:textId="77777777" w:rsidR="002916B1" w:rsidRPr="00077E16" w:rsidRDefault="002916B1" w:rsidP="002916B1">
      <w:pPr>
        <w:spacing w:after="0" w:line="240" w:lineRule="auto"/>
        <w:jc w:val="both"/>
        <w:rPr>
          <w:rFonts w:ascii="Times New Roman" w:hAnsi="Times New Roman" w:cs="Times New Roman"/>
          <w:sz w:val="24"/>
          <w:szCs w:val="24"/>
        </w:rPr>
      </w:pPr>
      <w:r w:rsidRPr="00077E16">
        <w:rPr>
          <w:rFonts w:ascii="Times New Roman" w:hAnsi="Times New Roman" w:cs="Times New Roman"/>
          <w:sz w:val="24"/>
          <w:szCs w:val="24"/>
        </w:rPr>
        <w:t>MKO= Market orientation</w:t>
      </w:r>
    </w:p>
    <w:p w14:paraId="5734E81D" w14:textId="77777777" w:rsidR="002916B1" w:rsidRPr="00077E16" w:rsidRDefault="002916B1" w:rsidP="002916B1">
      <w:pPr>
        <w:spacing w:after="0" w:line="240" w:lineRule="auto"/>
        <w:jc w:val="both"/>
        <w:rPr>
          <w:rFonts w:ascii="Times New Roman" w:hAnsi="Times New Roman" w:cs="Times New Roman"/>
          <w:sz w:val="24"/>
          <w:szCs w:val="24"/>
        </w:rPr>
      </w:pPr>
      <w:r w:rsidRPr="00077E16">
        <w:rPr>
          <w:rFonts w:ascii="Times New Roman" w:hAnsi="Times New Roman" w:cs="Times New Roman"/>
          <w:sz w:val="24"/>
          <w:szCs w:val="24"/>
        </w:rPr>
        <w:t>ENO= Entrepreneurial orientation</w:t>
      </w:r>
    </w:p>
    <w:p w14:paraId="23B97A3A" w14:textId="77777777" w:rsidR="002916B1" w:rsidRPr="00077E16" w:rsidRDefault="002916B1" w:rsidP="002916B1">
      <w:pPr>
        <w:spacing w:after="0" w:line="240" w:lineRule="auto"/>
        <w:jc w:val="both"/>
        <w:rPr>
          <w:rFonts w:ascii="Times New Roman" w:hAnsi="Times New Roman" w:cs="Times New Roman"/>
          <w:sz w:val="24"/>
          <w:szCs w:val="24"/>
        </w:rPr>
      </w:pPr>
      <w:r w:rsidRPr="00077E16">
        <w:rPr>
          <w:rFonts w:ascii="Times New Roman" w:hAnsi="Times New Roman" w:cs="Times New Roman"/>
          <w:sz w:val="24"/>
          <w:szCs w:val="24"/>
        </w:rPr>
        <w:t>THO= Technology orientation</w:t>
      </w:r>
    </w:p>
    <w:p w14:paraId="1D92C6CF" w14:textId="77777777" w:rsidR="002916B1" w:rsidRPr="00077E16" w:rsidRDefault="002916B1" w:rsidP="002916B1">
      <w:pPr>
        <w:spacing w:after="0" w:line="240" w:lineRule="auto"/>
        <w:jc w:val="both"/>
        <w:rPr>
          <w:rFonts w:ascii="Times New Roman" w:hAnsi="Times New Roman" w:cs="Times New Roman"/>
          <w:sz w:val="24"/>
          <w:szCs w:val="24"/>
        </w:rPr>
      </w:pPr>
      <w:r w:rsidRPr="00077E16">
        <w:rPr>
          <w:rFonts w:ascii="Times New Roman" w:hAnsi="Times New Roman" w:cs="Times New Roman"/>
          <w:sz w:val="24"/>
          <w:szCs w:val="24"/>
        </w:rPr>
        <w:t>MKS= Market share</w:t>
      </w:r>
    </w:p>
    <w:p w14:paraId="22E1AE78" w14:textId="77777777" w:rsidR="002916B1" w:rsidRPr="00077E16" w:rsidRDefault="002916B1" w:rsidP="002916B1">
      <w:pPr>
        <w:spacing w:after="0" w:line="240" w:lineRule="auto"/>
        <w:jc w:val="both"/>
        <w:rPr>
          <w:rFonts w:ascii="Times New Roman" w:hAnsi="Times New Roman" w:cs="Times New Roman"/>
          <w:sz w:val="24"/>
          <w:szCs w:val="24"/>
        </w:rPr>
      </w:pPr>
      <w:r w:rsidRPr="00077E16">
        <w:rPr>
          <w:rFonts w:ascii="Times New Roman" w:hAnsi="Times New Roman" w:cs="Times New Roman"/>
          <w:sz w:val="24"/>
          <w:szCs w:val="24"/>
        </w:rPr>
        <w:t>PFT= Profitability</w:t>
      </w:r>
    </w:p>
    <w:p w14:paraId="46EEFF12" w14:textId="77777777" w:rsidR="002916B1" w:rsidRPr="00077E16" w:rsidRDefault="002916B1" w:rsidP="009D5612">
      <w:pPr>
        <w:pStyle w:val="NormalWeb"/>
        <w:spacing w:before="0" w:beforeAutospacing="0"/>
        <w:jc w:val="both"/>
      </w:pPr>
      <w:r w:rsidRPr="00077E16">
        <w:t>CMA= Competitive advantage</w:t>
      </w:r>
    </w:p>
    <w:p w14:paraId="59BC2855" w14:textId="1A988AC0" w:rsidR="00DD02CC" w:rsidRPr="00077E16" w:rsidRDefault="009E16BF" w:rsidP="00DD02CC">
      <w:pPr>
        <w:jc w:val="both"/>
        <w:rPr>
          <w:rFonts w:ascii="Times New Roman" w:hAnsi="Times New Roman" w:cs="Times New Roman"/>
          <w:b/>
          <w:sz w:val="24"/>
          <w:szCs w:val="24"/>
        </w:rPr>
      </w:pPr>
      <w:r w:rsidRPr="00077E16">
        <w:rPr>
          <w:rFonts w:ascii="Times New Roman" w:hAnsi="Times New Roman" w:cs="Times New Roman"/>
          <w:b/>
          <w:sz w:val="24"/>
          <w:szCs w:val="24"/>
        </w:rPr>
        <w:t xml:space="preserve">Analyses and </w:t>
      </w:r>
      <w:r w:rsidR="0083100E">
        <w:rPr>
          <w:rFonts w:ascii="Times New Roman" w:hAnsi="Times New Roman" w:cs="Times New Roman"/>
          <w:b/>
          <w:sz w:val="24"/>
          <w:szCs w:val="24"/>
        </w:rPr>
        <w:t>Discussion</w:t>
      </w:r>
    </w:p>
    <w:p w14:paraId="22643A12" w14:textId="77777777" w:rsidR="00297DBA" w:rsidRPr="00077E16" w:rsidRDefault="00E12EAA" w:rsidP="00297DBA">
      <w:pPr>
        <w:autoSpaceDE w:val="0"/>
        <w:autoSpaceDN w:val="0"/>
        <w:adjustRightInd w:val="0"/>
        <w:spacing w:after="0" w:line="240" w:lineRule="auto"/>
        <w:jc w:val="both"/>
        <w:rPr>
          <w:rFonts w:ascii="Times New Roman" w:eastAsia="Times New Roman" w:hAnsi="Times New Roman" w:cs="Times New Roman"/>
          <w:sz w:val="24"/>
          <w:szCs w:val="24"/>
        </w:rPr>
      </w:pPr>
      <w:r w:rsidRPr="00077E16">
        <w:rPr>
          <w:rFonts w:ascii="Times New Roman" w:eastAsia="Times New Roman" w:hAnsi="Times New Roman" w:cs="Times New Roman"/>
          <w:b/>
          <w:sz w:val="24"/>
          <w:szCs w:val="24"/>
        </w:rPr>
        <w:t>Table 1</w:t>
      </w:r>
      <w:r w:rsidR="00297DBA" w:rsidRPr="00077E16">
        <w:rPr>
          <w:rFonts w:ascii="Times New Roman" w:eastAsia="Times New Roman" w:hAnsi="Times New Roman" w:cs="Times New Roman"/>
          <w:b/>
          <w:sz w:val="24"/>
          <w:szCs w:val="24"/>
        </w:rPr>
        <w:tab/>
        <w:t>D</w:t>
      </w:r>
      <w:r w:rsidR="008D502A" w:rsidRPr="00077E16">
        <w:rPr>
          <w:rFonts w:ascii="Times New Roman" w:eastAsia="Times New Roman" w:hAnsi="Times New Roman" w:cs="Times New Roman"/>
          <w:b/>
          <w:sz w:val="24"/>
          <w:szCs w:val="24"/>
        </w:rPr>
        <w:t>emographics</w:t>
      </w:r>
      <w:r w:rsidR="00297DBA" w:rsidRPr="00077E16">
        <w:rPr>
          <w:rFonts w:ascii="Times New Roman" w:eastAsia="Times New Roman" w:hAnsi="Times New Roman" w:cs="Times New Roman"/>
          <w:b/>
          <w:sz w:val="24"/>
          <w:szCs w:val="24"/>
        </w:rPr>
        <w:t xml:space="preserve"> of Respondents</w:t>
      </w:r>
    </w:p>
    <w:tbl>
      <w:tblPr>
        <w:tblStyle w:val="PlainTable22"/>
        <w:tblW w:w="0" w:type="auto"/>
        <w:tblLook w:val="04A0" w:firstRow="1" w:lastRow="0" w:firstColumn="1" w:lastColumn="0" w:noHBand="0" w:noVBand="1"/>
      </w:tblPr>
      <w:tblGrid>
        <w:gridCol w:w="2224"/>
        <w:gridCol w:w="2006"/>
        <w:gridCol w:w="2309"/>
        <w:gridCol w:w="2202"/>
      </w:tblGrid>
      <w:tr w:rsidR="00297DBA" w:rsidRPr="00077E16" w14:paraId="6A089DD9" w14:textId="77777777" w:rsidTr="002D5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7A147B4F" w14:textId="77777777" w:rsidR="00297DBA" w:rsidRPr="00077E16" w:rsidRDefault="00265514" w:rsidP="002D561D">
            <w:pPr>
              <w:jc w:val="both"/>
              <w:rPr>
                <w:rFonts w:ascii="Times New Roman" w:hAnsi="Times New Roman" w:cs="Times New Roman"/>
                <w:sz w:val="24"/>
                <w:szCs w:val="24"/>
              </w:rPr>
            </w:pPr>
            <w:r w:rsidRPr="00077E16">
              <w:rPr>
                <w:rFonts w:ascii="Times New Roman" w:hAnsi="Times New Roman" w:cs="Times New Roman"/>
                <w:sz w:val="24"/>
                <w:szCs w:val="24"/>
              </w:rPr>
              <w:t>Variables</w:t>
            </w:r>
          </w:p>
        </w:tc>
        <w:tc>
          <w:tcPr>
            <w:tcW w:w="2006" w:type="dxa"/>
          </w:tcPr>
          <w:p w14:paraId="7ECB7D6E" w14:textId="77777777" w:rsidR="00297DBA" w:rsidRPr="00077E16" w:rsidRDefault="00297DBA" w:rsidP="002D56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7E16">
              <w:rPr>
                <w:rFonts w:ascii="Times New Roman" w:hAnsi="Times New Roman" w:cs="Times New Roman"/>
                <w:sz w:val="24"/>
                <w:szCs w:val="24"/>
              </w:rPr>
              <w:t>Response</w:t>
            </w:r>
          </w:p>
        </w:tc>
        <w:tc>
          <w:tcPr>
            <w:tcW w:w="2309" w:type="dxa"/>
          </w:tcPr>
          <w:p w14:paraId="5F97EF5A" w14:textId="77777777" w:rsidR="00297DBA" w:rsidRPr="00077E16" w:rsidRDefault="00297DBA" w:rsidP="002D56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7E16">
              <w:rPr>
                <w:rFonts w:ascii="Times New Roman" w:hAnsi="Times New Roman" w:cs="Times New Roman"/>
                <w:sz w:val="24"/>
                <w:szCs w:val="24"/>
              </w:rPr>
              <w:t>Frequency</w:t>
            </w:r>
          </w:p>
        </w:tc>
        <w:tc>
          <w:tcPr>
            <w:tcW w:w="2202" w:type="dxa"/>
          </w:tcPr>
          <w:p w14:paraId="62C63C6A" w14:textId="77777777" w:rsidR="00297DBA" w:rsidRPr="00077E16" w:rsidRDefault="00297DBA" w:rsidP="002D56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7E16">
              <w:rPr>
                <w:rFonts w:ascii="Times New Roman" w:hAnsi="Times New Roman" w:cs="Times New Roman"/>
                <w:sz w:val="24"/>
                <w:szCs w:val="24"/>
              </w:rPr>
              <w:t>Percent</w:t>
            </w:r>
          </w:p>
        </w:tc>
      </w:tr>
      <w:tr w:rsidR="00297DBA" w:rsidRPr="00077E16" w14:paraId="3B896D6B" w14:textId="77777777" w:rsidTr="002D561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24" w:type="dxa"/>
          </w:tcPr>
          <w:p w14:paraId="679C8AE3" w14:textId="77777777" w:rsidR="00297DBA" w:rsidRPr="00077E16" w:rsidRDefault="00297DBA" w:rsidP="002D561D">
            <w:pPr>
              <w:jc w:val="both"/>
              <w:rPr>
                <w:rFonts w:ascii="Times New Roman" w:hAnsi="Times New Roman" w:cs="Times New Roman"/>
                <w:sz w:val="24"/>
                <w:szCs w:val="24"/>
              </w:rPr>
            </w:pPr>
            <w:r w:rsidRPr="00077E16">
              <w:rPr>
                <w:rFonts w:ascii="Times New Roman" w:hAnsi="Times New Roman" w:cs="Times New Roman"/>
                <w:sz w:val="24"/>
                <w:szCs w:val="24"/>
              </w:rPr>
              <w:t>Gender</w:t>
            </w:r>
          </w:p>
        </w:tc>
        <w:tc>
          <w:tcPr>
            <w:tcW w:w="2006" w:type="dxa"/>
          </w:tcPr>
          <w:p w14:paraId="7B89065F"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Male</w:t>
            </w:r>
          </w:p>
        </w:tc>
        <w:tc>
          <w:tcPr>
            <w:tcW w:w="2309" w:type="dxa"/>
          </w:tcPr>
          <w:p w14:paraId="52C65788" w14:textId="77777777" w:rsidR="00297DBA" w:rsidRPr="00077E16" w:rsidRDefault="00265514" w:rsidP="00265514">
            <w:pPr>
              <w:autoSpaceDE w:val="0"/>
              <w:autoSpaceDN w:val="0"/>
              <w:adjustRightInd w:val="0"/>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76</w:t>
            </w:r>
          </w:p>
        </w:tc>
        <w:tc>
          <w:tcPr>
            <w:tcW w:w="2202" w:type="dxa"/>
          </w:tcPr>
          <w:p w14:paraId="1E18E156"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50.7</w:t>
            </w:r>
          </w:p>
        </w:tc>
      </w:tr>
      <w:tr w:rsidR="00297DBA" w:rsidRPr="00077E16" w14:paraId="750D3B41"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22377F29"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461600D7"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Female</w:t>
            </w:r>
          </w:p>
        </w:tc>
        <w:tc>
          <w:tcPr>
            <w:tcW w:w="2309" w:type="dxa"/>
          </w:tcPr>
          <w:p w14:paraId="552B13BE" w14:textId="77777777" w:rsidR="00297DBA" w:rsidRPr="00077E16" w:rsidRDefault="00265514"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74</w:t>
            </w:r>
          </w:p>
        </w:tc>
        <w:tc>
          <w:tcPr>
            <w:tcW w:w="2202" w:type="dxa"/>
          </w:tcPr>
          <w:p w14:paraId="70A13F7B"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49.3</w:t>
            </w:r>
          </w:p>
        </w:tc>
      </w:tr>
      <w:tr w:rsidR="00297DBA" w:rsidRPr="00077E16" w14:paraId="6F67C8FC"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17A72A45" w14:textId="77777777" w:rsidR="00297DBA" w:rsidRPr="00077E16" w:rsidRDefault="00297DBA" w:rsidP="002D561D">
            <w:pPr>
              <w:jc w:val="both"/>
              <w:rPr>
                <w:rFonts w:ascii="Times New Roman" w:hAnsi="Times New Roman" w:cs="Times New Roman"/>
                <w:b w:val="0"/>
                <w:sz w:val="24"/>
                <w:szCs w:val="24"/>
              </w:rPr>
            </w:pPr>
            <w:r w:rsidRPr="00077E16">
              <w:rPr>
                <w:rFonts w:ascii="Times New Roman" w:eastAsia="Times New Roman" w:hAnsi="Times New Roman" w:cs="Times New Roman"/>
                <w:b w:val="0"/>
                <w:color w:val="000000"/>
                <w:sz w:val="24"/>
                <w:szCs w:val="24"/>
              </w:rPr>
              <w:t>Age Distribution</w:t>
            </w:r>
          </w:p>
        </w:tc>
        <w:tc>
          <w:tcPr>
            <w:tcW w:w="2006" w:type="dxa"/>
          </w:tcPr>
          <w:p w14:paraId="030D6413" w14:textId="77777777" w:rsidR="00297DBA" w:rsidRPr="00077E16" w:rsidRDefault="00265514" w:rsidP="00265514">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18-</w:t>
            </w:r>
            <w:r w:rsidR="00297DBA" w:rsidRPr="00077E16">
              <w:rPr>
                <w:rFonts w:ascii="Times New Roman" w:hAnsi="Times New Roman" w:cs="Times New Roman"/>
                <w:color w:val="000000"/>
                <w:sz w:val="24"/>
                <w:szCs w:val="24"/>
              </w:rPr>
              <w:t xml:space="preserve"> 2</w:t>
            </w:r>
            <w:r w:rsidRPr="00077E16">
              <w:rPr>
                <w:rFonts w:ascii="Times New Roman" w:hAnsi="Times New Roman" w:cs="Times New Roman"/>
                <w:color w:val="000000"/>
                <w:sz w:val="24"/>
                <w:szCs w:val="24"/>
              </w:rPr>
              <w:t>3</w:t>
            </w:r>
            <w:r w:rsidR="00297DBA" w:rsidRPr="00077E16">
              <w:rPr>
                <w:rFonts w:ascii="Times New Roman" w:hAnsi="Times New Roman" w:cs="Times New Roman"/>
                <w:color w:val="000000"/>
                <w:sz w:val="24"/>
                <w:szCs w:val="24"/>
              </w:rPr>
              <w:t xml:space="preserve"> years</w:t>
            </w:r>
          </w:p>
        </w:tc>
        <w:tc>
          <w:tcPr>
            <w:tcW w:w="2309" w:type="dxa"/>
          </w:tcPr>
          <w:p w14:paraId="33C4D990" w14:textId="77777777" w:rsidR="00297DBA" w:rsidRPr="00077E16" w:rsidRDefault="00265514"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23</w:t>
            </w:r>
          </w:p>
        </w:tc>
        <w:tc>
          <w:tcPr>
            <w:tcW w:w="2202" w:type="dxa"/>
          </w:tcPr>
          <w:p w14:paraId="21DB26AF"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15.3</w:t>
            </w:r>
          </w:p>
        </w:tc>
      </w:tr>
      <w:tr w:rsidR="00297DBA" w:rsidRPr="00077E16" w14:paraId="262AB288"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7B965B56"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523AF2BE" w14:textId="77777777" w:rsidR="00297DBA" w:rsidRPr="00077E16" w:rsidRDefault="00265514" w:rsidP="00265514">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24</w:t>
            </w:r>
            <w:r w:rsidR="00297DBA" w:rsidRPr="00077E16">
              <w:rPr>
                <w:rFonts w:ascii="Times New Roman" w:hAnsi="Times New Roman" w:cs="Times New Roman"/>
                <w:color w:val="000000"/>
                <w:sz w:val="24"/>
                <w:szCs w:val="24"/>
              </w:rPr>
              <w:t xml:space="preserve"> – </w:t>
            </w:r>
            <w:r w:rsidRPr="00077E16">
              <w:rPr>
                <w:rFonts w:ascii="Times New Roman" w:hAnsi="Times New Roman" w:cs="Times New Roman"/>
                <w:color w:val="000000"/>
                <w:sz w:val="24"/>
                <w:szCs w:val="24"/>
              </w:rPr>
              <w:t>27</w:t>
            </w:r>
            <w:r w:rsidR="00297DBA" w:rsidRPr="00077E16">
              <w:rPr>
                <w:rFonts w:ascii="Times New Roman" w:hAnsi="Times New Roman" w:cs="Times New Roman"/>
                <w:color w:val="000000"/>
                <w:sz w:val="24"/>
                <w:szCs w:val="24"/>
              </w:rPr>
              <w:t xml:space="preserve"> years</w:t>
            </w:r>
          </w:p>
        </w:tc>
        <w:tc>
          <w:tcPr>
            <w:tcW w:w="2309" w:type="dxa"/>
          </w:tcPr>
          <w:p w14:paraId="3A7F50A5" w14:textId="77777777" w:rsidR="00297DBA" w:rsidRPr="00077E16" w:rsidRDefault="00265514"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15</w:t>
            </w:r>
          </w:p>
        </w:tc>
        <w:tc>
          <w:tcPr>
            <w:tcW w:w="2202" w:type="dxa"/>
          </w:tcPr>
          <w:p w14:paraId="414599D1"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10</w:t>
            </w:r>
          </w:p>
        </w:tc>
      </w:tr>
      <w:tr w:rsidR="00297DBA" w:rsidRPr="00077E16" w14:paraId="25D2B23C"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4F0FC972"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2BB0038A" w14:textId="77777777" w:rsidR="00297DBA" w:rsidRPr="00077E16" w:rsidRDefault="00265514" w:rsidP="00265514">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28</w:t>
            </w:r>
            <w:r w:rsidR="00297DBA" w:rsidRPr="00077E16">
              <w:rPr>
                <w:rFonts w:ascii="Times New Roman" w:hAnsi="Times New Roman" w:cs="Times New Roman"/>
                <w:color w:val="000000"/>
                <w:sz w:val="24"/>
                <w:szCs w:val="24"/>
              </w:rPr>
              <w:t xml:space="preserve"> – </w:t>
            </w:r>
            <w:r w:rsidRPr="00077E16">
              <w:rPr>
                <w:rFonts w:ascii="Times New Roman" w:hAnsi="Times New Roman" w:cs="Times New Roman"/>
                <w:color w:val="000000"/>
                <w:sz w:val="24"/>
                <w:szCs w:val="24"/>
              </w:rPr>
              <w:t>33</w:t>
            </w:r>
            <w:r w:rsidR="00297DBA" w:rsidRPr="00077E16">
              <w:rPr>
                <w:rFonts w:ascii="Times New Roman" w:hAnsi="Times New Roman" w:cs="Times New Roman"/>
                <w:color w:val="000000"/>
                <w:sz w:val="24"/>
                <w:szCs w:val="24"/>
              </w:rPr>
              <w:t xml:space="preserve"> years</w:t>
            </w:r>
          </w:p>
        </w:tc>
        <w:tc>
          <w:tcPr>
            <w:tcW w:w="2309" w:type="dxa"/>
          </w:tcPr>
          <w:p w14:paraId="1A8498E8" w14:textId="77777777" w:rsidR="00297DBA" w:rsidRPr="00077E16" w:rsidRDefault="00265514"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40</w:t>
            </w:r>
          </w:p>
        </w:tc>
        <w:tc>
          <w:tcPr>
            <w:tcW w:w="2202" w:type="dxa"/>
          </w:tcPr>
          <w:p w14:paraId="6BEAB29A"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26.7</w:t>
            </w:r>
          </w:p>
        </w:tc>
      </w:tr>
      <w:tr w:rsidR="00297DBA" w:rsidRPr="00077E16" w14:paraId="116A5810"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1F0C7E0B"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3D4C2218" w14:textId="77777777" w:rsidR="00297DBA" w:rsidRPr="00077E16" w:rsidRDefault="00265514" w:rsidP="00265514">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34</w:t>
            </w:r>
            <w:r w:rsidR="00297DBA" w:rsidRPr="00077E16">
              <w:rPr>
                <w:rFonts w:ascii="Times New Roman" w:hAnsi="Times New Roman" w:cs="Times New Roman"/>
                <w:color w:val="000000"/>
                <w:sz w:val="24"/>
                <w:szCs w:val="24"/>
              </w:rPr>
              <w:t xml:space="preserve"> – </w:t>
            </w:r>
            <w:r w:rsidRPr="00077E16">
              <w:rPr>
                <w:rFonts w:ascii="Times New Roman" w:hAnsi="Times New Roman" w:cs="Times New Roman"/>
                <w:color w:val="000000"/>
                <w:sz w:val="24"/>
                <w:szCs w:val="24"/>
              </w:rPr>
              <w:t>3</w:t>
            </w:r>
            <w:r w:rsidR="00297DBA" w:rsidRPr="00077E16">
              <w:rPr>
                <w:rFonts w:ascii="Times New Roman" w:hAnsi="Times New Roman" w:cs="Times New Roman"/>
                <w:color w:val="000000"/>
                <w:sz w:val="24"/>
                <w:szCs w:val="24"/>
              </w:rPr>
              <w:t>9 years</w:t>
            </w:r>
          </w:p>
        </w:tc>
        <w:tc>
          <w:tcPr>
            <w:tcW w:w="2309" w:type="dxa"/>
          </w:tcPr>
          <w:p w14:paraId="2CC4D21B"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67</w:t>
            </w:r>
          </w:p>
        </w:tc>
        <w:tc>
          <w:tcPr>
            <w:tcW w:w="2202" w:type="dxa"/>
          </w:tcPr>
          <w:p w14:paraId="15BD120E"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44.7</w:t>
            </w:r>
          </w:p>
        </w:tc>
      </w:tr>
      <w:tr w:rsidR="00297DBA" w:rsidRPr="00077E16" w14:paraId="223D1273"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37C12166"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072B19C1" w14:textId="77777777" w:rsidR="00297DBA" w:rsidRPr="00077E16" w:rsidRDefault="00265514" w:rsidP="00265514">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w:t>
            </w:r>
            <w:r w:rsidR="00297DBA" w:rsidRPr="00077E16">
              <w:rPr>
                <w:rFonts w:ascii="Times New Roman" w:hAnsi="Times New Roman" w:cs="Times New Roman"/>
                <w:color w:val="000000"/>
                <w:sz w:val="24"/>
                <w:szCs w:val="24"/>
              </w:rPr>
              <w:t>0 -</w:t>
            </w:r>
            <w:r w:rsidRPr="00077E16">
              <w:rPr>
                <w:rFonts w:ascii="Times New Roman" w:hAnsi="Times New Roman" w:cs="Times New Roman"/>
                <w:color w:val="000000"/>
                <w:sz w:val="24"/>
                <w:szCs w:val="24"/>
              </w:rPr>
              <w:t>45</w:t>
            </w:r>
            <w:r w:rsidR="00297DBA" w:rsidRPr="00077E16">
              <w:rPr>
                <w:rFonts w:ascii="Times New Roman" w:hAnsi="Times New Roman" w:cs="Times New Roman"/>
                <w:color w:val="000000"/>
                <w:sz w:val="24"/>
                <w:szCs w:val="24"/>
              </w:rPr>
              <w:t xml:space="preserve"> years</w:t>
            </w:r>
          </w:p>
        </w:tc>
        <w:tc>
          <w:tcPr>
            <w:tcW w:w="2309" w:type="dxa"/>
          </w:tcPr>
          <w:p w14:paraId="1B87B078" w14:textId="77777777" w:rsidR="00297DBA" w:rsidRPr="00077E16" w:rsidRDefault="00265514"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w:t>
            </w:r>
          </w:p>
        </w:tc>
        <w:tc>
          <w:tcPr>
            <w:tcW w:w="2202" w:type="dxa"/>
          </w:tcPr>
          <w:p w14:paraId="3F89BDA4"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w:t>
            </w:r>
          </w:p>
        </w:tc>
      </w:tr>
      <w:tr w:rsidR="00297DBA" w:rsidRPr="00077E16" w14:paraId="56EE7005"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1BF97F66"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4D9939AE" w14:textId="77777777" w:rsidR="00297DBA" w:rsidRPr="00077E16" w:rsidRDefault="00265514" w:rsidP="003A7751">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46</w:t>
            </w:r>
            <w:r w:rsidR="00297DBA" w:rsidRPr="00077E16">
              <w:rPr>
                <w:rFonts w:ascii="Times New Roman" w:hAnsi="Times New Roman" w:cs="Times New Roman"/>
                <w:color w:val="000000"/>
                <w:sz w:val="24"/>
                <w:szCs w:val="24"/>
              </w:rPr>
              <w:t xml:space="preserve"> years </w:t>
            </w:r>
            <w:r w:rsidR="003A7751" w:rsidRPr="00077E16">
              <w:rPr>
                <w:rFonts w:ascii="Times New Roman" w:hAnsi="Times New Roman" w:cs="Times New Roman"/>
                <w:color w:val="000000"/>
                <w:sz w:val="24"/>
                <w:szCs w:val="24"/>
              </w:rPr>
              <w:t>&amp;</w:t>
            </w:r>
            <w:r w:rsidR="00297DBA" w:rsidRPr="00077E16">
              <w:rPr>
                <w:rFonts w:ascii="Times New Roman" w:hAnsi="Times New Roman" w:cs="Times New Roman"/>
                <w:color w:val="000000"/>
                <w:sz w:val="24"/>
                <w:szCs w:val="24"/>
              </w:rPr>
              <w:t xml:space="preserve"> above</w:t>
            </w:r>
          </w:p>
        </w:tc>
        <w:tc>
          <w:tcPr>
            <w:tcW w:w="2309" w:type="dxa"/>
          </w:tcPr>
          <w:p w14:paraId="0A46A8F2" w14:textId="77777777" w:rsidR="00297DBA" w:rsidRPr="00077E16" w:rsidRDefault="00265514"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w:t>
            </w:r>
          </w:p>
        </w:tc>
        <w:tc>
          <w:tcPr>
            <w:tcW w:w="2202" w:type="dxa"/>
          </w:tcPr>
          <w:p w14:paraId="53CC127F"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1.3</w:t>
            </w:r>
          </w:p>
        </w:tc>
      </w:tr>
      <w:tr w:rsidR="00297DBA" w:rsidRPr="00077E16" w14:paraId="12DFA067"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144C6083" w14:textId="77777777" w:rsidR="00297DBA" w:rsidRPr="00077E16" w:rsidRDefault="00297DBA" w:rsidP="002D561D">
            <w:pPr>
              <w:jc w:val="both"/>
              <w:rPr>
                <w:rFonts w:ascii="Times New Roman" w:hAnsi="Times New Roman" w:cs="Times New Roman"/>
                <w:b w:val="0"/>
                <w:sz w:val="24"/>
                <w:szCs w:val="24"/>
              </w:rPr>
            </w:pPr>
            <w:r w:rsidRPr="00077E16">
              <w:rPr>
                <w:rFonts w:ascii="Times New Roman" w:hAnsi="Times New Roman" w:cs="Times New Roman"/>
                <w:b w:val="0"/>
                <w:sz w:val="24"/>
                <w:szCs w:val="24"/>
              </w:rPr>
              <w:t>Marital Status</w:t>
            </w:r>
          </w:p>
        </w:tc>
        <w:tc>
          <w:tcPr>
            <w:tcW w:w="2006" w:type="dxa"/>
          </w:tcPr>
          <w:p w14:paraId="511F3C42"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Single</w:t>
            </w:r>
          </w:p>
        </w:tc>
        <w:tc>
          <w:tcPr>
            <w:tcW w:w="2309" w:type="dxa"/>
          </w:tcPr>
          <w:p w14:paraId="3657926F" w14:textId="77777777" w:rsidR="00297DBA" w:rsidRPr="00077E16" w:rsidRDefault="00265514"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w:t>
            </w:r>
            <w:r w:rsidR="00297DBA" w:rsidRPr="00077E16">
              <w:rPr>
                <w:rFonts w:ascii="Times New Roman" w:hAnsi="Times New Roman" w:cs="Times New Roman"/>
                <w:color w:val="000000"/>
                <w:sz w:val="24"/>
                <w:szCs w:val="24"/>
              </w:rPr>
              <w:t>4</w:t>
            </w:r>
          </w:p>
        </w:tc>
        <w:tc>
          <w:tcPr>
            <w:tcW w:w="2202" w:type="dxa"/>
          </w:tcPr>
          <w:p w14:paraId="589979B9"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9.3</w:t>
            </w:r>
          </w:p>
        </w:tc>
      </w:tr>
      <w:tr w:rsidR="00297DBA" w:rsidRPr="00077E16" w14:paraId="6C338893"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28193C01"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6B1FA8C2"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Married</w:t>
            </w:r>
          </w:p>
        </w:tc>
        <w:tc>
          <w:tcPr>
            <w:tcW w:w="2309" w:type="dxa"/>
          </w:tcPr>
          <w:p w14:paraId="389A15BC" w14:textId="77777777" w:rsidR="00297DBA" w:rsidRPr="00077E16" w:rsidRDefault="00265514"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8</w:t>
            </w:r>
            <w:r w:rsidR="00297DBA" w:rsidRPr="00077E16">
              <w:rPr>
                <w:rFonts w:ascii="Times New Roman" w:hAnsi="Times New Roman" w:cs="Times New Roman"/>
                <w:color w:val="000000"/>
                <w:sz w:val="24"/>
                <w:szCs w:val="24"/>
              </w:rPr>
              <w:t>4</w:t>
            </w:r>
          </w:p>
        </w:tc>
        <w:tc>
          <w:tcPr>
            <w:tcW w:w="2202" w:type="dxa"/>
          </w:tcPr>
          <w:p w14:paraId="0A409F7F"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56</w:t>
            </w:r>
          </w:p>
        </w:tc>
      </w:tr>
      <w:tr w:rsidR="00297DBA" w:rsidRPr="00077E16" w14:paraId="66268B1C"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100B6D83"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2174E2AE"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Widow(er)</w:t>
            </w:r>
          </w:p>
        </w:tc>
        <w:tc>
          <w:tcPr>
            <w:tcW w:w="2309" w:type="dxa"/>
          </w:tcPr>
          <w:p w14:paraId="1C28E782" w14:textId="77777777" w:rsidR="00297DBA" w:rsidRPr="00077E16" w:rsidRDefault="00265514"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w:t>
            </w:r>
            <w:r w:rsidR="00297DBA" w:rsidRPr="00077E16">
              <w:rPr>
                <w:rFonts w:ascii="Times New Roman" w:hAnsi="Times New Roman" w:cs="Times New Roman"/>
                <w:color w:val="000000"/>
                <w:sz w:val="24"/>
                <w:szCs w:val="24"/>
              </w:rPr>
              <w:t>7</w:t>
            </w:r>
          </w:p>
        </w:tc>
        <w:tc>
          <w:tcPr>
            <w:tcW w:w="2202" w:type="dxa"/>
          </w:tcPr>
          <w:p w14:paraId="684625D7"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11.3</w:t>
            </w:r>
          </w:p>
        </w:tc>
      </w:tr>
      <w:tr w:rsidR="00297DBA" w:rsidRPr="00077E16" w14:paraId="59C037A0"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6FB3A17D"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59471CF6"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Divorced</w:t>
            </w:r>
          </w:p>
        </w:tc>
        <w:tc>
          <w:tcPr>
            <w:tcW w:w="2309" w:type="dxa"/>
          </w:tcPr>
          <w:p w14:paraId="182F0095"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35</w:t>
            </w:r>
          </w:p>
        </w:tc>
        <w:tc>
          <w:tcPr>
            <w:tcW w:w="2202" w:type="dxa"/>
          </w:tcPr>
          <w:p w14:paraId="5E36073A"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23.3</w:t>
            </w:r>
          </w:p>
        </w:tc>
      </w:tr>
      <w:tr w:rsidR="00297DBA" w:rsidRPr="00077E16" w14:paraId="5566F5AF"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3E22E31F" w14:textId="77777777" w:rsidR="00297DBA" w:rsidRPr="00077E16" w:rsidRDefault="00297DBA" w:rsidP="002D561D">
            <w:pPr>
              <w:jc w:val="both"/>
              <w:rPr>
                <w:rFonts w:ascii="Times New Roman" w:hAnsi="Times New Roman" w:cs="Times New Roman"/>
                <w:b w:val="0"/>
                <w:sz w:val="24"/>
                <w:szCs w:val="24"/>
              </w:rPr>
            </w:pPr>
            <w:r w:rsidRPr="00077E16">
              <w:rPr>
                <w:rFonts w:ascii="Times New Roman" w:eastAsia="Times New Roman" w:hAnsi="Times New Roman" w:cs="Times New Roman"/>
                <w:b w:val="0"/>
                <w:sz w:val="24"/>
                <w:szCs w:val="24"/>
              </w:rPr>
              <w:t>Educational Qualification</w:t>
            </w:r>
          </w:p>
        </w:tc>
        <w:tc>
          <w:tcPr>
            <w:tcW w:w="2006" w:type="dxa"/>
          </w:tcPr>
          <w:p w14:paraId="5B6FE89D"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FSLC</w:t>
            </w:r>
          </w:p>
        </w:tc>
        <w:tc>
          <w:tcPr>
            <w:tcW w:w="2309" w:type="dxa"/>
          </w:tcPr>
          <w:p w14:paraId="6F3BAC65"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w:t>
            </w:r>
          </w:p>
        </w:tc>
        <w:tc>
          <w:tcPr>
            <w:tcW w:w="2202" w:type="dxa"/>
          </w:tcPr>
          <w:p w14:paraId="5F5184F8"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w:t>
            </w:r>
          </w:p>
        </w:tc>
      </w:tr>
      <w:tr w:rsidR="00297DBA" w:rsidRPr="00077E16" w14:paraId="43392A13"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69EC2160" w14:textId="77777777" w:rsidR="00297DBA" w:rsidRPr="00077E16" w:rsidRDefault="00297DBA" w:rsidP="002D561D">
            <w:pPr>
              <w:jc w:val="both"/>
              <w:rPr>
                <w:rFonts w:ascii="Times New Roman" w:eastAsia="Times New Roman" w:hAnsi="Times New Roman" w:cs="Times New Roman"/>
                <w:sz w:val="24"/>
                <w:szCs w:val="24"/>
              </w:rPr>
            </w:pPr>
          </w:p>
        </w:tc>
        <w:tc>
          <w:tcPr>
            <w:tcW w:w="2006" w:type="dxa"/>
          </w:tcPr>
          <w:p w14:paraId="22C941CF"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SSCE/GCE</w:t>
            </w:r>
          </w:p>
        </w:tc>
        <w:tc>
          <w:tcPr>
            <w:tcW w:w="2309" w:type="dxa"/>
          </w:tcPr>
          <w:p w14:paraId="1DEE6530"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8</w:t>
            </w:r>
          </w:p>
        </w:tc>
        <w:tc>
          <w:tcPr>
            <w:tcW w:w="2202" w:type="dxa"/>
          </w:tcPr>
          <w:p w14:paraId="5DACA4BF"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5.3</w:t>
            </w:r>
          </w:p>
        </w:tc>
      </w:tr>
      <w:tr w:rsidR="00297DBA" w:rsidRPr="00077E16" w14:paraId="1B8CE2FB"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030FE9F5" w14:textId="77777777" w:rsidR="00297DBA" w:rsidRPr="00077E16" w:rsidRDefault="00297DBA" w:rsidP="002D561D">
            <w:pPr>
              <w:jc w:val="both"/>
              <w:rPr>
                <w:rFonts w:ascii="Times New Roman" w:eastAsia="Times New Roman" w:hAnsi="Times New Roman" w:cs="Times New Roman"/>
                <w:sz w:val="24"/>
                <w:szCs w:val="24"/>
              </w:rPr>
            </w:pPr>
          </w:p>
        </w:tc>
        <w:tc>
          <w:tcPr>
            <w:tcW w:w="2006" w:type="dxa"/>
          </w:tcPr>
          <w:p w14:paraId="148F0152"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NCE</w:t>
            </w:r>
          </w:p>
        </w:tc>
        <w:tc>
          <w:tcPr>
            <w:tcW w:w="2309" w:type="dxa"/>
          </w:tcPr>
          <w:p w14:paraId="4D326BCD"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53</w:t>
            </w:r>
          </w:p>
        </w:tc>
        <w:tc>
          <w:tcPr>
            <w:tcW w:w="2202" w:type="dxa"/>
          </w:tcPr>
          <w:p w14:paraId="225E6D1E"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35.3</w:t>
            </w:r>
          </w:p>
        </w:tc>
      </w:tr>
      <w:tr w:rsidR="00297DBA" w:rsidRPr="00077E16" w14:paraId="75231068"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06EC6AD0" w14:textId="77777777" w:rsidR="00297DBA" w:rsidRPr="00077E16" w:rsidRDefault="00297DBA" w:rsidP="002D561D">
            <w:pPr>
              <w:jc w:val="both"/>
              <w:rPr>
                <w:rFonts w:ascii="Times New Roman" w:eastAsia="Times New Roman" w:hAnsi="Times New Roman" w:cs="Times New Roman"/>
                <w:sz w:val="24"/>
                <w:szCs w:val="24"/>
              </w:rPr>
            </w:pPr>
          </w:p>
        </w:tc>
        <w:tc>
          <w:tcPr>
            <w:tcW w:w="2006" w:type="dxa"/>
          </w:tcPr>
          <w:p w14:paraId="36CA66CF"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077E16">
              <w:rPr>
                <w:rFonts w:ascii="Times New Roman" w:hAnsi="Times New Roman" w:cs="Times New Roman"/>
                <w:color w:val="000000"/>
                <w:sz w:val="24"/>
                <w:szCs w:val="24"/>
              </w:rPr>
              <w:t>B.Sc</w:t>
            </w:r>
            <w:proofErr w:type="spellEnd"/>
          </w:p>
        </w:tc>
        <w:tc>
          <w:tcPr>
            <w:tcW w:w="2309" w:type="dxa"/>
          </w:tcPr>
          <w:p w14:paraId="0DD6E45A"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47</w:t>
            </w:r>
          </w:p>
        </w:tc>
        <w:tc>
          <w:tcPr>
            <w:tcW w:w="2202" w:type="dxa"/>
          </w:tcPr>
          <w:p w14:paraId="0802F94F"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31.3</w:t>
            </w:r>
          </w:p>
        </w:tc>
      </w:tr>
      <w:tr w:rsidR="00297DBA" w:rsidRPr="00077E16" w14:paraId="6BA319E3"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5D395546"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7B89430E"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MBA</w:t>
            </w:r>
          </w:p>
        </w:tc>
        <w:tc>
          <w:tcPr>
            <w:tcW w:w="2309" w:type="dxa"/>
          </w:tcPr>
          <w:p w14:paraId="5BDE6E1D"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w:t>
            </w:r>
            <w:r w:rsidR="003B74F5" w:rsidRPr="00077E16">
              <w:rPr>
                <w:rFonts w:ascii="Times New Roman" w:hAnsi="Times New Roman" w:cs="Times New Roman"/>
                <w:color w:val="000000"/>
                <w:sz w:val="24"/>
                <w:szCs w:val="24"/>
              </w:rPr>
              <w:t>2</w:t>
            </w:r>
          </w:p>
        </w:tc>
        <w:tc>
          <w:tcPr>
            <w:tcW w:w="2202" w:type="dxa"/>
          </w:tcPr>
          <w:p w14:paraId="7F333C74"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8</w:t>
            </w:r>
          </w:p>
        </w:tc>
      </w:tr>
      <w:tr w:rsidR="00297DBA" w:rsidRPr="00077E16" w14:paraId="7B0D8BD8"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6B24FB18"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04C1BBA3"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077E16">
              <w:rPr>
                <w:rFonts w:ascii="Times New Roman" w:hAnsi="Times New Roman" w:cs="Times New Roman"/>
                <w:color w:val="000000"/>
                <w:sz w:val="24"/>
                <w:szCs w:val="24"/>
              </w:rPr>
              <w:t>M.Sc</w:t>
            </w:r>
            <w:proofErr w:type="spellEnd"/>
            <w:r w:rsidRPr="00077E16">
              <w:rPr>
                <w:rFonts w:ascii="Times New Roman" w:hAnsi="Times New Roman" w:cs="Times New Roman"/>
                <w:color w:val="000000"/>
                <w:sz w:val="24"/>
                <w:szCs w:val="24"/>
              </w:rPr>
              <w:t xml:space="preserve"> / </w:t>
            </w:r>
            <w:proofErr w:type="spellStart"/>
            <w:r w:rsidRPr="00077E16">
              <w:rPr>
                <w:rFonts w:ascii="Times New Roman" w:hAnsi="Times New Roman" w:cs="Times New Roman"/>
                <w:color w:val="000000"/>
                <w:sz w:val="24"/>
                <w:szCs w:val="24"/>
              </w:rPr>
              <w:t>Ph.D</w:t>
            </w:r>
            <w:proofErr w:type="spellEnd"/>
          </w:p>
        </w:tc>
        <w:tc>
          <w:tcPr>
            <w:tcW w:w="2309" w:type="dxa"/>
          </w:tcPr>
          <w:p w14:paraId="17480FB2"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30</w:t>
            </w:r>
          </w:p>
        </w:tc>
        <w:tc>
          <w:tcPr>
            <w:tcW w:w="2202" w:type="dxa"/>
          </w:tcPr>
          <w:p w14:paraId="428ECAF9" w14:textId="77777777" w:rsidR="00297DBA" w:rsidRPr="00077E16" w:rsidRDefault="003A7751"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20</w:t>
            </w:r>
          </w:p>
        </w:tc>
      </w:tr>
    </w:tbl>
    <w:p w14:paraId="51BAD20E" w14:textId="77777777" w:rsidR="009E16BF" w:rsidRPr="00077E16" w:rsidRDefault="00297DBA" w:rsidP="00DD02CC">
      <w:pPr>
        <w:jc w:val="both"/>
        <w:rPr>
          <w:rFonts w:ascii="Times New Roman" w:eastAsia="Times New Roman" w:hAnsi="Times New Roman" w:cs="Times New Roman"/>
          <w:sz w:val="24"/>
          <w:szCs w:val="24"/>
        </w:rPr>
      </w:pPr>
      <w:r w:rsidRPr="00077E16">
        <w:rPr>
          <w:rFonts w:ascii="Times New Roman" w:eastAsia="Times New Roman" w:hAnsi="Times New Roman" w:cs="Times New Roman"/>
          <w:sz w:val="24"/>
          <w:szCs w:val="24"/>
        </w:rPr>
        <w:t xml:space="preserve">Source: Survey </w:t>
      </w:r>
      <w:r w:rsidR="00404798" w:rsidRPr="00077E16">
        <w:rPr>
          <w:rFonts w:ascii="Times New Roman" w:eastAsia="Times New Roman" w:hAnsi="Times New Roman" w:cs="Times New Roman"/>
          <w:sz w:val="24"/>
          <w:szCs w:val="24"/>
        </w:rPr>
        <w:t>Data, 2025</w:t>
      </w:r>
      <w:r w:rsidRPr="00077E16">
        <w:rPr>
          <w:rFonts w:ascii="Times New Roman" w:eastAsia="Times New Roman" w:hAnsi="Times New Roman" w:cs="Times New Roman"/>
          <w:sz w:val="24"/>
          <w:szCs w:val="24"/>
        </w:rPr>
        <w:t>.</w:t>
      </w:r>
    </w:p>
    <w:p w14:paraId="07195535" w14:textId="77777777" w:rsidR="00EA16EF" w:rsidRPr="00077E16" w:rsidRDefault="00EA16EF" w:rsidP="00EA16EF">
      <w:pPr>
        <w:pStyle w:val="NormalWeb"/>
        <w:spacing w:after="240" w:afterAutospacing="0"/>
        <w:jc w:val="both"/>
      </w:pPr>
      <w:r w:rsidRPr="00077E16">
        <w:lastRenderedPageBreak/>
        <w:t>The demographic distribution of respondents</w:t>
      </w:r>
      <w:r w:rsidR="0038329C" w:rsidRPr="00077E16">
        <w:t xml:space="preserve"> (in Table 1)</w:t>
      </w:r>
      <w:r w:rsidRPr="00077E16">
        <w:t xml:space="preserve">, with 50.7% identifying as men and 49.3% as women, indicates a balanced representation of both </w:t>
      </w:r>
      <w:r w:rsidR="0038329C" w:rsidRPr="00077E16">
        <w:t>gender</w:t>
      </w:r>
      <w:r w:rsidRPr="00077E16">
        <w:t xml:space="preserve">s, suggesting similar participation rates. According to the age distribution, the majority of respondents (44.7%) are between the ages of 34 and 39, with those between the ages of 28 and 33 coming in second (26.7%), indicating that the majority of participants are in their prime working years. While senior age groups like 40–45 and 46 years &amp; above make up smaller amounts (2% and 1.3%, respectively), the youngest age group (18–23 years) makes up 15.3% of the sample, suggesting that there are fewer older respondents in the dataset. </w:t>
      </w:r>
    </w:p>
    <w:p w14:paraId="71E677DD" w14:textId="77777777" w:rsidR="00404798" w:rsidRPr="00077E16" w:rsidRDefault="00EA16EF" w:rsidP="0038329C">
      <w:pPr>
        <w:pStyle w:val="NormalWeb"/>
        <w:spacing w:after="240" w:afterAutospacing="0"/>
        <w:jc w:val="both"/>
      </w:pPr>
      <w:r w:rsidRPr="00077E16">
        <w:t xml:space="preserve">According to the data on marital status, the vast majority of participants (56%), divorced people (23.3%), and widowed people (11.3%) are married. Just 9.3% of respondents are unmarried, indicating that the majority may be juggling family obligations, which may affect how they view studies pertaining to employment or the market. Regarding educational background, the majority of respondents (35.3%) are NCE certified, with </w:t>
      </w:r>
      <w:hyperlink r:id="rId7" w:tgtFrame="_blank" w:history="1">
        <w:r w:rsidRPr="00077E16">
          <w:rPr>
            <w:rStyle w:val="Hyperlink"/>
          </w:rPr>
          <w:t>B.Sc</w:t>
        </w:r>
      </w:hyperlink>
      <w:r w:rsidRPr="00077E16">
        <w:t>. holders coming in second (31.3%). Interestingly, 20% of respondents have postgraduate degrees (</w:t>
      </w:r>
      <w:hyperlink r:id="rId8" w:tgtFrame="_blank" w:history="1">
        <w:r w:rsidRPr="00077E16">
          <w:rPr>
            <w:rStyle w:val="Hyperlink"/>
          </w:rPr>
          <w:t>M.Sc</w:t>
        </w:r>
      </w:hyperlink>
      <w:r w:rsidRPr="00077E16">
        <w:t>./Ph.D.), whereas just 8% have an MBA. No responders mentioned FSLC, and just 5.3% of respondents listed SSCE/GCE as their greatest qualification. This distribution shows a sample population that is quite well-educated, which could improve the reliability of their responses in studies concerning performance evaluations and corporate strategy.</w:t>
      </w:r>
    </w:p>
    <w:p w14:paraId="31916088" w14:textId="77777777" w:rsidR="002916B1" w:rsidRPr="00077E16" w:rsidRDefault="00E12EAA" w:rsidP="00E12EAA">
      <w:pPr>
        <w:spacing w:after="0"/>
        <w:jc w:val="both"/>
        <w:rPr>
          <w:rFonts w:ascii="Times New Roman" w:hAnsi="Times New Roman" w:cs="Times New Roman"/>
          <w:b/>
          <w:sz w:val="24"/>
          <w:szCs w:val="24"/>
        </w:rPr>
      </w:pPr>
      <w:r w:rsidRPr="00077E16">
        <w:rPr>
          <w:rFonts w:ascii="Times New Roman" w:hAnsi="Times New Roman" w:cs="Times New Roman"/>
          <w:b/>
          <w:sz w:val="24"/>
          <w:szCs w:val="24"/>
        </w:rPr>
        <w:t>Table 2</w:t>
      </w:r>
      <w:r w:rsidRPr="00077E16">
        <w:rPr>
          <w:rFonts w:ascii="Times New Roman" w:hAnsi="Times New Roman" w:cs="Times New Roman"/>
          <w:b/>
          <w:sz w:val="24"/>
          <w:szCs w:val="24"/>
        </w:rPr>
        <w:tab/>
        <w:t>M</w:t>
      </w:r>
      <w:r w:rsidR="00B318A2" w:rsidRPr="00077E16">
        <w:rPr>
          <w:rFonts w:ascii="Times New Roman" w:hAnsi="Times New Roman" w:cs="Times New Roman"/>
          <w:b/>
          <w:sz w:val="24"/>
          <w:szCs w:val="24"/>
        </w:rPr>
        <w:t xml:space="preserve">arket orientation </w:t>
      </w:r>
      <w:r w:rsidRPr="00077E16">
        <w:rPr>
          <w:rFonts w:ascii="Times New Roman" w:hAnsi="Times New Roman" w:cs="Times New Roman"/>
          <w:b/>
          <w:sz w:val="24"/>
          <w:szCs w:val="24"/>
        </w:rPr>
        <w:t>and</w:t>
      </w:r>
      <w:r w:rsidR="00B318A2" w:rsidRPr="00077E16">
        <w:rPr>
          <w:rFonts w:ascii="Times New Roman" w:hAnsi="Times New Roman" w:cs="Times New Roman"/>
          <w:b/>
          <w:sz w:val="24"/>
          <w:szCs w:val="24"/>
        </w:rPr>
        <w:t xml:space="preserve"> marke</w:t>
      </w:r>
      <w:r w:rsidRPr="00077E16">
        <w:rPr>
          <w:rFonts w:ascii="Times New Roman" w:hAnsi="Times New Roman" w:cs="Times New Roman"/>
          <w:b/>
          <w:sz w:val="24"/>
          <w:szCs w:val="24"/>
        </w:rPr>
        <w:t>t share of manufacturing firms</w:t>
      </w:r>
    </w:p>
    <w:tbl>
      <w:tblPr>
        <w:tblStyle w:val="PlainTable2"/>
        <w:tblW w:w="5000" w:type="pct"/>
        <w:tblLook w:val="04A0" w:firstRow="1" w:lastRow="0" w:firstColumn="1" w:lastColumn="0" w:noHBand="0" w:noVBand="1"/>
      </w:tblPr>
      <w:tblGrid>
        <w:gridCol w:w="2890"/>
        <w:gridCol w:w="1580"/>
        <w:gridCol w:w="1730"/>
        <w:gridCol w:w="1732"/>
        <w:gridCol w:w="1428"/>
      </w:tblGrid>
      <w:tr w:rsidR="002916B1" w:rsidRPr="00077E16" w14:paraId="2FB026E1" w14:textId="77777777" w:rsidTr="00E2660A">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31311600" w14:textId="77777777" w:rsidR="002916B1" w:rsidRPr="00077E16" w:rsidRDefault="002916B1">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Variable</w:t>
            </w:r>
          </w:p>
        </w:tc>
        <w:tc>
          <w:tcPr>
            <w:tcW w:w="844" w:type="pct"/>
          </w:tcPr>
          <w:p w14:paraId="4325DA9D" w14:textId="77777777" w:rsidR="002916B1" w:rsidRPr="00077E16" w:rsidRDefault="002916B1">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Coefficient</w:t>
            </w:r>
          </w:p>
        </w:tc>
        <w:tc>
          <w:tcPr>
            <w:tcW w:w="924" w:type="pct"/>
          </w:tcPr>
          <w:p w14:paraId="1E407FFF" w14:textId="77777777" w:rsidR="002916B1" w:rsidRPr="00077E16" w:rsidRDefault="002916B1">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Std. Error</w:t>
            </w:r>
          </w:p>
        </w:tc>
        <w:tc>
          <w:tcPr>
            <w:tcW w:w="925" w:type="pct"/>
          </w:tcPr>
          <w:p w14:paraId="2B7B0DA3" w14:textId="77777777" w:rsidR="002916B1" w:rsidRPr="00077E16" w:rsidRDefault="002916B1">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t-Statistic</w:t>
            </w:r>
          </w:p>
        </w:tc>
        <w:tc>
          <w:tcPr>
            <w:tcW w:w="763" w:type="pct"/>
          </w:tcPr>
          <w:p w14:paraId="2AC7024E" w14:textId="77777777" w:rsidR="002916B1" w:rsidRPr="00077E16" w:rsidRDefault="002916B1">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Prob.  </w:t>
            </w:r>
          </w:p>
        </w:tc>
      </w:tr>
      <w:tr w:rsidR="002916B1" w:rsidRPr="00077E16" w14:paraId="561DC43F"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13D05697" w14:textId="77777777" w:rsidR="002916B1" w:rsidRPr="00077E16" w:rsidRDefault="002916B1">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C</w:t>
            </w:r>
          </w:p>
        </w:tc>
        <w:tc>
          <w:tcPr>
            <w:tcW w:w="844" w:type="pct"/>
          </w:tcPr>
          <w:p w14:paraId="3A9691F5"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0.967666</w:t>
            </w:r>
          </w:p>
        </w:tc>
        <w:tc>
          <w:tcPr>
            <w:tcW w:w="924" w:type="pct"/>
          </w:tcPr>
          <w:p w14:paraId="3D6A3933"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0.219235</w:t>
            </w:r>
          </w:p>
        </w:tc>
        <w:tc>
          <w:tcPr>
            <w:tcW w:w="925" w:type="pct"/>
          </w:tcPr>
          <w:p w14:paraId="2F212129"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4.413829</w:t>
            </w:r>
          </w:p>
        </w:tc>
        <w:tc>
          <w:tcPr>
            <w:tcW w:w="763" w:type="pct"/>
          </w:tcPr>
          <w:p w14:paraId="2501EE40"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w:t>
            </w:r>
          </w:p>
        </w:tc>
      </w:tr>
      <w:tr w:rsidR="002916B1" w:rsidRPr="00077E16" w14:paraId="32C9016A"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4EFE8B2A" w14:textId="77777777" w:rsidR="002916B1" w:rsidRPr="00077E16" w:rsidRDefault="002916B1">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MKO</w:t>
            </w:r>
          </w:p>
        </w:tc>
        <w:tc>
          <w:tcPr>
            <w:tcW w:w="844" w:type="pct"/>
          </w:tcPr>
          <w:p w14:paraId="162DA1C7"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0.658302</w:t>
            </w:r>
          </w:p>
        </w:tc>
        <w:tc>
          <w:tcPr>
            <w:tcW w:w="924" w:type="pct"/>
          </w:tcPr>
          <w:p w14:paraId="6FA408C3"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0.056834</w:t>
            </w:r>
          </w:p>
        </w:tc>
        <w:tc>
          <w:tcPr>
            <w:tcW w:w="925" w:type="pct"/>
          </w:tcPr>
          <w:p w14:paraId="02F106E5"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11.58289</w:t>
            </w:r>
          </w:p>
        </w:tc>
        <w:tc>
          <w:tcPr>
            <w:tcW w:w="763" w:type="pct"/>
          </w:tcPr>
          <w:p w14:paraId="73A241F3"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w:t>
            </w:r>
          </w:p>
        </w:tc>
      </w:tr>
      <w:tr w:rsidR="002916B1" w:rsidRPr="00077E16" w14:paraId="64B82841"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64480CE8"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R-squared</w:t>
            </w:r>
          </w:p>
        </w:tc>
        <w:tc>
          <w:tcPr>
            <w:tcW w:w="844" w:type="pct"/>
          </w:tcPr>
          <w:p w14:paraId="3B241279"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0.475481</w:t>
            </w:r>
          </w:p>
        </w:tc>
        <w:tc>
          <w:tcPr>
            <w:tcW w:w="1849" w:type="pct"/>
            <w:gridSpan w:val="2"/>
          </w:tcPr>
          <w:p w14:paraId="71E57EE6" w14:textId="77777777" w:rsidR="002916B1" w:rsidRPr="00077E16" w:rsidRDefault="002916B1">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Mean dependent var</w:t>
            </w:r>
          </w:p>
        </w:tc>
        <w:tc>
          <w:tcPr>
            <w:tcW w:w="763" w:type="pct"/>
          </w:tcPr>
          <w:p w14:paraId="0C4240AF"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3.320000</w:t>
            </w:r>
          </w:p>
        </w:tc>
      </w:tr>
      <w:tr w:rsidR="002916B1" w:rsidRPr="00077E16" w14:paraId="2F387C07"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07ED25AD"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Adjusted R-squared</w:t>
            </w:r>
          </w:p>
        </w:tc>
        <w:tc>
          <w:tcPr>
            <w:tcW w:w="844" w:type="pct"/>
          </w:tcPr>
          <w:p w14:paraId="2FCB0C14"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0.471937</w:t>
            </w:r>
          </w:p>
        </w:tc>
        <w:tc>
          <w:tcPr>
            <w:tcW w:w="1849" w:type="pct"/>
            <w:gridSpan w:val="2"/>
          </w:tcPr>
          <w:p w14:paraId="1B9B37E1" w14:textId="77777777" w:rsidR="002916B1" w:rsidRPr="00077E16" w:rsidRDefault="002916B1">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S.D. dependent var</w:t>
            </w:r>
          </w:p>
        </w:tc>
        <w:tc>
          <w:tcPr>
            <w:tcW w:w="763" w:type="pct"/>
          </w:tcPr>
          <w:p w14:paraId="2CBB79B2"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1.391827</w:t>
            </w:r>
          </w:p>
        </w:tc>
      </w:tr>
      <w:tr w:rsidR="002916B1" w:rsidRPr="00077E16" w14:paraId="3CD2DBC7"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24FAF4A2"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S.E. of regression</w:t>
            </w:r>
          </w:p>
        </w:tc>
        <w:tc>
          <w:tcPr>
            <w:tcW w:w="844" w:type="pct"/>
          </w:tcPr>
          <w:p w14:paraId="4A87A765"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1.011412</w:t>
            </w:r>
          </w:p>
        </w:tc>
        <w:tc>
          <w:tcPr>
            <w:tcW w:w="1849" w:type="pct"/>
            <w:gridSpan w:val="2"/>
          </w:tcPr>
          <w:p w14:paraId="512D9E8A" w14:textId="77777777" w:rsidR="002916B1" w:rsidRPr="00077E16" w:rsidRDefault="002916B1">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Akaike info criterion</w:t>
            </w:r>
          </w:p>
        </w:tc>
        <w:tc>
          <w:tcPr>
            <w:tcW w:w="763" w:type="pct"/>
          </w:tcPr>
          <w:p w14:paraId="5E27ED98"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2.873815</w:t>
            </w:r>
          </w:p>
        </w:tc>
      </w:tr>
      <w:tr w:rsidR="002916B1" w:rsidRPr="00077E16" w14:paraId="7830BBF5"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004628EE"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Sum squared resid</w:t>
            </w:r>
          </w:p>
        </w:tc>
        <w:tc>
          <w:tcPr>
            <w:tcW w:w="844" w:type="pct"/>
          </w:tcPr>
          <w:p w14:paraId="1E9CD874"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151.3971</w:t>
            </w:r>
          </w:p>
        </w:tc>
        <w:tc>
          <w:tcPr>
            <w:tcW w:w="1849" w:type="pct"/>
            <w:gridSpan w:val="2"/>
          </w:tcPr>
          <w:p w14:paraId="02289125" w14:textId="77777777" w:rsidR="002916B1" w:rsidRPr="00077E16" w:rsidRDefault="002916B1">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Schwarz criterion</w:t>
            </w:r>
          </w:p>
        </w:tc>
        <w:tc>
          <w:tcPr>
            <w:tcW w:w="763" w:type="pct"/>
          </w:tcPr>
          <w:p w14:paraId="6954E060"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2.913956</w:t>
            </w:r>
          </w:p>
        </w:tc>
      </w:tr>
      <w:tr w:rsidR="002916B1" w:rsidRPr="00077E16" w14:paraId="3A9B1D4F"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00A7AB3B"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Log likelihood</w:t>
            </w:r>
          </w:p>
        </w:tc>
        <w:tc>
          <w:tcPr>
            <w:tcW w:w="844" w:type="pct"/>
          </w:tcPr>
          <w:p w14:paraId="3B60A869"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-213.5361</w:t>
            </w:r>
          </w:p>
        </w:tc>
        <w:tc>
          <w:tcPr>
            <w:tcW w:w="1849" w:type="pct"/>
            <w:gridSpan w:val="2"/>
          </w:tcPr>
          <w:p w14:paraId="0629A3E8" w14:textId="77777777" w:rsidR="002916B1" w:rsidRPr="00077E16" w:rsidRDefault="002916B1">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w:t>
            </w:r>
            <w:proofErr w:type="spellStart"/>
            <w:r w:rsidRPr="00077E16">
              <w:rPr>
                <w:rFonts w:ascii="Times New Roman" w:hAnsi="Times New Roman" w:cs="Times New Roman"/>
                <w:color w:val="000000"/>
                <w:sz w:val="24"/>
                <w:szCs w:val="24"/>
              </w:rPr>
              <w:t>Hannan</w:t>
            </w:r>
            <w:proofErr w:type="spellEnd"/>
            <w:r w:rsidRPr="00077E16">
              <w:rPr>
                <w:rFonts w:ascii="Times New Roman" w:hAnsi="Times New Roman" w:cs="Times New Roman"/>
                <w:color w:val="000000"/>
                <w:sz w:val="24"/>
                <w:szCs w:val="24"/>
              </w:rPr>
              <w:t xml:space="preserve">-Quinn </w:t>
            </w:r>
            <w:proofErr w:type="spellStart"/>
            <w:r w:rsidRPr="00077E16">
              <w:rPr>
                <w:rFonts w:ascii="Times New Roman" w:hAnsi="Times New Roman" w:cs="Times New Roman"/>
                <w:color w:val="000000"/>
                <w:sz w:val="24"/>
                <w:szCs w:val="24"/>
              </w:rPr>
              <w:t>criter</w:t>
            </w:r>
            <w:proofErr w:type="spellEnd"/>
            <w:r w:rsidRPr="00077E16">
              <w:rPr>
                <w:rFonts w:ascii="Times New Roman" w:hAnsi="Times New Roman" w:cs="Times New Roman"/>
                <w:color w:val="000000"/>
                <w:sz w:val="24"/>
                <w:szCs w:val="24"/>
              </w:rPr>
              <w:t>.</w:t>
            </w:r>
          </w:p>
        </w:tc>
        <w:tc>
          <w:tcPr>
            <w:tcW w:w="763" w:type="pct"/>
          </w:tcPr>
          <w:p w14:paraId="0681BF78"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2.890123</w:t>
            </w:r>
          </w:p>
        </w:tc>
      </w:tr>
      <w:tr w:rsidR="002916B1" w:rsidRPr="00077E16" w14:paraId="349E8587"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6BC03ACF"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F-statistic</w:t>
            </w:r>
          </w:p>
        </w:tc>
        <w:tc>
          <w:tcPr>
            <w:tcW w:w="844" w:type="pct"/>
          </w:tcPr>
          <w:p w14:paraId="489D129B"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134.1634</w:t>
            </w:r>
          </w:p>
        </w:tc>
        <w:tc>
          <w:tcPr>
            <w:tcW w:w="1849" w:type="pct"/>
            <w:gridSpan w:val="2"/>
          </w:tcPr>
          <w:p w14:paraId="4CDFA471" w14:textId="77777777" w:rsidR="002916B1" w:rsidRPr="00077E16" w:rsidRDefault="002916B1">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Durbin-Watson stat</w:t>
            </w:r>
          </w:p>
        </w:tc>
        <w:tc>
          <w:tcPr>
            <w:tcW w:w="763" w:type="pct"/>
          </w:tcPr>
          <w:p w14:paraId="3AB45E9D"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1.750393</w:t>
            </w:r>
          </w:p>
        </w:tc>
      </w:tr>
      <w:tr w:rsidR="002916B1" w:rsidRPr="00077E16" w14:paraId="645B851F"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40755360"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Prob(F-statistic)</w:t>
            </w:r>
          </w:p>
        </w:tc>
        <w:tc>
          <w:tcPr>
            <w:tcW w:w="844" w:type="pct"/>
          </w:tcPr>
          <w:p w14:paraId="700C60B7"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0.000000</w:t>
            </w:r>
          </w:p>
        </w:tc>
        <w:tc>
          <w:tcPr>
            <w:tcW w:w="924" w:type="pct"/>
          </w:tcPr>
          <w:p w14:paraId="25E73A54" w14:textId="77777777" w:rsidR="002916B1" w:rsidRPr="00077E16" w:rsidRDefault="002916B1">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925" w:type="pct"/>
          </w:tcPr>
          <w:p w14:paraId="32B56715" w14:textId="77777777" w:rsidR="002916B1" w:rsidRPr="00077E16" w:rsidRDefault="002916B1">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763" w:type="pct"/>
          </w:tcPr>
          <w:p w14:paraId="74405DCD" w14:textId="77777777" w:rsidR="002916B1" w:rsidRPr="00077E16" w:rsidRDefault="002916B1">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bl>
    <w:p w14:paraId="260ED5A6" w14:textId="77777777" w:rsidR="00E2660A" w:rsidRPr="00077E16" w:rsidRDefault="00E2660A" w:rsidP="00C0560F">
      <w:pPr>
        <w:pStyle w:val="NormalWeb"/>
        <w:spacing w:before="0" w:beforeAutospacing="0"/>
      </w:pPr>
      <w:proofErr w:type="spellStart"/>
      <w:r w:rsidRPr="00077E16">
        <w:t>EView</w:t>
      </w:r>
      <w:proofErr w:type="spellEnd"/>
      <w:r w:rsidRPr="00077E16">
        <w:t xml:space="preserve"> 12</w:t>
      </w:r>
    </w:p>
    <w:p w14:paraId="2226FD8D" w14:textId="77777777" w:rsidR="00A72B1D" w:rsidRPr="00077E16" w:rsidRDefault="003F7F35" w:rsidP="00A72B1D">
      <w:pPr>
        <w:pStyle w:val="NormalWeb"/>
        <w:jc w:val="both"/>
      </w:pPr>
      <w:r w:rsidRPr="00077E16">
        <w:t>T</w:t>
      </w:r>
      <w:r w:rsidR="00A72B1D" w:rsidRPr="00077E16">
        <w:t>able 2</w:t>
      </w:r>
      <w:r w:rsidRPr="00077E16">
        <w:t xml:space="preserve"> show</w:t>
      </w:r>
      <w:r w:rsidR="00A72B1D" w:rsidRPr="00077E16">
        <w:t>s</w:t>
      </w:r>
      <w:r w:rsidRPr="00077E16">
        <w:t xml:space="preserve"> that market orientation positively and statistically significantly impacts the market share of manufacturing companies. With </w:t>
      </w:r>
      <w:proofErr w:type="gramStart"/>
      <w:r w:rsidRPr="00077E16">
        <w:t>an</w:t>
      </w:r>
      <w:proofErr w:type="gramEnd"/>
      <w:r w:rsidRPr="00077E16">
        <w:t xml:space="preserve"> </w:t>
      </w:r>
      <w:r w:rsidR="00A72B1D" w:rsidRPr="00077E16">
        <w:t>market orientation</w:t>
      </w:r>
      <w:r w:rsidRPr="00077E16">
        <w:t xml:space="preserve"> coefficient of 0.658, market share rises by around 0.66 units for every unit increase in market orientation, assuming all other variables remain the same. This link is statistically significant at the 1% level, indicating a strong and consistent effect, according to the t-statistic of 11.58 and the p-value of 0.0000. The constant term (C) shows a positive value of 0.968 and is statistically significant, representing the baseline </w:t>
      </w:r>
      <w:r w:rsidR="00A72B1D" w:rsidRPr="00077E16">
        <w:t xml:space="preserve">market share when market orientation is zero. </w:t>
      </w:r>
    </w:p>
    <w:p w14:paraId="4CD9BF32" w14:textId="77777777" w:rsidR="00A72B1D" w:rsidRPr="00077E16" w:rsidRDefault="003F7F35" w:rsidP="00A72B1D">
      <w:pPr>
        <w:pStyle w:val="NormalWeb"/>
        <w:jc w:val="both"/>
      </w:pPr>
      <w:r w:rsidRPr="00077E16">
        <w:t xml:space="preserve">Furthermore, the model's R-squared value of 0.475 suggests that shifts in market orientation account for roughly 47.5% of the variation in market share. According to the F-statistic (134.16) and its p-value (0.0000), the model as a whole is highly significant. There appears to be no significant autocorrelation in the residuals, according to the Durbin-Watson statistic of 1.75. When considered collectively, the findings suggest that market orientation is a crucial strategic element </w:t>
      </w:r>
      <w:r w:rsidRPr="00077E16">
        <w:lastRenderedPageBreak/>
        <w:t>that greatly affects manufacturing companies' competitive position by increasing their market share. This finding lends credence to the claim made in the literature on strategic management that a focus on customers and competitors might improve market performance (</w:t>
      </w:r>
      <w:proofErr w:type="spellStart"/>
      <w:r w:rsidRPr="00077E16">
        <w:t>Handoyo</w:t>
      </w:r>
      <w:proofErr w:type="spellEnd"/>
      <w:r w:rsidRPr="00077E16">
        <w:t xml:space="preserve"> et al., 2023; Nagle et a</w:t>
      </w:r>
      <w:r w:rsidR="00A72B1D" w:rsidRPr="00077E16">
        <w:t>l., 2023).</w:t>
      </w:r>
    </w:p>
    <w:p w14:paraId="5888CB1D" w14:textId="77777777" w:rsidR="002A1C9D" w:rsidRPr="00077E16" w:rsidRDefault="003F7F35" w:rsidP="00A72B1D">
      <w:pPr>
        <w:pStyle w:val="NormalWeb"/>
        <w:jc w:val="both"/>
      </w:pPr>
      <w:r w:rsidRPr="00077E16">
        <w:t>Prior research has consistently shown that market orientation improves a company's capacity to comprehend and address customer needs, which in turn increases customer satisfaction and loyalty and, eventually, increases market share (</w:t>
      </w:r>
      <w:proofErr w:type="spellStart"/>
      <w:r w:rsidRPr="00077E16">
        <w:t>Abbu</w:t>
      </w:r>
      <w:proofErr w:type="spellEnd"/>
      <w:r w:rsidRPr="00077E16">
        <w:t xml:space="preserve"> &amp; </w:t>
      </w:r>
      <w:proofErr w:type="spellStart"/>
      <w:r w:rsidRPr="00077E16">
        <w:t>Gopalakrishna</w:t>
      </w:r>
      <w:proofErr w:type="spellEnd"/>
      <w:r w:rsidRPr="00077E16">
        <w:t xml:space="preserve">, 2021; </w:t>
      </w:r>
      <w:proofErr w:type="spellStart"/>
      <w:r w:rsidRPr="00077E16">
        <w:t>Gotteland</w:t>
      </w:r>
      <w:proofErr w:type="spellEnd"/>
      <w:r w:rsidRPr="00077E16">
        <w:t xml:space="preserve"> et al., 2020; Schulze et al., 2022). For example, </w:t>
      </w:r>
      <w:proofErr w:type="spellStart"/>
      <w:r w:rsidRPr="00077E16">
        <w:t>Gotteland</w:t>
      </w:r>
      <w:proofErr w:type="spellEnd"/>
      <w:r w:rsidRPr="00077E16">
        <w:t xml:space="preserve"> et al. (2020) and Sampaio et al. (2020) found a significant relationship between firm performance and market orientation, especially in industries with intense competition. Market-focused companies are better equipped to adjust to market movements and keep a competitive edge, which results in notable increases in market share (Correia et al., 2021).</w:t>
      </w:r>
    </w:p>
    <w:p w14:paraId="12E4EB3C" w14:textId="77777777" w:rsidR="00E12EAA" w:rsidRPr="00077E16" w:rsidRDefault="00E2660A" w:rsidP="00E2660A">
      <w:pPr>
        <w:spacing w:after="0"/>
        <w:jc w:val="both"/>
        <w:rPr>
          <w:rFonts w:ascii="Times New Roman" w:hAnsi="Times New Roman" w:cs="Times New Roman"/>
          <w:b/>
          <w:sz w:val="24"/>
          <w:szCs w:val="24"/>
        </w:rPr>
      </w:pPr>
      <w:r w:rsidRPr="00077E16">
        <w:rPr>
          <w:rFonts w:ascii="Times New Roman" w:hAnsi="Times New Roman" w:cs="Times New Roman"/>
          <w:b/>
          <w:sz w:val="24"/>
          <w:szCs w:val="24"/>
        </w:rPr>
        <w:t>Table 3</w:t>
      </w:r>
      <w:r w:rsidRPr="00077E16">
        <w:rPr>
          <w:rFonts w:ascii="Times New Roman" w:hAnsi="Times New Roman" w:cs="Times New Roman"/>
          <w:b/>
          <w:sz w:val="24"/>
          <w:szCs w:val="24"/>
        </w:rPr>
        <w:tab/>
        <w:t>E</w:t>
      </w:r>
      <w:r w:rsidR="00B318A2" w:rsidRPr="00077E16">
        <w:rPr>
          <w:rFonts w:ascii="Times New Roman" w:hAnsi="Times New Roman" w:cs="Times New Roman"/>
          <w:b/>
          <w:sz w:val="24"/>
          <w:szCs w:val="24"/>
        </w:rPr>
        <w:t xml:space="preserve">ntrepreneurial orientation </w:t>
      </w:r>
      <w:r w:rsidRPr="00077E16">
        <w:rPr>
          <w:rFonts w:ascii="Times New Roman" w:hAnsi="Times New Roman" w:cs="Times New Roman"/>
          <w:b/>
          <w:sz w:val="24"/>
          <w:szCs w:val="24"/>
        </w:rPr>
        <w:t>and</w:t>
      </w:r>
      <w:r w:rsidR="00B318A2" w:rsidRPr="00077E16">
        <w:rPr>
          <w:rFonts w:ascii="Times New Roman" w:hAnsi="Times New Roman" w:cs="Times New Roman"/>
          <w:b/>
          <w:sz w:val="24"/>
          <w:szCs w:val="24"/>
        </w:rPr>
        <w:t xml:space="preserve"> profitabil</w:t>
      </w:r>
      <w:r w:rsidRPr="00077E16">
        <w:rPr>
          <w:rFonts w:ascii="Times New Roman" w:hAnsi="Times New Roman" w:cs="Times New Roman"/>
          <w:b/>
          <w:sz w:val="24"/>
          <w:szCs w:val="24"/>
        </w:rPr>
        <w:t>ity of manufacturing firms</w:t>
      </w:r>
    </w:p>
    <w:tbl>
      <w:tblPr>
        <w:tblStyle w:val="PlainTable2"/>
        <w:tblW w:w="5000" w:type="pct"/>
        <w:tblLook w:val="04A0" w:firstRow="1" w:lastRow="0" w:firstColumn="1" w:lastColumn="0" w:noHBand="0" w:noVBand="1"/>
      </w:tblPr>
      <w:tblGrid>
        <w:gridCol w:w="2890"/>
        <w:gridCol w:w="1580"/>
        <w:gridCol w:w="1730"/>
        <w:gridCol w:w="1732"/>
        <w:gridCol w:w="1428"/>
      </w:tblGrid>
      <w:tr w:rsidR="00E12EAA" w:rsidRPr="00077E16" w14:paraId="05D91DE7" w14:textId="77777777" w:rsidTr="00E2660A">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3210C26" w14:textId="77777777" w:rsidR="00E12EAA" w:rsidRPr="00077E16" w:rsidRDefault="00E12EAA">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Variable</w:t>
            </w:r>
          </w:p>
        </w:tc>
        <w:tc>
          <w:tcPr>
            <w:tcW w:w="844" w:type="pct"/>
          </w:tcPr>
          <w:p w14:paraId="55DC0637"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Coefficient</w:t>
            </w:r>
          </w:p>
        </w:tc>
        <w:tc>
          <w:tcPr>
            <w:tcW w:w="924" w:type="pct"/>
          </w:tcPr>
          <w:p w14:paraId="74E741EC"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Std. Error</w:t>
            </w:r>
          </w:p>
        </w:tc>
        <w:tc>
          <w:tcPr>
            <w:tcW w:w="925" w:type="pct"/>
          </w:tcPr>
          <w:p w14:paraId="66D8E1AF"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t-Statistic</w:t>
            </w:r>
          </w:p>
        </w:tc>
        <w:tc>
          <w:tcPr>
            <w:tcW w:w="763" w:type="pct"/>
          </w:tcPr>
          <w:p w14:paraId="2956E698"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Prob.  </w:t>
            </w:r>
          </w:p>
        </w:tc>
      </w:tr>
      <w:tr w:rsidR="00E12EAA" w:rsidRPr="00077E16" w14:paraId="017FED58"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55CE1BC" w14:textId="77777777" w:rsidR="00E12EAA" w:rsidRPr="00077E16" w:rsidRDefault="00E12EAA">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C</w:t>
            </w:r>
          </w:p>
        </w:tc>
        <w:tc>
          <w:tcPr>
            <w:tcW w:w="844" w:type="pct"/>
          </w:tcPr>
          <w:p w14:paraId="074CD9B1"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0.920545</w:t>
            </w:r>
          </w:p>
        </w:tc>
        <w:tc>
          <w:tcPr>
            <w:tcW w:w="924" w:type="pct"/>
          </w:tcPr>
          <w:p w14:paraId="2A482076"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0.165066</w:t>
            </w:r>
          </w:p>
        </w:tc>
        <w:tc>
          <w:tcPr>
            <w:tcW w:w="925" w:type="pct"/>
          </w:tcPr>
          <w:p w14:paraId="2C121B72"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5.576830</w:t>
            </w:r>
          </w:p>
        </w:tc>
        <w:tc>
          <w:tcPr>
            <w:tcW w:w="763" w:type="pct"/>
          </w:tcPr>
          <w:p w14:paraId="4DB3B051"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w:t>
            </w:r>
          </w:p>
        </w:tc>
      </w:tr>
      <w:tr w:rsidR="00E12EAA" w:rsidRPr="00077E16" w14:paraId="22E6801D"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23C0FB3F" w14:textId="77777777" w:rsidR="00E12EAA" w:rsidRPr="00077E16" w:rsidRDefault="00E12EAA">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ENO</w:t>
            </w:r>
          </w:p>
        </w:tc>
        <w:tc>
          <w:tcPr>
            <w:tcW w:w="844" w:type="pct"/>
          </w:tcPr>
          <w:p w14:paraId="3D737528"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0.619873</w:t>
            </w:r>
          </w:p>
        </w:tc>
        <w:tc>
          <w:tcPr>
            <w:tcW w:w="924" w:type="pct"/>
          </w:tcPr>
          <w:p w14:paraId="116259A3"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0.061482</w:t>
            </w:r>
          </w:p>
        </w:tc>
        <w:tc>
          <w:tcPr>
            <w:tcW w:w="925" w:type="pct"/>
          </w:tcPr>
          <w:p w14:paraId="051572C6"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10.08217</w:t>
            </w:r>
          </w:p>
        </w:tc>
        <w:tc>
          <w:tcPr>
            <w:tcW w:w="763" w:type="pct"/>
          </w:tcPr>
          <w:p w14:paraId="22E0BE05"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w:t>
            </w:r>
          </w:p>
        </w:tc>
      </w:tr>
      <w:tr w:rsidR="00E12EAA" w:rsidRPr="00077E16" w14:paraId="26211BED"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FCD9825"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R-squared</w:t>
            </w:r>
          </w:p>
        </w:tc>
        <w:tc>
          <w:tcPr>
            <w:tcW w:w="844" w:type="pct"/>
          </w:tcPr>
          <w:p w14:paraId="0D52CBD0"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0.408808</w:t>
            </w:r>
          </w:p>
        </w:tc>
        <w:tc>
          <w:tcPr>
            <w:tcW w:w="1849" w:type="pct"/>
            <w:gridSpan w:val="2"/>
          </w:tcPr>
          <w:p w14:paraId="3C61B484" w14:textId="77777777" w:rsidR="00E12EAA" w:rsidRPr="00077E16" w:rsidRDefault="00E12EAA">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Mean dependent var</w:t>
            </w:r>
          </w:p>
        </w:tc>
        <w:tc>
          <w:tcPr>
            <w:tcW w:w="763" w:type="pct"/>
          </w:tcPr>
          <w:p w14:paraId="0B571083"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2.268456</w:t>
            </w:r>
          </w:p>
        </w:tc>
      </w:tr>
      <w:tr w:rsidR="00E12EAA" w:rsidRPr="00077E16" w14:paraId="0315DF29"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5F391EA0"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Adjusted R-squared</w:t>
            </w:r>
          </w:p>
        </w:tc>
        <w:tc>
          <w:tcPr>
            <w:tcW w:w="844" w:type="pct"/>
          </w:tcPr>
          <w:p w14:paraId="2D58BD90"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0.404786</w:t>
            </w:r>
          </w:p>
        </w:tc>
        <w:tc>
          <w:tcPr>
            <w:tcW w:w="1849" w:type="pct"/>
            <w:gridSpan w:val="2"/>
          </w:tcPr>
          <w:p w14:paraId="406D0432" w14:textId="77777777" w:rsidR="00E12EAA" w:rsidRPr="00077E16" w:rsidRDefault="00E12EAA">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S.D. dependent var</w:t>
            </w:r>
          </w:p>
        </w:tc>
        <w:tc>
          <w:tcPr>
            <w:tcW w:w="763" w:type="pct"/>
          </w:tcPr>
          <w:p w14:paraId="3146C58F"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1.531784</w:t>
            </w:r>
          </w:p>
        </w:tc>
      </w:tr>
      <w:tr w:rsidR="00E12EAA" w:rsidRPr="00077E16" w14:paraId="1DC19D63"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91EE40F"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S.E. of regression</w:t>
            </w:r>
          </w:p>
        </w:tc>
        <w:tc>
          <w:tcPr>
            <w:tcW w:w="844" w:type="pct"/>
          </w:tcPr>
          <w:p w14:paraId="31200E2F"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1.181773</w:t>
            </w:r>
          </w:p>
        </w:tc>
        <w:tc>
          <w:tcPr>
            <w:tcW w:w="1849" w:type="pct"/>
            <w:gridSpan w:val="2"/>
          </w:tcPr>
          <w:p w14:paraId="35CCFFDC" w14:textId="77777777" w:rsidR="00E12EAA" w:rsidRPr="00077E16" w:rsidRDefault="00E12EAA">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Akaike info criterion</w:t>
            </w:r>
          </w:p>
        </w:tc>
        <w:tc>
          <w:tcPr>
            <w:tcW w:w="763" w:type="pct"/>
          </w:tcPr>
          <w:p w14:paraId="14806C26"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3.185241</w:t>
            </w:r>
          </w:p>
        </w:tc>
      </w:tr>
      <w:tr w:rsidR="00E12EAA" w:rsidRPr="00077E16" w14:paraId="4E398D87"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27BF9F8E"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Sum squared resid</w:t>
            </w:r>
          </w:p>
        </w:tc>
        <w:tc>
          <w:tcPr>
            <w:tcW w:w="844" w:type="pct"/>
          </w:tcPr>
          <w:p w14:paraId="7D58D416"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205.2984</w:t>
            </w:r>
          </w:p>
        </w:tc>
        <w:tc>
          <w:tcPr>
            <w:tcW w:w="1849" w:type="pct"/>
            <w:gridSpan w:val="2"/>
          </w:tcPr>
          <w:p w14:paraId="53CD5776" w14:textId="77777777" w:rsidR="00E12EAA" w:rsidRPr="00077E16" w:rsidRDefault="00E12EAA">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Schwarz criterion</w:t>
            </w:r>
          </w:p>
        </w:tc>
        <w:tc>
          <w:tcPr>
            <w:tcW w:w="763" w:type="pct"/>
          </w:tcPr>
          <w:p w14:paraId="07A1334C"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3.225562</w:t>
            </w:r>
          </w:p>
        </w:tc>
      </w:tr>
      <w:tr w:rsidR="00E12EAA" w:rsidRPr="00077E16" w14:paraId="217A94EC"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10F74040"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Log likelihood</w:t>
            </w:r>
          </w:p>
        </w:tc>
        <w:tc>
          <w:tcPr>
            <w:tcW w:w="844" w:type="pct"/>
          </w:tcPr>
          <w:p w14:paraId="7868804F"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-235.3004</w:t>
            </w:r>
          </w:p>
        </w:tc>
        <w:tc>
          <w:tcPr>
            <w:tcW w:w="1849" w:type="pct"/>
            <w:gridSpan w:val="2"/>
          </w:tcPr>
          <w:p w14:paraId="5C0F4538" w14:textId="77777777" w:rsidR="00E12EAA" w:rsidRPr="00077E16" w:rsidRDefault="00E12EAA">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w:t>
            </w:r>
            <w:proofErr w:type="spellStart"/>
            <w:r w:rsidRPr="00077E16">
              <w:rPr>
                <w:rFonts w:ascii="Times New Roman" w:hAnsi="Times New Roman" w:cs="Times New Roman"/>
                <w:color w:val="000000"/>
                <w:sz w:val="24"/>
                <w:szCs w:val="24"/>
              </w:rPr>
              <w:t>Hannan</w:t>
            </w:r>
            <w:proofErr w:type="spellEnd"/>
            <w:r w:rsidRPr="00077E16">
              <w:rPr>
                <w:rFonts w:ascii="Times New Roman" w:hAnsi="Times New Roman" w:cs="Times New Roman"/>
                <w:color w:val="000000"/>
                <w:sz w:val="24"/>
                <w:szCs w:val="24"/>
              </w:rPr>
              <w:t xml:space="preserve">-Quinn </w:t>
            </w:r>
            <w:proofErr w:type="spellStart"/>
            <w:r w:rsidRPr="00077E16">
              <w:rPr>
                <w:rFonts w:ascii="Times New Roman" w:hAnsi="Times New Roman" w:cs="Times New Roman"/>
                <w:color w:val="000000"/>
                <w:sz w:val="24"/>
                <w:szCs w:val="24"/>
              </w:rPr>
              <w:t>criter</w:t>
            </w:r>
            <w:proofErr w:type="spellEnd"/>
            <w:r w:rsidRPr="00077E16">
              <w:rPr>
                <w:rFonts w:ascii="Times New Roman" w:hAnsi="Times New Roman" w:cs="Times New Roman"/>
                <w:color w:val="000000"/>
                <w:sz w:val="24"/>
                <w:szCs w:val="24"/>
              </w:rPr>
              <w:t>.</w:t>
            </w:r>
          </w:p>
        </w:tc>
        <w:tc>
          <w:tcPr>
            <w:tcW w:w="763" w:type="pct"/>
          </w:tcPr>
          <w:p w14:paraId="50DF4C2F"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3.201623</w:t>
            </w:r>
          </w:p>
        </w:tc>
      </w:tr>
      <w:tr w:rsidR="00E12EAA" w:rsidRPr="00077E16" w14:paraId="5E24EDA8"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6AFE026"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F-statistic</w:t>
            </w:r>
          </w:p>
        </w:tc>
        <w:tc>
          <w:tcPr>
            <w:tcW w:w="844" w:type="pct"/>
          </w:tcPr>
          <w:p w14:paraId="5436F768"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101.6502</w:t>
            </w:r>
          </w:p>
        </w:tc>
        <w:tc>
          <w:tcPr>
            <w:tcW w:w="1849" w:type="pct"/>
            <w:gridSpan w:val="2"/>
          </w:tcPr>
          <w:p w14:paraId="5BBE364F" w14:textId="77777777" w:rsidR="00E12EAA" w:rsidRPr="00077E16" w:rsidRDefault="00E12EAA">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Durbin-Watson stat</w:t>
            </w:r>
          </w:p>
        </w:tc>
        <w:tc>
          <w:tcPr>
            <w:tcW w:w="763" w:type="pct"/>
          </w:tcPr>
          <w:p w14:paraId="2B365343"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1.581179</w:t>
            </w:r>
          </w:p>
        </w:tc>
      </w:tr>
      <w:tr w:rsidR="00E12EAA" w:rsidRPr="00077E16" w14:paraId="7F7CC2E1"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49BE2856"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Prob(F-statistic)</w:t>
            </w:r>
          </w:p>
        </w:tc>
        <w:tc>
          <w:tcPr>
            <w:tcW w:w="844" w:type="pct"/>
          </w:tcPr>
          <w:p w14:paraId="1F1E5112"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0.000000</w:t>
            </w:r>
          </w:p>
        </w:tc>
        <w:tc>
          <w:tcPr>
            <w:tcW w:w="924" w:type="pct"/>
          </w:tcPr>
          <w:p w14:paraId="6918F39B" w14:textId="77777777" w:rsidR="00E12EAA" w:rsidRPr="00077E16" w:rsidRDefault="00E12EAA">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925" w:type="pct"/>
          </w:tcPr>
          <w:p w14:paraId="7D4679DD" w14:textId="77777777" w:rsidR="00E12EAA" w:rsidRPr="00077E16" w:rsidRDefault="00E12EAA">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763" w:type="pct"/>
          </w:tcPr>
          <w:p w14:paraId="13BE1D75" w14:textId="77777777" w:rsidR="00E12EAA" w:rsidRPr="00077E16" w:rsidRDefault="00E12EAA">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bl>
    <w:p w14:paraId="704D2679" w14:textId="77777777" w:rsidR="00E2660A" w:rsidRPr="00077E16" w:rsidRDefault="00E2660A" w:rsidP="005E0436">
      <w:pPr>
        <w:pStyle w:val="NormalWeb"/>
        <w:spacing w:before="0" w:beforeAutospacing="0"/>
      </w:pPr>
      <w:proofErr w:type="spellStart"/>
      <w:r w:rsidRPr="00077E16">
        <w:t>EView</w:t>
      </w:r>
      <w:proofErr w:type="spellEnd"/>
      <w:r w:rsidRPr="00077E16">
        <w:t xml:space="preserve"> 12</w:t>
      </w:r>
    </w:p>
    <w:p w14:paraId="5AC9F028" w14:textId="77777777" w:rsidR="008778BD" w:rsidRPr="00077E16" w:rsidRDefault="008778BD" w:rsidP="008778BD">
      <w:pPr>
        <w:pStyle w:val="NormalWeb"/>
        <w:spacing w:after="240" w:afterAutospacing="0"/>
        <w:jc w:val="both"/>
      </w:pPr>
      <w:r w:rsidRPr="00077E16">
        <w:t>The results of the regression analysis</w:t>
      </w:r>
      <w:r w:rsidR="004C41A0" w:rsidRPr="00077E16">
        <w:t xml:space="preserve"> (in Table 3)</w:t>
      </w:r>
      <w:r w:rsidRPr="00077E16">
        <w:t xml:space="preserve"> show that the profitability of manufacturing companies is positively and statistically significantly impacted by entrepreneurial orientation. A one-unit increase in entrepreneurial orientation results in a 0.62-unit improvement in profitability, assuming all other factors remain constant, according to the entrepreneurial orientation coefficient of 0.620. The p-value of 0.0000 and the t-statistic of 10.08 both strongly support the effect's significance at the 1% level. With a value of 0.921, the constant term (C) is likewise substantial, indicating that some baseline profitability exists even in the absence of entrepreneurial inclination. </w:t>
      </w:r>
    </w:p>
    <w:p w14:paraId="100F26A5" w14:textId="77777777" w:rsidR="008778BD" w:rsidRPr="00077E16" w:rsidRDefault="008778BD" w:rsidP="008778BD">
      <w:pPr>
        <w:pStyle w:val="NormalWeb"/>
        <w:spacing w:after="240" w:afterAutospacing="0"/>
        <w:jc w:val="both"/>
      </w:pPr>
      <w:r w:rsidRPr="00077E16">
        <w:t>According to the model's R-squared value of 0.409, entrepreneurial approach accounts for roughly 40.9% of the variation in profitability. This demonstrates a modest level of explanatory power and lends credence to the idea that proactive, innovative, and risk-taking traits of an entrepreneurial mindset play a key role in determining how well a company performs. A probability value of 0.0000 and an F-statistic of 101.65 further support the model's overall relevance. Furthermore, the Durbin-Watson statistic of 1.58 suggests that autocorrelation is not a significant worry.</w:t>
      </w:r>
    </w:p>
    <w:p w14:paraId="304A41F0" w14:textId="77777777" w:rsidR="00C0560F" w:rsidRPr="00077E16" w:rsidRDefault="008778BD" w:rsidP="008778BD">
      <w:pPr>
        <w:pStyle w:val="NormalWeb"/>
        <w:spacing w:after="240" w:afterAutospacing="0"/>
        <w:jc w:val="both"/>
      </w:pPr>
      <w:r w:rsidRPr="00077E16">
        <w:t xml:space="preserve">Results indicate a strong positive impact of entrepreneurial orientation on manufacturing companies' profitability. The findings support the theoretical claim that an entrepreneurial mindset is an essential strategic stance for companies looking to increase profitability in cutthroat marketplaces. Prior research has confirmed that an entrepreneurial orientation, which is defined </w:t>
      </w:r>
      <w:r w:rsidRPr="00077E16">
        <w:lastRenderedPageBreak/>
        <w:t xml:space="preserve">by inventiveness, initiative, and risk-taking, is essential to increasing business profitability (Corrêa et al., 2022; </w:t>
      </w:r>
      <w:proofErr w:type="spellStart"/>
      <w:r w:rsidRPr="00077E16">
        <w:t>Tojue</w:t>
      </w:r>
      <w:proofErr w:type="spellEnd"/>
      <w:r w:rsidRPr="00077E16">
        <w:t xml:space="preserve"> et al., 2023). Companies with a strong entrepreneurial attitude are more likely to look for new opportunities and add value, which will boost their profit margins (</w:t>
      </w:r>
      <w:proofErr w:type="spellStart"/>
      <w:r w:rsidRPr="00077E16">
        <w:t>Putniņš</w:t>
      </w:r>
      <w:proofErr w:type="spellEnd"/>
      <w:r w:rsidRPr="00077E16">
        <w:t xml:space="preserve"> &amp; </w:t>
      </w:r>
      <w:proofErr w:type="spellStart"/>
      <w:r w:rsidRPr="00077E16">
        <w:t>Sauka</w:t>
      </w:r>
      <w:proofErr w:type="spellEnd"/>
      <w:r w:rsidRPr="00077E16">
        <w:t xml:space="preserve">, 2020). Additionally, </w:t>
      </w:r>
      <w:proofErr w:type="spellStart"/>
      <w:r w:rsidRPr="00077E16">
        <w:t>Okangi</w:t>
      </w:r>
      <w:proofErr w:type="spellEnd"/>
      <w:r w:rsidRPr="00077E16">
        <w:t xml:space="preserve"> (2019) found that, particularly in markets that are competitive and dynamic, entrepreneurial orientation has a major role in the growth and profitability of businesses. </w:t>
      </w:r>
    </w:p>
    <w:p w14:paraId="2BD05E4B" w14:textId="77777777" w:rsidR="00E12EAA" w:rsidRPr="00077E16" w:rsidRDefault="00E2660A" w:rsidP="00E2660A">
      <w:pPr>
        <w:spacing w:after="0"/>
        <w:jc w:val="both"/>
        <w:rPr>
          <w:rFonts w:ascii="Times New Roman" w:eastAsia="Times New Roman" w:hAnsi="Times New Roman" w:cs="Times New Roman"/>
          <w:b/>
          <w:sz w:val="24"/>
          <w:szCs w:val="24"/>
        </w:rPr>
      </w:pPr>
      <w:r w:rsidRPr="00077E16">
        <w:rPr>
          <w:rFonts w:ascii="Times New Roman" w:hAnsi="Times New Roman" w:cs="Times New Roman"/>
          <w:b/>
          <w:sz w:val="24"/>
          <w:szCs w:val="24"/>
        </w:rPr>
        <w:t>Table 4</w:t>
      </w:r>
      <w:r w:rsidRPr="00077E16">
        <w:rPr>
          <w:rFonts w:ascii="Times New Roman" w:hAnsi="Times New Roman" w:cs="Times New Roman"/>
          <w:b/>
          <w:sz w:val="24"/>
          <w:szCs w:val="24"/>
        </w:rPr>
        <w:tab/>
        <w:t>T</w:t>
      </w:r>
      <w:r w:rsidR="00B318A2" w:rsidRPr="00077E16">
        <w:rPr>
          <w:rFonts w:ascii="Times New Roman" w:hAnsi="Times New Roman" w:cs="Times New Roman"/>
          <w:b/>
          <w:sz w:val="24"/>
          <w:szCs w:val="24"/>
        </w:rPr>
        <w:t xml:space="preserve">echnology orientation </w:t>
      </w:r>
      <w:r w:rsidRPr="00077E16">
        <w:rPr>
          <w:rFonts w:ascii="Times New Roman" w:hAnsi="Times New Roman" w:cs="Times New Roman"/>
          <w:b/>
          <w:sz w:val="24"/>
          <w:szCs w:val="24"/>
        </w:rPr>
        <w:t>and</w:t>
      </w:r>
      <w:r w:rsidR="00B318A2" w:rsidRPr="00077E16">
        <w:rPr>
          <w:rFonts w:ascii="Times New Roman" w:hAnsi="Times New Roman" w:cs="Times New Roman"/>
          <w:b/>
          <w:sz w:val="24"/>
          <w:szCs w:val="24"/>
        </w:rPr>
        <w:t xml:space="preserve"> competitive advantage of manufacturing firms.</w:t>
      </w:r>
    </w:p>
    <w:tbl>
      <w:tblPr>
        <w:tblStyle w:val="PlainTable2"/>
        <w:tblW w:w="5000" w:type="pct"/>
        <w:tblLook w:val="04A0" w:firstRow="1" w:lastRow="0" w:firstColumn="1" w:lastColumn="0" w:noHBand="0" w:noVBand="1"/>
      </w:tblPr>
      <w:tblGrid>
        <w:gridCol w:w="2890"/>
        <w:gridCol w:w="1580"/>
        <w:gridCol w:w="1730"/>
        <w:gridCol w:w="1732"/>
        <w:gridCol w:w="1428"/>
      </w:tblGrid>
      <w:tr w:rsidR="00E12EAA" w:rsidRPr="00077E16" w14:paraId="167D26B3" w14:textId="77777777" w:rsidTr="00E2660A">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3BE2F5F" w14:textId="77777777" w:rsidR="00E12EAA" w:rsidRPr="00077E16" w:rsidRDefault="00E12EAA">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Variable</w:t>
            </w:r>
          </w:p>
        </w:tc>
        <w:tc>
          <w:tcPr>
            <w:tcW w:w="844" w:type="pct"/>
          </w:tcPr>
          <w:p w14:paraId="622C3E54"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Coefficient</w:t>
            </w:r>
          </w:p>
        </w:tc>
        <w:tc>
          <w:tcPr>
            <w:tcW w:w="924" w:type="pct"/>
          </w:tcPr>
          <w:p w14:paraId="56600F3B"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Std. Error</w:t>
            </w:r>
          </w:p>
        </w:tc>
        <w:tc>
          <w:tcPr>
            <w:tcW w:w="925" w:type="pct"/>
          </w:tcPr>
          <w:p w14:paraId="3E3527CB"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t-Statistic</w:t>
            </w:r>
          </w:p>
        </w:tc>
        <w:tc>
          <w:tcPr>
            <w:tcW w:w="763" w:type="pct"/>
          </w:tcPr>
          <w:p w14:paraId="18447D07"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Prob.  </w:t>
            </w:r>
          </w:p>
        </w:tc>
      </w:tr>
      <w:tr w:rsidR="00E12EAA" w:rsidRPr="00077E16" w14:paraId="7375D4F1"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5A425A7F" w14:textId="77777777" w:rsidR="00E12EAA" w:rsidRPr="00077E16" w:rsidRDefault="00E12EAA">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C</w:t>
            </w:r>
          </w:p>
        </w:tc>
        <w:tc>
          <w:tcPr>
            <w:tcW w:w="844" w:type="pct"/>
          </w:tcPr>
          <w:p w14:paraId="3E96A031"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0.328286</w:t>
            </w:r>
          </w:p>
        </w:tc>
        <w:tc>
          <w:tcPr>
            <w:tcW w:w="924" w:type="pct"/>
          </w:tcPr>
          <w:p w14:paraId="338C3A6A"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0.199749</w:t>
            </w:r>
          </w:p>
        </w:tc>
        <w:tc>
          <w:tcPr>
            <w:tcW w:w="925" w:type="pct"/>
          </w:tcPr>
          <w:p w14:paraId="25A9BA58"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1.643491</w:t>
            </w:r>
          </w:p>
        </w:tc>
        <w:tc>
          <w:tcPr>
            <w:tcW w:w="763" w:type="pct"/>
          </w:tcPr>
          <w:p w14:paraId="7B5E8088"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0.1024</w:t>
            </w:r>
          </w:p>
        </w:tc>
      </w:tr>
      <w:tr w:rsidR="00E12EAA" w:rsidRPr="00077E16" w14:paraId="166B5390"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0A77255A" w14:textId="77777777" w:rsidR="00E12EAA" w:rsidRPr="00077E16" w:rsidRDefault="00E12EAA">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THO</w:t>
            </w:r>
          </w:p>
        </w:tc>
        <w:tc>
          <w:tcPr>
            <w:tcW w:w="844" w:type="pct"/>
          </w:tcPr>
          <w:p w14:paraId="17E0B4A8"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0.802595</w:t>
            </w:r>
          </w:p>
        </w:tc>
        <w:tc>
          <w:tcPr>
            <w:tcW w:w="924" w:type="pct"/>
          </w:tcPr>
          <w:p w14:paraId="227F4509"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0.054098</w:t>
            </w:r>
          </w:p>
        </w:tc>
        <w:tc>
          <w:tcPr>
            <w:tcW w:w="925" w:type="pct"/>
          </w:tcPr>
          <w:p w14:paraId="07881FFF"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14.83583</w:t>
            </w:r>
          </w:p>
        </w:tc>
        <w:tc>
          <w:tcPr>
            <w:tcW w:w="763" w:type="pct"/>
          </w:tcPr>
          <w:p w14:paraId="0C40362F"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w:t>
            </w:r>
          </w:p>
        </w:tc>
      </w:tr>
      <w:tr w:rsidR="00E12EAA" w:rsidRPr="00077E16" w14:paraId="3B9ED2D8"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2E716E6A"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R-squared</w:t>
            </w:r>
          </w:p>
        </w:tc>
        <w:tc>
          <w:tcPr>
            <w:tcW w:w="844" w:type="pct"/>
          </w:tcPr>
          <w:p w14:paraId="50A5ADB3"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0.597937</w:t>
            </w:r>
          </w:p>
        </w:tc>
        <w:tc>
          <w:tcPr>
            <w:tcW w:w="1849" w:type="pct"/>
            <w:gridSpan w:val="2"/>
          </w:tcPr>
          <w:p w14:paraId="7F059A05" w14:textId="77777777" w:rsidR="00E12EAA" w:rsidRPr="00077E16" w:rsidRDefault="00E12EAA">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Mean dependent var</w:t>
            </w:r>
          </w:p>
        </w:tc>
        <w:tc>
          <w:tcPr>
            <w:tcW w:w="763" w:type="pct"/>
          </w:tcPr>
          <w:p w14:paraId="14F2A489"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3.126667</w:t>
            </w:r>
          </w:p>
        </w:tc>
      </w:tr>
      <w:tr w:rsidR="00E12EAA" w:rsidRPr="00077E16" w14:paraId="1E92A1EA"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570B6F5A"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Adjusted R-squared</w:t>
            </w:r>
          </w:p>
        </w:tc>
        <w:tc>
          <w:tcPr>
            <w:tcW w:w="844" w:type="pct"/>
          </w:tcPr>
          <w:p w14:paraId="6CBBA317"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0.595221</w:t>
            </w:r>
          </w:p>
        </w:tc>
        <w:tc>
          <w:tcPr>
            <w:tcW w:w="1849" w:type="pct"/>
            <w:gridSpan w:val="2"/>
          </w:tcPr>
          <w:p w14:paraId="756C898F" w14:textId="77777777" w:rsidR="00E12EAA" w:rsidRPr="00077E16" w:rsidRDefault="00E12EAA">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S.D. dependent var</w:t>
            </w:r>
          </w:p>
        </w:tc>
        <w:tc>
          <w:tcPr>
            <w:tcW w:w="763" w:type="pct"/>
          </w:tcPr>
          <w:p w14:paraId="5FE63BD7"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1.265424</w:t>
            </w:r>
          </w:p>
        </w:tc>
      </w:tr>
      <w:tr w:rsidR="00E12EAA" w:rsidRPr="00077E16" w14:paraId="363755A4"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A5A5CAE"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S.E. of regression</w:t>
            </w:r>
          </w:p>
        </w:tc>
        <w:tc>
          <w:tcPr>
            <w:tcW w:w="844" w:type="pct"/>
          </w:tcPr>
          <w:p w14:paraId="77A274C5"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0.805091</w:t>
            </w:r>
          </w:p>
        </w:tc>
        <w:tc>
          <w:tcPr>
            <w:tcW w:w="1849" w:type="pct"/>
            <w:gridSpan w:val="2"/>
          </w:tcPr>
          <w:p w14:paraId="2E66A99F" w14:textId="77777777" w:rsidR="00E12EAA" w:rsidRPr="00077E16" w:rsidRDefault="00E12EAA">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Akaike info criterion</w:t>
            </w:r>
          </w:p>
        </w:tc>
        <w:tc>
          <w:tcPr>
            <w:tcW w:w="763" w:type="pct"/>
          </w:tcPr>
          <w:p w14:paraId="3385FC93"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2.417521</w:t>
            </w:r>
          </w:p>
        </w:tc>
      </w:tr>
      <w:tr w:rsidR="00E12EAA" w:rsidRPr="00077E16" w14:paraId="2B354BE0"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03DD3DF0"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Sum squared resid</w:t>
            </w:r>
          </w:p>
        </w:tc>
        <w:tc>
          <w:tcPr>
            <w:tcW w:w="844" w:type="pct"/>
          </w:tcPr>
          <w:p w14:paraId="599DCCFE"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95.92944</w:t>
            </w:r>
          </w:p>
        </w:tc>
        <w:tc>
          <w:tcPr>
            <w:tcW w:w="1849" w:type="pct"/>
            <w:gridSpan w:val="2"/>
          </w:tcPr>
          <w:p w14:paraId="15CE1DF1" w14:textId="77777777" w:rsidR="00E12EAA" w:rsidRPr="00077E16" w:rsidRDefault="00E12EAA">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Schwarz criterion</w:t>
            </w:r>
          </w:p>
        </w:tc>
        <w:tc>
          <w:tcPr>
            <w:tcW w:w="763" w:type="pct"/>
          </w:tcPr>
          <w:p w14:paraId="1F5F6F15"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2.457663</w:t>
            </w:r>
          </w:p>
        </w:tc>
      </w:tr>
      <w:tr w:rsidR="00E12EAA" w:rsidRPr="00077E16" w14:paraId="28B26E55"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36ACA2A6"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Log likelihood</w:t>
            </w:r>
          </w:p>
        </w:tc>
        <w:tc>
          <w:tcPr>
            <w:tcW w:w="844" w:type="pct"/>
          </w:tcPr>
          <w:p w14:paraId="17E87EB8"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-179.3141</w:t>
            </w:r>
          </w:p>
        </w:tc>
        <w:tc>
          <w:tcPr>
            <w:tcW w:w="1849" w:type="pct"/>
            <w:gridSpan w:val="2"/>
          </w:tcPr>
          <w:p w14:paraId="4D52061A" w14:textId="77777777" w:rsidR="00E12EAA" w:rsidRPr="00077E16" w:rsidRDefault="00E12EAA">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w:t>
            </w:r>
            <w:proofErr w:type="spellStart"/>
            <w:r w:rsidRPr="00077E16">
              <w:rPr>
                <w:rFonts w:ascii="Times New Roman" w:hAnsi="Times New Roman" w:cs="Times New Roman"/>
                <w:color w:val="000000"/>
                <w:sz w:val="24"/>
                <w:szCs w:val="24"/>
              </w:rPr>
              <w:t>Hannan</w:t>
            </w:r>
            <w:proofErr w:type="spellEnd"/>
            <w:r w:rsidRPr="00077E16">
              <w:rPr>
                <w:rFonts w:ascii="Times New Roman" w:hAnsi="Times New Roman" w:cs="Times New Roman"/>
                <w:color w:val="000000"/>
                <w:sz w:val="24"/>
                <w:szCs w:val="24"/>
              </w:rPr>
              <w:t xml:space="preserve">-Quinn </w:t>
            </w:r>
            <w:proofErr w:type="spellStart"/>
            <w:r w:rsidRPr="00077E16">
              <w:rPr>
                <w:rFonts w:ascii="Times New Roman" w:hAnsi="Times New Roman" w:cs="Times New Roman"/>
                <w:color w:val="000000"/>
                <w:sz w:val="24"/>
                <w:szCs w:val="24"/>
              </w:rPr>
              <w:t>criter</w:t>
            </w:r>
            <w:proofErr w:type="spellEnd"/>
            <w:r w:rsidRPr="00077E16">
              <w:rPr>
                <w:rFonts w:ascii="Times New Roman" w:hAnsi="Times New Roman" w:cs="Times New Roman"/>
                <w:color w:val="000000"/>
                <w:sz w:val="24"/>
                <w:szCs w:val="24"/>
              </w:rPr>
              <w:t>.</w:t>
            </w:r>
          </w:p>
        </w:tc>
        <w:tc>
          <w:tcPr>
            <w:tcW w:w="763" w:type="pct"/>
          </w:tcPr>
          <w:p w14:paraId="5EC0E232"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2.433830</w:t>
            </w:r>
          </w:p>
        </w:tc>
      </w:tr>
      <w:tr w:rsidR="00E12EAA" w:rsidRPr="00077E16" w14:paraId="78637BE6"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603F885F"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F-statistic</w:t>
            </w:r>
          </w:p>
        </w:tc>
        <w:tc>
          <w:tcPr>
            <w:tcW w:w="844" w:type="pct"/>
          </w:tcPr>
          <w:p w14:paraId="005F8805"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220.1019</w:t>
            </w:r>
          </w:p>
        </w:tc>
        <w:tc>
          <w:tcPr>
            <w:tcW w:w="1849" w:type="pct"/>
            <w:gridSpan w:val="2"/>
          </w:tcPr>
          <w:p w14:paraId="6BF1E3AF" w14:textId="77777777" w:rsidR="00E12EAA" w:rsidRPr="00077E16" w:rsidRDefault="00E12EAA">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Durbin-Watson stat</w:t>
            </w:r>
          </w:p>
        </w:tc>
        <w:tc>
          <w:tcPr>
            <w:tcW w:w="763" w:type="pct"/>
          </w:tcPr>
          <w:p w14:paraId="39B88F70"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1.996169</w:t>
            </w:r>
          </w:p>
        </w:tc>
      </w:tr>
      <w:tr w:rsidR="00E12EAA" w:rsidRPr="00077E16" w14:paraId="2C749D9B"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1B9519F2"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Prob(F-statistic)</w:t>
            </w:r>
          </w:p>
        </w:tc>
        <w:tc>
          <w:tcPr>
            <w:tcW w:w="844" w:type="pct"/>
          </w:tcPr>
          <w:p w14:paraId="42112843"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0.000000</w:t>
            </w:r>
          </w:p>
        </w:tc>
        <w:tc>
          <w:tcPr>
            <w:tcW w:w="924" w:type="pct"/>
          </w:tcPr>
          <w:p w14:paraId="274279E4" w14:textId="77777777" w:rsidR="00E12EAA" w:rsidRPr="00077E16" w:rsidRDefault="00E12EAA">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925" w:type="pct"/>
          </w:tcPr>
          <w:p w14:paraId="3C4AFAB7" w14:textId="77777777" w:rsidR="00E12EAA" w:rsidRPr="00077E16" w:rsidRDefault="00E12EAA">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763" w:type="pct"/>
          </w:tcPr>
          <w:p w14:paraId="238124FC" w14:textId="77777777" w:rsidR="00E12EAA" w:rsidRPr="00077E16" w:rsidRDefault="00E12EAA">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bl>
    <w:p w14:paraId="10CF16C8" w14:textId="77777777" w:rsidR="00E2660A" w:rsidRPr="00077E16" w:rsidRDefault="00E2660A" w:rsidP="00EE2EC9">
      <w:pPr>
        <w:pStyle w:val="NormalWeb"/>
        <w:spacing w:before="0" w:beforeAutospacing="0"/>
      </w:pPr>
      <w:proofErr w:type="spellStart"/>
      <w:r w:rsidRPr="00077E16">
        <w:t>EView</w:t>
      </w:r>
      <w:proofErr w:type="spellEnd"/>
      <w:r w:rsidRPr="00077E16">
        <w:t xml:space="preserve"> 12</w:t>
      </w:r>
    </w:p>
    <w:p w14:paraId="73A9B777" w14:textId="77777777" w:rsidR="004C41A0" w:rsidRPr="00077E16" w:rsidRDefault="004C41A0" w:rsidP="004C41A0">
      <w:pPr>
        <w:pStyle w:val="NormalWeb"/>
        <w:jc w:val="both"/>
      </w:pPr>
      <w:r w:rsidRPr="00077E16">
        <w:t xml:space="preserve">The results of the regression (in Table 4) show that the competitive advantage of manufacturing companies is positively impacted by technology orientation in a meaningful and statistically significant way. The coefficient of 0.803 indicates that, when all other variables are held constant, competitive advantage rises by around 0.80 units for every unit increase in technology orientation. This link is extremely significant at the 1% level, as confirmed by the t-statistic of 14.84 and p-value of 0.0000. The result demonstrates the vital role that technology-driven strategies—like spending on research and development, digital integration, and production system innovation—play in raising a company's level of market competitiveness. </w:t>
      </w:r>
    </w:p>
    <w:p w14:paraId="50F05501" w14:textId="77777777" w:rsidR="004C41A0" w:rsidRPr="00077E16" w:rsidRDefault="004C41A0" w:rsidP="004C41A0">
      <w:pPr>
        <w:pStyle w:val="NormalWeb"/>
        <w:jc w:val="both"/>
      </w:pPr>
      <w:r w:rsidRPr="00077E16">
        <w:t>With an R-squared value of 0.598, the firm's technological orientation is thought to account for roughly 59.8% of the variation in competitive advantage, suggesting a strong model fit. The modified R-squared of 0.595 confirms that the explanatory power is reliable. The model's overall statistical significance is further supported by the F-statistic of 220.10 and the probability value of 0.0000 that goes along with it. While the constant component (C) does not reach the 5% threshold of statistical significance (p = 0.1024), the model as a whole is still strong. Significant autocorrelation problems are not present, as indicated by the Durbin-Watson value of 1.996, which is around 2.0. These results support the notion that companies are more likely to acquire and maintain a competitive edge in the fast-paced industrial environment of today if they make sophisticated technical practices a priority.</w:t>
      </w:r>
    </w:p>
    <w:p w14:paraId="2EF9DC1C" w14:textId="77777777" w:rsidR="00EE2EC9" w:rsidRPr="00077E16" w:rsidRDefault="004C41A0" w:rsidP="004C41A0">
      <w:pPr>
        <w:pStyle w:val="NormalWeb"/>
        <w:jc w:val="both"/>
      </w:pPr>
      <w:r w:rsidRPr="00077E16">
        <w:t xml:space="preserve">Previous studies substantially support the finding that technology orientation enhances the competitive advantage of manufacturing companies. </w:t>
      </w:r>
      <w:proofErr w:type="spellStart"/>
      <w:r w:rsidRPr="00077E16">
        <w:t>Balawi</w:t>
      </w:r>
      <w:proofErr w:type="spellEnd"/>
      <w:r w:rsidRPr="00077E16">
        <w:t xml:space="preserve"> and </w:t>
      </w:r>
      <w:proofErr w:type="spellStart"/>
      <w:r w:rsidRPr="00077E16">
        <w:t>Ayoub</w:t>
      </w:r>
      <w:proofErr w:type="spellEnd"/>
      <w:r w:rsidRPr="00077E16">
        <w:t xml:space="preserve"> (2022) assert that companies that place a high priority on technological innovation are better able to enhance product quality, lower manufacturing costs, and react quickly to market developments, all of which provide them with a competitive advantage. Similar to this, Schulze et al. (2022) found that technology-</w:t>
      </w:r>
      <w:r w:rsidRPr="00077E16">
        <w:lastRenderedPageBreak/>
        <w:t xml:space="preserve">oriented companies routinely beat their competitors by using cutting-edge technologies to distinguish their products and successfully satisfy changing consumer needs. </w:t>
      </w:r>
    </w:p>
    <w:p w14:paraId="427DE25B" w14:textId="77777777" w:rsidR="00F533D4" w:rsidRPr="00077E16" w:rsidRDefault="00F533D4" w:rsidP="00DD02CC">
      <w:pPr>
        <w:jc w:val="both"/>
        <w:rPr>
          <w:rFonts w:ascii="Times New Roman" w:hAnsi="Times New Roman" w:cs="Times New Roman"/>
          <w:b/>
          <w:sz w:val="24"/>
          <w:szCs w:val="24"/>
        </w:rPr>
      </w:pPr>
      <w:r w:rsidRPr="00077E16">
        <w:rPr>
          <w:rFonts w:ascii="Times New Roman" w:hAnsi="Times New Roman" w:cs="Times New Roman"/>
          <w:b/>
          <w:sz w:val="24"/>
          <w:szCs w:val="24"/>
        </w:rPr>
        <w:t>Conclusion</w:t>
      </w:r>
    </w:p>
    <w:p w14:paraId="7261A222" w14:textId="77777777" w:rsidR="00F67E04" w:rsidRPr="00077E16" w:rsidRDefault="00C64367" w:rsidP="00C64367">
      <w:pPr>
        <w:pStyle w:val="NormalWeb"/>
        <w:jc w:val="both"/>
      </w:pPr>
      <w:r w:rsidRPr="00077E16">
        <w:t>Strategic orientation can affect the achievement of corporate goals for manufacturing companies. In particular, technology orientation boosts competitive advantage, entrepreneurial orientation increases profitability, and market orientation has a beneficial effect on market share. The study's conclusions highlight how crucial it is to match organizational goals with strategic orientation elements to promote long-term performance.</w:t>
      </w:r>
    </w:p>
    <w:p w14:paraId="2695F3D4" w14:textId="77777777" w:rsidR="0044118C" w:rsidRPr="00077E16" w:rsidRDefault="0044118C" w:rsidP="00DD02CC">
      <w:pPr>
        <w:jc w:val="both"/>
        <w:rPr>
          <w:rFonts w:ascii="Times New Roman" w:hAnsi="Times New Roman" w:cs="Times New Roman"/>
          <w:b/>
          <w:sz w:val="24"/>
          <w:szCs w:val="24"/>
        </w:rPr>
      </w:pPr>
      <w:r w:rsidRPr="00077E16">
        <w:rPr>
          <w:rFonts w:ascii="Times New Roman" w:hAnsi="Times New Roman" w:cs="Times New Roman"/>
          <w:b/>
          <w:sz w:val="24"/>
          <w:szCs w:val="24"/>
        </w:rPr>
        <w:t>Recommendations</w:t>
      </w:r>
    </w:p>
    <w:p w14:paraId="61B7E10F" w14:textId="77777777" w:rsidR="0044118C" w:rsidRPr="00077E16" w:rsidRDefault="0044118C" w:rsidP="00DD02CC">
      <w:pPr>
        <w:jc w:val="both"/>
        <w:rPr>
          <w:rFonts w:ascii="Times New Roman" w:hAnsi="Times New Roman" w:cs="Times New Roman"/>
          <w:sz w:val="24"/>
          <w:szCs w:val="24"/>
        </w:rPr>
      </w:pPr>
      <w:r w:rsidRPr="00077E16">
        <w:rPr>
          <w:rFonts w:ascii="Times New Roman" w:hAnsi="Times New Roman" w:cs="Times New Roman"/>
          <w:sz w:val="24"/>
          <w:szCs w:val="24"/>
        </w:rPr>
        <w:t>The study recommends that:</w:t>
      </w:r>
    </w:p>
    <w:p w14:paraId="6641DC81" w14:textId="77777777" w:rsidR="00077E16" w:rsidRPr="00077E16" w:rsidRDefault="00077E16" w:rsidP="00077E16">
      <w:pPr>
        <w:pStyle w:val="NormalWeb"/>
        <w:numPr>
          <w:ilvl w:val="0"/>
          <w:numId w:val="4"/>
        </w:numPr>
        <w:jc w:val="both"/>
      </w:pPr>
      <w:r w:rsidRPr="00077E16">
        <w:t xml:space="preserve">To improve their market orientation and increase their market share, manufacturing companies should give top priority to competitive intelligence, market trends, and consumer wants. Product development and strategic choices should be guided by regular market research and consumer feedback systems. </w:t>
      </w:r>
    </w:p>
    <w:p w14:paraId="07B53BD3" w14:textId="77777777" w:rsidR="00077E16" w:rsidRPr="00077E16" w:rsidRDefault="00077E16" w:rsidP="00077E16">
      <w:pPr>
        <w:pStyle w:val="NormalWeb"/>
        <w:numPr>
          <w:ilvl w:val="0"/>
          <w:numId w:val="4"/>
        </w:numPr>
        <w:jc w:val="both"/>
      </w:pPr>
      <w:r w:rsidRPr="00077E16">
        <w:t xml:space="preserve">To increase profitability, manufacturing companies should promote an entrepreneurial culture that rewards creativity, risk-taking, and initiative. Management should spend money on rewards programs and leadership development to encourage entrepreneurial </w:t>
      </w:r>
      <w:proofErr w:type="spellStart"/>
      <w:r w:rsidRPr="00077E16">
        <w:t>endeavours</w:t>
      </w:r>
      <w:proofErr w:type="spellEnd"/>
      <w:r w:rsidRPr="00077E16">
        <w:t xml:space="preserve"> at all organizational levels.</w:t>
      </w:r>
    </w:p>
    <w:p w14:paraId="4EC4C3E6" w14:textId="457FCF06" w:rsidR="00F67E04" w:rsidRDefault="00077E16" w:rsidP="00DD02CC">
      <w:pPr>
        <w:pStyle w:val="NormalWeb"/>
        <w:numPr>
          <w:ilvl w:val="0"/>
          <w:numId w:val="4"/>
        </w:numPr>
        <w:jc w:val="both"/>
      </w:pPr>
      <w:r w:rsidRPr="00077E16">
        <w:t>To be competitive in the market, manufacturing companies need to make investments in cutting-edge technologies and ongoing innovation. Efficiency, product quality, and responsiveness to market fluctuations will all be improved by embracing digital transformation and modernizing production procedures.</w:t>
      </w:r>
    </w:p>
    <w:p w14:paraId="5335E887" w14:textId="56266A98" w:rsidR="000F6445" w:rsidRDefault="000F6445" w:rsidP="000F6445">
      <w:pPr>
        <w:pStyle w:val="NormalWeb"/>
        <w:jc w:val="both"/>
      </w:pPr>
      <w:bookmarkStart w:id="0" w:name="_GoBack"/>
      <w:bookmarkEnd w:id="0"/>
    </w:p>
    <w:p w14:paraId="7F50F11E" w14:textId="344F9943" w:rsidR="000F6445" w:rsidRPr="009A6C53" w:rsidRDefault="000F6445" w:rsidP="000F6445">
      <w:pPr>
        <w:rPr>
          <w:b/>
          <w:highlight w:val="yellow"/>
        </w:rPr>
      </w:pPr>
      <w:r w:rsidRPr="009A6C53">
        <w:rPr>
          <w:b/>
          <w:highlight w:val="yellow"/>
        </w:rPr>
        <w:t>Disc</w:t>
      </w:r>
      <w:r w:rsidR="009A6C53" w:rsidRPr="009A6C53">
        <w:rPr>
          <w:b/>
          <w:highlight w:val="yellow"/>
        </w:rPr>
        <w:t>laimer</w:t>
      </w:r>
    </w:p>
    <w:p w14:paraId="658113AB" w14:textId="77777777" w:rsidR="009A6C53" w:rsidRDefault="009A6C53" w:rsidP="000F6445">
      <w:pPr>
        <w:rPr>
          <w:highlight w:val="yellow"/>
        </w:rPr>
      </w:pPr>
      <w:r>
        <w:rPr>
          <w:highlight w:val="yellow"/>
        </w:rPr>
        <w:t>Authors</w:t>
      </w:r>
      <w:r w:rsidR="000F6445" w:rsidRPr="00394842">
        <w:rPr>
          <w:highlight w:val="yellow"/>
        </w:rPr>
        <w:t xml:space="preserve"> hereby declare that NO generative AI technologies such as Large Language Models (</w:t>
      </w:r>
      <w:proofErr w:type="spellStart"/>
      <w:r w:rsidR="000F6445" w:rsidRPr="00394842">
        <w:rPr>
          <w:highlight w:val="yellow"/>
        </w:rPr>
        <w:t>ChatGPT</w:t>
      </w:r>
      <w:proofErr w:type="spellEnd"/>
      <w:r w:rsidR="000F6445" w:rsidRPr="00394842">
        <w:rPr>
          <w:highlight w:val="yellow"/>
        </w:rPr>
        <w:t>, COPILOT, etc.) and text-to-image generators have been used during the writing or editing of this manuscript.</w:t>
      </w:r>
    </w:p>
    <w:p w14:paraId="22653C31" w14:textId="77777777" w:rsidR="009A6C53" w:rsidRPr="009A6C53" w:rsidRDefault="009A6C53" w:rsidP="000F6445">
      <w:pPr>
        <w:rPr>
          <w:b/>
          <w:highlight w:val="yellow"/>
        </w:rPr>
      </w:pPr>
      <w:r w:rsidRPr="009A6C53">
        <w:rPr>
          <w:b/>
          <w:highlight w:val="yellow"/>
        </w:rPr>
        <w:t>Conflict of Interest</w:t>
      </w:r>
    </w:p>
    <w:p w14:paraId="164ED653" w14:textId="4349D925" w:rsidR="000F6445" w:rsidRPr="00394842" w:rsidRDefault="000F6445" w:rsidP="000F6445">
      <w:pPr>
        <w:rPr>
          <w:highlight w:val="yellow"/>
        </w:rPr>
      </w:pPr>
      <w:r w:rsidRPr="00394842">
        <w:rPr>
          <w:highlight w:val="yellow"/>
        </w:rPr>
        <w:t xml:space="preserve"> </w:t>
      </w:r>
      <w:r w:rsidR="009A6C53">
        <w:rPr>
          <w:highlight w:val="yellow"/>
        </w:rPr>
        <w:t>The authors declare that there is no conflict of interest.</w:t>
      </w:r>
    </w:p>
    <w:p w14:paraId="1AD4241C" w14:textId="77777777" w:rsidR="000F6445" w:rsidRDefault="000F6445" w:rsidP="000F6445">
      <w:pPr>
        <w:pStyle w:val="NormalWeb"/>
        <w:jc w:val="both"/>
      </w:pPr>
    </w:p>
    <w:p w14:paraId="5C0849D9" w14:textId="77777777" w:rsidR="000E39A8" w:rsidRPr="00077E16" w:rsidRDefault="000E39A8" w:rsidP="000E39A8">
      <w:pPr>
        <w:pStyle w:val="NormalWeb"/>
        <w:jc w:val="both"/>
      </w:pPr>
    </w:p>
    <w:p w14:paraId="6D9C3BDF" w14:textId="77777777" w:rsidR="0044118C" w:rsidRPr="00077E16" w:rsidRDefault="0044118C" w:rsidP="0044118C">
      <w:pPr>
        <w:jc w:val="center"/>
        <w:rPr>
          <w:rFonts w:ascii="Times New Roman" w:hAnsi="Times New Roman" w:cs="Times New Roman"/>
          <w:b/>
          <w:sz w:val="24"/>
          <w:szCs w:val="24"/>
        </w:rPr>
      </w:pPr>
      <w:r w:rsidRPr="00077E16">
        <w:rPr>
          <w:rFonts w:ascii="Times New Roman" w:hAnsi="Times New Roman" w:cs="Times New Roman"/>
          <w:b/>
          <w:sz w:val="24"/>
          <w:szCs w:val="24"/>
        </w:rPr>
        <w:t>References</w:t>
      </w:r>
    </w:p>
    <w:p w14:paraId="1DB1DABE"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lastRenderedPageBreak/>
        <w:t>Abbu</w:t>
      </w:r>
      <w:proofErr w:type="spellEnd"/>
      <w:r w:rsidRPr="00077E16">
        <w:rPr>
          <w:rFonts w:ascii="Times New Roman" w:hAnsi="Times New Roman" w:cs="Times New Roman"/>
          <w:color w:val="222222"/>
          <w:sz w:val="24"/>
          <w:szCs w:val="24"/>
          <w:shd w:val="clear" w:color="auto" w:fill="FFFFFF"/>
        </w:rPr>
        <w:t>, H. R., &amp; Gopalakrishna, P. (2021). Synergistic effects of market orientation implementation and internalization on firm performance: Direct marketing service provider industry. </w:t>
      </w:r>
      <w:r w:rsidRPr="00077E16">
        <w:rPr>
          <w:rFonts w:ascii="Times New Roman" w:hAnsi="Times New Roman" w:cs="Times New Roman"/>
          <w:i/>
          <w:iCs/>
          <w:color w:val="222222"/>
          <w:sz w:val="24"/>
          <w:szCs w:val="24"/>
          <w:shd w:val="clear" w:color="auto" w:fill="FFFFFF"/>
        </w:rPr>
        <w:t>Journal of Business Research</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125</w:t>
      </w:r>
      <w:r w:rsidRPr="00077E16">
        <w:rPr>
          <w:rFonts w:ascii="Times New Roman" w:hAnsi="Times New Roman" w:cs="Times New Roman"/>
          <w:color w:val="222222"/>
          <w:sz w:val="24"/>
          <w:szCs w:val="24"/>
          <w:shd w:val="clear" w:color="auto" w:fill="FFFFFF"/>
        </w:rPr>
        <w:t xml:space="preserve">, 851-863. </w:t>
      </w:r>
      <w:hyperlink r:id="rId9" w:history="1">
        <w:r w:rsidRPr="00077E16">
          <w:rPr>
            <w:rStyle w:val="Hyperlink"/>
            <w:rFonts w:ascii="Times New Roman" w:hAnsi="Times New Roman" w:cs="Times New Roman"/>
            <w:sz w:val="24"/>
            <w:szCs w:val="24"/>
            <w:shd w:val="clear" w:color="auto" w:fill="FFFFFF"/>
          </w:rPr>
          <w:t>https://doi.org/10.1016/j.jbusres.2019.06.004</w:t>
        </w:r>
      </w:hyperlink>
    </w:p>
    <w:p w14:paraId="4B2160E6"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sz w:val="24"/>
          <w:szCs w:val="24"/>
        </w:rPr>
        <w:t>Alogwuja</w:t>
      </w:r>
      <w:proofErr w:type="spellEnd"/>
      <w:r w:rsidRPr="00077E16">
        <w:rPr>
          <w:rFonts w:ascii="Times New Roman" w:hAnsi="Times New Roman" w:cs="Times New Roman"/>
          <w:sz w:val="24"/>
          <w:szCs w:val="24"/>
        </w:rPr>
        <w:t xml:space="preserve">, C.U., </w:t>
      </w:r>
      <w:proofErr w:type="spellStart"/>
      <w:r w:rsidRPr="00077E16">
        <w:rPr>
          <w:rFonts w:ascii="Times New Roman" w:hAnsi="Times New Roman" w:cs="Times New Roman"/>
          <w:sz w:val="24"/>
          <w:szCs w:val="24"/>
        </w:rPr>
        <w:t>Uloko</w:t>
      </w:r>
      <w:proofErr w:type="spellEnd"/>
      <w:r w:rsidRPr="00077E16">
        <w:rPr>
          <w:rFonts w:ascii="Times New Roman" w:hAnsi="Times New Roman" w:cs="Times New Roman"/>
          <w:sz w:val="24"/>
          <w:szCs w:val="24"/>
        </w:rPr>
        <w:t xml:space="preserve">, A., Nafiu, I.O. &amp; </w:t>
      </w:r>
      <w:proofErr w:type="spellStart"/>
      <w:r w:rsidRPr="00077E16">
        <w:rPr>
          <w:rFonts w:ascii="Times New Roman" w:hAnsi="Times New Roman" w:cs="Times New Roman"/>
          <w:sz w:val="24"/>
          <w:szCs w:val="24"/>
        </w:rPr>
        <w:t>Okpebenyo</w:t>
      </w:r>
      <w:proofErr w:type="spellEnd"/>
      <w:r w:rsidRPr="00077E16">
        <w:rPr>
          <w:rFonts w:ascii="Times New Roman" w:hAnsi="Times New Roman" w:cs="Times New Roman"/>
          <w:sz w:val="24"/>
          <w:szCs w:val="24"/>
        </w:rPr>
        <w:t xml:space="preserve">, B.M. (2025). Entrepreneurial marketing and customer satisfaction of small and medium scale enterprises in Kogi State, Nigeria. 03(3), 171-178. </w:t>
      </w:r>
      <w:hyperlink r:id="rId10" w:history="1">
        <w:r w:rsidRPr="00077E16">
          <w:rPr>
            <w:rStyle w:val="Hyperlink"/>
            <w:rFonts w:ascii="Times New Roman" w:hAnsi="Times New Roman" w:cs="Times New Roman"/>
            <w:sz w:val="24"/>
            <w:szCs w:val="24"/>
          </w:rPr>
          <w:t>https://doi.org/10.61552/JEMIT.2025.03.004</w:t>
        </w:r>
      </w:hyperlink>
    </w:p>
    <w:p w14:paraId="5A8F2208"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AlQershi</w:t>
      </w:r>
      <w:proofErr w:type="spellEnd"/>
      <w:r w:rsidRPr="00077E16">
        <w:rPr>
          <w:rFonts w:ascii="Times New Roman" w:hAnsi="Times New Roman" w:cs="Times New Roman"/>
          <w:color w:val="222222"/>
          <w:sz w:val="24"/>
          <w:szCs w:val="24"/>
          <w:shd w:val="clear" w:color="auto" w:fill="FFFFFF"/>
        </w:rPr>
        <w:t xml:space="preserve">, N. A., </w:t>
      </w:r>
      <w:proofErr w:type="spellStart"/>
      <w:r w:rsidRPr="00077E16">
        <w:rPr>
          <w:rFonts w:ascii="Times New Roman" w:hAnsi="Times New Roman" w:cs="Times New Roman"/>
          <w:color w:val="222222"/>
          <w:sz w:val="24"/>
          <w:szCs w:val="24"/>
          <w:shd w:val="clear" w:color="auto" w:fill="FFFFFF"/>
        </w:rPr>
        <w:t>Saufi</w:t>
      </w:r>
      <w:proofErr w:type="spellEnd"/>
      <w:r w:rsidRPr="00077E16">
        <w:rPr>
          <w:rFonts w:ascii="Times New Roman" w:hAnsi="Times New Roman" w:cs="Times New Roman"/>
          <w:color w:val="222222"/>
          <w:sz w:val="24"/>
          <w:szCs w:val="24"/>
          <w:shd w:val="clear" w:color="auto" w:fill="FFFFFF"/>
        </w:rPr>
        <w:t>, R. B. A., Mokhtar, S. S. M., Muhammad, N. M. N., &amp; Yusoff, M. N. H. B. (2022). Is strategic orientation always beneficial? A meta-analysis of the relationship between innovation and business sustainability: A dynamic capabilities perspective from Malaysian insurance companies. </w:t>
      </w:r>
      <w:r w:rsidRPr="00077E16">
        <w:rPr>
          <w:rFonts w:ascii="Times New Roman" w:hAnsi="Times New Roman" w:cs="Times New Roman"/>
          <w:i/>
          <w:iCs/>
          <w:color w:val="222222"/>
          <w:sz w:val="24"/>
          <w:szCs w:val="24"/>
          <w:shd w:val="clear" w:color="auto" w:fill="FFFFFF"/>
        </w:rPr>
        <w:t>Sustainable Futures</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4</w:t>
      </w:r>
      <w:r w:rsidRPr="00077E16">
        <w:rPr>
          <w:rFonts w:ascii="Times New Roman" w:hAnsi="Times New Roman" w:cs="Times New Roman"/>
          <w:color w:val="222222"/>
          <w:sz w:val="24"/>
          <w:szCs w:val="24"/>
          <w:shd w:val="clear" w:color="auto" w:fill="FFFFFF"/>
        </w:rPr>
        <w:t xml:space="preserve">, 100075. </w:t>
      </w:r>
      <w:hyperlink r:id="rId11" w:history="1">
        <w:r w:rsidRPr="00077E16">
          <w:rPr>
            <w:rStyle w:val="Hyperlink"/>
            <w:rFonts w:ascii="Times New Roman" w:hAnsi="Times New Roman" w:cs="Times New Roman"/>
            <w:sz w:val="24"/>
            <w:szCs w:val="24"/>
            <w:shd w:val="clear" w:color="auto" w:fill="FFFFFF"/>
          </w:rPr>
          <w:t>https://doi.org/10.1016/j.sftr.2022.100075</w:t>
        </w:r>
      </w:hyperlink>
    </w:p>
    <w:p w14:paraId="40197BE0"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Anamanjia</w:t>
      </w:r>
      <w:proofErr w:type="spellEnd"/>
      <w:r w:rsidRPr="00077E16">
        <w:rPr>
          <w:rFonts w:ascii="Times New Roman" w:hAnsi="Times New Roman" w:cs="Times New Roman"/>
          <w:color w:val="222222"/>
          <w:sz w:val="24"/>
          <w:szCs w:val="24"/>
          <w:shd w:val="clear" w:color="auto" w:fill="FFFFFF"/>
        </w:rPr>
        <w:t>, S., &amp; Maina, R. (2022). Strategic alignment and performance of Kenya Revenue Authority. </w:t>
      </w:r>
      <w:r w:rsidRPr="00077E16">
        <w:rPr>
          <w:rFonts w:ascii="Times New Roman" w:hAnsi="Times New Roman" w:cs="Times New Roman"/>
          <w:i/>
          <w:iCs/>
          <w:color w:val="222222"/>
          <w:sz w:val="24"/>
          <w:szCs w:val="24"/>
          <w:shd w:val="clear" w:color="auto" w:fill="FFFFFF"/>
        </w:rPr>
        <w:t>International Academic Journal of Innovation, Leadership and Entrepreneurship</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w:t>
      </w:r>
      <w:r w:rsidRPr="00077E16">
        <w:rPr>
          <w:rFonts w:ascii="Times New Roman" w:hAnsi="Times New Roman" w:cs="Times New Roman"/>
          <w:color w:val="222222"/>
          <w:sz w:val="24"/>
          <w:szCs w:val="24"/>
          <w:shd w:val="clear" w:color="auto" w:fill="FFFFFF"/>
        </w:rPr>
        <w:t>(2), 297-338.</w:t>
      </w:r>
    </w:p>
    <w:p w14:paraId="2CB21A97"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Arunachalam, S., Ramaswami, S. N., Herrmann, P., &amp; Walker, D. (2018). Innovation pathway to profitability: the role of entrepreneurial orientation and marketing capabilities. </w:t>
      </w:r>
      <w:r w:rsidRPr="00077E16">
        <w:rPr>
          <w:rFonts w:ascii="Times New Roman" w:hAnsi="Times New Roman" w:cs="Times New Roman"/>
          <w:i/>
          <w:iCs/>
          <w:color w:val="222222"/>
          <w:sz w:val="24"/>
          <w:szCs w:val="24"/>
          <w:shd w:val="clear" w:color="auto" w:fill="FFFFFF"/>
        </w:rPr>
        <w:t>Journal of the Academy of Marketing Science</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46</w:t>
      </w:r>
      <w:r w:rsidRPr="00077E16">
        <w:rPr>
          <w:rFonts w:ascii="Times New Roman" w:hAnsi="Times New Roman" w:cs="Times New Roman"/>
          <w:color w:val="222222"/>
          <w:sz w:val="24"/>
          <w:szCs w:val="24"/>
          <w:shd w:val="clear" w:color="auto" w:fill="FFFFFF"/>
        </w:rPr>
        <w:t xml:space="preserve">, 744-766. </w:t>
      </w:r>
      <w:hyperlink r:id="rId12" w:history="1">
        <w:r w:rsidRPr="00077E16">
          <w:rPr>
            <w:rStyle w:val="Hyperlink"/>
            <w:rFonts w:ascii="Times New Roman" w:hAnsi="Times New Roman" w:cs="Times New Roman"/>
            <w:sz w:val="24"/>
            <w:szCs w:val="24"/>
            <w:shd w:val="clear" w:color="auto" w:fill="FFFFFF"/>
          </w:rPr>
          <w:t>https://doi.org/10.1007/s11747-017-0574-1</w:t>
        </w:r>
      </w:hyperlink>
    </w:p>
    <w:p w14:paraId="47B2E101"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 xml:space="preserve">Ashal, N., </w:t>
      </w:r>
      <w:proofErr w:type="spellStart"/>
      <w:r w:rsidRPr="00077E16">
        <w:rPr>
          <w:rFonts w:ascii="Times New Roman" w:hAnsi="Times New Roman" w:cs="Times New Roman"/>
          <w:color w:val="222222"/>
          <w:sz w:val="24"/>
          <w:szCs w:val="24"/>
          <w:shd w:val="clear" w:color="auto" w:fill="FFFFFF"/>
        </w:rPr>
        <w:t>Alshurideh</w:t>
      </w:r>
      <w:proofErr w:type="spellEnd"/>
      <w:r w:rsidRPr="00077E16">
        <w:rPr>
          <w:rFonts w:ascii="Times New Roman" w:hAnsi="Times New Roman" w:cs="Times New Roman"/>
          <w:color w:val="222222"/>
          <w:sz w:val="24"/>
          <w:szCs w:val="24"/>
          <w:shd w:val="clear" w:color="auto" w:fill="FFFFFF"/>
        </w:rPr>
        <w:t xml:space="preserve">, M., Obeidat, B., &amp; </w:t>
      </w:r>
      <w:proofErr w:type="spellStart"/>
      <w:r w:rsidRPr="00077E16">
        <w:rPr>
          <w:rFonts w:ascii="Times New Roman" w:hAnsi="Times New Roman" w:cs="Times New Roman"/>
          <w:color w:val="222222"/>
          <w:sz w:val="24"/>
          <w:szCs w:val="24"/>
          <w:shd w:val="clear" w:color="auto" w:fill="FFFFFF"/>
        </w:rPr>
        <w:t>Masa’deh</w:t>
      </w:r>
      <w:proofErr w:type="spellEnd"/>
      <w:r w:rsidRPr="00077E16">
        <w:rPr>
          <w:rFonts w:ascii="Times New Roman" w:hAnsi="Times New Roman" w:cs="Times New Roman"/>
          <w:color w:val="222222"/>
          <w:sz w:val="24"/>
          <w:szCs w:val="24"/>
          <w:shd w:val="clear" w:color="auto" w:fill="FFFFFF"/>
        </w:rPr>
        <w:t>, R. (2021). The impact of strategic orientation on organizational performance: Examining the mediating role of learning culture in Jordanian telecommunication companies. </w:t>
      </w:r>
      <w:r w:rsidRPr="00077E16">
        <w:rPr>
          <w:rFonts w:ascii="Times New Roman" w:hAnsi="Times New Roman" w:cs="Times New Roman"/>
          <w:i/>
          <w:iCs/>
          <w:color w:val="222222"/>
          <w:sz w:val="24"/>
          <w:szCs w:val="24"/>
          <w:shd w:val="clear" w:color="auto" w:fill="FFFFFF"/>
        </w:rPr>
        <w:t>Academy of Strategic Management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21</w:t>
      </w:r>
      <w:r w:rsidRPr="00077E16">
        <w:rPr>
          <w:rFonts w:ascii="Times New Roman" w:hAnsi="Times New Roman" w:cs="Times New Roman"/>
          <w:color w:val="222222"/>
          <w:sz w:val="24"/>
          <w:szCs w:val="24"/>
          <w:shd w:val="clear" w:color="auto" w:fill="FFFFFF"/>
        </w:rPr>
        <w:t>(6), 1-29.</w:t>
      </w:r>
    </w:p>
    <w:p w14:paraId="346ECE83"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Balawi</w:t>
      </w:r>
      <w:proofErr w:type="spellEnd"/>
      <w:r w:rsidRPr="00077E16">
        <w:rPr>
          <w:rFonts w:ascii="Times New Roman" w:hAnsi="Times New Roman" w:cs="Times New Roman"/>
          <w:color w:val="222222"/>
          <w:sz w:val="24"/>
          <w:szCs w:val="24"/>
          <w:shd w:val="clear" w:color="auto" w:fill="FFFFFF"/>
        </w:rPr>
        <w:t>, A., &amp; Ayoub, A. (2022). How can companies pursue better strategies through innovation? A review of various perspectives on innovation, competitiveness, and technology. </w:t>
      </w:r>
      <w:r w:rsidRPr="00077E16">
        <w:rPr>
          <w:rFonts w:ascii="Times New Roman" w:hAnsi="Times New Roman" w:cs="Times New Roman"/>
          <w:i/>
          <w:iCs/>
          <w:color w:val="222222"/>
          <w:sz w:val="24"/>
          <w:szCs w:val="24"/>
          <w:shd w:val="clear" w:color="auto" w:fill="FFFFFF"/>
        </w:rPr>
        <w:t>International Journal of Operations and Quantitative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28</w:t>
      </w:r>
      <w:r w:rsidRPr="00077E16">
        <w:rPr>
          <w:rFonts w:ascii="Times New Roman" w:hAnsi="Times New Roman" w:cs="Times New Roman"/>
          <w:color w:val="222222"/>
          <w:sz w:val="24"/>
          <w:szCs w:val="24"/>
          <w:shd w:val="clear" w:color="auto" w:fill="FFFFFF"/>
        </w:rPr>
        <w:t xml:space="preserve">(1), 280-294. </w:t>
      </w:r>
      <w:hyperlink r:id="rId13" w:history="1">
        <w:r w:rsidRPr="00077E16">
          <w:rPr>
            <w:rStyle w:val="Hyperlink"/>
            <w:rFonts w:ascii="Times New Roman" w:hAnsi="Times New Roman" w:cs="Times New Roman"/>
            <w:sz w:val="24"/>
            <w:szCs w:val="24"/>
            <w:shd w:val="clear" w:color="auto" w:fill="FFFFFF"/>
          </w:rPr>
          <w:t>https://doi.org/10.46970/2022.28.1.16</w:t>
        </w:r>
      </w:hyperlink>
    </w:p>
    <w:p w14:paraId="19F547B1"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Buli, B. M. (2017). Entrepreneurial orientation, market orientation and performance of SMEs in the manufacturing industry: Evidence from Ethiopian enterprises. </w:t>
      </w:r>
      <w:r w:rsidRPr="00077E16">
        <w:rPr>
          <w:rFonts w:ascii="Times New Roman" w:hAnsi="Times New Roman" w:cs="Times New Roman"/>
          <w:i/>
          <w:iCs/>
          <w:color w:val="222222"/>
          <w:sz w:val="24"/>
          <w:szCs w:val="24"/>
          <w:shd w:val="clear" w:color="auto" w:fill="FFFFFF"/>
        </w:rPr>
        <w:t>Management Research Review</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40</w:t>
      </w:r>
      <w:r w:rsidRPr="00077E16">
        <w:rPr>
          <w:rFonts w:ascii="Times New Roman" w:hAnsi="Times New Roman" w:cs="Times New Roman"/>
          <w:color w:val="222222"/>
          <w:sz w:val="24"/>
          <w:szCs w:val="24"/>
          <w:shd w:val="clear" w:color="auto" w:fill="FFFFFF"/>
        </w:rPr>
        <w:t xml:space="preserve">(3), 292-309. </w:t>
      </w:r>
      <w:hyperlink r:id="rId14" w:history="1">
        <w:r w:rsidRPr="00077E16">
          <w:rPr>
            <w:rStyle w:val="Hyperlink"/>
            <w:rFonts w:ascii="Times New Roman" w:hAnsi="Times New Roman" w:cs="Times New Roman"/>
            <w:sz w:val="24"/>
            <w:szCs w:val="24"/>
            <w:shd w:val="clear" w:color="auto" w:fill="FFFFFF"/>
          </w:rPr>
          <w:t>https://doi.org/10.1108/MRR-07-2016-0173</w:t>
        </w:r>
      </w:hyperlink>
    </w:p>
    <w:p w14:paraId="71CC0B71"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Corrêa, V. S., Queiroz, M. M., Cruz, M. A., &amp; Shigaki, H. B. (2022). Entrepreneurial orientation far beyond opportunity: the influence of the necessity for innovativeness, proactiveness and risk-taking. </w:t>
      </w:r>
      <w:r w:rsidRPr="00077E16">
        <w:rPr>
          <w:rFonts w:ascii="Times New Roman" w:hAnsi="Times New Roman" w:cs="Times New Roman"/>
          <w:i/>
          <w:iCs/>
          <w:color w:val="222222"/>
          <w:sz w:val="24"/>
          <w:szCs w:val="24"/>
          <w:shd w:val="clear" w:color="auto" w:fill="FFFFFF"/>
        </w:rPr>
        <w:t>International journal of entrepreneurial behavior &amp; research</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28</w:t>
      </w:r>
      <w:r w:rsidRPr="00077E16">
        <w:rPr>
          <w:rFonts w:ascii="Times New Roman" w:hAnsi="Times New Roman" w:cs="Times New Roman"/>
          <w:color w:val="222222"/>
          <w:sz w:val="24"/>
          <w:szCs w:val="24"/>
          <w:shd w:val="clear" w:color="auto" w:fill="FFFFFF"/>
        </w:rPr>
        <w:t xml:space="preserve">(4), 952-979. </w:t>
      </w:r>
      <w:hyperlink r:id="rId15" w:history="1">
        <w:r w:rsidRPr="00077E16">
          <w:rPr>
            <w:rStyle w:val="Hyperlink"/>
            <w:rFonts w:ascii="Times New Roman" w:hAnsi="Times New Roman" w:cs="Times New Roman"/>
            <w:sz w:val="24"/>
            <w:szCs w:val="24"/>
            <w:shd w:val="clear" w:color="auto" w:fill="FFFFFF"/>
          </w:rPr>
          <w:t>https://doi.org/10.1108/IJEBR-06-2021-0518</w:t>
        </w:r>
      </w:hyperlink>
    </w:p>
    <w:p w14:paraId="3BDFEC75"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Correia, R. J., Dias, J. G., &amp; Teixeira, M. S. (2021). Dynamic capabilities and competitive advantages as mediator variables between market orientation and business performance. </w:t>
      </w:r>
      <w:r w:rsidRPr="00077E16">
        <w:rPr>
          <w:rFonts w:ascii="Times New Roman" w:hAnsi="Times New Roman" w:cs="Times New Roman"/>
          <w:i/>
          <w:iCs/>
          <w:color w:val="222222"/>
          <w:sz w:val="24"/>
          <w:szCs w:val="24"/>
          <w:shd w:val="clear" w:color="auto" w:fill="FFFFFF"/>
        </w:rPr>
        <w:t>Journal of Strategy and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14</w:t>
      </w:r>
      <w:r w:rsidRPr="00077E16">
        <w:rPr>
          <w:rFonts w:ascii="Times New Roman" w:hAnsi="Times New Roman" w:cs="Times New Roman"/>
          <w:color w:val="222222"/>
          <w:sz w:val="24"/>
          <w:szCs w:val="24"/>
          <w:shd w:val="clear" w:color="auto" w:fill="FFFFFF"/>
        </w:rPr>
        <w:t xml:space="preserve">(2), 187-206. </w:t>
      </w:r>
      <w:hyperlink r:id="rId16" w:history="1">
        <w:r w:rsidRPr="00077E16">
          <w:rPr>
            <w:rStyle w:val="Hyperlink"/>
            <w:rFonts w:ascii="Times New Roman" w:hAnsi="Times New Roman" w:cs="Times New Roman"/>
            <w:sz w:val="24"/>
            <w:szCs w:val="24"/>
            <w:shd w:val="clear" w:color="auto" w:fill="FFFFFF"/>
          </w:rPr>
          <w:t>https://doi.org/10.1108/JSMA-12-2019-0223</w:t>
        </w:r>
      </w:hyperlink>
    </w:p>
    <w:p w14:paraId="187F0877"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sz w:val="24"/>
          <w:szCs w:val="24"/>
        </w:rPr>
        <w:t>Gatignon</w:t>
      </w:r>
      <w:proofErr w:type="spellEnd"/>
      <w:r w:rsidRPr="00077E16">
        <w:rPr>
          <w:rFonts w:ascii="Times New Roman" w:hAnsi="Times New Roman" w:cs="Times New Roman"/>
          <w:sz w:val="24"/>
          <w:szCs w:val="24"/>
        </w:rPr>
        <w:t xml:space="preserve">, H., &amp; Xuereb, J. M. (1997). Strategic orientation of the firm and new product performance. </w:t>
      </w:r>
      <w:r w:rsidRPr="00077E16">
        <w:rPr>
          <w:rFonts w:ascii="Times New Roman" w:hAnsi="Times New Roman" w:cs="Times New Roman"/>
          <w:i/>
          <w:sz w:val="24"/>
          <w:szCs w:val="24"/>
        </w:rPr>
        <w:t>Journal of marketing research,</w:t>
      </w:r>
      <w:r w:rsidRPr="00077E16">
        <w:rPr>
          <w:rFonts w:ascii="Times New Roman" w:hAnsi="Times New Roman" w:cs="Times New Roman"/>
          <w:sz w:val="24"/>
          <w:szCs w:val="24"/>
        </w:rPr>
        <w:t xml:space="preserve"> 77-90.</w:t>
      </w:r>
    </w:p>
    <w:p w14:paraId="5C748D67"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Glaveli</w:t>
      </w:r>
      <w:proofErr w:type="spellEnd"/>
      <w:r w:rsidRPr="00077E16">
        <w:rPr>
          <w:rFonts w:ascii="Times New Roman" w:hAnsi="Times New Roman" w:cs="Times New Roman"/>
          <w:color w:val="222222"/>
          <w:sz w:val="24"/>
          <w:szCs w:val="24"/>
          <w:shd w:val="clear" w:color="auto" w:fill="FFFFFF"/>
        </w:rPr>
        <w:t xml:space="preserve">, N., &amp; </w:t>
      </w:r>
      <w:proofErr w:type="spellStart"/>
      <w:r w:rsidRPr="00077E16">
        <w:rPr>
          <w:rFonts w:ascii="Times New Roman" w:hAnsi="Times New Roman" w:cs="Times New Roman"/>
          <w:color w:val="222222"/>
          <w:sz w:val="24"/>
          <w:szCs w:val="24"/>
          <w:shd w:val="clear" w:color="auto" w:fill="FFFFFF"/>
        </w:rPr>
        <w:t>Geormas</w:t>
      </w:r>
      <w:proofErr w:type="spellEnd"/>
      <w:r w:rsidRPr="00077E16">
        <w:rPr>
          <w:rFonts w:ascii="Times New Roman" w:hAnsi="Times New Roman" w:cs="Times New Roman"/>
          <w:color w:val="222222"/>
          <w:sz w:val="24"/>
          <w:szCs w:val="24"/>
          <w:shd w:val="clear" w:color="auto" w:fill="FFFFFF"/>
        </w:rPr>
        <w:t>, K. (2018). Doing well and doing good: Exploring how strategic and market orientation impacts social enterprise performance. </w:t>
      </w:r>
      <w:r w:rsidRPr="00077E16">
        <w:rPr>
          <w:rFonts w:ascii="Times New Roman" w:hAnsi="Times New Roman" w:cs="Times New Roman"/>
          <w:i/>
          <w:iCs/>
          <w:color w:val="222222"/>
          <w:sz w:val="24"/>
          <w:szCs w:val="24"/>
          <w:shd w:val="clear" w:color="auto" w:fill="FFFFFF"/>
        </w:rPr>
        <w:t xml:space="preserve">International Journal of </w:t>
      </w:r>
      <w:r w:rsidRPr="00077E16">
        <w:rPr>
          <w:rFonts w:ascii="Times New Roman" w:hAnsi="Times New Roman" w:cs="Times New Roman"/>
          <w:i/>
          <w:iCs/>
          <w:color w:val="222222"/>
          <w:sz w:val="24"/>
          <w:szCs w:val="24"/>
          <w:shd w:val="clear" w:color="auto" w:fill="FFFFFF"/>
        </w:rPr>
        <w:lastRenderedPageBreak/>
        <w:t>Entrepreneurial Behavior &amp; Research</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24</w:t>
      </w:r>
      <w:r w:rsidRPr="00077E16">
        <w:rPr>
          <w:rFonts w:ascii="Times New Roman" w:hAnsi="Times New Roman" w:cs="Times New Roman"/>
          <w:color w:val="222222"/>
          <w:sz w:val="24"/>
          <w:szCs w:val="24"/>
          <w:shd w:val="clear" w:color="auto" w:fill="FFFFFF"/>
        </w:rPr>
        <w:t xml:space="preserve">(1), 147-170. </w:t>
      </w:r>
      <w:hyperlink r:id="rId17" w:history="1">
        <w:r w:rsidRPr="00077E16">
          <w:rPr>
            <w:rStyle w:val="Hyperlink"/>
            <w:rFonts w:ascii="Times New Roman" w:hAnsi="Times New Roman" w:cs="Times New Roman"/>
            <w:sz w:val="24"/>
            <w:szCs w:val="24"/>
            <w:shd w:val="clear" w:color="auto" w:fill="FFFFFF"/>
          </w:rPr>
          <w:t>https://doi.org/10.1108/IJEBR-04-2017-0132</w:t>
        </w:r>
      </w:hyperlink>
    </w:p>
    <w:p w14:paraId="7E618FE4"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Gotteland</w:t>
      </w:r>
      <w:proofErr w:type="spellEnd"/>
      <w:r w:rsidRPr="00077E16">
        <w:rPr>
          <w:rFonts w:ascii="Times New Roman" w:hAnsi="Times New Roman" w:cs="Times New Roman"/>
          <w:color w:val="222222"/>
          <w:sz w:val="24"/>
          <w:szCs w:val="24"/>
          <w:shd w:val="clear" w:color="auto" w:fill="FFFFFF"/>
        </w:rPr>
        <w:t>, D., Shock, J., &amp; Sarin, S. (2020). Strategic orientations, marketing proactivity and firm market performance. </w:t>
      </w:r>
      <w:r w:rsidRPr="00077E16">
        <w:rPr>
          <w:rFonts w:ascii="Times New Roman" w:hAnsi="Times New Roman" w:cs="Times New Roman"/>
          <w:i/>
          <w:iCs/>
          <w:color w:val="222222"/>
          <w:sz w:val="24"/>
          <w:szCs w:val="24"/>
          <w:shd w:val="clear" w:color="auto" w:fill="FFFFFF"/>
        </w:rPr>
        <w:t>Industrial Marketing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91</w:t>
      </w:r>
      <w:r w:rsidRPr="00077E16">
        <w:rPr>
          <w:rFonts w:ascii="Times New Roman" w:hAnsi="Times New Roman" w:cs="Times New Roman"/>
          <w:color w:val="222222"/>
          <w:sz w:val="24"/>
          <w:szCs w:val="24"/>
          <w:shd w:val="clear" w:color="auto" w:fill="FFFFFF"/>
        </w:rPr>
        <w:t xml:space="preserve">, 610-620. </w:t>
      </w:r>
      <w:hyperlink r:id="rId18" w:history="1">
        <w:r w:rsidRPr="00077E16">
          <w:rPr>
            <w:rStyle w:val="Hyperlink"/>
            <w:rFonts w:ascii="Times New Roman" w:hAnsi="Times New Roman" w:cs="Times New Roman"/>
            <w:sz w:val="24"/>
            <w:szCs w:val="24"/>
            <w:shd w:val="clear" w:color="auto" w:fill="FFFFFF"/>
          </w:rPr>
          <w:t>https://doi.org/10.1016/j.indmarman.2020.03.012</w:t>
        </w:r>
      </w:hyperlink>
    </w:p>
    <w:p w14:paraId="7FDA181C"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Handoyo</w:t>
      </w:r>
      <w:proofErr w:type="spellEnd"/>
      <w:r w:rsidRPr="00077E16">
        <w:rPr>
          <w:rFonts w:ascii="Times New Roman" w:hAnsi="Times New Roman" w:cs="Times New Roman"/>
          <w:color w:val="222222"/>
          <w:sz w:val="24"/>
          <w:szCs w:val="24"/>
          <w:shd w:val="clear" w:color="auto" w:fill="FFFFFF"/>
        </w:rPr>
        <w:t xml:space="preserve">, S., </w:t>
      </w:r>
      <w:proofErr w:type="spellStart"/>
      <w:r w:rsidRPr="00077E16">
        <w:rPr>
          <w:rFonts w:ascii="Times New Roman" w:hAnsi="Times New Roman" w:cs="Times New Roman"/>
          <w:color w:val="222222"/>
          <w:sz w:val="24"/>
          <w:szCs w:val="24"/>
          <w:shd w:val="clear" w:color="auto" w:fill="FFFFFF"/>
        </w:rPr>
        <w:t>Suharman</w:t>
      </w:r>
      <w:proofErr w:type="spellEnd"/>
      <w:r w:rsidRPr="00077E16">
        <w:rPr>
          <w:rFonts w:ascii="Times New Roman" w:hAnsi="Times New Roman" w:cs="Times New Roman"/>
          <w:color w:val="222222"/>
          <w:sz w:val="24"/>
          <w:szCs w:val="24"/>
          <w:shd w:val="clear" w:color="auto" w:fill="FFFFFF"/>
        </w:rPr>
        <w:t xml:space="preserve">, H., Ghani, E. K., &amp; </w:t>
      </w:r>
      <w:proofErr w:type="spellStart"/>
      <w:r w:rsidRPr="00077E16">
        <w:rPr>
          <w:rFonts w:ascii="Times New Roman" w:hAnsi="Times New Roman" w:cs="Times New Roman"/>
          <w:color w:val="222222"/>
          <w:sz w:val="24"/>
          <w:szCs w:val="24"/>
          <w:shd w:val="clear" w:color="auto" w:fill="FFFFFF"/>
        </w:rPr>
        <w:t>Soedarsono</w:t>
      </w:r>
      <w:proofErr w:type="spellEnd"/>
      <w:r w:rsidRPr="00077E16">
        <w:rPr>
          <w:rFonts w:ascii="Times New Roman" w:hAnsi="Times New Roman" w:cs="Times New Roman"/>
          <w:color w:val="222222"/>
          <w:sz w:val="24"/>
          <w:szCs w:val="24"/>
          <w:shd w:val="clear" w:color="auto" w:fill="FFFFFF"/>
        </w:rPr>
        <w:t>, S. (2023). A business strategy, operational efficiency, ownership structure, and manufacturing performance: The moderating role of market uncertainty and competition intensity and its implication on open innovation. </w:t>
      </w:r>
      <w:r w:rsidRPr="00077E16">
        <w:rPr>
          <w:rFonts w:ascii="Times New Roman" w:hAnsi="Times New Roman" w:cs="Times New Roman"/>
          <w:i/>
          <w:iCs/>
          <w:color w:val="222222"/>
          <w:sz w:val="24"/>
          <w:szCs w:val="24"/>
          <w:shd w:val="clear" w:color="auto" w:fill="FFFFFF"/>
        </w:rPr>
        <w:t>Journal of Open Innovation: Technology, Market, and Complexity</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9</w:t>
      </w:r>
      <w:r w:rsidRPr="00077E16">
        <w:rPr>
          <w:rFonts w:ascii="Times New Roman" w:hAnsi="Times New Roman" w:cs="Times New Roman"/>
          <w:color w:val="222222"/>
          <w:sz w:val="24"/>
          <w:szCs w:val="24"/>
          <w:shd w:val="clear" w:color="auto" w:fill="FFFFFF"/>
        </w:rPr>
        <w:t xml:space="preserve">(2), 100039. </w:t>
      </w:r>
      <w:hyperlink r:id="rId19" w:history="1">
        <w:r w:rsidRPr="00077E16">
          <w:rPr>
            <w:rStyle w:val="Hyperlink"/>
            <w:rFonts w:ascii="Times New Roman" w:hAnsi="Times New Roman" w:cs="Times New Roman"/>
            <w:sz w:val="24"/>
            <w:szCs w:val="24"/>
            <w:shd w:val="clear" w:color="auto" w:fill="FFFFFF"/>
          </w:rPr>
          <w:t>https://doi.org/10.1016/j.joitmc.2023.100039</w:t>
        </w:r>
      </w:hyperlink>
    </w:p>
    <w:p w14:paraId="6CDBD4CB"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Handoyo</w:t>
      </w:r>
      <w:proofErr w:type="spellEnd"/>
      <w:r w:rsidRPr="00077E16">
        <w:rPr>
          <w:rFonts w:ascii="Times New Roman" w:hAnsi="Times New Roman" w:cs="Times New Roman"/>
          <w:color w:val="222222"/>
          <w:sz w:val="24"/>
          <w:szCs w:val="24"/>
          <w:shd w:val="clear" w:color="auto" w:fill="FFFFFF"/>
        </w:rPr>
        <w:t xml:space="preserve">, S., </w:t>
      </w:r>
      <w:proofErr w:type="spellStart"/>
      <w:r w:rsidRPr="00077E16">
        <w:rPr>
          <w:rFonts w:ascii="Times New Roman" w:hAnsi="Times New Roman" w:cs="Times New Roman"/>
          <w:color w:val="222222"/>
          <w:sz w:val="24"/>
          <w:szCs w:val="24"/>
          <w:shd w:val="clear" w:color="auto" w:fill="FFFFFF"/>
        </w:rPr>
        <w:t>Suharman</w:t>
      </w:r>
      <w:proofErr w:type="spellEnd"/>
      <w:r w:rsidRPr="00077E16">
        <w:rPr>
          <w:rFonts w:ascii="Times New Roman" w:hAnsi="Times New Roman" w:cs="Times New Roman"/>
          <w:color w:val="222222"/>
          <w:sz w:val="24"/>
          <w:szCs w:val="24"/>
          <w:shd w:val="clear" w:color="auto" w:fill="FFFFFF"/>
        </w:rPr>
        <w:t xml:space="preserve">, H., Ghani, E. K., &amp; </w:t>
      </w:r>
      <w:proofErr w:type="spellStart"/>
      <w:r w:rsidRPr="00077E16">
        <w:rPr>
          <w:rFonts w:ascii="Times New Roman" w:hAnsi="Times New Roman" w:cs="Times New Roman"/>
          <w:color w:val="222222"/>
          <w:sz w:val="24"/>
          <w:szCs w:val="24"/>
          <w:shd w:val="clear" w:color="auto" w:fill="FFFFFF"/>
        </w:rPr>
        <w:t>Soedarsono</w:t>
      </w:r>
      <w:proofErr w:type="spellEnd"/>
      <w:r w:rsidRPr="00077E16">
        <w:rPr>
          <w:rFonts w:ascii="Times New Roman" w:hAnsi="Times New Roman" w:cs="Times New Roman"/>
          <w:color w:val="222222"/>
          <w:sz w:val="24"/>
          <w:szCs w:val="24"/>
          <w:shd w:val="clear" w:color="auto" w:fill="FFFFFF"/>
        </w:rPr>
        <w:t>, S. (2023). The determinants of a firm’s strategic orientation and its implication on performance: A study on Indonesia state owned enterprises. </w:t>
      </w:r>
      <w:r w:rsidRPr="00077E16">
        <w:rPr>
          <w:rFonts w:ascii="Times New Roman" w:hAnsi="Times New Roman" w:cs="Times New Roman"/>
          <w:i/>
          <w:iCs/>
          <w:color w:val="222222"/>
          <w:sz w:val="24"/>
          <w:szCs w:val="24"/>
          <w:shd w:val="clear" w:color="auto" w:fill="FFFFFF"/>
        </w:rPr>
        <w:t>Cogent Business &amp;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10</w:t>
      </w:r>
      <w:r w:rsidRPr="00077E16">
        <w:rPr>
          <w:rFonts w:ascii="Times New Roman" w:hAnsi="Times New Roman" w:cs="Times New Roman"/>
          <w:color w:val="222222"/>
          <w:sz w:val="24"/>
          <w:szCs w:val="24"/>
          <w:shd w:val="clear" w:color="auto" w:fill="FFFFFF"/>
        </w:rPr>
        <w:t xml:space="preserve">(2), 2220209. </w:t>
      </w:r>
      <w:hyperlink r:id="rId20" w:history="1">
        <w:r w:rsidRPr="00077E16">
          <w:rPr>
            <w:rStyle w:val="Hyperlink"/>
            <w:rFonts w:ascii="Times New Roman" w:hAnsi="Times New Roman" w:cs="Times New Roman"/>
            <w:sz w:val="24"/>
            <w:szCs w:val="24"/>
            <w:shd w:val="clear" w:color="auto" w:fill="FFFFFF"/>
          </w:rPr>
          <w:t>https://doi.org/10.1080/23311975.2023.2220209</w:t>
        </w:r>
      </w:hyperlink>
    </w:p>
    <w:p w14:paraId="487F5BDE"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Hou, B., Hong, J., &amp; Zhu, R. (2019). Exploration/exploitation innovation and firm performance: the mediation of entrepreneurial orientation and moderation of competitive intensity. </w:t>
      </w:r>
      <w:r w:rsidRPr="00077E16">
        <w:rPr>
          <w:rFonts w:ascii="Times New Roman" w:hAnsi="Times New Roman" w:cs="Times New Roman"/>
          <w:i/>
          <w:iCs/>
          <w:color w:val="222222"/>
          <w:sz w:val="24"/>
          <w:szCs w:val="24"/>
          <w:shd w:val="clear" w:color="auto" w:fill="FFFFFF"/>
        </w:rPr>
        <w:t>Journal of Asia business studies</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13</w:t>
      </w:r>
      <w:r w:rsidRPr="00077E16">
        <w:rPr>
          <w:rFonts w:ascii="Times New Roman" w:hAnsi="Times New Roman" w:cs="Times New Roman"/>
          <w:color w:val="222222"/>
          <w:sz w:val="24"/>
          <w:szCs w:val="24"/>
          <w:shd w:val="clear" w:color="auto" w:fill="FFFFFF"/>
        </w:rPr>
        <w:t xml:space="preserve">(4), 489-506. </w:t>
      </w:r>
      <w:hyperlink r:id="rId21" w:history="1">
        <w:r w:rsidRPr="00077E16">
          <w:rPr>
            <w:rStyle w:val="Hyperlink"/>
            <w:rFonts w:ascii="Times New Roman" w:hAnsi="Times New Roman" w:cs="Times New Roman"/>
            <w:sz w:val="24"/>
            <w:szCs w:val="24"/>
            <w:shd w:val="clear" w:color="auto" w:fill="FFFFFF"/>
          </w:rPr>
          <w:t>https://doi.org/10.1108/JABS-11-2017-0206</w:t>
        </w:r>
      </w:hyperlink>
    </w:p>
    <w:p w14:paraId="58F431AF"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Katsikea</w:t>
      </w:r>
      <w:proofErr w:type="spellEnd"/>
      <w:r w:rsidRPr="00077E16">
        <w:rPr>
          <w:rFonts w:ascii="Times New Roman" w:hAnsi="Times New Roman" w:cs="Times New Roman"/>
          <w:color w:val="222222"/>
          <w:sz w:val="24"/>
          <w:szCs w:val="24"/>
          <w:shd w:val="clear" w:color="auto" w:fill="FFFFFF"/>
        </w:rPr>
        <w:t>, E., Theodosiou, M., &amp; Makri, K. (2019). The interplay between market intelligence activities and sales strategy as drivers of performance in foreign markets. </w:t>
      </w:r>
      <w:r w:rsidRPr="00077E16">
        <w:rPr>
          <w:rFonts w:ascii="Times New Roman" w:hAnsi="Times New Roman" w:cs="Times New Roman"/>
          <w:i/>
          <w:iCs/>
          <w:color w:val="222222"/>
          <w:sz w:val="24"/>
          <w:szCs w:val="24"/>
          <w:shd w:val="clear" w:color="auto" w:fill="FFFFFF"/>
        </w:rPr>
        <w:t>European Journal of Marketing</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53</w:t>
      </w:r>
      <w:r w:rsidRPr="00077E16">
        <w:rPr>
          <w:rFonts w:ascii="Times New Roman" w:hAnsi="Times New Roman" w:cs="Times New Roman"/>
          <w:color w:val="222222"/>
          <w:sz w:val="24"/>
          <w:szCs w:val="24"/>
          <w:shd w:val="clear" w:color="auto" w:fill="FFFFFF"/>
        </w:rPr>
        <w:t xml:space="preserve">(10), 2080-2108. </w:t>
      </w:r>
      <w:hyperlink r:id="rId22" w:history="1">
        <w:r w:rsidRPr="00077E16">
          <w:rPr>
            <w:rStyle w:val="Hyperlink"/>
            <w:rFonts w:ascii="Times New Roman" w:hAnsi="Times New Roman" w:cs="Times New Roman"/>
            <w:sz w:val="24"/>
            <w:szCs w:val="24"/>
            <w:shd w:val="clear" w:color="auto" w:fill="FFFFFF"/>
          </w:rPr>
          <w:t>https://doi.org/10.1108/EJM-06-2017-0402</w:t>
        </w:r>
      </w:hyperlink>
    </w:p>
    <w:p w14:paraId="2B22DED7"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000000"/>
          <w:sz w:val="24"/>
          <w:szCs w:val="24"/>
          <w:shd w:val="clear" w:color="auto" w:fill="FFFFFF"/>
        </w:rPr>
        <w:t>Krejcie</w:t>
      </w:r>
      <w:proofErr w:type="spellEnd"/>
      <w:r w:rsidRPr="00077E16">
        <w:rPr>
          <w:rFonts w:ascii="Times New Roman" w:hAnsi="Times New Roman" w:cs="Times New Roman"/>
          <w:color w:val="000000"/>
          <w:sz w:val="24"/>
          <w:szCs w:val="24"/>
          <w:shd w:val="clear" w:color="auto" w:fill="FFFFFF"/>
        </w:rPr>
        <w:t>, R. V., &amp; Morgan, D. W. (1970). </w:t>
      </w:r>
      <w:r w:rsidRPr="00077E16">
        <w:rPr>
          <w:rFonts w:ascii="Times New Roman" w:hAnsi="Times New Roman" w:cs="Times New Roman"/>
          <w:i/>
          <w:iCs/>
          <w:color w:val="000000"/>
          <w:sz w:val="24"/>
          <w:szCs w:val="24"/>
          <w:shd w:val="clear" w:color="auto" w:fill="FFFFFF"/>
        </w:rPr>
        <w:t>Determining Sample Size for Research Activities. Educational and Psychological Measurement, 30(3), 607–610.</w:t>
      </w:r>
      <w:r w:rsidRPr="00077E16">
        <w:rPr>
          <w:rFonts w:ascii="Times New Roman" w:hAnsi="Times New Roman" w:cs="Times New Roman"/>
          <w:color w:val="000000"/>
          <w:sz w:val="24"/>
          <w:szCs w:val="24"/>
          <w:shd w:val="clear" w:color="auto" w:fill="FFFFFF"/>
        </w:rPr>
        <w:t> </w:t>
      </w:r>
      <w:hyperlink r:id="rId23" w:history="1">
        <w:r w:rsidRPr="00077E16">
          <w:rPr>
            <w:rStyle w:val="Hyperlink"/>
            <w:rFonts w:ascii="Times New Roman" w:hAnsi="Times New Roman" w:cs="Times New Roman"/>
            <w:sz w:val="24"/>
            <w:szCs w:val="24"/>
            <w:shd w:val="clear" w:color="auto" w:fill="FFFFFF"/>
          </w:rPr>
          <w:t>https://doi.org/10.1177/001316447003000308</w:t>
        </w:r>
      </w:hyperlink>
      <w:r w:rsidRPr="00077E16">
        <w:rPr>
          <w:rFonts w:ascii="Times New Roman" w:hAnsi="Times New Roman" w:cs="Times New Roman"/>
          <w:color w:val="000000"/>
          <w:sz w:val="24"/>
          <w:szCs w:val="24"/>
          <w:shd w:val="clear" w:color="auto" w:fill="FFFFFF"/>
        </w:rPr>
        <w:t> </w:t>
      </w:r>
    </w:p>
    <w:p w14:paraId="73CBB6E5"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 xml:space="preserve">Kumar, S., Sahoo, S., Lim, W. M., Kraus, S., &amp; </w:t>
      </w:r>
      <w:proofErr w:type="spellStart"/>
      <w:r w:rsidRPr="00077E16">
        <w:rPr>
          <w:rFonts w:ascii="Times New Roman" w:hAnsi="Times New Roman" w:cs="Times New Roman"/>
          <w:color w:val="222222"/>
          <w:sz w:val="24"/>
          <w:szCs w:val="24"/>
          <w:shd w:val="clear" w:color="auto" w:fill="FFFFFF"/>
        </w:rPr>
        <w:t>Bamel</w:t>
      </w:r>
      <w:proofErr w:type="spellEnd"/>
      <w:r w:rsidRPr="00077E16">
        <w:rPr>
          <w:rFonts w:ascii="Times New Roman" w:hAnsi="Times New Roman" w:cs="Times New Roman"/>
          <w:color w:val="222222"/>
          <w:sz w:val="24"/>
          <w:szCs w:val="24"/>
          <w:shd w:val="clear" w:color="auto" w:fill="FFFFFF"/>
        </w:rPr>
        <w:t>, U. (2022). Fuzzy-set qualitative comparative analysis (</w:t>
      </w:r>
      <w:proofErr w:type="spellStart"/>
      <w:r w:rsidRPr="00077E16">
        <w:rPr>
          <w:rFonts w:ascii="Times New Roman" w:hAnsi="Times New Roman" w:cs="Times New Roman"/>
          <w:color w:val="222222"/>
          <w:sz w:val="24"/>
          <w:szCs w:val="24"/>
          <w:shd w:val="clear" w:color="auto" w:fill="FFFFFF"/>
        </w:rPr>
        <w:t>fsQCA</w:t>
      </w:r>
      <w:proofErr w:type="spellEnd"/>
      <w:r w:rsidRPr="00077E16">
        <w:rPr>
          <w:rFonts w:ascii="Times New Roman" w:hAnsi="Times New Roman" w:cs="Times New Roman"/>
          <w:color w:val="222222"/>
          <w:sz w:val="24"/>
          <w:szCs w:val="24"/>
          <w:shd w:val="clear" w:color="auto" w:fill="FFFFFF"/>
        </w:rPr>
        <w:t>) in business and management research: A contemporary overview. </w:t>
      </w:r>
      <w:r w:rsidRPr="00077E16">
        <w:rPr>
          <w:rFonts w:ascii="Times New Roman" w:hAnsi="Times New Roman" w:cs="Times New Roman"/>
          <w:i/>
          <w:iCs/>
          <w:color w:val="222222"/>
          <w:sz w:val="24"/>
          <w:szCs w:val="24"/>
          <w:shd w:val="clear" w:color="auto" w:fill="FFFFFF"/>
        </w:rPr>
        <w:t>Technological Forecasting and Social Change</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178</w:t>
      </w:r>
      <w:r w:rsidRPr="00077E16">
        <w:rPr>
          <w:rFonts w:ascii="Times New Roman" w:hAnsi="Times New Roman" w:cs="Times New Roman"/>
          <w:color w:val="222222"/>
          <w:sz w:val="24"/>
          <w:szCs w:val="24"/>
          <w:shd w:val="clear" w:color="auto" w:fill="FFFFFF"/>
        </w:rPr>
        <w:t xml:space="preserve">, 121599. </w:t>
      </w:r>
      <w:hyperlink r:id="rId24" w:history="1">
        <w:r w:rsidRPr="00077E16">
          <w:rPr>
            <w:rStyle w:val="Hyperlink"/>
            <w:rFonts w:ascii="Times New Roman" w:hAnsi="Times New Roman" w:cs="Times New Roman"/>
            <w:sz w:val="24"/>
            <w:szCs w:val="24"/>
            <w:shd w:val="clear" w:color="auto" w:fill="FFFFFF"/>
          </w:rPr>
          <w:t>https://doi.org/10.1016/j.techfore.2022.121599</w:t>
        </w:r>
      </w:hyperlink>
    </w:p>
    <w:p w14:paraId="69345265"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sz w:val="24"/>
          <w:szCs w:val="24"/>
        </w:rPr>
        <w:t xml:space="preserve">Lumpkin, G. T., &amp; Dess, G. G. (1996). Clarifying the Entrepreneurial Orientation Construct and Linking it to Performance. </w:t>
      </w:r>
      <w:r w:rsidRPr="00077E16">
        <w:rPr>
          <w:rFonts w:ascii="Times New Roman" w:hAnsi="Times New Roman" w:cs="Times New Roman"/>
          <w:i/>
          <w:sz w:val="24"/>
          <w:szCs w:val="24"/>
        </w:rPr>
        <w:t>Academy of Management Review, 21</w:t>
      </w:r>
      <w:r w:rsidRPr="00077E16">
        <w:rPr>
          <w:rFonts w:ascii="Times New Roman" w:hAnsi="Times New Roman" w:cs="Times New Roman"/>
          <w:sz w:val="24"/>
          <w:szCs w:val="24"/>
        </w:rPr>
        <w:t>(1), 135–172.</w:t>
      </w:r>
    </w:p>
    <w:p w14:paraId="1749D96A"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Masa’deh</w:t>
      </w:r>
      <w:proofErr w:type="spellEnd"/>
      <w:r w:rsidRPr="00077E16">
        <w:rPr>
          <w:rFonts w:ascii="Times New Roman" w:hAnsi="Times New Roman" w:cs="Times New Roman"/>
          <w:color w:val="222222"/>
          <w:sz w:val="24"/>
          <w:szCs w:val="24"/>
          <w:shd w:val="clear" w:color="auto" w:fill="FFFFFF"/>
        </w:rPr>
        <w:t>, R. E., Al-</w:t>
      </w:r>
      <w:proofErr w:type="spellStart"/>
      <w:r w:rsidRPr="00077E16">
        <w:rPr>
          <w:rFonts w:ascii="Times New Roman" w:hAnsi="Times New Roman" w:cs="Times New Roman"/>
          <w:color w:val="222222"/>
          <w:sz w:val="24"/>
          <w:szCs w:val="24"/>
          <w:shd w:val="clear" w:color="auto" w:fill="FFFFFF"/>
        </w:rPr>
        <w:t>Henzab</w:t>
      </w:r>
      <w:proofErr w:type="spellEnd"/>
      <w:r w:rsidRPr="00077E16">
        <w:rPr>
          <w:rFonts w:ascii="Times New Roman" w:hAnsi="Times New Roman" w:cs="Times New Roman"/>
          <w:color w:val="222222"/>
          <w:sz w:val="24"/>
          <w:szCs w:val="24"/>
          <w:shd w:val="clear" w:color="auto" w:fill="FFFFFF"/>
        </w:rPr>
        <w:t xml:space="preserve">, J., </w:t>
      </w:r>
      <w:proofErr w:type="spellStart"/>
      <w:r w:rsidRPr="00077E16">
        <w:rPr>
          <w:rFonts w:ascii="Times New Roman" w:hAnsi="Times New Roman" w:cs="Times New Roman"/>
          <w:color w:val="222222"/>
          <w:sz w:val="24"/>
          <w:szCs w:val="24"/>
          <w:shd w:val="clear" w:color="auto" w:fill="FFFFFF"/>
        </w:rPr>
        <w:t>Tarhini</w:t>
      </w:r>
      <w:proofErr w:type="spellEnd"/>
      <w:r w:rsidRPr="00077E16">
        <w:rPr>
          <w:rFonts w:ascii="Times New Roman" w:hAnsi="Times New Roman" w:cs="Times New Roman"/>
          <w:color w:val="222222"/>
          <w:sz w:val="24"/>
          <w:szCs w:val="24"/>
          <w:shd w:val="clear" w:color="auto" w:fill="FFFFFF"/>
        </w:rPr>
        <w:t>, A., &amp; Obeidat, B. Y. (2018). The associations among market orientation, technology orientation, entrepreneurial orientation and organizational performance. </w:t>
      </w:r>
      <w:r w:rsidRPr="00077E16">
        <w:rPr>
          <w:rFonts w:ascii="Times New Roman" w:hAnsi="Times New Roman" w:cs="Times New Roman"/>
          <w:i/>
          <w:iCs/>
          <w:color w:val="222222"/>
          <w:sz w:val="24"/>
          <w:szCs w:val="24"/>
          <w:shd w:val="clear" w:color="auto" w:fill="FFFFFF"/>
        </w:rPr>
        <w:t>Benchmarking: An International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25</w:t>
      </w:r>
      <w:r w:rsidRPr="00077E16">
        <w:rPr>
          <w:rFonts w:ascii="Times New Roman" w:hAnsi="Times New Roman" w:cs="Times New Roman"/>
          <w:color w:val="222222"/>
          <w:sz w:val="24"/>
          <w:szCs w:val="24"/>
          <w:shd w:val="clear" w:color="auto" w:fill="FFFFFF"/>
        </w:rPr>
        <w:t xml:space="preserve">(8), 3117-3142. </w:t>
      </w:r>
      <w:hyperlink r:id="rId25" w:history="1">
        <w:r w:rsidRPr="00077E16">
          <w:rPr>
            <w:rStyle w:val="Hyperlink"/>
            <w:rFonts w:ascii="Times New Roman" w:hAnsi="Times New Roman" w:cs="Times New Roman"/>
            <w:sz w:val="24"/>
            <w:szCs w:val="24"/>
            <w:shd w:val="clear" w:color="auto" w:fill="FFFFFF"/>
          </w:rPr>
          <w:t>https://doi.org/10.1108/BIJ-02-2017-0024</w:t>
        </w:r>
      </w:hyperlink>
    </w:p>
    <w:p w14:paraId="0726807E"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McKenny, A. F., Short, J. C., Ketchen Jr, D. J., Payne, G. T., &amp; Moss, T. W. (2018). Strategic entrepreneurial orientation: Configurations, performance, and the effects of industry and time. </w:t>
      </w:r>
      <w:r w:rsidRPr="00077E16">
        <w:rPr>
          <w:rFonts w:ascii="Times New Roman" w:hAnsi="Times New Roman" w:cs="Times New Roman"/>
          <w:i/>
          <w:iCs/>
          <w:color w:val="222222"/>
          <w:sz w:val="24"/>
          <w:szCs w:val="24"/>
          <w:shd w:val="clear" w:color="auto" w:fill="FFFFFF"/>
        </w:rPr>
        <w:t>Strategic Entrepreneurship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12</w:t>
      </w:r>
      <w:r w:rsidRPr="00077E16">
        <w:rPr>
          <w:rFonts w:ascii="Times New Roman" w:hAnsi="Times New Roman" w:cs="Times New Roman"/>
          <w:color w:val="222222"/>
          <w:sz w:val="24"/>
          <w:szCs w:val="24"/>
          <w:shd w:val="clear" w:color="auto" w:fill="FFFFFF"/>
        </w:rPr>
        <w:t xml:space="preserve">(4), 504-521. </w:t>
      </w:r>
      <w:hyperlink r:id="rId26" w:history="1">
        <w:r w:rsidRPr="00077E16">
          <w:rPr>
            <w:rStyle w:val="Hyperlink"/>
            <w:rFonts w:ascii="Times New Roman" w:hAnsi="Times New Roman" w:cs="Times New Roman"/>
            <w:sz w:val="24"/>
            <w:szCs w:val="24"/>
            <w:shd w:val="clear" w:color="auto" w:fill="FFFFFF"/>
          </w:rPr>
          <w:t>https://doi.org/10.1002/sej.1291</w:t>
        </w:r>
      </w:hyperlink>
    </w:p>
    <w:p w14:paraId="6B1C121A"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 xml:space="preserve">Mu, J., Thomas, E., Peng, G., &amp; Di Benedetto, A. (2017). Strategic orientation and new product development performance: The role of networking capability and networking </w:t>
      </w:r>
      <w:r w:rsidRPr="00077E16">
        <w:rPr>
          <w:rFonts w:ascii="Times New Roman" w:hAnsi="Times New Roman" w:cs="Times New Roman"/>
          <w:color w:val="222222"/>
          <w:sz w:val="24"/>
          <w:szCs w:val="24"/>
          <w:shd w:val="clear" w:color="auto" w:fill="FFFFFF"/>
        </w:rPr>
        <w:lastRenderedPageBreak/>
        <w:t>ability. </w:t>
      </w:r>
      <w:r w:rsidRPr="00077E16">
        <w:rPr>
          <w:rFonts w:ascii="Times New Roman" w:hAnsi="Times New Roman" w:cs="Times New Roman"/>
          <w:i/>
          <w:iCs/>
          <w:color w:val="222222"/>
          <w:sz w:val="24"/>
          <w:szCs w:val="24"/>
          <w:shd w:val="clear" w:color="auto" w:fill="FFFFFF"/>
        </w:rPr>
        <w:t>Industrial Marketing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64</w:t>
      </w:r>
      <w:r w:rsidRPr="00077E16">
        <w:rPr>
          <w:rFonts w:ascii="Times New Roman" w:hAnsi="Times New Roman" w:cs="Times New Roman"/>
          <w:color w:val="222222"/>
          <w:sz w:val="24"/>
          <w:szCs w:val="24"/>
          <w:shd w:val="clear" w:color="auto" w:fill="FFFFFF"/>
        </w:rPr>
        <w:t xml:space="preserve">, 187-201. </w:t>
      </w:r>
      <w:hyperlink r:id="rId27" w:history="1">
        <w:r w:rsidRPr="00077E16">
          <w:rPr>
            <w:rStyle w:val="Hyperlink"/>
            <w:rFonts w:ascii="Times New Roman" w:hAnsi="Times New Roman" w:cs="Times New Roman"/>
            <w:sz w:val="24"/>
            <w:szCs w:val="24"/>
            <w:shd w:val="clear" w:color="auto" w:fill="FFFFFF"/>
          </w:rPr>
          <w:t>https://doi.org/10.1016/j.indmarman.2016.09.007</w:t>
        </w:r>
      </w:hyperlink>
    </w:p>
    <w:p w14:paraId="2EEF4F5B"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 xml:space="preserve">Nagle, T. T., Müller, G., &amp; </w:t>
      </w:r>
      <w:proofErr w:type="spellStart"/>
      <w:r w:rsidRPr="00077E16">
        <w:rPr>
          <w:rFonts w:ascii="Times New Roman" w:hAnsi="Times New Roman" w:cs="Times New Roman"/>
          <w:color w:val="222222"/>
          <w:sz w:val="24"/>
          <w:szCs w:val="24"/>
          <w:shd w:val="clear" w:color="auto" w:fill="FFFFFF"/>
        </w:rPr>
        <w:t>Gruyaert</w:t>
      </w:r>
      <w:proofErr w:type="spellEnd"/>
      <w:r w:rsidRPr="00077E16">
        <w:rPr>
          <w:rFonts w:ascii="Times New Roman" w:hAnsi="Times New Roman" w:cs="Times New Roman"/>
          <w:color w:val="222222"/>
          <w:sz w:val="24"/>
          <w:szCs w:val="24"/>
          <w:shd w:val="clear" w:color="auto" w:fill="FFFFFF"/>
        </w:rPr>
        <w:t>, E. (2023). </w:t>
      </w:r>
      <w:r w:rsidRPr="00077E16">
        <w:rPr>
          <w:rFonts w:ascii="Times New Roman" w:hAnsi="Times New Roman" w:cs="Times New Roman"/>
          <w:i/>
          <w:iCs/>
          <w:color w:val="222222"/>
          <w:sz w:val="24"/>
          <w:szCs w:val="24"/>
          <w:shd w:val="clear" w:color="auto" w:fill="FFFFFF"/>
        </w:rPr>
        <w:t>The strategy and tactics of pricing: A guide to growing more profitably</w:t>
      </w:r>
      <w:r w:rsidRPr="00077E16">
        <w:rPr>
          <w:rFonts w:ascii="Times New Roman" w:hAnsi="Times New Roman" w:cs="Times New Roman"/>
          <w:color w:val="222222"/>
          <w:sz w:val="24"/>
          <w:szCs w:val="24"/>
          <w:shd w:val="clear" w:color="auto" w:fill="FFFFFF"/>
        </w:rPr>
        <w:t xml:space="preserve">. Routledge. </w:t>
      </w:r>
      <w:hyperlink r:id="rId28" w:history="1">
        <w:r w:rsidRPr="00077E16">
          <w:rPr>
            <w:rStyle w:val="Hyperlink"/>
            <w:rFonts w:ascii="Times New Roman" w:hAnsi="Times New Roman" w:cs="Times New Roman"/>
            <w:sz w:val="24"/>
            <w:szCs w:val="24"/>
            <w:shd w:val="clear" w:color="auto" w:fill="FFFFFF"/>
          </w:rPr>
          <w:t>https://doi.org/10.4324/9781003179566</w:t>
        </w:r>
      </w:hyperlink>
    </w:p>
    <w:p w14:paraId="2DC41CB8"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Nakpodia</w:t>
      </w:r>
      <w:proofErr w:type="spellEnd"/>
      <w:r w:rsidRPr="00077E16">
        <w:rPr>
          <w:rFonts w:ascii="Times New Roman" w:hAnsi="Times New Roman" w:cs="Times New Roman"/>
          <w:color w:val="222222"/>
          <w:sz w:val="24"/>
          <w:szCs w:val="24"/>
          <w:shd w:val="clear" w:color="auto" w:fill="FFFFFF"/>
        </w:rPr>
        <w:t>, F., Ashiru, F., You, J. J., &amp; Oni, O. (2024). Digital technologies, social entrepreneurship and resilience during crisis in developing countries: evidence from Nigeria. </w:t>
      </w:r>
      <w:r w:rsidRPr="00077E16">
        <w:rPr>
          <w:rFonts w:ascii="Times New Roman" w:hAnsi="Times New Roman" w:cs="Times New Roman"/>
          <w:i/>
          <w:iCs/>
          <w:color w:val="222222"/>
          <w:sz w:val="24"/>
          <w:szCs w:val="24"/>
          <w:shd w:val="clear" w:color="auto" w:fill="FFFFFF"/>
        </w:rPr>
        <w:t>International Journal of Entrepreneurial Behavior &amp; Research</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30</w:t>
      </w:r>
      <w:r w:rsidRPr="00077E16">
        <w:rPr>
          <w:rFonts w:ascii="Times New Roman" w:hAnsi="Times New Roman" w:cs="Times New Roman"/>
          <w:color w:val="222222"/>
          <w:sz w:val="24"/>
          <w:szCs w:val="24"/>
          <w:shd w:val="clear" w:color="auto" w:fill="FFFFFF"/>
        </w:rPr>
        <w:t xml:space="preserve">(2/3), 342-368. </w:t>
      </w:r>
      <w:hyperlink r:id="rId29" w:history="1">
        <w:r w:rsidRPr="00077E16">
          <w:rPr>
            <w:rStyle w:val="Hyperlink"/>
            <w:rFonts w:ascii="Times New Roman" w:hAnsi="Times New Roman" w:cs="Times New Roman"/>
            <w:sz w:val="24"/>
            <w:szCs w:val="24"/>
            <w:shd w:val="clear" w:color="auto" w:fill="FFFFFF"/>
          </w:rPr>
          <w:t>https://doi.org/10.1108/IJEBR-01-2023-0012</w:t>
        </w:r>
      </w:hyperlink>
    </w:p>
    <w:p w14:paraId="578E7D55"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sz w:val="24"/>
          <w:szCs w:val="24"/>
        </w:rPr>
        <w:t>Narver</w:t>
      </w:r>
      <w:proofErr w:type="spellEnd"/>
      <w:r w:rsidRPr="00077E16">
        <w:rPr>
          <w:rFonts w:ascii="Times New Roman" w:hAnsi="Times New Roman" w:cs="Times New Roman"/>
          <w:sz w:val="24"/>
          <w:szCs w:val="24"/>
        </w:rPr>
        <w:t>, J. C., &amp; Slater, S. F. (1990). The effect of a market orientation on business profitability.</w:t>
      </w:r>
      <w:r w:rsidRPr="00077E16">
        <w:rPr>
          <w:rFonts w:ascii="Times New Roman" w:hAnsi="Times New Roman" w:cs="Times New Roman"/>
          <w:i/>
          <w:sz w:val="24"/>
          <w:szCs w:val="24"/>
        </w:rPr>
        <w:t xml:space="preserve"> Journal of Marketing, 54</w:t>
      </w:r>
      <w:r w:rsidRPr="00077E16">
        <w:rPr>
          <w:rFonts w:ascii="Times New Roman" w:hAnsi="Times New Roman" w:cs="Times New Roman"/>
          <w:sz w:val="24"/>
          <w:szCs w:val="24"/>
        </w:rPr>
        <w:t xml:space="preserve">(4), 20 – 35. </w:t>
      </w:r>
      <w:hyperlink r:id="rId30" w:history="1">
        <w:r w:rsidRPr="00077E16">
          <w:rPr>
            <w:rStyle w:val="Hyperlink"/>
            <w:rFonts w:ascii="Times New Roman" w:hAnsi="Times New Roman" w:cs="Times New Roman"/>
            <w:sz w:val="24"/>
            <w:szCs w:val="24"/>
          </w:rPr>
          <w:t>https://doi.org/10.2307/1251757</w:t>
        </w:r>
      </w:hyperlink>
    </w:p>
    <w:p w14:paraId="106B1274"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Nejati</w:t>
      </w:r>
      <w:proofErr w:type="spellEnd"/>
      <w:r w:rsidRPr="00077E16">
        <w:rPr>
          <w:rFonts w:ascii="Times New Roman" w:hAnsi="Times New Roman" w:cs="Times New Roman"/>
          <w:color w:val="222222"/>
          <w:sz w:val="24"/>
          <w:szCs w:val="24"/>
          <w:shd w:val="clear" w:color="auto" w:fill="FFFFFF"/>
        </w:rPr>
        <w:t>, M., Quazi, A., Amran, A., &amp; Ahmad, N. H. (2017). Social responsibility and performance: does strategic orientation matter for small businesses</w:t>
      </w:r>
      <w:proofErr w:type="gramStart"/>
      <w:r w:rsidRPr="00077E16">
        <w:rPr>
          <w:rFonts w:ascii="Times New Roman" w:hAnsi="Times New Roman" w:cs="Times New Roman"/>
          <w:color w:val="222222"/>
          <w:sz w:val="24"/>
          <w:szCs w:val="24"/>
          <w:shd w:val="clear" w:color="auto" w:fill="FFFFFF"/>
        </w:rPr>
        <w:t>?.</w:t>
      </w:r>
      <w:proofErr w:type="gramEnd"/>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Journal of Small Business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55</w:t>
      </w:r>
      <w:r w:rsidRPr="00077E16">
        <w:rPr>
          <w:rFonts w:ascii="Times New Roman" w:hAnsi="Times New Roman" w:cs="Times New Roman"/>
          <w:color w:val="222222"/>
          <w:sz w:val="24"/>
          <w:szCs w:val="24"/>
          <w:shd w:val="clear" w:color="auto" w:fill="FFFFFF"/>
        </w:rPr>
        <w:t xml:space="preserve">, 43-59. </w:t>
      </w:r>
      <w:hyperlink r:id="rId31" w:history="1">
        <w:r w:rsidRPr="00077E16">
          <w:rPr>
            <w:rStyle w:val="Hyperlink"/>
            <w:rFonts w:ascii="Times New Roman" w:hAnsi="Times New Roman" w:cs="Times New Roman"/>
            <w:sz w:val="24"/>
            <w:szCs w:val="24"/>
            <w:shd w:val="clear" w:color="auto" w:fill="FFFFFF"/>
          </w:rPr>
          <w:t>https://doi.org/10.1111/jsbm.12305</w:t>
        </w:r>
      </w:hyperlink>
    </w:p>
    <w:p w14:paraId="76AFA72E"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Obiki-Osafiele</w:t>
      </w:r>
      <w:proofErr w:type="spellEnd"/>
      <w:r w:rsidRPr="00077E16">
        <w:rPr>
          <w:rFonts w:ascii="Times New Roman" w:hAnsi="Times New Roman" w:cs="Times New Roman"/>
          <w:color w:val="222222"/>
          <w:sz w:val="24"/>
          <w:szCs w:val="24"/>
          <w:shd w:val="clear" w:color="auto" w:fill="FFFFFF"/>
        </w:rPr>
        <w:t xml:space="preserve">, A. N., </w:t>
      </w:r>
      <w:proofErr w:type="spellStart"/>
      <w:r w:rsidRPr="00077E16">
        <w:rPr>
          <w:rFonts w:ascii="Times New Roman" w:hAnsi="Times New Roman" w:cs="Times New Roman"/>
          <w:color w:val="222222"/>
          <w:sz w:val="24"/>
          <w:szCs w:val="24"/>
          <w:shd w:val="clear" w:color="auto" w:fill="FFFFFF"/>
        </w:rPr>
        <w:t>Efunniyi</w:t>
      </w:r>
      <w:proofErr w:type="spellEnd"/>
      <w:r w:rsidRPr="00077E16">
        <w:rPr>
          <w:rFonts w:ascii="Times New Roman" w:hAnsi="Times New Roman" w:cs="Times New Roman"/>
          <w:color w:val="222222"/>
          <w:sz w:val="24"/>
          <w:szCs w:val="24"/>
          <w:shd w:val="clear" w:color="auto" w:fill="FFFFFF"/>
        </w:rPr>
        <w:t xml:space="preserve">, C. P., </w:t>
      </w:r>
      <w:proofErr w:type="spellStart"/>
      <w:r w:rsidRPr="00077E16">
        <w:rPr>
          <w:rFonts w:ascii="Times New Roman" w:hAnsi="Times New Roman" w:cs="Times New Roman"/>
          <w:color w:val="222222"/>
          <w:sz w:val="24"/>
          <w:szCs w:val="24"/>
          <w:shd w:val="clear" w:color="auto" w:fill="FFFFFF"/>
        </w:rPr>
        <w:t>Abhulimen</w:t>
      </w:r>
      <w:proofErr w:type="spellEnd"/>
      <w:r w:rsidRPr="00077E16">
        <w:rPr>
          <w:rFonts w:ascii="Times New Roman" w:hAnsi="Times New Roman" w:cs="Times New Roman"/>
          <w:color w:val="222222"/>
          <w:sz w:val="24"/>
          <w:szCs w:val="24"/>
          <w:shd w:val="clear" w:color="auto" w:fill="FFFFFF"/>
        </w:rPr>
        <w:t xml:space="preserve">, A. O., </w:t>
      </w:r>
      <w:proofErr w:type="spellStart"/>
      <w:r w:rsidRPr="00077E16">
        <w:rPr>
          <w:rFonts w:ascii="Times New Roman" w:hAnsi="Times New Roman" w:cs="Times New Roman"/>
          <w:color w:val="222222"/>
          <w:sz w:val="24"/>
          <w:szCs w:val="24"/>
          <w:shd w:val="clear" w:color="auto" w:fill="FFFFFF"/>
        </w:rPr>
        <w:t>Osundare</w:t>
      </w:r>
      <w:proofErr w:type="spellEnd"/>
      <w:r w:rsidRPr="00077E16">
        <w:rPr>
          <w:rFonts w:ascii="Times New Roman" w:hAnsi="Times New Roman" w:cs="Times New Roman"/>
          <w:color w:val="222222"/>
          <w:sz w:val="24"/>
          <w:szCs w:val="24"/>
          <w:shd w:val="clear" w:color="auto" w:fill="FFFFFF"/>
        </w:rPr>
        <w:t xml:space="preserve">, O. S., Agu, E. E., Adeniran, I. A., &amp; </w:t>
      </w:r>
      <w:proofErr w:type="spellStart"/>
      <w:r w:rsidRPr="00077E16">
        <w:rPr>
          <w:rFonts w:ascii="Times New Roman" w:hAnsi="Times New Roman" w:cs="Times New Roman"/>
          <w:color w:val="222222"/>
          <w:sz w:val="24"/>
          <w:szCs w:val="24"/>
          <w:shd w:val="clear" w:color="auto" w:fill="FFFFFF"/>
        </w:rPr>
        <w:t>OneAdvanced</w:t>
      </w:r>
      <w:proofErr w:type="spellEnd"/>
      <w:r w:rsidRPr="00077E16">
        <w:rPr>
          <w:rFonts w:ascii="Times New Roman" w:hAnsi="Times New Roman" w:cs="Times New Roman"/>
          <w:color w:val="222222"/>
          <w:sz w:val="24"/>
          <w:szCs w:val="24"/>
          <w:shd w:val="clear" w:color="auto" w:fill="FFFFFF"/>
        </w:rPr>
        <w:t>, U. K. (2024). Theoretical models for enhancing operational efficiency through technology in Nigerian businesses. </w:t>
      </w:r>
      <w:r w:rsidRPr="00077E16">
        <w:rPr>
          <w:rFonts w:ascii="Times New Roman" w:hAnsi="Times New Roman" w:cs="Times New Roman"/>
          <w:i/>
          <w:iCs/>
          <w:color w:val="222222"/>
          <w:sz w:val="24"/>
          <w:szCs w:val="24"/>
          <w:shd w:val="clear" w:color="auto" w:fill="FFFFFF"/>
        </w:rPr>
        <w:t>International Journal of Applied Research in Social Sciences</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6</w:t>
      </w:r>
      <w:r w:rsidRPr="00077E16">
        <w:rPr>
          <w:rFonts w:ascii="Times New Roman" w:hAnsi="Times New Roman" w:cs="Times New Roman"/>
          <w:color w:val="222222"/>
          <w:sz w:val="24"/>
          <w:szCs w:val="24"/>
          <w:shd w:val="clear" w:color="auto" w:fill="FFFFFF"/>
        </w:rPr>
        <w:t xml:space="preserve">(8), 1969-1989. </w:t>
      </w:r>
      <w:hyperlink r:id="rId32" w:history="1">
        <w:r w:rsidRPr="00077E16">
          <w:rPr>
            <w:rStyle w:val="Hyperlink"/>
            <w:rFonts w:ascii="Times New Roman" w:hAnsi="Times New Roman" w:cs="Times New Roman"/>
            <w:sz w:val="24"/>
            <w:szCs w:val="24"/>
          </w:rPr>
          <w:t>https://doi.org/10.51594/ijarss.v6i8.1478</w:t>
        </w:r>
      </w:hyperlink>
    </w:p>
    <w:p w14:paraId="4BAD9502"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Okangi</w:t>
      </w:r>
      <w:proofErr w:type="spellEnd"/>
      <w:r w:rsidRPr="00077E16">
        <w:rPr>
          <w:rFonts w:ascii="Times New Roman" w:hAnsi="Times New Roman" w:cs="Times New Roman"/>
          <w:color w:val="222222"/>
          <w:sz w:val="24"/>
          <w:szCs w:val="24"/>
          <w:shd w:val="clear" w:color="auto" w:fill="FFFFFF"/>
        </w:rPr>
        <w:t>, F. P. (2019). The impacts of entrepreneurial orientation on the profitability growth of construction firms in Tanzania. </w:t>
      </w:r>
      <w:r w:rsidRPr="00077E16">
        <w:rPr>
          <w:rFonts w:ascii="Times New Roman" w:hAnsi="Times New Roman" w:cs="Times New Roman"/>
          <w:i/>
          <w:iCs/>
          <w:color w:val="222222"/>
          <w:sz w:val="24"/>
          <w:szCs w:val="24"/>
          <w:shd w:val="clear" w:color="auto" w:fill="FFFFFF"/>
        </w:rPr>
        <w:t>Journal of Global Entrepreneurship Research</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9</w:t>
      </w:r>
      <w:r w:rsidRPr="00077E16">
        <w:rPr>
          <w:rFonts w:ascii="Times New Roman" w:hAnsi="Times New Roman" w:cs="Times New Roman"/>
          <w:color w:val="222222"/>
          <w:sz w:val="24"/>
          <w:szCs w:val="24"/>
          <w:shd w:val="clear" w:color="auto" w:fill="FFFFFF"/>
        </w:rPr>
        <w:t xml:space="preserve">(1), 14. </w:t>
      </w:r>
      <w:hyperlink r:id="rId33" w:history="1">
        <w:r w:rsidRPr="00077E16">
          <w:rPr>
            <w:rStyle w:val="Hyperlink"/>
            <w:rFonts w:ascii="Times New Roman" w:hAnsi="Times New Roman" w:cs="Times New Roman"/>
            <w:sz w:val="24"/>
            <w:szCs w:val="24"/>
            <w:shd w:val="clear" w:color="auto" w:fill="FFFFFF"/>
          </w:rPr>
          <w:t>https://doi.org/10.1186/s40497-018-0143-1</w:t>
        </w:r>
      </w:hyperlink>
    </w:p>
    <w:p w14:paraId="5D3A4CF5"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Putniņš</w:t>
      </w:r>
      <w:proofErr w:type="spellEnd"/>
      <w:r w:rsidRPr="00077E16">
        <w:rPr>
          <w:rFonts w:ascii="Times New Roman" w:hAnsi="Times New Roman" w:cs="Times New Roman"/>
          <w:color w:val="222222"/>
          <w:sz w:val="24"/>
          <w:szCs w:val="24"/>
          <w:shd w:val="clear" w:color="auto" w:fill="FFFFFF"/>
        </w:rPr>
        <w:t xml:space="preserve">, T. J., &amp; </w:t>
      </w:r>
      <w:proofErr w:type="spellStart"/>
      <w:r w:rsidRPr="00077E16">
        <w:rPr>
          <w:rFonts w:ascii="Times New Roman" w:hAnsi="Times New Roman" w:cs="Times New Roman"/>
          <w:color w:val="222222"/>
          <w:sz w:val="24"/>
          <w:szCs w:val="24"/>
          <w:shd w:val="clear" w:color="auto" w:fill="FFFFFF"/>
        </w:rPr>
        <w:t>Sauka</w:t>
      </w:r>
      <w:proofErr w:type="spellEnd"/>
      <w:r w:rsidRPr="00077E16">
        <w:rPr>
          <w:rFonts w:ascii="Times New Roman" w:hAnsi="Times New Roman" w:cs="Times New Roman"/>
          <w:color w:val="222222"/>
          <w:sz w:val="24"/>
          <w:szCs w:val="24"/>
          <w:shd w:val="clear" w:color="auto" w:fill="FFFFFF"/>
        </w:rPr>
        <w:t>, A. (2020). Why does entrepreneurial orientation affect company performance</w:t>
      </w:r>
      <w:proofErr w:type="gramStart"/>
      <w:r w:rsidRPr="00077E16">
        <w:rPr>
          <w:rFonts w:ascii="Times New Roman" w:hAnsi="Times New Roman" w:cs="Times New Roman"/>
          <w:color w:val="222222"/>
          <w:sz w:val="24"/>
          <w:szCs w:val="24"/>
          <w:shd w:val="clear" w:color="auto" w:fill="FFFFFF"/>
        </w:rPr>
        <w:t>?.</w:t>
      </w:r>
      <w:proofErr w:type="gramEnd"/>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Strategic Entrepreneurship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14</w:t>
      </w:r>
      <w:r w:rsidRPr="00077E16">
        <w:rPr>
          <w:rFonts w:ascii="Times New Roman" w:hAnsi="Times New Roman" w:cs="Times New Roman"/>
          <w:color w:val="222222"/>
          <w:sz w:val="24"/>
          <w:szCs w:val="24"/>
          <w:shd w:val="clear" w:color="auto" w:fill="FFFFFF"/>
        </w:rPr>
        <w:t xml:space="preserve">(4), 711-735. </w:t>
      </w:r>
      <w:hyperlink r:id="rId34" w:history="1">
        <w:r w:rsidRPr="00077E16">
          <w:rPr>
            <w:rStyle w:val="Hyperlink"/>
            <w:rFonts w:ascii="Times New Roman" w:hAnsi="Times New Roman" w:cs="Times New Roman"/>
            <w:sz w:val="24"/>
            <w:szCs w:val="24"/>
            <w:shd w:val="clear" w:color="auto" w:fill="FFFFFF"/>
          </w:rPr>
          <w:t>https://doi.org/10.1002/sej.1325</w:t>
        </w:r>
      </w:hyperlink>
    </w:p>
    <w:p w14:paraId="20A74E0A"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 xml:space="preserve">Sampaio, F. C. A., Hernández </w:t>
      </w:r>
      <w:proofErr w:type="spellStart"/>
      <w:r w:rsidRPr="00077E16">
        <w:rPr>
          <w:rFonts w:ascii="Times New Roman" w:hAnsi="Times New Roman" w:cs="Times New Roman"/>
          <w:color w:val="222222"/>
          <w:sz w:val="24"/>
          <w:szCs w:val="24"/>
          <w:shd w:val="clear" w:color="auto" w:fill="FFFFFF"/>
        </w:rPr>
        <w:t>Mogollón</w:t>
      </w:r>
      <w:proofErr w:type="spellEnd"/>
      <w:r w:rsidRPr="00077E16">
        <w:rPr>
          <w:rFonts w:ascii="Times New Roman" w:hAnsi="Times New Roman" w:cs="Times New Roman"/>
          <w:color w:val="222222"/>
          <w:sz w:val="24"/>
          <w:szCs w:val="24"/>
          <w:shd w:val="clear" w:color="auto" w:fill="FFFFFF"/>
        </w:rPr>
        <w:t>, J. M., &amp; de Ascensão Gouveia Rodrigues, R. J. (2020). The relationship between market orientation, customer loyalty and business performance: A sample from the Western Europe hotel industry. </w:t>
      </w:r>
      <w:r w:rsidRPr="00077E16">
        <w:rPr>
          <w:rFonts w:ascii="Times New Roman" w:hAnsi="Times New Roman" w:cs="Times New Roman"/>
          <w:i/>
          <w:iCs/>
          <w:color w:val="222222"/>
          <w:sz w:val="24"/>
          <w:szCs w:val="24"/>
          <w:shd w:val="clear" w:color="auto" w:fill="FFFFFF"/>
        </w:rPr>
        <w:t>Tourism and Hospitality Research</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20</w:t>
      </w:r>
      <w:r w:rsidRPr="00077E16">
        <w:rPr>
          <w:rFonts w:ascii="Times New Roman" w:hAnsi="Times New Roman" w:cs="Times New Roman"/>
          <w:color w:val="222222"/>
          <w:sz w:val="24"/>
          <w:szCs w:val="24"/>
          <w:shd w:val="clear" w:color="auto" w:fill="FFFFFF"/>
        </w:rPr>
        <w:t xml:space="preserve">(2), 131-143. </w:t>
      </w:r>
      <w:hyperlink r:id="rId35" w:history="1">
        <w:r w:rsidRPr="00077E16">
          <w:rPr>
            <w:rStyle w:val="Hyperlink"/>
            <w:rFonts w:ascii="Times New Roman" w:hAnsi="Times New Roman" w:cs="Times New Roman"/>
            <w:sz w:val="24"/>
            <w:szCs w:val="24"/>
            <w:shd w:val="clear" w:color="auto" w:fill="FFFFFF"/>
          </w:rPr>
          <w:t>https://doi.org/10.1177/1467358419829179</w:t>
        </w:r>
      </w:hyperlink>
    </w:p>
    <w:p w14:paraId="4D6992D9"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Schulze, A., Townsend, J. D., &amp; Talay, M. B. (2022). Completing the market orientation matrix: The impact of proactive competitor orientation on innovation and firm performance. </w:t>
      </w:r>
      <w:r w:rsidRPr="00077E16">
        <w:rPr>
          <w:rFonts w:ascii="Times New Roman" w:hAnsi="Times New Roman" w:cs="Times New Roman"/>
          <w:i/>
          <w:iCs/>
          <w:color w:val="222222"/>
          <w:sz w:val="24"/>
          <w:szCs w:val="24"/>
          <w:shd w:val="clear" w:color="auto" w:fill="FFFFFF"/>
        </w:rPr>
        <w:t>Industrial Marketing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103</w:t>
      </w:r>
      <w:r w:rsidRPr="00077E16">
        <w:rPr>
          <w:rFonts w:ascii="Times New Roman" w:hAnsi="Times New Roman" w:cs="Times New Roman"/>
          <w:color w:val="222222"/>
          <w:sz w:val="24"/>
          <w:szCs w:val="24"/>
          <w:shd w:val="clear" w:color="auto" w:fill="FFFFFF"/>
        </w:rPr>
        <w:t>, 198-214.</w:t>
      </w:r>
      <w:r w:rsidRPr="00077E16">
        <w:rPr>
          <w:rFonts w:ascii="Times New Roman" w:hAnsi="Times New Roman" w:cs="Times New Roman"/>
          <w:sz w:val="24"/>
          <w:szCs w:val="24"/>
        </w:rPr>
        <w:t xml:space="preserve"> </w:t>
      </w:r>
      <w:hyperlink r:id="rId36" w:history="1">
        <w:r w:rsidRPr="00077E16">
          <w:rPr>
            <w:rStyle w:val="Hyperlink"/>
            <w:rFonts w:ascii="Times New Roman" w:hAnsi="Times New Roman" w:cs="Times New Roman"/>
            <w:sz w:val="24"/>
            <w:szCs w:val="24"/>
            <w:shd w:val="clear" w:color="auto" w:fill="FFFFFF"/>
          </w:rPr>
          <w:t>https://doi.org/10.1016/j.indmarman.2022.03.013</w:t>
        </w:r>
      </w:hyperlink>
    </w:p>
    <w:p w14:paraId="66337808"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Schulze, A., Townsend, J. D., &amp; Talay, M. B. (2022). Completing the market orientation matrix: The impact of proactive competitor orientation on innovation and firm performance. </w:t>
      </w:r>
      <w:r w:rsidRPr="00077E16">
        <w:rPr>
          <w:rFonts w:ascii="Times New Roman" w:hAnsi="Times New Roman" w:cs="Times New Roman"/>
          <w:i/>
          <w:iCs/>
          <w:color w:val="222222"/>
          <w:sz w:val="24"/>
          <w:szCs w:val="24"/>
          <w:shd w:val="clear" w:color="auto" w:fill="FFFFFF"/>
        </w:rPr>
        <w:t>Industrial Marketing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103</w:t>
      </w:r>
      <w:r w:rsidRPr="00077E16">
        <w:rPr>
          <w:rFonts w:ascii="Times New Roman" w:hAnsi="Times New Roman" w:cs="Times New Roman"/>
          <w:color w:val="222222"/>
          <w:sz w:val="24"/>
          <w:szCs w:val="24"/>
          <w:shd w:val="clear" w:color="auto" w:fill="FFFFFF"/>
        </w:rPr>
        <w:t xml:space="preserve">, 198-214. </w:t>
      </w:r>
      <w:hyperlink r:id="rId37" w:history="1">
        <w:r w:rsidRPr="00077E16">
          <w:rPr>
            <w:rStyle w:val="Hyperlink"/>
            <w:rFonts w:ascii="Times New Roman" w:hAnsi="Times New Roman" w:cs="Times New Roman"/>
            <w:sz w:val="24"/>
            <w:szCs w:val="24"/>
            <w:shd w:val="clear" w:color="auto" w:fill="FFFFFF"/>
          </w:rPr>
          <w:t>https://doi.org/10.1016/j.indmarman.2022.03.013</w:t>
        </w:r>
      </w:hyperlink>
    </w:p>
    <w:p w14:paraId="5F90A5A5"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Schweiger, S. A., Stettler, T. R., Baldauf, A., &amp; Zamudio, C. (2019). The complementarity of strategic orientations: A meta‐analytic synthesis and theory extension. </w:t>
      </w:r>
      <w:r w:rsidRPr="00077E16">
        <w:rPr>
          <w:rFonts w:ascii="Times New Roman" w:hAnsi="Times New Roman" w:cs="Times New Roman"/>
          <w:i/>
          <w:iCs/>
          <w:color w:val="222222"/>
          <w:sz w:val="24"/>
          <w:szCs w:val="24"/>
          <w:shd w:val="clear" w:color="auto" w:fill="FFFFFF"/>
        </w:rPr>
        <w:t>Strategic Management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40</w:t>
      </w:r>
      <w:r w:rsidRPr="00077E16">
        <w:rPr>
          <w:rFonts w:ascii="Times New Roman" w:hAnsi="Times New Roman" w:cs="Times New Roman"/>
          <w:color w:val="222222"/>
          <w:sz w:val="24"/>
          <w:szCs w:val="24"/>
          <w:shd w:val="clear" w:color="auto" w:fill="FFFFFF"/>
        </w:rPr>
        <w:t xml:space="preserve">(11), 1822-1851. </w:t>
      </w:r>
      <w:hyperlink r:id="rId38" w:history="1">
        <w:r w:rsidRPr="00077E16">
          <w:rPr>
            <w:rStyle w:val="Hyperlink"/>
            <w:rFonts w:ascii="Times New Roman" w:hAnsi="Times New Roman" w:cs="Times New Roman"/>
            <w:sz w:val="24"/>
            <w:szCs w:val="24"/>
            <w:shd w:val="clear" w:color="auto" w:fill="FFFFFF"/>
          </w:rPr>
          <w:t>https://doi.org/10.1002/smj.3042</w:t>
        </w:r>
      </w:hyperlink>
    </w:p>
    <w:p w14:paraId="4B2F8382"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lastRenderedPageBreak/>
        <w:t>Soares, M. D. C., &amp; Perin, M. G. (2020). Entrepreneurial orientation and firm performance: an updated meta-analysis. </w:t>
      </w:r>
      <w:r w:rsidRPr="00077E16">
        <w:rPr>
          <w:rFonts w:ascii="Times New Roman" w:hAnsi="Times New Roman" w:cs="Times New Roman"/>
          <w:i/>
          <w:iCs/>
          <w:color w:val="222222"/>
          <w:sz w:val="24"/>
          <w:szCs w:val="24"/>
          <w:shd w:val="clear" w:color="auto" w:fill="FFFFFF"/>
        </w:rPr>
        <w:t>RAUSP Management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55</w:t>
      </w:r>
      <w:r w:rsidRPr="00077E16">
        <w:rPr>
          <w:rFonts w:ascii="Times New Roman" w:hAnsi="Times New Roman" w:cs="Times New Roman"/>
          <w:color w:val="222222"/>
          <w:sz w:val="24"/>
          <w:szCs w:val="24"/>
          <w:shd w:val="clear" w:color="auto" w:fill="FFFFFF"/>
        </w:rPr>
        <w:t xml:space="preserve">(2), 143-159. </w:t>
      </w:r>
      <w:hyperlink r:id="rId39" w:history="1">
        <w:r w:rsidRPr="00077E16">
          <w:rPr>
            <w:rStyle w:val="Hyperlink"/>
            <w:rFonts w:ascii="Times New Roman" w:hAnsi="Times New Roman" w:cs="Times New Roman"/>
            <w:sz w:val="24"/>
            <w:szCs w:val="24"/>
            <w:shd w:val="clear" w:color="auto" w:fill="FFFFFF"/>
          </w:rPr>
          <w:t>https://doi.org/10.1108/RAUSP-01-2019-0014</w:t>
        </w:r>
      </w:hyperlink>
    </w:p>
    <w:p w14:paraId="78D4E086"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 xml:space="preserve">Sun, Y., Tan, C. W., Lim, K. H., Liang, T. P., &amp; Yeh, Y. H. (2024). Strategic contexts, strategic orientations and </w:t>
      </w:r>
      <w:proofErr w:type="spellStart"/>
      <w:r w:rsidRPr="00077E16">
        <w:rPr>
          <w:rFonts w:ascii="Times New Roman" w:hAnsi="Times New Roman" w:cs="Times New Roman"/>
          <w:color w:val="222222"/>
          <w:sz w:val="24"/>
          <w:szCs w:val="24"/>
          <w:shd w:val="clear" w:color="auto" w:fill="FFFFFF"/>
        </w:rPr>
        <w:t>organisational</w:t>
      </w:r>
      <w:proofErr w:type="spellEnd"/>
      <w:r w:rsidRPr="00077E16">
        <w:rPr>
          <w:rFonts w:ascii="Times New Roman" w:hAnsi="Times New Roman" w:cs="Times New Roman"/>
          <w:color w:val="222222"/>
          <w:sz w:val="24"/>
          <w:szCs w:val="24"/>
          <w:shd w:val="clear" w:color="auto" w:fill="FFFFFF"/>
        </w:rPr>
        <w:t xml:space="preserve"> technology adoption: A configurational approach. </w:t>
      </w:r>
      <w:r w:rsidRPr="00077E16">
        <w:rPr>
          <w:rFonts w:ascii="Times New Roman" w:hAnsi="Times New Roman" w:cs="Times New Roman"/>
          <w:i/>
          <w:iCs/>
          <w:color w:val="222222"/>
          <w:sz w:val="24"/>
          <w:szCs w:val="24"/>
          <w:shd w:val="clear" w:color="auto" w:fill="FFFFFF"/>
        </w:rPr>
        <w:t>Information Systems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34</w:t>
      </w:r>
      <w:r w:rsidRPr="00077E16">
        <w:rPr>
          <w:rFonts w:ascii="Times New Roman" w:hAnsi="Times New Roman" w:cs="Times New Roman"/>
          <w:color w:val="222222"/>
          <w:sz w:val="24"/>
          <w:szCs w:val="24"/>
          <w:shd w:val="clear" w:color="auto" w:fill="FFFFFF"/>
        </w:rPr>
        <w:t xml:space="preserve">(4), 1355-1401. </w:t>
      </w:r>
      <w:hyperlink r:id="rId40" w:history="1">
        <w:r w:rsidRPr="00077E16">
          <w:rPr>
            <w:rStyle w:val="Hyperlink"/>
            <w:rFonts w:ascii="Times New Roman" w:hAnsi="Times New Roman" w:cs="Times New Roman"/>
            <w:sz w:val="24"/>
            <w:szCs w:val="24"/>
            <w:shd w:val="clear" w:color="auto" w:fill="FFFFFF"/>
          </w:rPr>
          <w:t>https://doi.org/10.1111/isj.12497</w:t>
        </w:r>
      </w:hyperlink>
    </w:p>
    <w:p w14:paraId="19B66DC4"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Tojue</w:t>
      </w:r>
      <w:proofErr w:type="spellEnd"/>
      <w:r w:rsidRPr="00077E16">
        <w:rPr>
          <w:rFonts w:ascii="Times New Roman" w:hAnsi="Times New Roman" w:cs="Times New Roman"/>
          <w:color w:val="222222"/>
          <w:sz w:val="24"/>
          <w:szCs w:val="24"/>
          <w:shd w:val="clear" w:color="auto" w:fill="FFFFFF"/>
        </w:rPr>
        <w:t xml:space="preserve">, O. G., </w:t>
      </w:r>
      <w:proofErr w:type="spellStart"/>
      <w:r w:rsidRPr="00077E16">
        <w:rPr>
          <w:rFonts w:ascii="Times New Roman" w:hAnsi="Times New Roman" w:cs="Times New Roman"/>
          <w:color w:val="222222"/>
          <w:sz w:val="24"/>
          <w:szCs w:val="24"/>
          <w:shd w:val="clear" w:color="auto" w:fill="FFFFFF"/>
        </w:rPr>
        <w:t>Iyke-Ofoedu</w:t>
      </w:r>
      <w:proofErr w:type="spellEnd"/>
      <w:r w:rsidRPr="00077E16">
        <w:rPr>
          <w:rFonts w:ascii="Times New Roman" w:hAnsi="Times New Roman" w:cs="Times New Roman"/>
          <w:color w:val="222222"/>
          <w:sz w:val="24"/>
          <w:szCs w:val="24"/>
          <w:shd w:val="clear" w:color="auto" w:fill="FFFFFF"/>
        </w:rPr>
        <w:t>, M. I., Chukwu, B. I., &amp; Audu, O. L. (2023). Exploring the Link between Entrepreneurial Orientation and Firm Performance among Manufacturing Enterprises in Southeast Nigeria.</w:t>
      </w:r>
      <w:r w:rsidRPr="00077E16">
        <w:rPr>
          <w:rFonts w:ascii="Times New Roman" w:hAnsi="Times New Roman" w:cs="Times New Roman"/>
          <w:i/>
          <w:color w:val="222222"/>
          <w:sz w:val="24"/>
          <w:szCs w:val="24"/>
          <w:shd w:val="clear" w:color="auto" w:fill="FFFFFF"/>
        </w:rPr>
        <w:t xml:space="preserve"> </w:t>
      </w:r>
      <w:r w:rsidRPr="00077E16">
        <w:rPr>
          <w:rFonts w:ascii="Times New Roman" w:hAnsi="Times New Roman" w:cs="Times New Roman"/>
          <w:i/>
          <w:sz w:val="24"/>
          <w:szCs w:val="24"/>
        </w:rPr>
        <w:t>Innovations, 73,</w:t>
      </w:r>
      <w:r w:rsidRPr="00077E16">
        <w:rPr>
          <w:rFonts w:ascii="Times New Roman" w:hAnsi="Times New Roman" w:cs="Times New Roman"/>
          <w:sz w:val="24"/>
          <w:szCs w:val="24"/>
        </w:rPr>
        <w:t xml:space="preserve"> 1-18.</w:t>
      </w:r>
    </w:p>
    <w:p w14:paraId="069DC010"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Vishnoi</w:t>
      </w:r>
      <w:proofErr w:type="spellEnd"/>
      <w:r w:rsidRPr="00077E16">
        <w:rPr>
          <w:rFonts w:ascii="Times New Roman" w:hAnsi="Times New Roman" w:cs="Times New Roman"/>
          <w:color w:val="222222"/>
          <w:sz w:val="24"/>
          <w:szCs w:val="24"/>
          <w:shd w:val="clear" w:color="auto" w:fill="FFFFFF"/>
        </w:rPr>
        <w:t>, S. K., Bagga, T. E. E. N. A., &amp; Aggarwal, R. A. S. H. M. I. (2019). Marketing intelligence and firm performance: Reviewing the mediating impact of customer relationships, customer satisfaction and customer loyalty. </w:t>
      </w:r>
      <w:r w:rsidRPr="00077E16">
        <w:rPr>
          <w:rFonts w:ascii="Times New Roman" w:hAnsi="Times New Roman" w:cs="Times New Roman"/>
          <w:i/>
          <w:iCs/>
          <w:color w:val="222222"/>
          <w:sz w:val="24"/>
          <w:szCs w:val="24"/>
          <w:shd w:val="clear" w:color="auto" w:fill="FFFFFF"/>
        </w:rPr>
        <w:t>Indian Journal of Economics and Business</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18</w:t>
      </w:r>
      <w:r w:rsidRPr="00077E16">
        <w:rPr>
          <w:rFonts w:ascii="Times New Roman" w:hAnsi="Times New Roman" w:cs="Times New Roman"/>
          <w:color w:val="222222"/>
          <w:sz w:val="24"/>
          <w:szCs w:val="24"/>
          <w:shd w:val="clear" w:color="auto" w:fill="FFFFFF"/>
        </w:rPr>
        <w:t>(2), 555-570.</w:t>
      </w:r>
    </w:p>
    <w:p w14:paraId="6CDDE0B4"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Wales, W. J., Covin, J. G., &amp; Monsen, E. (2020). Entrepreneurial orientation: The necessity of a multilevel conceptualization. </w:t>
      </w:r>
      <w:r w:rsidRPr="00077E16">
        <w:rPr>
          <w:rFonts w:ascii="Times New Roman" w:hAnsi="Times New Roman" w:cs="Times New Roman"/>
          <w:i/>
          <w:iCs/>
          <w:color w:val="222222"/>
          <w:sz w:val="24"/>
          <w:szCs w:val="24"/>
          <w:shd w:val="clear" w:color="auto" w:fill="FFFFFF"/>
        </w:rPr>
        <w:t>Strategic Entrepreneurship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14</w:t>
      </w:r>
      <w:r w:rsidRPr="00077E16">
        <w:rPr>
          <w:rFonts w:ascii="Times New Roman" w:hAnsi="Times New Roman" w:cs="Times New Roman"/>
          <w:color w:val="222222"/>
          <w:sz w:val="24"/>
          <w:szCs w:val="24"/>
          <w:shd w:val="clear" w:color="auto" w:fill="FFFFFF"/>
        </w:rPr>
        <w:t xml:space="preserve">(4), 639-660. </w:t>
      </w:r>
      <w:hyperlink r:id="rId41" w:history="1">
        <w:r w:rsidRPr="00077E16">
          <w:rPr>
            <w:rStyle w:val="Hyperlink"/>
            <w:rFonts w:ascii="Times New Roman" w:hAnsi="Times New Roman" w:cs="Times New Roman"/>
            <w:sz w:val="24"/>
            <w:szCs w:val="24"/>
            <w:shd w:val="clear" w:color="auto" w:fill="FFFFFF"/>
          </w:rPr>
          <w:t>https://doi.org/10.1002/sej.1344</w:t>
        </w:r>
      </w:hyperlink>
    </w:p>
    <w:p w14:paraId="170250C1"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Wang, W. X., Peng, F. L., Ma, C. X., &amp; Dong, Y. H. (2024). Identifying implementation-oriented models of urban underground space development in China based on fuzzy-set qualitative comparative analysis (</w:t>
      </w:r>
      <w:proofErr w:type="spellStart"/>
      <w:r w:rsidRPr="00077E16">
        <w:rPr>
          <w:rFonts w:ascii="Times New Roman" w:hAnsi="Times New Roman" w:cs="Times New Roman"/>
          <w:color w:val="222222"/>
          <w:sz w:val="24"/>
          <w:szCs w:val="24"/>
          <w:shd w:val="clear" w:color="auto" w:fill="FFFFFF"/>
        </w:rPr>
        <w:t>fsQCA</w:t>
      </w:r>
      <w:proofErr w:type="spellEnd"/>
      <w:r w:rsidRPr="00077E16">
        <w:rPr>
          <w:rFonts w:ascii="Times New Roman" w:hAnsi="Times New Roman" w:cs="Times New Roman"/>
          <w:color w:val="222222"/>
          <w:sz w:val="24"/>
          <w:szCs w:val="24"/>
          <w:shd w:val="clear" w:color="auto" w:fill="FFFFFF"/>
        </w:rPr>
        <w:t>). </w:t>
      </w:r>
      <w:proofErr w:type="spellStart"/>
      <w:r w:rsidRPr="00077E16">
        <w:rPr>
          <w:rFonts w:ascii="Times New Roman" w:hAnsi="Times New Roman" w:cs="Times New Roman"/>
          <w:i/>
          <w:iCs/>
          <w:color w:val="222222"/>
          <w:sz w:val="24"/>
          <w:szCs w:val="24"/>
          <w:shd w:val="clear" w:color="auto" w:fill="FFFFFF"/>
        </w:rPr>
        <w:t>Tunnelling</w:t>
      </w:r>
      <w:proofErr w:type="spellEnd"/>
      <w:r w:rsidRPr="00077E16">
        <w:rPr>
          <w:rFonts w:ascii="Times New Roman" w:hAnsi="Times New Roman" w:cs="Times New Roman"/>
          <w:i/>
          <w:iCs/>
          <w:color w:val="222222"/>
          <w:sz w:val="24"/>
          <w:szCs w:val="24"/>
          <w:shd w:val="clear" w:color="auto" w:fill="FFFFFF"/>
        </w:rPr>
        <w:t xml:space="preserve"> and Underground Space Technology</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153</w:t>
      </w:r>
      <w:r w:rsidRPr="00077E16">
        <w:rPr>
          <w:rFonts w:ascii="Times New Roman" w:hAnsi="Times New Roman" w:cs="Times New Roman"/>
          <w:color w:val="222222"/>
          <w:sz w:val="24"/>
          <w:szCs w:val="24"/>
          <w:shd w:val="clear" w:color="auto" w:fill="FFFFFF"/>
        </w:rPr>
        <w:t>, 106007.</w:t>
      </w:r>
    </w:p>
    <w:p w14:paraId="4EE0BD3A"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Zhou, N., &amp; Park, S. H. (2020). Growth or profit? Strategic orientations and long‐term performance in China. </w:t>
      </w:r>
      <w:r w:rsidRPr="00077E16">
        <w:rPr>
          <w:rFonts w:ascii="Times New Roman" w:hAnsi="Times New Roman" w:cs="Times New Roman"/>
          <w:i/>
          <w:iCs/>
          <w:color w:val="222222"/>
          <w:sz w:val="24"/>
          <w:szCs w:val="24"/>
          <w:shd w:val="clear" w:color="auto" w:fill="FFFFFF"/>
        </w:rPr>
        <w:t>Strategic Management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41</w:t>
      </w:r>
      <w:r w:rsidRPr="00077E16">
        <w:rPr>
          <w:rFonts w:ascii="Times New Roman" w:hAnsi="Times New Roman" w:cs="Times New Roman"/>
          <w:color w:val="222222"/>
          <w:sz w:val="24"/>
          <w:szCs w:val="24"/>
          <w:shd w:val="clear" w:color="auto" w:fill="FFFFFF"/>
        </w:rPr>
        <w:t xml:space="preserve">(11), 2050-2071. </w:t>
      </w:r>
      <w:hyperlink r:id="rId42" w:history="1">
        <w:r w:rsidRPr="00077E16">
          <w:rPr>
            <w:rStyle w:val="Hyperlink"/>
            <w:rFonts w:ascii="Times New Roman" w:hAnsi="Times New Roman" w:cs="Times New Roman"/>
            <w:sz w:val="24"/>
            <w:szCs w:val="24"/>
            <w:shd w:val="clear" w:color="auto" w:fill="FFFFFF"/>
          </w:rPr>
          <w:t>https://doi.org/10.1002/smj.3193</w:t>
        </w:r>
      </w:hyperlink>
    </w:p>
    <w:sectPr w:rsidR="0044118C" w:rsidRPr="00077E16">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25BED" w14:textId="77777777" w:rsidR="00DA1BCF" w:rsidRDefault="00DA1BCF" w:rsidP="00B9244B">
      <w:pPr>
        <w:spacing w:after="0" w:line="240" w:lineRule="auto"/>
      </w:pPr>
      <w:r>
        <w:separator/>
      </w:r>
    </w:p>
  </w:endnote>
  <w:endnote w:type="continuationSeparator" w:id="0">
    <w:p w14:paraId="3FE656A6" w14:textId="77777777" w:rsidR="00DA1BCF" w:rsidRDefault="00DA1BCF" w:rsidP="00B9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F6184" w14:textId="77777777" w:rsidR="00B9244B" w:rsidRDefault="00B924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B98B3" w14:textId="77777777" w:rsidR="00B9244B" w:rsidRDefault="00B92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EE98D" w14:textId="77777777" w:rsidR="00B9244B" w:rsidRDefault="00B92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C549F" w14:textId="77777777" w:rsidR="00DA1BCF" w:rsidRDefault="00DA1BCF" w:rsidP="00B9244B">
      <w:pPr>
        <w:spacing w:after="0" w:line="240" w:lineRule="auto"/>
      </w:pPr>
      <w:r>
        <w:separator/>
      </w:r>
    </w:p>
  </w:footnote>
  <w:footnote w:type="continuationSeparator" w:id="0">
    <w:p w14:paraId="71B3DF0C" w14:textId="77777777" w:rsidR="00DA1BCF" w:rsidRDefault="00DA1BCF" w:rsidP="00B92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2C282" w14:textId="095DD1A6" w:rsidR="00B9244B" w:rsidRDefault="00DA1BCF">
    <w:pPr>
      <w:pStyle w:val="Header"/>
    </w:pPr>
    <w:r>
      <w:rPr>
        <w:noProof/>
      </w:rPr>
      <w:pict w14:anchorId="72001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7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CADD1" w14:textId="1D123981" w:rsidR="00B9244B" w:rsidRDefault="00DA1BCF">
    <w:pPr>
      <w:pStyle w:val="Header"/>
    </w:pPr>
    <w:r>
      <w:rPr>
        <w:noProof/>
      </w:rPr>
      <w:pict w14:anchorId="253C8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7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55637" w14:textId="5E49561D" w:rsidR="00B9244B" w:rsidRDefault="00DA1BCF">
    <w:pPr>
      <w:pStyle w:val="Header"/>
    </w:pPr>
    <w:r>
      <w:rPr>
        <w:noProof/>
      </w:rPr>
      <w:pict w14:anchorId="6D227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7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80162"/>
    <w:multiLevelType w:val="hybridMultilevel"/>
    <w:tmpl w:val="CE7277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B5CFC"/>
    <w:multiLevelType w:val="hybridMultilevel"/>
    <w:tmpl w:val="CE7277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A37E09"/>
    <w:multiLevelType w:val="hybridMultilevel"/>
    <w:tmpl w:val="CE7277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6D0DBB"/>
    <w:multiLevelType w:val="hybridMultilevel"/>
    <w:tmpl w:val="E3E08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0D"/>
    <w:rsid w:val="000539DE"/>
    <w:rsid w:val="00077E16"/>
    <w:rsid w:val="000C3F81"/>
    <w:rsid w:val="000E39A8"/>
    <w:rsid w:val="000F6445"/>
    <w:rsid w:val="001004E7"/>
    <w:rsid w:val="00150436"/>
    <w:rsid w:val="00247C9A"/>
    <w:rsid w:val="00265514"/>
    <w:rsid w:val="002916B1"/>
    <w:rsid w:val="00297DBA"/>
    <w:rsid w:val="002A1C9D"/>
    <w:rsid w:val="002C7544"/>
    <w:rsid w:val="002D561D"/>
    <w:rsid w:val="0030011F"/>
    <w:rsid w:val="0035690D"/>
    <w:rsid w:val="00362441"/>
    <w:rsid w:val="0038329C"/>
    <w:rsid w:val="003A5563"/>
    <w:rsid w:val="003A7751"/>
    <w:rsid w:val="003B74F5"/>
    <w:rsid w:val="003F1C87"/>
    <w:rsid w:val="003F7F35"/>
    <w:rsid w:val="00404798"/>
    <w:rsid w:val="0044118C"/>
    <w:rsid w:val="004C4142"/>
    <w:rsid w:val="004C41A0"/>
    <w:rsid w:val="004E6DF1"/>
    <w:rsid w:val="00564A95"/>
    <w:rsid w:val="005854D9"/>
    <w:rsid w:val="005C39B2"/>
    <w:rsid w:val="005E0436"/>
    <w:rsid w:val="00625A52"/>
    <w:rsid w:val="00676A12"/>
    <w:rsid w:val="006B4121"/>
    <w:rsid w:val="006B43A8"/>
    <w:rsid w:val="006C3896"/>
    <w:rsid w:val="00814B82"/>
    <w:rsid w:val="0083100E"/>
    <w:rsid w:val="008778BD"/>
    <w:rsid w:val="008B2624"/>
    <w:rsid w:val="008B4B41"/>
    <w:rsid w:val="008D502A"/>
    <w:rsid w:val="008E09E3"/>
    <w:rsid w:val="00945D1C"/>
    <w:rsid w:val="00957473"/>
    <w:rsid w:val="009A6C53"/>
    <w:rsid w:val="009D5612"/>
    <w:rsid w:val="009E16BF"/>
    <w:rsid w:val="00A72B1D"/>
    <w:rsid w:val="00B318A2"/>
    <w:rsid w:val="00B9244B"/>
    <w:rsid w:val="00B961B4"/>
    <w:rsid w:val="00C0560F"/>
    <w:rsid w:val="00C4799B"/>
    <w:rsid w:val="00C5317B"/>
    <w:rsid w:val="00C5324C"/>
    <w:rsid w:val="00C608F5"/>
    <w:rsid w:val="00C64367"/>
    <w:rsid w:val="00C72480"/>
    <w:rsid w:val="00C8219E"/>
    <w:rsid w:val="00C83FF3"/>
    <w:rsid w:val="00D16B71"/>
    <w:rsid w:val="00DA1BCF"/>
    <w:rsid w:val="00DD02CC"/>
    <w:rsid w:val="00E12EAA"/>
    <w:rsid w:val="00E2660A"/>
    <w:rsid w:val="00EA16EF"/>
    <w:rsid w:val="00ED3B06"/>
    <w:rsid w:val="00EE2EC9"/>
    <w:rsid w:val="00F205B7"/>
    <w:rsid w:val="00F533D4"/>
    <w:rsid w:val="00F6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228723"/>
  <w15:chartTrackingRefBased/>
  <w15:docId w15:val="{4870936A-169B-48C9-9A50-75D5555A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8"/>
    <w:uiPriority w:val="39"/>
    <w:rsid w:val="006B43A8"/>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6B43A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ED3B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7544"/>
    <w:pPr>
      <w:ind w:left="720"/>
      <w:contextualSpacing/>
    </w:pPr>
  </w:style>
  <w:style w:type="table" w:customStyle="1" w:styleId="PlainTable22">
    <w:name w:val="Plain Table 22"/>
    <w:basedOn w:val="TableNormal"/>
    <w:uiPriority w:val="42"/>
    <w:rsid w:val="00297D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F67E04"/>
    <w:rPr>
      <w:color w:val="0563C1" w:themeColor="hyperlink"/>
      <w:u w:val="single"/>
    </w:rPr>
  </w:style>
  <w:style w:type="table" w:styleId="PlainTable2">
    <w:name w:val="Plain Table 2"/>
    <w:basedOn w:val="TableNormal"/>
    <w:uiPriority w:val="42"/>
    <w:rsid w:val="00E2660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0539DE"/>
    <w:rPr>
      <w:color w:val="605E5C"/>
      <w:shd w:val="clear" w:color="auto" w:fill="E1DFDD"/>
    </w:rPr>
  </w:style>
  <w:style w:type="paragraph" w:styleId="Header">
    <w:name w:val="header"/>
    <w:basedOn w:val="Normal"/>
    <w:link w:val="HeaderChar"/>
    <w:uiPriority w:val="99"/>
    <w:unhideWhenUsed/>
    <w:rsid w:val="00B92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44B"/>
  </w:style>
  <w:style w:type="paragraph" w:styleId="Footer">
    <w:name w:val="footer"/>
    <w:basedOn w:val="Normal"/>
    <w:link w:val="FooterChar"/>
    <w:uiPriority w:val="99"/>
    <w:unhideWhenUsed/>
    <w:rsid w:val="00B92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3962">
      <w:bodyDiv w:val="1"/>
      <w:marLeft w:val="0"/>
      <w:marRight w:val="0"/>
      <w:marTop w:val="0"/>
      <w:marBottom w:val="0"/>
      <w:divBdr>
        <w:top w:val="none" w:sz="0" w:space="0" w:color="auto"/>
        <w:left w:val="none" w:sz="0" w:space="0" w:color="auto"/>
        <w:bottom w:val="none" w:sz="0" w:space="0" w:color="auto"/>
        <w:right w:val="none" w:sz="0" w:space="0" w:color="auto"/>
      </w:divBdr>
    </w:div>
    <w:div w:id="44183657">
      <w:bodyDiv w:val="1"/>
      <w:marLeft w:val="0"/>
      <w:marRight w:val="0"/>
      <w:marTop w:val="0"/>
      <w:marBottom w:val="0"/>
      <w:divBdr>
        <w:top w:val="none" w:sz="0" w:space="0" w:color="auto"/>
        <w:left w:val="none" w:sz="0" w:space="0" w:color="auto"/>
        <w:bottom w:val="none" w:sz="0" w:space="0" w:color="auto"/>
        <w:right w:val="none" w:sz="0" w:space="0" w:color="auto"/>
      </w:divBdr>
    </w:div>
    <w:div w:id="204566476">
      <w:bodyDiv w:val="1"/>
      <w:marLeft w:val="0"/>
      <w:marRight w:val="0"/>
      <w:marTop w:val="0"/>
      <w:marBottom w:val="0"/>
      <w:divBdr>
        <w:top w:val="none" w:sz="0" w:space="0" w:color="auto"/>
        <w:left w:val="none" w:sz="0" w:space="0" w:color="auto"/>
        <w:bottom w:val="none" w:sz="0" w:space="0" w:color="auto"/>
        <w:right w:val="none" w:sz="0" w:space="0" w:color="auto"/>
      </w:divBdr>
    </w:div>
    <w:div w:id="515927846">
      <w:bodyDiv w:val="1"/>
      <w:marLeft w:val="0"/>
      <w:marRight w:val="0"/>
      <w:marTop w:val="0"/>
      <w:marBottom w:val="0"/>
      <w:divBdr>
        <w:top w:val="none" w:sz="0" w:space="0" w:color="auto"/>
        <w:left w:val="none" w:sz="0" w:space="0" w:color="auto"/>
        <w:bottom w:val="none" w:sz="0" w:space="0" w:color="auto"/>
        <w:right w:val="none" w:sz="0" w:space="0" w:color="auto"/>
      </w:divBdr>
    </w:div>
    <w:div w:id="673382919">
      <w:bodyDiv w:val="1"/>
      <w:marLeft w:val="0"/>
      <w:marRight w:val="0"/>
      <w:marTop w:val="0"/>
      <w:marBottom w:val="0"/>
      <w:divBdr>
        <w:top w:val="none" w:sz="0" w:space="0" w:color="auto"/>
        <w:left w:val="none" w:sz="0" w:space="0" w:color="auto"/>
        <w:bottom w:val="none" w:sz="0" w:space="0" w:color="auto"/>
        <w:right w:val="none" w:sz="0" w:space="0" w:color="auto"/>
      </w:divBdr>
    </w:div>
    <w:div w:id="863131321">
      <w:bodyDiv w:val="1"/>
      <w:marLeft w:val="0"/>
      <w:marRight w:val="0"/>
      <w:marTop w:val="0"/>
      <w:marBottom w:val="0"/>
      <w:divBdr>
        <w:top w:val="none" w:sz="0" w:space="0" w:color="auto"/>
        <w:left w:val="none" w:sz="0" w:space="0" w:color="auto"/>
        <w:bottom w:val="none" w:sz="0" w:space="0" w:color="auto"/>
        <w:right w:val="none" w:sz="0" w:space="0" w:color="auto"/>
      </w:divBdr>
    </w:div>
    <w:div w:id="915286682">
      <w:bodyDiv w:val="1"/>
      <w:marLeft w:val="0"/>
      <w:marRight w:val="0"/>
      <w:marTop w:val="0"/>
      <w:marBottom w:val="0"/>
      <w:divBdr>
        <w:top w:val="none" w:sz="0" w:space="0" w:color="auto"/>
        <w:left w:val="none" w:sz="0" w:space="0" w:color="auto"/>
        <w:bottom w:val="none" w:sz="0" w:space="0" w:color="auto"/>
        <w:right w:val="none" w:sz="0" w:space="0" w:color="auto"/>
      </w:divBdr>
    </w:div>
    <w:div w:id="1033269313">
      <w:bodyDiv w:val="1"/>
      <w:marLeft w:val="0"/>
      <w:marRight w:val="0"/>
      <w:marTop w:val="0"/>
      <w:marBottom w:val="0"/>
      <w:divBdr>
        <w:top w:val="none" w:sz="0" w:space="0" w:color="auto"/>
        <w:left w:val="none" w:sz="0" w:space="0" w:color="auto"/>
        <w:bottom w:val="none" w:sz="0" w:space="0" w:color="auto"/>
        <w:right w:val="none" w:sz="0" w:space="0" w:color="auto"/>
      </w:divBdr>
    </w:div>
    <w:div w:id="1093937701">
      <w:bodyDiv w:val="1"/>
      <w:marLeft w:val="0"/>
      <w:marRight w:val="0"/>
      <w:marTop w:val="0"/>
      <w:marBottom w:val="0"/>
      <w:divBdr>
        <w:top w:val="none" w:sz="0" w:space="0" w:color="auto"/>
        <w:left w:val="none" w:sz="0" w:space="0" w:color="auto"/>
        <w:bottom w:val="none" w:sz="0" w:space="0" w:color="auto"/>
        <w:right w:val="none" w:sz="0" w:space="0" w:color="auto"/>
      </w:divBdr>
    </w:div>
    <w:div w:id="1263495517">
      <w:bodyDiv w:val="1"/>
      <w:marLeft w:val="0"/>
      <w:marRight w:val="0"/>
      <w:marTop w:val="0"/>
      <w:marBottom w:val="0"/>
      <w:divBdr>
        <w:top w:val="none" w:sz="0" w:space="0" w:color="auto"/>
        <w:left w:val="none" w:sz="0" w:space="0" w:color="auto"/>
        <w:bottom w:val="none" w:sz="0" w:space="0" w:color="auto"/>
        <w:right w:val="none" w:sz="0" w:space="0" w:color="auto"/>
      </w:divBdr>
    </w:div>
    <w:div w:id="1350446589">
      <w:bodyDiv w:val="1"/>
      <w:marLeft w:val="0"/>
      <w:marRight w:val="0"/>
      <w:marTop w:val="0"/>
      <w:marBottom w:val="0"/>
      <w:divBdr>
        <w:top w:val="none" w:sz="0" w:space="0" w:color="auto"/>
        <w:left w:val="none" w:sz="0" w:space="0" w:color="auto"/>
        <w:bottom w:val="none" w:sz="0" w:space="0" w:color="auto"/>
        <w:right w:val="none" w:sz="0" w:space="0" w:color="auto"/>
      </w:divBdr>
    </w:div>
    <w:div w:id="1385373247">
      <w:bodyDiv w:val="1"/>
      <w:marLeft w:val="0"/>
      <w:marRight w:val="0"/>
      <w:marTop w:val="0"/>
      <w:marBottom w:val="0"/>
      <w:divBdr>
        <w:top w:val="none" w:sz="0" w:space="0" w:color="auto"/>
        <w:left w:val="none" w:sz="0" w:space="0" w:color="auto"/>
        <w:bottom w:val="none" w:sz="0" w:space="0" w:color="auto"/>
        <w:right w:val="none" w:sz="0" w:space="0" w:color="auto"/>
      </w:divBdr>
    </w:div>
    <w:div w:id="1419328584">
      <w:bodyDiv w:val="1"/>
      <w:marLeft w:val="0"/>
      <w:marRight w:val="0"/>
      <w:marTop w:val="0"/>
      <w:marBottom w:val="0"/>
      <w:divBdr>
        <w:top w:val="none" w:sz="0" w:space="0" w:color="auto"/>
        <w:left w:val="none" w:sz="0" w:space="0" w:color="auto"/>
        <w:bottom w:val="none" w:sz="0" w:space="0" w:color="auto"/>
        <w:right w:val="none" w:sz="0" w:space="0" w:color="auto"/>
      </w:divBdr>
    </w:div>
    <w:div w:id="1592546142">
      <w:bodyDiv w:val="1"/>
      <w:marLeft w:val="0"/>
      <w:marRight w:val="0"/>
      <w:marTop w:val="0"/>
      <w:marBottom w:val="0"/>
      <w:divBdr>
        <w:top w:val="none" w:sz="0" w:space="0" w:color="auto"/>
        <w:left w:val="none" w:sz="0" w:space="0" w:color="auto"/>
        <w:bottom w:val="none" w:sz="0" w:space="0" w:color="auto"/>
        <w:right w:val="none" w:sz="0" w:space="0" w:color="auto"/>
      </w:divBdr>
    </w:div>
    <w:div w:id="1599171852">
      <w:bodyDiv w:val="1"/>
      <w:marLeft w:val="0"/>
      <w:marRight w:val="0"/>
      <w:marTop w:val="0"/>
      <w:marBottom w:val="0"/>
      <w:divBdr>
        <w:top w:val="none" w:sz="0" w:space="0" w:color="auto"/>
        <w:left w:val="none" w:sz="0" w:space="0" w:color="auto"/>
        <w:bottom w:val="none" w:sz="0" w:space="0" w:color="auto"/>
        <w:right w:val="none" w:sz="0" w:space="0" w:color="auto"/>
      </w:divBdr>
    </w:div>
    <w:div w:id="1617178265">
      <w:bodyDiv w:val="1"/>
      <w:marLeft w:val="0"/>
      <w:marRight w:val="0"/>
      <w:marTop w:val="0"/>
      <w:marBottom w:val="0"/>
      <w:divBdr>
        <w:top w:val="none" w:sz="0" w:space="0" w:color="auto"/>
        <w:left w:val="none" w:sz="0" w:space="0" w:color="auto"/>
        <w:bottom w:val="none" w:sz="0" w:space="0" w:color="auto"/>
        <w:right w:val="none" w:sz="0" w:space="0" w:color="auto"/>
      </w:divBdr>
    </w:div>
    <w:div w:id="1768385290">
      <w:bodyDiv w:val="1"/>
      <w:marLeft w:val="0"/>
      <w:marRight w:val="0"/>
      <w:marTop w:val="0"/>
      <w:marBottom w:val="0"/>
      <w:divBdr>
        <w:top w:val="none" w:sz="0" w:space="0" w:color="auto"/>
        <w:left w:val="none" w:sz="0" w:space="0" w:color="auto"/>
        <w:bottom w:val="none" w:sz="0" w:space="0" w:color="auto"/>
        <w:right w:val="none" w:sz="0" w:space="0" w:color="auto"/>
      </w:divBdr>
    </w:div>
    <w:div w:id="1912080302">
      <w:bodyDiv w:val="1"/>
      <w:marLeft w:val="0"/>
      <w:marRight w:val="0"/>
      <w:marTop w:val="0"/>
      <w:marBottom w:val="0"/>
      <w:divBdr>
        <w:top w:val="none" w:sz="0" w:space="0" w:color="auto"/>
        <w:left w:val="none" w:sz="0" w:space="0" w:color="auto"/>
        <w:bottom w:val="none" w:sz="0" w:space="0" w:color="auto"/>
        <w:right w:val="none" w:sz="0" w:space="0" w:color="auto"/>
      </w:divBdr>
    </w:div>
    <w:div w:id="1970473580">
      <w:bodyDiv w:val="1"/>
      <w:marLeft w:val="0"/>
      <w:marRight w:val="0"/>
      <w:marTop w:val="0"/>
      <w:marBottom w:val="0"/>
      <w:divBdr>
        <w:top w:val="none" w:sz="0" w:space="0" w:color="auto"/>
        <w:left w:val="none" w:sz="0" w:space="0" w:color="auto"/>
        <w:bottom w:val="none" w:sz="0" w:space="0" w:color="auto"/>
        <w:right w:val="none" w:sz="0" w:space="0" w:color="auto"/>
      </w:divBdr>
    </w:div>
    <w:div w:id="199656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6970/2022.28.1.16" TargetMode="External"/><Relationship Id="rId18" Type="http://schemas.openxmlformats.org/officeDocument/2006/relationships/hyperlink" Target="https://doi.org/10.1016/j.indmarman.2020.03.012" TargetMode="External"/><Relationship Id="rId26" Type="http://schemas.openxmlformats.org/officeDocument/2006/relationships/hyperlink" Target="https://doi.org/10.1002/sej.1291" TargetMode="External"/><Relationship Id="rId39" Type="http://schemas.openxmlformats.org/officeDocument/2006/relationships/hyperlink" Target="https://doi.org/10.1108/RAUSP-01-2019-0014" TargetMode="External"/><Relationship Id="rId3" Type="http://schemas.openxmlformats.org/officeDocument/2006/relationships/settings" Target="settings.xml"/><Relationship Id="rId21" Type="http://schemas.openxmlformats.org/officeDocument/2006/relationships/hyperlink" Target="https://doi.org/10.1108/JABS-11-2017-0206" TargetMode="External"/><Relationship Id="rId34" Type="http://schemas.openxmlformats.org/officeDocument/2006/relationships/hyperlink" Target="https://doi.org/10.1002/sej.1325" TargetMode="External"/><Relationship Id="rId42" Type="http://schemas.openxmlformats.org/officeDocument/2006/relationships/hyperlink" Target="https://doi.org/10.1002/smj.3193"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B.Sc" TargetMode="External"/><Relationship Id="rId12" Type="http://schemas.openxmlformats.org/officeDocument/2006/relationships/hyperlink" Target="https://doi.org/10.1007/s11747-017-0574-1" TargetMode="External"/><Relationship Id="rId17" Type="http://schemas.openxmlformats.org/officeDocument/2006/relationships/hyperlink" Target="https://doi.org/10.1108/IJEBR-04-2017-0132" TargetMode="External"/><Relationship Id="rId25" Type="http://schemas.openxmlformats.org/officeDocument/2006/relationships/hyperlink" Target="https://doi.org/10.1108/BIJ-02-2017-0024" TargetMode="External"/><Relationship Id="rId33" Type="http://schemas.openxmlformats.org/officeDocument/2006/relationships/hyperlink" Target="https://doi.org/10.1186/s40497-018-0143-1" TargetMode="External"/><Relationship Id="rId38" Type="http://schemas.openxmlformats.org/officeDocument/2006/relationships/hyperlink" Target="https://doi.org/10.1002/smj.3042"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08/JSMA-12-2019-0223" TargetMode="External"/><Relationship Id="rId20" Type="http://schemas.openxmlformats.org/officeDocument/2006/relationships/hyperlink" Target="https://doi.org/10.1080/23311975.2023.2220209" TargetMode="External"/><Relationship Id="rId29" Type="http://schemas.openxmlformats.org/officeDocument/2006/relationships/hyperlink" Target="https://doi.org/10.1108/IJEBR-01-2023-0012" TargetMode="External"/><Relationship Id="rId41" Type="http://schemas.openxmlformats.org/officeDocument/2006/relationships/hyperlink" Target="https://doi.org/10.1002/sej.13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ftr.2022.100075" TargetMode="External"/><Relationship Id="rId24" Type="http://schemas.openxmlformats.org/officeDocument/2006/relationships/hyperlink" Target="https://doi.org/10.1016/j.techfore.2022.121599" TargetMode="External"/><Relationship Id="rId32" Type="http://schemas.openxmlformats.org/officeDocument/2006/relationships/hyperlink" Target="https://doi.org/10.51594/ijarss.v6i8.1478" TargetMode="External"/><Relationship Id="rId37" Type="http://schemas.openxmlformats.org/officeDocument/2006/relationships/hyperlink" Target="https://doi.org/10.1016/j.indmarman.2022.03.013" TargetMode="External"/><Relationship Id="rId40" Type="http://schemas.openxmlformats.org/officeDocument/2006/relationships/hyperlink" Target="https://doi.org/10.1111/isj.12497"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08/IJEBR-06-2021-0518" TargetMode="External"/><Relationship Id="rId23" Type="http://schemas.openxmlformats.org/officeDocument/2006/relationships/hyperlink" Target="https://doi.org/10.1177/001316447003000308" TargetMode="External"/><Relationship Id="rId28" Type="http://schemas.openxmlformats.org/officeDocument/2006/relationships/hyperlink" Target="https://doi.org/10.4324/9781003179566" TargetMode="External"/><Relationship Id="rId36" Type="http://schemas.openxmlformats.org/officeDocument/2006/relationships/hyperlink" Target="https://doi.org/10.1016/j.indmarman.2022.03.013" TargetMode="External"/><Relationship Id="rId49" Type="http://schemas.openxmlformats.org/officeDocument/2006/relationships/fontTable" Target="fontTable.xml"/><Relationship Id="rId10" Type="http://schemas.openxmlformats.org/officeDocument/2006/relationships/hyperlink" Target="https://doi.org/10.61552/JEMIT.2025.03.004" TargetMode="External"/><Relationship Id="rId19" Type="http://schemas.openxmlformats.org/officeDocument/2006/relationships/hyperlink" Target="https://doi.org/10.1016/j.joitmc.2023.100039" TargetMode="External"/><Relationship Id="rId31" Type="http://schemas.openxmlformats.org/officeDocument/2006/relationships/hyperlink" Target="https://doi.org/10.1111/jsbm.12305"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jbusres.2019.06.004" TargetMode="External"/><Relationship Id="rId14" Type="http://schemas.openxmlformats.org/officeDocument/2006/relationships/hyperlink" Target="https://doi.org/10.1108/MRR-07-2016-0173" TargetMode="External"/><Relationship Id="rId22" Type="http://schemas.openxmlformats.org/officeDocument/2006/relationships/hyperlink" Target="https://doi.org/10.1108/EJM-06-2017-0402" TargetMode="External"/><Relationship Id="rId27" Type="http://schemas.openxmlformats.org/officeDocument/2006/relationships/hyperlink" Target="https://doi.org/10.1016/j.indmarman.2016.09.007" TargetMode="External"/><Relationship Id="rId30" Type="http://schemas.openxmlformats.org/officeDocument/2006/relationships/hyperlink" Target="https://doi.org/10.2307/1251757" TargetMode="External"/><Relationship Id="rId35" Type="http://schemas.openxmlformats.org/officeDocument/2006/relationships/hyperlink" Target="https://doi.org/10.1177/1467358419829179"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M.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5324</Words>
  <Characters>30348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2025-07-14T13:01:00Z</dcterms:created>
  <dcterms:modified xsi:type="dcterms:W3CDTF">2025-07-14T13:04:00Z</dcterms:modified>
</cp:coreProperties>
</file>