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5F98" w14:textId="1054F9DB" w:rsidR="00DA5567" w:rsidRPr="009C09C4" w:rsidRDefault="00636F44" w:rsidP="002A4F24">
      <w:pPr>
        <w:spacing w:after="0" w:line="240" w:lineRule="auto"/>
        <w:jc w:val="center"/>
        <w:outlineLvl w:val="0"/>
        <w:rPr>
          <w:rFonts w:ascii="Times New Roman" w:hAnsi="Times New Roman" w:cs="Times New Roman"/>
        </w:rPr>
      </w:pPr>
      <w:r w:rsidRPr="00636F44">
        <w:rPr>
          <w:rFonts w:ascii="Times New Roman" w:hAnsi="Times New Roman" w:cs="Times New Roman"/>
          <w:b/>
          <w:bCs/>
          <w:sz w:val="28"/>
          <w:szCs w:val="28"/>
          <w:highlight w:val="yellow"/>
        </w:rPr>
        <w:t>An Analysis of Specific Nutritional Interventions as a Regional Development Program and Their Impact on Stunting Prevalence in Batu Bara Regency</w:t>
      </w:r>
    </w:p>
    <w:p w14:paraId="3E306F91" w14:textId="34224B69" w:rsidR="00101FB6" w:rsidRPr="009C09C4" w:rsidRDefault="008E65AB" w:rsidP="00101FB6">
      <w:pPr>
        <w:spacing w:after="120" w:line="240" w:lineRule="auto"/>
        <w:jc w:val="center"/>
        <w:rPr>
          <w:rFonts w:ascii="Times New Roman" w:hAnsi="Times New Roman" w:cs="Times New Roman"/>
          <w:b/>
          <w:bCs/>
        </w:rPr>
      </w:pPr>
      <w:r w:rsidRPr="009C09C4">
        <w:rPr>
          <w:rFonts w:ascii="Times New Roman" w:hAnsi="Times New Roman" w:cs="Times New Roman"/>
          <w:b/>
          <w:bCs/>
        </w:rPr>
        <w:t>Abstract</w:t>
      </w:r>
    </w:p>
    <w:p w14:paraId="13D61464" w14:textId="651129F8" w:rsidR="008E65AB" w:rsidRPr="009C09C4" w:rsidRDefault="003B6D1C" w:rsidP="00075AE4">
      <w:pPr>
        <w:spacing w:after="120" w:line="240" w:lineRule="auto"/>
        <w:jc w:val="both"/>
        <w:rPr>
          <w:rFonts w:ascii="Times New Roman" w:hAnsi="Times New Roman" w:cs="Times New Roman"/>
        </w:rPr>
      </w:pPr>
      <w:r w:rsidRPr="009C09C4">
        <w:rPr>
          <w:rFonts w:ascii="Times New Roman" w:hAnsi="Times New Roman" w:cs="Times New Roman"/>
        </w:rPr>
        <w:t xml:space="preserve">Stunting is a persistent public health issue in Indonesia, particularly in districts such as Batu Bara, which has historically reported high prevalence rates. This study examines the effectiveness of specific nutritional interventions—namely Vitamin A supplementation and supplementary feeding—in reducing stunting prevalence from 2021 to 2023. Utilizing a cross-sectional design, secondary data from 12 sub-districts were analyzed through multiple regression modeling using EViews version 10, employing the Fixed Effect Model to determine statistical significance. Results indicate a substantial reduction in stunting prevalence, from 30.9% in 2021 to 15.7% in 2023. Vitamin A supplementation coverage reached 87.6%, while supplementary feeding achieved 78.6% coverage. Both interventions were found to significantly contribute to stunting reduction (p &lt; 0.05), with the most notable impact observed in </w:t>
      </w:r>
      <w:proofErr w:type="spellStart"/>
      <w:r w:rsidRPr="009C09C4">
        <w:rPr>
          <w:rFonts w:ascii="Times New Roman" w:hAnsi="Times New Roman" w:cs="Times New Roman"/>
        </w:rPr>
        <w:t>Medang</w:t>
      </w:r>
      <w:proofErr w:type="spellEnd"/>
      <w:r w:rsidRPr="009C09C4">
        <w:rPr>
          <w:rFonts w:ascii="Times New Roman" w:hAnsi="Times New Roman" w:cs="Times New Roman"/>
        </w:rPr>
        <w:t xml:space="preserve"> Deras and Ujung Kubu. These findings underscore the importance of sustained inter-sectoral coordination and community engagement to close implementation gaps and meet Indonesia’s national target of 14% by 2024.</w:t>
      </w:r>
    </w:p>
    <w:p w14:paraId="16D8ED83" w14:textId="4B795EA6" w:rsidR="008E65AB" w:rsidRPr="009C09C4" w:rsidRDefault="008E65AB" w:rsidP="00075AE4">
      <w:pPr>
        <w:spacing w:after="120" w:line="240" w:lineRule="auto"/>
        <w:jc w:val="both"/>
        <w:rPr>
          <w:rFonts w:ascii="Times New Roman" w:hAnsi="Times New Roman" w:cs="Times New Roman"/>
        </w:rPr>
      </w:pPr>
      <w:r w:rsidRPr="009C09C4">
        <w:rPr>
          <w:rFonts w:ascii="Times New Roman" w:hAnsi="Times New Roman" w:cs="Times New Roman"/>
          <w:b/>
          <w:bCs/>
        </w:rPr>
        <w:t>Keywords:</w:t>
      </w:r>
      <w:r w:rsidRPr="009C09C4">
        <w:rPr>
          <w:rFonts w:ascii="Times New Roman" w:hAnsi="Times New Roman" w:cs="Times New Roman"/>
        </w:rPr>
        <w:t xml:space="preserve"> </w:t>
      </w:r>
      <w:r w:rsidR="003B6D1C" w:rsidRPr="009C09C4">
        <w:rPr>
          <w:rFonts w:ascii="Times New Roman" w:hAnsi="Times New Roman" w:cs="Times New Roman"/>
        </w:rPr>
        <w:t>Stunting, Vitamin A, Nutritional Interventions, Supplementary Feeding, Public Health, Indonesia, Batu Bara</w:t>
      </w:r>
    </w:p>
    <w:p w14:paraId="26772C2A" w14:textId="77777777" w:rsidR="008E65AB" w:rsidRPr="009C09C4" w:rsidRDefault="008E65AB" w:rsidP="00075AE4">
      <w:pPr>
        <w:spacing w:after="120" w:line="240" w:lineRule="auto"/>
        <w:jc w:val="both"/>
        <w:rPr>
          <w:rFonts w:ascii="Times New Roman" w:hAnsi="Times New Roman" w:cs="Times New Roman"/>
        </w:rPr>
      </w:pPr>
    </w:p>
    <w:p w14:paraId="47E4980B" w14:textId="585FA8B1" w:rsidR="008E65AB" w:rsidRPr="009C09C4" w:rsidRDefault="008E65AB" w:rsidP="009C09C4">
      <w:pPr>
        <w:pStyle w:val="ListParagraph"/>
        <w:numPr>
          <w:ilvl w:val="0"/>
          <w:numId w:val="13"/>
        </w:numPr>
        <w:spacing w:after="120" w:line="240" w:lineRule="auto"/>
        <w:jc w:val="both"/>
        <w:rPr>
          <w:rFonts w:ascii="Times New Roman" w:hAnsi="Times New Roman" w:cs="Times New Roman"/>
          <w:b/>
          <w:bCs/>
        </w:rPr>
      </w:pPr>
      <w:r w:rsidRPr="009C09C4">
        <w:rPr>
          <w:rFonts w:ascii="Times New Roman" w:hAnsi="Times New Roman" w:cs="Times New Roman"/>
          <w:b/>
          <w:bCs/>
        </w:rPr>
        <w:t>Introduction</w:t>
      </w:r>
    </w:p>
    <w:p w14:paraId="5A309055" w14:textId="1210DA92"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Stunting is a chronic linear growth disorder that serves not only as an indicator of long-term nutritional deficiency but also as a reflection of broader socio-economic disparities. The World Health Organization (WHO) defines stunting as a child's height being more than two standard deviations below the median height-for-age and has consistently linked it to diminished cognitive development, economic productivity, and long-term health outcomes (</w:t>
      </w:r>
      <w:r w:rsidR="00B401DA" w:rsidRPr="009C09C4">
        <w:rPr>
          <w:rFonts w:ascii="Times New Roman" w:hAnsi="Times New Roman" w:cs="Times New Roman"/>
        </w:rPr>
        <w:t>Deshpande,</w:t>
      </w:r>
      <w:r w:rsidRPr="009C09C4">
        <w:rPr>
          <w:rFonts w:ascii="Times New Roman" w:hAnsi="Times New Roman" w:cs="Times New Roman"/>
        </w:rPr>
        <w:t xml:space="preserve"> 202</w:t>
      </w:r>
      <w:r w:rsidR="00B401DA" w:rsidRPr="009C09C4">
        <w:rPr>
          <w:rFonts w:ascii="Times New Roman" w:hAnsi="Times New Roman" w:cs="Times New Roman"/>
        </w:rPr>
        <w:t xml:space="preserve">2, </w:t>
      </w:r>
      <w:proofErr w:type="spellStart"/>
      <w:r w:rsidR="00B401DA" w:rsidRPr="009C09C4">
        <w:rPr>
          <w:rFonts w:ascii="Times New Roman" w:hAnsi="Times New Roman" w:cs="Times New Roman"/>
        </w:rPr>
        <w:t>Ekholuenetale</w:t>
      </w:r>
      <w:proofErr w:type="spellEnd"/>
      <w:r w:rsidR="00B401DA" w:rsidRPr="009C09C4">
        <w:rPr>
          <w:rFonts w:ascii="Times New Roman" w:hAnsi="Times New Roman" w:cs="Times New Roman"/>
        </w:rPr>
        <w:t>., 2020</w:t>
      </w:r>
      <w:r w:rsidRPr="009C09C4">
        <w:rPr>
          <w:rFonts w:ascii="Times New Roman" w:hAnsi="Times New Roman" w:cs="Times New Roman"/>
        </w:rPr>
        <w:t>).</w:t>
      </w:r>
    </w:p>
    <w:p w14:paraId="5ED4BCB7" w14:textId="6BC9D36F"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 xml:space="preserve">Indonesia is among the countries with the highest burden of stunting globally, with a national prevalence of 21.6% in 2022 according to the Indonesian Nutrition Status Survey (SSGI). The Indonesian government, through national policy instruments including Presidential Regulation No. 72 of 2021, aims to reduce this figure to 14% by the end of 2024. The role of local governments is particularly pivotal, as the implementation of nutritional programs occurs at the community and household levels </w:t>
      </w:r>
      <w:r w:rsidR="003A1A4B" w:rsidRPr="009C09C4">
        <w:rPr>
          <w:rFonts w:ascii="Times New Roman" w:hAnsi="Times New Roman" w:cs="Times New Roman"/>
          <w:highlight w:val="yellow"/>
        </w:rPr>
        <w:t>(</w:t>
      </w:r>
      <w:proofErr w:type="spellStart"/>
      <w:r w:rsidR="003A1A4B" w:rsidRPr="009C09C4">
        <w:rPr>
          <w:rFonts w:ascii="Times New Roman" w:hAnsi="Times New Roman" w:cs="Times New Roman"/>
          <w:highlight w:val="yellow"/>
        </w:rPr>
        <w:t>Morcel</w:t>
      </w:r>
      <w:proofErr w:type="spellEnd"/>
      <w:r w:rsidR="003A1A4B" w:rsidRPr="009C09C4">
        <w:rPr>
          <w:rFonts w:ascii="Times New Roman" w:hAnsi="Times New Roman" w:cs="Times New Roman"/>
          <w:highlight w:val="yellow"/>
        </w:rPr>
        <w:t>, 2022)</w:t>
      </w:r>
      <w:r w:rsidRPr="009C09C4">
        <w:rPr>
          <w:rFonts w:ascii="Times New Roman" w:hAnsi="Times New Roman" w:cs="Times New Roman"/>
          <w:highlight w:val="yellow"/>
        </w:rPr>
        <w:t>.</w:t>
      </w:r>
    </w:p>
    <w:p w14:paraId="3CACD18C" w14:textId="4ECCBD5E"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Stunting has a multifactorial etiology, encompassing biomedical, behavioral, and environmental dimensions. Multiple studies have identified critical risk factors contributing to stunting in Indonesia, such as maternal chronic energy deficiency (CED) during pregnancy, suboptimal exclusive breastfeeding practices, poor sanitation, and limited household nutritional knowledge (</w:t>
      </w:r>
      <w:r w:rsidR="00B401DA" w:rsidRPr="009C09C4">
        <w:rPr>
          <w:rFonts w:ascii="Times New Roman" w:hAnsi="Times New Roman" w:cs="Times New Roman"/>
        </w:rPr>
        <w:t>Wati</w:t>
      </w:r>
      <w:r w:rsidRPr="009C09C4">
        <w:rPr>
          <w:rFonts w:ascii="Times New Roman" w:hAnsi="Times New Roman" w:cs="Times New Roman"/>
        </w:rPr>
        <w:t>., 202</w:t>
      </w:r>
      <w:r w:rsidR="00B401DA" w:rsidRPr="009C09C4">
        <w:rPr>
          <w:rFonts w:ascii="Times New Roman" w:hAnsi="Times New Roman" w:cs="Times New Roman"/>
        </w:rPr>
        <w:t xml:space="preserve">4, </w:t>
      </w:r>
      <w:proofErr w:type="spellStart"/>
      <w:r w:rsidR="00E87A0B" w:rsidRPr="009C09C4">
        <w:rPr>
          <w:rFonts w:ascii="Times New Roman" w:hAnsi="Times New Roman" w:cs="Times New Roman"/>
        </w:rPr>
        <w:t>Rachmi</w:t>
      </w:r>
      <w:proofErr w:type="spellEnd"/>
      <w:r w:rsidR="00E87A0B" w:rsidRPr="009C09C4">
        <w:rPr>
          <w:rFonts w:ascii="Times New Roman" w:hAnsi="Times New Roman" w:cs="Times New Roman"/>
        </w:rPr>
        <w:t>., 2024</w:t>
      </w:r>
      <w:r w:rsidRPr="009C09C4">
        <w:rPr>
          <w:rFonts w:ascii="Times New Roman" w:hAnsi="Times New Roman" w:cs="Times New Roman"/>
        </w:rPr>
        <w:t>).</w:t>
      </w:r>
    </w:p>
    <w:p w14:paraId="21B6666E" w14:textId="5EDB54F5"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Vitamin A is an essential micronutrient directly involved in child growth, immune function, and ocular health. Deficiency in vitamin A not only increases vulnerability to infections but is also strongly associated with growth impairment. In Indonesia, the government implements biannual vitamin A supplementation, although coverage remains inconsistent across regions (</w:t>
      </w:r>
      <w:r w:rsidR="00E87A0B" w:rsidRPr="009C09C4">
        <w:rPr>
          <w:rFonts w:ascii="Times New Roman" w:hAnsi="Times New Roman" w:cs="Times New Roman"/>
        </w:rPr>
        <w:t>Niguse</w:t>
      </w:r>
      <w:r w:rsidRPr="009C09C4">
        <w:rPr>
          <w:rFonts w:ascii="Times New Roman" w:hAnsi="Times New Roman" w:cs="Times New Roman"/>
        </w:rPr>
        <w:t>, 20</w:t>
      </w:r>
      <w:r w:rsidR="00E87A0B" w:rsidRPr="009C09C4">
        <w:rPr>
          <w:rFonts w:ascii="Times New Roman" w:hAnsi="Times New Roman" w:cs="Times New Roman"/>
        </w:rPr>
        <w:t xml:space="preserve">21, </w:t>
      </w:r>
      <w:r w:rsidR="00B950A4" w:rsidRPr="009C09C4">
        <w:rPr>
          <w:rFonts w:ascii="Times New Roman" w:hAnsi="Times New Roman" w:cs="Times New Roman"/>
        </w:rPr>
        <w:t xml:space="preserve">WHO 2011, </w:t>
      </w:r>
      <w:proofErr w:type="spellStart"/>
      <w:r w:rsidR="00B950A4" w:rsidRPr="009C09C4">
        <w:rPr>
          <w:rFonts w:ascii="Times New Roman" w:hAnsi="Times New Roman" w:cs="Times New Roman"/>
        </w:rPr>
        <w:t>Unicef</w:t>
      </w:r>
      <w:proofErr w:type="spellEnd"/>
      <w:r w:rsidR="00B950A4" w:rsidRPr="009C09C4">
        <w:rPr>
          <w:rFonts w:ascii="Times New Roman" w:hAnsi="Times New Roman" w:cs="Times New Roman"/>
        </w:rPr>
        <w:t xml:space="preserve"> 2022</w:t>
      </w:r>
      <w:r w:rsidRPr="009C09C4">
        <w:rPr>
          <w:rFonts w:ascii="Times New Roman" w:hAnsi="Times New Roman" w:cs="Times New Roman"/>
        </w:rPr>
        <w:t>).</w:t>
      </w:r>
    </w:p>
    <w:p w14:paraId="080FE284" w14:textId="69807C18"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 xml:space="preserve">The effectiveness of vitamin A supplementation in reducing stunting has been demonstrated in various intervention trials. Research across different countries shows that regular vitamin A intake accelerates growth and strengthens immune response in children. However, program </w:t>
      </w:r>
      <w:r w:rsidRPr="009C09C4">
        <w:rPr>
          <w:rFonts w:ascii="Times New Roman" w:hAnsi="Times New Roman" w:cs="Times New Roman"/>
        </w:rPr>
        <w:lastRenderedPageBreak/>
        <w:t>success depends heavily on the consistency, coverage, and sustainability of implementation (</w:t>
      </w:r>
      <w:r w:rsidR="00B950A4" w:rsidRPr="009C09C4">
        <w:rPr>
          <w:rFonts w:ascii="Times New Roman" w:hAnsi="Times New Roman" w:cs="Times New Roman"/>
        </w:rPr>
        <w:t>Villamor</w:t>
      </w:r>
      <w:r w:rsidRPr="009C09C4">
        <w:rPr>
          <w:rFonts w:ascii="Times New Roman" w:hAnsi="Times New Roman" w:cs="Times New Roman"/>
        </w:rPr>
        <w:t>., 20</w:t>
      </w:r>
      <w:r w:rsidR="00B950A4" w:rsidRPr="009C09C4">
        <w:rPr>
          <w:rFonts w:ascii="Times New Roman" w:hAnsi="Times New Roman" w:cs="Times New Roman"/>
        </w:rPr>
        <w:t xml:space="preserve">05, </w:t>
      </w:r>
      <w:r w:rsidR="00225305" w:rsidRPr="009C09C4">
        <w:rPr>
          <w:rFonts w:ascii="Times New Roman" w:hAnsi="Times New Roman" w:cs="Times New Roman"/>
        </w:rPr>
        <w:t>Wirth., 2017</w:t>
      </w:r>
      <w:r w:rsidRPr="009C09C4">
        <w:rPr>
          <w:rFonts w:ascii="Times New Roman" w:hAnsi="Times New Roman" w:cs="Times New Roman"/>
        </w:rPr>
        <w:t>).</w:t>
      </w:r>
    </w:p>
    <w:p w14:paraId="72C9824A" w14:textId="1DB300DE"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In addition to vitamin A, supplementary feeding (PMT</w:t>
      </w:r>
      <w:r w:rsidR="000E0866" w:rsidRPr="009C09C4">
        <w:rPr>
          <w:rFonts w:ascii="Times New Roman" w:hAnsi="Times New Roman" w:cs="Times New Roman"/>
        </w:rPr>
        <w:t>/</w:t>
      </w:r>
      <w:r w:rsidR="000E0866" w:rsidRPr="009C09C4">
        <w:rPr>
          <w:rFonts w:ascii="Times New Roman" w:hAnsi="Times New Roman" w:cs="Times New Roman"/>
          <w:b/>
          <w:bCs/>
        </w:rPr>
        <w:t xml:space="preserve"> </w:t>
      </w:r>
      <w:r w:rsidR="000E0866" w:rsidRPr="009C09C4">
        <w:rPr>
          <w:rFonts w:ascii="Times New Roman" w:hAnsi="Times New Roman" w:cs="Times New Roman"/>
          <w:highlight w:val="yellow"/>
        </w:rPr>
        <w:t>Improving the nutritional status</w:t>
      </w:r>
      <w:r w:rsidRPr="009C09C4">
        <w:rPr>
          <w:rFonts w:ascii="Times New Roman" w:hAnsi="Times New Roman" w:cs="Times New Roman"/>
        </w:rPr>
        <w:t>) is a crucial component of specific nutritional interventions. PMT addresses macro- and micronutrient gaps, particularly among underprivileged children. The Indonesian Ministry of Health operationalizes this through district-level health offices targeting children under five who are at high nutritional risk (</w:t>
      </w:r>
      <w:r w:rsidR="00225305" w:rsidRPr="009C09C4">
        <w:rPr>
          <w:rFonts w:ascii="Times New Roman" w:hAnsi="Times New Roman" w:cs="Times New Roman"/>
        </w:rPr>
        <w:t>UNICEF</w:t>
      </w:r>
      <w:r w:rsidRPr="009C09C4">
        <w:rPr>
          <w:rFonts w:ascii="Times New Roman" w:hAnsi="Times New Roman" w:cs="Times New Roman"/>
        </w:rPr>
        <w:t>, 202</w:t>
      </w:r>
      <w:r w:rsidR="00225305" w:rsidRPr="009C09C4">
        <w:rPr>
          <w:rFonts w:ascii="Times New Roman" w:hAnsi="Times New Roman" w:cs="Times New Roman"/>
        </w:rPr>
        <w:t>2</w:t>
      </w:r>
      <w:r w:rsidRPr="009C09C4">
        <w:rPr>
          <w:rFonts w:ascii="Times New Roman" w:hAnsi="Times New Roman" w:cs="Times New Roman"/>
        </w:rPr>
        <w:t>).</w:t>
      </w:r>
    </w:p>
    <w:p w14:paraId="657D7800" w14:textId="5C0F838E"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Beyond nutrition-specific actions, a multisectoral approach is indispensable. Longitudinal studies in Indonesia have shown that community-based interventions involving family, health services, education, and water and sanitation improvements yield significant and sustained reductions in stunting prevalence (</w:t>
      </w:r>
      <w:r w:rsidR="00225305" w:rsidRPr="009C09C4">
        <w:rPr>
          <w:rFonts w:ascii="Times New Roman" w:hAnsi="Times New Roman" w:cs="Times New Roman"/>
        </w:rPr>
        <w:t>Rah</w:t>
      </w:r>
      <w:r w:rsidRPr="009C09C4">
        <w:rPr>
          <w:rFonts w:ascii="Times New Roman" w:hAnsi="Times New Roman" w:cs="Times New Roman"/>
        </w:rPr>
        <w:t>, 2020).</w:t>
      </w:r>
    </w:p>
    <w:p w14:paraId="3492C3F4" w14:textId="7AFA39D2"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The first 1,000 days of life—from conception to a child’s second birthday—have been identified as the most critical window for stunting prevention. Interventions during this period, including maternal nutrition, antenatal care, early initiation of breastfeeding, and complementary feeding, are vital to ensuring optimal growth and development (</w:t>
      </w:r>
      <w:proofErr w:type="spellStart"/>
      <w:r w:rsidR="00225305" w:rsidRPr="009C09C4">
        <w:rPr>
          <w:rFonts w:ascii="Times New Roman" w:hAnsi="Times New Roman" w:cs="Times New Roman"/>
        </w:rPr>
        <w:t>Torlese</w:t>
      </w:r>
      <w:proofErr w:type="spellEnd"/>
      <w:r w:rsidRPr="009C09C4">
        <w:rPr>
          <w:rFonts w:ascii="Times New Roman" w:hAnsi="Times New Roman" w:cs="Times New Roman"/>
        </w:rPr>
        <w:t>., 20</w:t>
      </w:r>
      <w:r w:rsidR="00225305" w:rsidRPr="009C09C4">
        <w:rPr>
          <w:rFonts w:ascii="Times New Roman" w:hAnsi="Times New Roman" w:cs="Times New Roman"/>
        </w:rPr>
        <w:t>21</w:t>
      </w:r>
      <w:r w:rsidRPr="009C09C4">
        <w:rPr>
          <w:rFonts w:ascii="Times New Roman" w:hAnsi="Times New Roman" w:cs="Times New Roman"/>
        </w:rPr>
        <w:t>).</w:t>
      </w:r>
    </w:p>
    <w:p w14:paraId="6EB08C7C" w14:textId="50C3D1EF" w:rsidR="003B6D1C"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However, disparities in implementation remain a major challenge. Districts with low healthcare access, inadequate health workforce distribution, and limited community engagement often struggle to meet program targets, despite national-level guidelines and support. Monitoring and evaluation mechanisms are thus essential to track intervention coverage and adapt strategies accordingly.</w:t>
      </w:r>
    </w:p>
    <w:p w14:paraId="065C6DAA" w14:textId="060A6052" w:rsidR="008E65AB" w:rsidRPr="009C09C4" w:rsidRDefault="003B6D1C" w:rsidP="003B6D1C">
      <w:pPr>
        <w:spacing w:after="120" w:line="240" w:lineRule="auto"/>
        <w:jc w:val="both"/>
        <w:rPr>
          <w:rFonts w:ascii="Times New Roman" w:hAnsi="Times New Roman" w:cs="Times New Roman"/>
        </w:rPr>
      </w:pPr>
      <w:r w:rsidRPr="009C09C4">
        <w:rPr>
          <w:rFonts w:ascii="Times New Roman" w:hAnsi="Times New Roman" w:cs="Times New Roman"/>
        </w:rPr>
        <w:t>Batu Bara District in North Sumatra, once reporting stunting rates as high as 30.9%, has been a key focus of local government interventions. With the adoption of Vitamin A supplementation and supplementary feeding integrated into district and village development plans, stunting rates have significantly declined. Nevertheless, inter-subdistrict disparities and implementation gaps necessitate further empirical evaluation to inform strategic policy decisions and ensure equitable health outcomes by 2024.</w:t>
      </w:r>
    </w:p>
    <w:p w14:paraId="240F91C7" w14:textId="77777777" w:rsidR="000E0866" w:rsidRPr="009C09C4" w:rsidRDefault="000E0866" w:rsidP="000E0866">
      <w:pPr>
        <w:spacing w:after="120" w:line="240" w:lineRule="auto"/>
        <w:jc w:val="both"/>
        <w:rPr>
          <w:rFonts w:ascii="Times New Roman" w:hAnsi="Times New Roman" w:cs="Times New Roman"/>
          <w:b/>
          <w:bCs/>
        </w:rPr>
      </w:pPr>
    </w:p>
    <w:p w14:paraId="35A7F6C9" w14:textId="5F72C48A" w:rsidR="008E65AB" w:rsidRPr="009C09C4" w:rsidRDefault="008E65AB" w:rsidP="009C09C4">
      <w:pPr>
        <w:pStyle w:val="ListParagraph"/>
        <w:numPr>
          <w:ilvl w:val="0"/>
          <w:numId w:val="13"/>
        </w:numPr>
        <w:spacing w:after="120" w:line="240" w:lineRule="auto"/>
        <w:jc w:val="both"/>
        <w:rPr>
          <w:rFonts w:ascii="Times New Roman" w:hAnsi="Times New Roman" w:cs="Times New Roman"/>
          <w:b/>
          <w:bCs/>
        </w:rPr>
      </w:pPr>
      <w:r w:rsidRPr="009C09C4">
        <w:rPr>
          <w:rFonts w:ascii="Times New Roman" w:hAnsi="Times New Roman" w:cs="Times New Roman"/>
          <w:b/>
          <w:bCs/>
        </w:rPr>
        <w:t>Methodology</w:t>
      </w:r>
    </w:p>
    <w:p w14:paraId="4A02A5AA" w14:textId="04584BF3" w:rsidR="00A27659" w:rsidRPr="009C09C4" w:rsidRDefault="00A27659" w:rsidP="00075AE4">
      <w:pPr>
        <w:spacing w:after="120" w:line="240" w:lineRule="auto"/>
        <w:jc w:val="both"/>
        <w:rPr>
          <w:rFonts w:ascii="Times New Roman" w:hAnsi="Times New Roman" w:cs="Times New Roman"/>
          <w:b/>
          <w:bCs/>
        </w:rPr>
      </w:pPr>
      <w:r w:rsidRPr="009C09C4">
        <w:rPr>
          <w:rFonts w:ascii="Times New Roman" w:hAnsi="Times New Roman" w:cs="Times New Roman"/>
          <w:b/>
          <w:bCs/>
        </w:rPr>
        <w:t>Research Approach and Design</w:t>
      </w:r>
    </w:p>
    <w:p w14:paraId="5D0AF78F" w14:textId="621CCA67" w:rsidR="008E65AB" w:rsidRPr="009C09C4" w:rsidRDefault="00A27659" w:rsidP="00075AE4">
      <w:pPr>
        <w:spacing w:after="120" w:line="240" w:lineRule="auto"/>
        <w:jc w:val="both"/>
        <w:rPr>
          <w:rFonts w:ascii="Times New Roman" w:hAnsi="Times New Roman" w:cs="Times New Roman"/>
        </w:rPr>
      </w:pPr>
      <w:r w:rsidRPr="009C09C4">
        <w:rPr>
          <w:rFonts w:ascii="Times New Roman" w:hAnsi="Times New Roman" w:cs="Times New Roman"/>
        </w:rPr>
        <w:t>This study utilized a quantitative cross-sectional research design to examine the relationship between specific nutritional interventions and stunting prevalence in Batu Bara District. A cross-sectional approach was chosen to capture a snapshot of intervention implementation and its outcomes across all 12 sub-districts during the year 2023</w:t>
      </w:r>
      <w:r w:rsidR="008E65AB" w:rsidRPr="009C09C4">
        <w:rPr>
          <w:rFonts w:ascii="Times New Roman" w:hAnsi="Times New Roman" w:cs="Times New Roman"/>
        </w:rPr>
        <w:t>.</w:t>
      </w:r>
    </w:p>
    <w:p w14:paraId="058DC736" w14:textId="2B200469" w:rsidR="00A27659" w:rsidRPr="009C09C4" w:rsidRDefault="00A27659" w:rsidP="00075AE4">
      <w:pPr>
        <w:spacing w:after="120" w:line="240" w:lineRule="auto"/>
        <w:jc w:val="both"/>
        <w:rPr>
          <w:rFonts w:ascii="Times New Roman" w:hAnsi="Times New Roman" w:cs="Times New Roman"/>
        </w:rPr>
      </w:pPr>
    </w:p>
    <w:p w14:paraId="7893F34A" w14:textId="4A6655C9" w:rsidR="000E0866" w:rsidRPr="009C09C4" w:rsidRDefault="000E0866" w:rsidP="000E0866">
      <w:pPr>
        <w:spacing w:after="120" w:line="240" w:lineRule="auto"/>
        <w:jc w:val="both"/>
        <w:rPr>
          <w:rFonts w:ascii="Times New Roman" w:hAnsi="Times New Roman" w:cs="Times New Roman"/>
          <w:b/>
          <w:bCs/>
        </w:rPr>
      </w:pPr>
      <w:r w:rsidRPr="009C09C4">
        <w:rPr>
          <w:rFonts w:ascii="Times New Roman" w:hAnsi="Times New Roman" w:cs="Times New Roman"/>
          <w:b/>
          <w:bCs/>
        </w:rPr>
        <w:t xml:space="preserve">Research Area, </w:t>
      </w:r>
      <w:r w:rsidR="00A27659" w:rsidRPr="009C09C4">
        <w:rPr>
          <w:rFonts w:ascii="Times New Roman" w:hAnsi="Times New Roman" w:cs="Times New Roman"/>
          <w:b/>
          <w:bCs/>
        </w:rPr>
        <w:t>Population and Sample</w:t>
      </w:r>
    </w:p>
    <w:p w14:paraId="04FBCFEB" w14:textId="5EDA524B" w:rsidR="000E0866" w:rsidRPr="009C09C4" w:rsidRDefault="000E0866" w:rsidP="000E0866">
      <w:pPr>
        <w:spacing w:after="120" w:line="240" w:lineRule="auto"/>
        <w:jc w:val="both"/>
        <w:rPr>
          <w:rFonts w:ascii="Times New Roman" w:hAnsi="Times New Roman" w:cs="Times New Roman"/>
        </w:rPr>
      </w:pPr>
      <w:r w:rsidRPr="009C09C4">
        <w:rPr>
          <w:rFonts w:ascii="Times New Roman" w:hAnsi="Times New Roman" w:cs="Times New Roman"/>
        </w:rPr>
        <w:t xml:space="preserve">Batu Bara Regency is one of the regencies located in North Sumatra Province, Indonesia. Strategically positioned along the eastern coastline, it is bordered by </w:t>
      </w:r>
      <w:proofErr w:type="spellStart"/>
      <w:r w:rsidRPr="009C09C4">
        <w:rPr>
          <w:rFonts w:ascii="Times New Roman" w:hAnsi="Times New Roman" w:cs="Times New Roman"/>
        </w:rPr>
        <w:t>Asahan</w:t>
      </w:r>
      <w:proofErr w:type="spellEnd"/>
      <w:r w:rsidRPr="009C09C4">
        <w:rPr>
          <w:rFonts w:ascii="Times New Roman" w:hAnsi="Times New Roman" w:cs="Times New Roman"/>
        </w:rPr>
        <w:t xml:space="preserve"> Regency to the north and </w:t>
      </w:r>
      <w:proofErr w:type="spellStart"/>
      <w:r w:rsidRPr="009C09C4">
        <w:rPr>
          <w:rFonts w:ascii="Times New Roman" w:hAnsi="Times New Roman" w:cs="Times New Roman"/>
        </w:rPr>
        <w:t>Simalungun</w:t>
      </w:r>
      <w:proofErr w:type="spellEnd"/>
      <w:r w:rsidRPr="009C09C4">
        <w:rPr>
          <w:rFonts w:ascii="Times New Roman" w:hAnsi="Times New Roman" w:cs="Times New Roman"/>
        </w:rPr>
        <w:t xml:space="preserve"> Regency to the west. The regency comprises 12 sub-districts, each varying in population density, economic activity, and infrastructure development. This geographic distribution plays a crucial role in the disparities observed in public health indicators, including child nutrition and stunting.</w:t>
      </w:r>
    </w:p>
    <w:p w14:paraId="4B641B86" w14:textId="77777777" w:rsidR="000E0866" w:rsidRPr="009C09C4" w:rsidRDefault="000E0866" w:rsidP="000E0866">
      <w:pPr>
        <w:spacing w:after="120" w:line="240" w:lineRule="auto"/>
        <w:jc w:val="both"/>
        <w:rPr>
          <w:rFonts w:ascii="Times New Roman" w:hAnsi="Times New Roman" w:cs="Times New Roman"/>
        </w:rPr>
      </w:pPr>
      <w:r w:rsidRPr="009C09C4">
        <w:rPr>
          <w:rFonts w:ascii="Times New Roman" w:hAnsi="Times New Roman" w:cs="Times New Roman"/>
        </w:rPr>
        <w:t xml:space="preserve">The geographic characteristics include a mix of coastal, lowland, and inland terrain, with significant portions of the population residing in rural and peri-urban areas. The distribution of </w:t>
      </w:r>
      <w:r w:rsidRPr="009C09C4">
        <w:rPr>
          <w:rFonts w:ascii="Times New Roman" w:hAnsi="Times New Roman" w:cs="Times New Roman"/>
        </w:rPr>
        <w:lastRenderedPageBreak/>
        <w:t>health facilities, educational institutions, and access to clean water and sanitation services remains uneven, influencing the efficacy of community-based nutrition programs.</w:t>
      </w:r>
    </w:p>
    <w:p w14:paraId="5A80C383" w14:textId="77777777" w:rsidR="000E0866" w:rsidRPr="009C09C4" w:rsidRDefault="000E0866" w:rsidP="000E0866">
      <w:pPr>
        <w:spacing w:after="120" w:line="240" w:lineRule="auto"/>
        <w:jc w:val="both"/>
        <w:rPr>
          <w:rFonts w:ascii="Times New Roman" w:hAnsi="Times New Roman" w:cs="Times New Roman"/>
        </w:rPr>
      </w:pPr>
      <w:r w:rsidRPr="009C09C4">
        <w:rPr>
          <w:rFonts w:ascii="Times New Roman" w:hAnsi="Times New Roman" w:cs="Times New Roman"/>
        </w:rPr>
        <w:t>Figure 1 illustrates the administrative map of Batu Bara Regency, highlighting its sub-district boundaries and geographic features.</w:t>
      </w:r>
    </w:p>
    <w:p w14:paraId="18D95EA5" w14:textId="77777777" w:rsidR="000E0866" w:rsidRPr="009C09C4" w:rsidRDefault="000E0866" w:rsidP="000E0866">
      <w:pPr>
        <w:spacing w:after="120" w:line="240" w:lineRule="auto"/>
        <w:jc w:val="center"/>
        <w:rPr>
          <w:rFonts w:ascii="Times New Roman" w:hAnsi="Times New Roman" w:cs="Times New Roman"/>
        </w:rPr>
      </w:pPr>
      <w:r w:rsidRPr="009C09C4">
        <w:rPr>
          <w:rFonts w:ascii="Times New Roman" w:hAnsi="Times New Roman" w:cs="Times New Roman"/>
          <w:noProof/>
        </w:rPr>
        <w:drawing>
          <wp:inline distT="0" distB="0" distL="0" distR="0" wp14:anchorId="4D12D8CD" wp14:editId="6713FDA6">
            <wp:extent cx="3810000" cy="3810000"/>
            <wp:effectExtent l="0" t="0" r="0" b="0"/>
            <wp:docPr id="683626176" name="Picture 68362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6610A28D" w14:textId="77777777" w:rsidR="000E0866" w:rsidRPr="009C09C4" w:rsidRDefault="000E0866" w:rsidP="000E0866">
      <w:pPr>
        <w:spacing w:after="120" w:line="240" w:lineRule="auto"/>
        <w:jc w:val="center"/>
        <w:rPr>
          <w:rFonts w:ascii="Times New Roman" w:hAnsi="Times New Roman" w:cs="Times New Roman"/>
        </w:rPr>
      </w:pPr>
      <w:r w:rsidRPr="009C09C4">
        <w:rPr>
          <w:rFonts w:ascii="Times New Roman" w:hAnsi="Times New Roman" w:cs="Times New Roman"/>
          <w:b/>
          <w:bCs/>
        </w:rPr>
        <w:t>Figure 1</w:t>
      </w:r>
      <w:r w:rsidRPr="009C09C4">
        <w:rPr>
          <w:rFonts w:ascii="Times New Roman" w:hAnsi="Times New Roman" w:cs="Times New Roman"/>
        </w:rPr>
        <w:t xml:space="preserve"> Administrative Map of Batu Bara Regency</w:t>
      </w:r>
    </w:p>
    <w:p w14:paraId="2738E76C" w14:textId="77777777" w:rsidR="000E0866" w:rsidRPr="009C09C4" w:rsidRDefault="000E0866" w:rsidP="000E0866">
      <w:pPr>
        <w:spacing w:after="120" w:line="240" w:lineRule="auto"/>
        <w:jc w:val="center"/>
        <w:rPr>
          <w:rFonts w:ascii="Times New Roman" w:hAnsi="Times New Roman" w:cs="Times New Roman"/>
        </w:rPr>
      </w:pPr>
      <w:r w:rsidRPr="009C09C4">
        <w:rPr>
          <w:rFonts w:ascii="Times New Roman" w:hAnsi="Times New Roman" w:cs="Times New Roman"/>
        </w:rPr>
        <w:t>Source: Regional Planning Agency (</w:t>
      </w:r>
      <w:proofErr w:type="spellStart"/>
      <w:r w:rsidRPr="009C09C4">
        <w:rPr>
          <w:rFonts w:ascii="Times New Roman" w:hAnsi="Times New Roman" w:cs="Times New Roman"/>
        </w:rPr>
        <w:t>Bappeda</w:t>
      </w:r>
      <w:proofErr w:type="spellEnd"/>
      <w:r w:rsidRPr="009C09C4">
        <w:rPr>
          <w:rFonts w:ascii="Times New Roman" w:hAnsi="Times New Roman" w:cs="Times New Roman"/>
        </w:rPr>
        <w:t>) of Batu Bara, 2023.</w:t>
      </w:r>
    </w:p>
    <w:p w14:paraId="7B577469" w14:textId="256166D5" w:rsidR="008E65AB" w:rsidRPr="009C09C4" w:rsidRDefault="00A27659" w:rsidP="00075AE4">
      <w:pPr>
        <w:spacing w:after="120" w:line="240" w:lineRule="auto"/>
        <w:jc w:val="both"/>
        <w:rPr>
          <w:rFonts w:ascii="Times New Roman" w:hAnsi="Times New Roman" w:cs="Times New Roman"/>
        </w:rPr>
      </w:pPr>
      <w:r w:rsidRPr="009C09C4">
        <w:rPr>
          <w:rFonts w:ascii="Times New Roman" w:hAnsi="Times New Roman" w:cs="Times New Roman"/>
        </w:rPr>
        <w:t>The population consisted of all children under the age of five residing in Batu Bara District from 2021 to 2023. The unit of analysis was at the sub-district level (</w:t>
      </w:r>
      <w:proofErr w:type="spellStart"/>
      <w:r w:rsidRPr="009C09C4">
        <w:rPr>
          <w:rFonts w:ascii="Times New Roman" w:hAnsi="Times New Roman" w:cs="Times New Roman"/>
        </w:rPr>
        <w:t>kecamatan</w:t>
      </w:r>
      <w:proofErr w:type="spellEnd"/>
      <w:r w:rsidRPr="009C09C4">
        <w:rPr>
          <w:rFonts w:ascii="Times New Roman" w:hAnsi="Times New Roman" w:cs="Times New Roman"/>
        </w:rPr>
        <w:t>), totaling 12 units. Given the census-like nature of the data, all 12 sub-districts were included, making the sampling exhaustive (total sampling technique).</w:t>
      </w:r>
    </w:p>
    <w:p w14:paraId="6519DF4C" w14:textId="356971F3" w:rsidR="008E65AB" w:rsidRPr="009C09C4" w:rsidRDefault="00A27659" w:rsidP="00075AE4">
      <w:pPr>
        <w:spacing w:after="120" w:line="240" w:lineRule="auto"/>
        <w:jc w:val="both"/>
        <w:rPr>
          <w:rFonts w:ascii="Times New Roman" w:hAnsi="Times New Roman" w:cs="Times New Roman"/>
          <w:b/>
          <w:bCs/>
        </w:rPr>
      </w:pPr>
      <w:r w:rsidRPr="009C09C4">
        <w:rPr>
          <w:rFonts w:ascii="Times New Roman" w:hAnsi="Times New Roman" w:cs="Times New Roman"/>
          <w:b/>
          <w:bCs/>
        </w:rPr>
        <w:t>Data Collection</w:t>
      </w:r>
    </w:p>
    <w:p w14:paraId="6AE9EC93" w14:textId="1E930424" w:rsidR="008E65AB"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 xml:space="preserve">Data were obtained from secondary sources, including the District Health Office and </w:t>
      </w:r>
      <w:proofErr w:type="spellStart"/>
      <w:r w:rsidRPr="009C09C4">
        <w:rPr>
          <w:rFonts w:ascii="Times New Roman" w:hAnsi="Times New Roman" w:cs="Times New Roman"/>
        </w:rPr>
        <w:t>Bappeda</w:t>
      </w:r>
      <w:proofErr w:type="spellEnd"/>
      <w:r w:rsidRPr="009C09C4">
        <w:rPr>
          <w:rFonts w:ascii="Times New Roman" w:hAnsi="Times New Roman" w:cs="Times New Roman"/>
        </w:rPr>
        <w:t xml:space="preserve"> Batu Bara. Variables collected included the number of children receiving Vitamin A, children receiving supplementary food, and reported stunting cases in each sub-district. Observations also covered program coverage levels and health infrastructure data across different geographic areas.</w:t>
      </w:r>
    </w:p>
    <w:p w14:paraId="0912A2F6" w14:textId="77777777" w:rsidR="00A27659" w:rsidRPr="009C09C4" w:rsidRDefault="00A27659" w:rsidP="00A27659">
      <w:pPr>
        <w:spacing w:after="120" w:line="240" w:lineRule="auto"/>
        <w:jc w:val="both"/>
        <w:rPr>
          <w:rFonts w:ascii="Times New Roman" w:hAnsi="Times New Roman" w:cs="Times New Roman"/>
        </w:rPr>
      </w:pPr>
    </w:p>
    <w:p w14:paraId="2B25C0D5" w14:textId="29454162" w:rsidR="008E65AB" w:rsidRPr="009C09C4" w:rsidRDefault="00A27659" w:rsidP="00075AE4">
      <w:pPr>
        <w:spacing w:after="120" w:line="240" w:lineRule="auto"/>
        <w:jc w:val="both"/>
        <w:rPr>
          <w:rFonts w:ascii="Times New Roman" w:hAnsi="Times New Roman" w:cs="Times New Roman"/>
          <w:b/>
          <w:bCs/>
        </w:rPr>
      </w:pPr>
      <w:r w:rsidRPr="009C09C4">
        <w:rPr>
          <w:rFonts w:ascii="Times New Roman" w:hAnsi="Times New Roman" w:cs="Times New Roman"/>
          <w:b/>
          <w:bCs/>
        </w:rPr>
        <w:t>Operational Definitions and Variables</w:t>
      </w:r>
    </w:p>
    <w:p w14:paraId="16841584" w14:textId="32046B88" w:rsidR="00A27659"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The dependent variable was the prevalence of stunting, operationalized as the percentage of stunted children out of the total number of children under five in each sub-district. Independent variables included:</w:t>
      </w:r>
    </w:p>
    <w:p w14:paraId="27191A56" w14:textId="0B75AA94" w:rsidR="00A27659" w:rsidRPr="009C09C4" w:rsidRDefault="00A27659" w:rsidP="00A27659">
      <w:pPr>
        <w:pStyle w:val="ListParagraph"/>
        <w:numPr>
          <w:ilvl w:val="0"/>
          <w:numId w:val="12"/>
        </w:numPr>
        <w:spacing w:after="120" w:line="240" w:lineRule="auto"/>
        <w:ind w:left="180" w:hanging="180"/>
        <w:jc w:val="both"/>
        <w:rPr>
          <w:rFonts w:ascii="Times New Roman" w:hAnsi="Times New Roman" w:cs="Times New Roman"/>
        </w:rPr>
      </w:pPr>
      <w:r w:rsidRPr="009C09C4">
        <w:rPr>
          <w:rFonts w:ascii="Times New Roman" w:hAnsi="Times New Roman" w:cs="Times New Roman"/>
        </w:rPr>
        <w:t>Vitamin A Supplementation: the percentage of children who received vitamin A capsules during scheduled distribution periods.</w:t>
      </w:r>
    </w:p>
    <w:p w14:paraId="77D62F61" w14:textId="77777777" w:rsidR="00A27659" w:rsidRPr="009C09C4" w:rsidRDefault="00A27659" w:rsidP="00A27659">
      <w:pPr>
        <w:pStyle w:val="ListParagraph"/>
        <w:numPr>
          <w:ilvl w:val="0"/>
          <w:numId w:val="12"/>
        </w:numPr>
        <w:spacing w:after="120" w:line="240" w:lineRule="auto"/>
        <w:ind w:left="180" w:hanging="180"/>
        <w:jc w:val="both"/>
        <w:rPr>
          <w:rFonts w:ascii="Times New Roman" w:hAnsi="Times New Roman" w:cs="Times New Roman"/>
          <w:b/>
          <w:bCs/>
        </w:rPr>
      </w:pPr>
      <w:r w:rsidRPr="009C09C4">
        <w:rPr>
          <w:rFonts w:ascii="Times New Roman" w:hAnsi="Times New Roman" w:cs="Times New Roman"/>
        </w:rPr>
        <w:lastRenderedPageBreak/>
        <w:t>Supplementary Feeding: the percentage of under-five children who received additional nutrition through government-supported food programs.</w:t>
      </w:r>
    </w:p>
    <w:p w14:paraId="6EE49193" w14:textId="77777777" w:rsidR="00A27659" w:rsidRPr="009C09C4" w:rsidRDefault="00A27659" w:rsidP="00A27659">
      <w:pPr>
        <w:pStyle w:val="ListParagraph"/>
        <w:rPr>
          <w:rFonts w:ascii="Times New Roman" w:hAnsi="Times New Roman" w:cs="Times New Roman"/>
          <w:b/>
          <w:bCs/>
        </w:rPr>
      </w:pPr>
    </w:p>
    <w:p w14:paraId="63EF99F7" w14:textId="61D41BF3" w:rsidR="008E65AB" w:rsidRPr="009C09C4" w:rsidRDefault="00A27659" w:rsidP="00A27659">
      <w:pPr>
        <w:spacing w:after="120" w:line="240" w:lineRule="auto"/>
        <w:jc w:val="both"/>
        <w:rPr>
          <w:rFonts w:ascii="Times New Roman" w:hAnsi="Times New Roman" w:cs="Times New Roman"/>
          <w:b/>
          <w:bCs/>
        </w:rPr>
      </w:pPr>
      <w:r w:rsidRPr="009C09C4">
        <w:rPr>
          <w:rFonts w:ascii="Times New Roman" w:hAnsi="Times New Roman" w:cs="Times New Roman"/>
          <w:b/>
          <w:bCs/>
        </w:rPr>
        <w:t>Validity and Reliability Testing</w:t>
      </w:r>
    </w:p>
    <w:p w14:paraId="1E9E4682" w14:textId="220005E0" w:rsidR="008E65AB" w:rsidRPr="009C09C4" w:rsidRDefault="00A27659" w:rsidP="00075AE4">
      <w:pPr>
        <w:spacing w:after="120" w:line="240" w:lineRule="auto"/>
        <w:jc w:val="both"/>
        <w:rPr>
          <w:rFonts w:ascii="Times New Roman" w:hAnsi="Times New Roman" w:cs="Times New Roman"/>
        </w:rPr>
      </w:pPr>
      <w:r w:rsidRPr="009C09C4">
        <w:rPr>
          <w:rFonts w:ascii="Times New Roman" w:hAnsi="Times New Roman" w:cs="Times New Roman"/>
        </w:rPr>
        <w:t>As secondary data from government institutions were used, content validity was ensured through official standardization of definitions and indicators. Reliability was assessed through consistency checks between multiple yearly reports, ensuring data coherence across 2021 to 2023. Any discrepancies were verified with source institutions.</w:t>
      </w:r>
    </w:p>
    <w:p w14:paraId="4B0DEF41" w14:textId="77777777" w:rsidR="00A27659" w:rsidRPr="009C09C4" w:rsidRDefault="00A27659" w:rsidP="00075AE4">
      <w:pPr>
        <w:spacing w:after="120" w:line="240" w:lineRule="auto"/>
        <w:jc w:val="both"/>
        <w:rPr>
          <w:rFonts w:ascii="Times New Roman" w:hAnsi="Times New Roman" w:cs="Times New Roman"/>
          <w:b/>
          <w:bCs/>
        </w:rPr>
      </w:pPr>
    </w:p>
    <w:p w14:paraId="3903B594" w14:textId="65C1F30B" w:rsidR="008E65AB" w:rsidRPr="009C09C4" w:rsidRDefault="00A27659" w:rsidP="00075AE4">
      <w:pPr>
        <w:spacing w:after="120" w:line="240" w:lineRule="auto"/>
        <w:jc w:val="both"/>
        <w:rPr>
          <w:rFonts w:ascii="Times New Roman" w:hAnsi="Times New Roman" w:cs="Times New Roman"/>
          <w:b/>
          <w:bCs/>
        </w:rPr>
      </w:pPr>
      <w:r w:rsidRPr="009C09C4">
        <w:rPr>
          <w:rFonts w:ascii="Times New Roman" w:hAnsi="Times New Roman" w:cs="Times New Roman"/>
          <w:b/>
          <w:bCs/>
        </w:rPr>
        <w:t>Data Analysis</w:t>
      </w:r>
    </w:p>
    <w:p w14:paraId="4194CF87" w14:textId="77777777" w:rsidR="00A27659"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Multiple linear regression analysis was employed using EViews 10 software to evaluate the impact of both independent variables on stunting prevalence. The model used was:</w:t>
      </w:r>
    </w:p>
    <w:tbl>
      <w:tblPr>
        <w:tblStyle w:val="TableGrid"/>
        <w:tblW w:w="0" w:type="auto"/>
        <w:jc w:val="center"/>
        <w:tblLook w:val="04A0" w:firstRow="1" w:lastRow="0" w:firstColumn="1" w:lastColumn="0" w:noHBand="0" w:noVBand="1"/>
      </w:tblPr>
      <w:tblGrid>
        <w:gridCol w:w="2785"/>
      </w:tblGrid>
      <w:tr w:rsidR="00A27659" w:rsidRPr="009C09C4" w14:paraId="4C513E56" w14:textId="77777777" w:rsidTr="00A27659">
        <w:trPr>
          <w:jc w:val="center"/>
        </w:trPr>
        <w:tc>
          <w:tcPr>
            <w:tcW w:w="2785" w:type="dxa"/>
          </w:tcPr>
          <w:p w14:paraId="5BF4759F" w14:textId="77777777" w:rsidR="00A27659" w:rsidRPr="009C09C4" w:rsidRDefault="00A27659" w:rsidP="00A27659">
            <w:pPr>
              <w:spacing w:after="120"/>
              <w:jc w:val="center"/>
              <w:rPr>
                <w:rFonts w:ascii="Times New Roman" w:hAnsi="Times New Roman" w:cs="Times New Roman"/>
                <w:b/>
                <w:bCs/>
              </w:rPr>
            </w:pPr>
            <w:r w:rsidRPr="009C09C4">
              <w:rPr>
                <w:rFonts w:ascii="Times New Roman" w:hAnsi="Times New Roman" w:cs="Times New Roman"/>
                <w:b/>
                <w:bCs/>
              </w:rPr>
              <w:t xml:space="preserve">Y = a + </w:t>
            </w:r>
            <w:proofErr w:type="spellStart"/>
            <w:r w:rsidRPr="009C09C4">
              <w:rPr>
                <w:rFonts w:ascii="Times New Roman" w:hAnsi="Times New Roman" w:cs="Times New Roman"/>
                <w:b/>
                <w:bCs/>
              </w:rPr>
              <w:t>b₁X</w:t>
            </w:r>
            <w:proofErr w:type="spellEnd"/>
            <w:r w:rsidRPr="009C09C4">
              <w:rPr>
                <w:rFonts w:ascii="Times New Roman" w:hAnsi="Times New Roman" w:cs="Times New Roman"/>
                <w:b/>
                <w:bCs/>
              </w:rPr>
              <w:t xml:space="preserve">₁ + </w:t>
            </w:r>
            <w:proofErr w:type="spellStart"/>
            <w:r w:rsidRPr="009C09C4">
              <w:rPr>
                <w:rFonts w:ascii="Times New Roman" w:hAnsi="Times New Roman" w:cs="Times New Roman"/>
                <w:b/>
                <w:bCs/>
              </w:rPr>
              <w:t>b₂X</w:t>
            </w:r>
            <w:proofErr w:type="spellEnd"/>
            <w:r w:rsidRPr="009C09C4">
              <w:rPr>
                <w:rFonts w:ascii="Times New Roman" w:hAnsi="Times New Roman" w:cs="Times New Roman"/>
                <w:b/>
                <w:bCs/>
              </w:rPr>
              <w:t>₂ + e</w:t>
            </w:r>
          </w:p>
        </w:tc>
      </w:tr>
    </w:tbl>
    <w:p w14:paraId="18B5B987" w14:textId="77777777" w:rsidR="00A27659"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 xml:space="preserve">Where </w:t>
      </w:r>
    </w:p>
    <w:p w14:paraId="18F5C1CF" w14:textId="13F6B1F3" w:rsidR="00A27659"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 xml:space="preserve">Y = stunting prevalence  </w:t>
      </w:r>
      <w:r w:rsidRPr="009C09C4">
        <w:rPr>
          <w:rFonts w:ascii="Times New Roman" w:hAnsi="Times New Roman" w:cs="Times New Roman"/>
        </w:rPr>
        <w:tab/>
      </w:r>
      <w:r w:rsidRPr="009C09C4">
        <w:rPr>
          <w:rFonts w:ascii="Times New Roman" w:hAnsi="Times New Roman" w:cs="Times New Roman"/>
        </w:rPr>
        <w:tab/>
        <w:t xml:space="preserve">X₁ = Vitamin A supplementation, </w:t>
      </w:r>
    </w:p>
    <w:p w14:paraId="5CE02111" w14:textId="792B50FF" w:rsidR="00A27659"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X₂ = supplementary feeding</w:t>
      </w:r>
      <w:r w:rsidRPr="009C09C4">
        <w:rPr>
          <w:rFonts w:ascii="Times New Roman" w:hAnsi="Times New Roman" w:cs="Times New Roman"/>
        </w:rPr>
        <w:tab/>
        <w:t xml:space="preserve">a = constant, </w:t>
      </w:r>
    </w:p>
    <w:p w14:paraId="57961A29" w14:textId="44F21B27" w:rsidR="00A27659"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 xml:space="preserve">b₁/b₂ = coefficients </w:t>
      </w:r>
      <w:r w:rsidRPr="009C09C4">
        <w:rPr>
          <w:rFonts w:ascii="Times New Roman" w:hAnsi="Times New Roman" w:cs="Times New Roman"/>
        </w:rPr>
        <w:tab/>
      </w:r>
      <w:r w:rsidRPr="009C09C4">
        <w:rPr>
          <w:rFonts w:ascii="Times New Roman" w:hAnsi="Times New Roman" w:cs="Times New Roman"/>
        </w:rPr>
        <w:tab/>
      </w:r>
      <w:r w:rsidRPr="009C09C4">
        <w:rPr>
          <w:rFonts w:ascii="Times New Roman" w:hAnsi="Times New Roman" w:cs="Times New Roman"/>
        </w:rPr>
        <w:tab/>
        <w:t xml:space="preserve">e = error term. </w:t>
      </w:r>
    </w:p>
    <w:p w14:paraId="5E59CC20" w14:textId="1D336428" w:rsidR="008E65AB" w:rsidRPr="009C09C4" w:rsidRDefault="00A27659" w:rsidP="00A27659">
      <w:pPr>
        <w:spacing w:after="120" w:line="240" w:lineRule="auto"/>
        <w:jc w:val="both"/>
        <w:rPr>
          <w:rFonts w:ascii="Times New Roman" w:hAnsi="Times New Roman" w:cs="Times New Roman"/>
        </w:rPr>
      </w:pPr>
      <w:r w:rsidRPr="009C09C4">
        <w:rPr>
          <w:rFonts w:ascii="Times New Roman" w:hAnsi="Times New Roman" w:cs="Times New Roman"/>
        </w:rPr>
        <w:t>Statistical tests included the Jarque-Bera test for normality and t-tests for individual variable significance. A 5% significance threshold was applied.</w:t>
      </w:r>
    </w:p>
    <w:p w14:paraId="1277F7BA" w14:textId="77777777" w:rsidR="00101FB6" w:rsidRPr="009C09C4" w:rsidRDefault="00101FB6" w:rsidP="00075AE4">
      <w:pPr>
        <w:spacing w:after="120" w:line="240" w:lineRule="auto"/>
        <w:jc w:val="both"/>
        <w:rPr>
          <w:rFonts w:ascii="Times New Roman" w:hAnsi="Times New Roman" w:cs="Times New Roman"/>
          <w:b/>
          <w:bCs/>
        </w:rPr>
      </w:pPr>
    </w:p>
    <w:p w14:paraId="3D441026" w14:textId="77777777" w:rsidR="00A27659" w:rsidRPr="009C09C4" w:rsidRDefault="00A27659" w:rsidP="00075AE4">
      <w:pPr>
        <w:spacing w:after="120" w:line="240" w:lineRule="auto"/>
        <w:jc w:val="both"/>
        <w:rPr>
          <w:rFonts w:ascii="Times New Roman" w:hAnsi="Times New Roman" w:cs="Times New Roman"/>
        </w:rPr>
      </w:pPr>
    </w:p>
    <w:p w14:paraId="04157EBF" w14:textId="4E32234A" w:rsidR="008E65AB" w:rsidRPr="009C09C4" w:rsidRDefault="008E65AB" w:rsidP="009C09C4">
      <w:pPr>
        <w:pStyle w:val="ListParagraph"/>
        <w:numPr>
          <w:ilvl w:val="0"/>
          <w:numId w:val="13"/>
        </w:numPr>
        <w:spacing w:after="120" w:line="240" w:lineRule="auto"/>
        <w:jc w:val="both"/>
        <w:rPr>
          <w:rFonts w:ascii="Times New Roman" w:hAnsi="Times New Roman" w:cs="Times New Roman"/>
          <w:b/>
          <w:bCs/>
        </w:rPr>
      </w:pPr>
      <w:r w:rsidRPr="009C09C4">
        <w:rPr>
          <w:rFonts w:ascii="Times New Roman" w:hAnsi="Times New Roman" w:cs="Times New Roman"/>
          <w:b/>
          <w:bCs/>
        </w:rPr>
        <w:t>Results and Discussion</w:t>
      </w:r>
    </w:p>
    <w:p w14:paraId="60B7AFFB" w14:textId="4A4001BE" w:rsidR="0043375F" w:rsidRPr="009C09C4" w:rsidRDefault="005059FC" w:rsidP="00075AE4">
      <w:pPr>
        <w:spacing w:after="120" w:line="240" w:lineRule="auto"/>
        <w:jc w:val="both"/>
        <w:rPr>
          <w:rFonts w:ascii="Times New Roman" w:hAnsi="Times New Roman" w:cs="Times New Roman"/>
          <w:b/>
          <w:bCs/>
        </w:rPr>
      </w:pPr>
      <w:r w:rsidRPr="009C09C4">
        <w:rPr>
          <w:rFonts w:ascii="Times New Roman" w:hAnsi="Times New Roman" w:cs="Times New Roman"/>
          <w:b/>
          <w:bCs/>
        </w:rPr>
        <w:t>Results</w:t>
      </w:r>
    </w:p>
    <w:p w14:paraId="214D2795" w14:textId="148FC106" w:rsidR="00A91303" w:rsidRPr="009C09C4" w:rsidRDefault="0043375F" w:rsidP="00A91303">
      <w:pPr>
        <w:spacing w:after="120" w:line="240" w:lineRule="auto"/>
        <w:jc w:val="both"/>
        <w:rPr>
          <w:rFonts w:ascii="Times New Roman" w:hAnsi="Times New Roman" w:cs="Times New Roman"/>
          <w:b/>
          <w:bCs/>
        </w:rPr>
      </w:pPr>
      <w:r w:rsidRPr="009C09C4">
        <w:rPr>
          <w:rFonts w:ascii="Times New Roman" w:hAnsi="Times New Roman" w:cs="Times New Roman"/>
          <w:b/>
          <w:bCs/>
        </w:rPr>
        <w:t>Trends in Stunting Prevalence (2021–2023)</w:t>
      </w:r>
    </w:p>
    <w:p w14:paraId="2BF48BB9" w14:textId="77777777" w:rsidR="009C09C4" w:rsidRPr="009C09C4" w:rsidRDefault="009C09C4" w:rsidP="009C09C4">
      <w:pPr>
        <w:spacing w:after="120" w:line="240" w:lineRule="auto"/>
        <w:jc w:val="both"/>
        <w:rPr>
          <w:rFonts w:ascii="Times New Roman" w:hAnsi="Times New Roman" w:cs="Times New Roman"/>
          <w:highlight w:val="yellow"/>
        </w:rPr>
      </w:pPr>
      <w:r w:rsidRPr="009C09C4">
        <w:rPr>
          <w:rFonts w:ascii="Times New Roman" w:hAnsi="Times New Roman" w:cs="Times New Roman"/>
          <w:highlight w:val="yellow"/>
        </w:rPr>
        <w:t>Between 2021 and 2023, Batu Bara Regency demonstrated notable progress in reducing stunting prevalence. The rate declined from 30.9% in 2021 to 15.7% in 2023, surpassing the national average reduction target. This achievement highlights the effectiveness of district-wide health interventions and policy alignment with national stunting reduction goals.</w:t>
      </w:r>
    </w:p>
    <w:p w14:paraId="5FA10742" w14:textId="77777777" w:rsidR="009C09C4" w:rsidRPr="009C09C4" w:rsidRDefault="009C09C4" w:rsidP="009C09C4">
      <w:pPr>
        <w:spacing w:after="120" w:line="240" w:lineRule="auto"/>
        <w:jc w:val="both"/>
        <w:rPr>
          <w:rFonts w:ascii="Times New Roman" w:hAnsi="Times New Roman" w:cs="Times New Roman"/>
        </w:rPr>
      </w:pPr>
      <w:r w:rsidRPr="009C09C4">
        <w:rPr>
          <w:rFonts w:ascii="Times New Roman" w:hAnsi="Times New Roman" w:cs="Times New Roman"/>
          <w:highlight w:val="yellow"/>
        </w:rPr>
        <w:t xml:space="preserve">Prevalence varied across districts. In 2023, the highest rates were observed in </w:t>
      </w:r>
      <w:proofErr w:type="spellStart"/>
      <w:r w:rsidRPr="009C09C4">
        <w:rPr>
          <w:rFonts w:ascii="Times New Roman" w:hAnsi="Times New Roman" w:cs="Times New Roman"/>
          <w:highlight w:val="yellow"/>
        </w:rPr>
        <w:t>Medang</w:t>
      </w:r>
      <w:proofErr w:type="spellEnd"/>
      <w:r w:rsidRPr="009C09C4">
        <w:rPr>
          <w:rFonts w:ascii="Times New Roman" w:hAnsi="Times New Roman" w:cs="Times New Roman"/>
          <w:highlight w:val="yellow"/>
        </w:rPr>
        <w:t xml:space="preserve"> Deras (27.2%) and Tanjung </w:t>
      </w:r>
      <w:proofErr w:type="spellStart"/>
      <w:r w:rsidRPr="009C09C4">
        <w:rPr>
          <w:rFonts w:ascii="Times New Roman" w:hAnsi="Times New Roman" w:cs="Times New Roman"/>
          <w:highlight w:val="yellow"/>
        </w:rPr>
        <w:t>Tiram</w:t>
      </w:r>
      <w:proofErr w:type="spellEnd"/>
      <w:r w:rsidRPr="009C09C4">
        <w:rPr>
          <w:rFonts w:ascii="Times New Roman" w:hAnsi="Times New Roman" w:cs="Times New Roman"/>
          <w:highlight w:val="yellow"/>
        </w:rPr>
        <w:t xml:space="preserve"> (24.9%), while the lowest were in Lima </w:t>
      </w:r>
      <w:proofErr w:type="spellStart"/>
      <w:r w:rsidRPr="009C09C4">
        <w:rPr>
          <w:rFonts w:ascii="Times New Roman" w:hAnsi="Times New Roman" w:cs="Times New Roman"/>
          <w:highlight w:val="yellow"/>
        </w:rPr>
        <w:t>Puluh</w:t>
      </w:r>
      <w:proofErr w:type="spellEnd"/>
      <w:r w:rsidRPr="009C09C4">
        <w:rPr>
          <w:rFonts w:ascii="Times New Roman" w:hAnsi="Times New Roman" w:cs="Times New Roman"/>
          <w:highlight w:val="yellow"/>
        </w:rPr>
        <w:t xml:space="preserve"> (10.0%) and Datuk Lima </w:t>
      </w:r>
      <w:proofErr w:type="spellStart"/>
      <w:r w:rsidRPr="009C09C4">
        <w:rPr>
          <w:rFonts w:ascii="Times New Roman" w:hAnsi="Times New Roman" w:cs="Times New Roman"/>
          <w:highlight w:val="yellow"/>
        </w:rPr>
        <w:t>Puluh</w:t>
      </w:r>
      <w:proofErr w:type="spellEnd"/>
      <w:r w:rsidRPr="009C09C4">
        <w:rPr>
          <w:rFonts w:ascii="Times New Roman" w:hAnsi="Times New Roman" w:cs="Times New Roman"/>
          <w:highlight w:val="yellow"/>
        </w:rPr>
        <w:t xml:space="preserve"> </w:t>
      </w:r>
      <w:proofErr w:type="spellStart"/>
      <w:r w:rsidRPr="009C09C4">
        <w:rPr>
          <w:rFonts w:ascii="Times New Roman" w:hAnsi="Times New Roman" w:cs="Times New Roman"/>
          <w:highlight w:val="yellow"/>
        </w:rPr>
        <w:t>Pesisir</w:t>
      </w:r>
      <w:proofErr w:type="spellEnd"/>
      <w:r w:rsidRPr="009C09C4">
        <w:rPr>
          <w:rFonts w:ascii="Times New Roman" w:hAnsi="Times New Roman" w:cs="Times New Roman"/>
          <w:highlight w:val="yellow"/>
        </w:rPr>
        <w:t xml:space="preserve"> (11.7%). These figures underscore geographic disparities and the importance of localized strategies.</w:t>
      </w:r>
    </w:p>
    <w:p w14:paraId="153962AD" w14:textId="2689FB83" w:rsidR="0043375F" w:rsidRPr="009C09C4" w:rsidRDefault="009C09C4" w:rsidP="009C09C4">
      <w:pPr>
        <w:spacing w:after="120" w:line="240" w:lineRule="auto"/>
        <w:jc w:val="center"/>
        <w:rPr>
          <w:rFonts w:ascii="Times New Roman" w:hAnsi="Times New Roman" w:cs="Times New Roman"/>
        </w:rPr>
      </w:pPr>
      <w:r w:rsidRPr="009C09C4">
        <w:rPr>
          <w:rFonts w:ascii="Times New Roman" w:hAnsi="Times New Roman" w:cs="Times New Roman"/>
          <w:b/>
          <w:bCs/>
        </w:rPr>
        <w:t>Table 1.</w:t>
      </w:r>
      <w:r w:rsidRPr="009C09C4">
        <w:rPr>
          <w:rFonts w:ascii="Times New Roman" w:hAnsi="Times New Roman" w:cs="Times New Roman"/>
        </w:rPr>
        <w:t xml:space="preserve"> </w:t>
      </w:r>
      <w:r w:rsidRPr="009C09C4">
        <w:rPr>
          <w:rFonts w:ascii="Times New Roman" w:hAnsi="Times New Roman" w:cs="Times New Roman"/>
          <w:i/>
          <w:iCs/>
        </w:rPr>
        <w:t>Stunting Prevalence by District, 2021–2023</w:t>
      </w:r>
    </w:p>
    <w:tbl>
      <w:tblPr>
        <w:tblStyle w:val="TableGrid"/>
        <w:tblW w:w="0" w:type="auto"/>
        <w:tblLook w:val="04A0" w:firstRow="1" w:lastRow="0" w:firstColumn="1" w:lastColumn="0" w:noHBand="0" w:noVBand="1"/>
      </w:tblPr>
      <w:tblGrid>
        <w:gridCol w:w="872"/>
        <w:gridCol w:w="650"/>
        <w:gridCol w:w="650"/>
        <w:gridCol w:w="827"/>
        <w:gridCol w:w="566"/>
        <w:gridCol w:w="650"/>
        <w:gridCol w:w="650"/>
        <w:gridCol w:w="827"/>
        <w:gridCol w:w="566"/>
        <w:gridCol w:w="650"/>
        <w:gridCol w:w="650"/>
        <w:gridCol w:w="827"/>
        <w:gridCol w:w="632"/>
      </w:tblGrid>
      <w:tr w:rsidR="00A910BA" w:rsidRPr="009C09C4" w14:paraId="2392322D" w14:textId="6E1A8D3A" w:rsidTr="009C09C4">
        <w:tc>
          <w:tcPr>
            <w:tcW w:w="845" w:type="dxa"/>
            <w:vMerge w:val="restart"/>
          </w:tcPr>
          <w:p w14:paraId="50E2DA21" w14:textId="0EF2D29F" w:rsidR="00A910BA" w:rsidRPr="009C09C4" w:rsidRDefault="00A910BA" w:rsidP="0043375F">
            <w:pPr>
              <w:spacing w:after="120"/>
              <w:jc w:val="both"/>
              <w:rPr>
                <w:rFonts w:ascii="Times New Roman" w:hAnsi="Times New Roman" w:cs="Times New Roman"/>
                <w:sz w:val="20"/>
                <w:szCs w:val="20"/>
              </w:rPr>
            </w:pPr>
            <w:r w:rsidRPr="009C09C4">
              <w:rPr>
                <w:rFonts w:ascii="Times New Roman" w:hAnsi="Times New Roman" w:cs="Times New Roman"/>
                <w:sz w:val="20"/>
                <w:szCs w:val="20"/>
              </w:rPr>
              <w:t>District</w:t>
            </w:r>
          </w:p>
        </w:tc>
        <w:tc>
          <w:tcPr>
            <w:tcW w:w="2614" w:type="dxa"/>
            <w:gridSpan w:val="4"/>
          </w:tcPr>
          <w:p w14:paraId="3F7D48A1" w14:textId="0968CED3"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2021</w:t>
            </w:r>
          </w:p>
        </w:tc>
        <w:tc>
          <w:tcPr>
            <w:tcW w:w="2613" w:type="dxa"/>
            <w:gridSpan w:val="4"/>
          </w:tcPr>
          <w:p w14:paraId="447466DF" w14:textId="4DCE823C"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2022</w:t>
            </w:r>
          </w:p>
        </w:tc>
        <w:tc>
          <w:tcPr>
            <w:tcW w:w="3171" w:type="dxa"/>
            <w:gridSpan w:val="4"/>
          </w:tcPr>
          <w:p w14:paraId="0BA8E2DC" w14:textId="30FE3D92"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2023</w:t>
            </w:r>
          </w:p>
        </w:tc>
      </w:tr>
      <w:tr w:rsidR="00B04A6B" w:rsidRPr="009C09C4" w14:paraId="57C67951" w14:textId="6913BDE7" w:rsidTr="009C09C4">
        <w:tc>
          <w:tcPr>
            <w:tcW w:w="845" w:type="dxa"/>
            <w:vMerge/>
          </w:tcPr>
          <w:p w14:paraId="3A9BBA8B" w14:textId="77777777" w:rsidR="00A910BA" w:rsidRPr="009C09C4" w:rsidRDefault="00A910BA" w:rsidP="00A910BA">
            <w:pPr>
              <w:spacing w:after="120"/>
              <w:jc w:val="both"/>
              <w:rPr>
                <w:rFonts w:ascii="Times New Roman" w:hAnsi="Times New Roman" w:cs="Times New Roman"/>
                <w:sz w:val="20"/>
                <w:szCs w:val="20"/>
              </w:rPr>
            </w:pPr>
          </w:p>
        </w:tc>
        <w:tc>
          <w:tcPr>
            <w:tcW w:w="632" w:type="dxa"/>
          </w:tcPr>
          <w:p w14:paraId="03504A4E" w14:textId="4C168BC0"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Very Short</w:t>
            </w:r>
          </w:p>
        </w:tc>
        <w:tc>
          <w:tcPr>
            <w:tcW w:w="631" w:type="dxa"/>
          </w:tcPr>
          <w:p w14:paraId="3A3F43B7" w14:textId="454169F2"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Short</w:t>
            </w:r>
          </w:p>
        </w:tc>
        <w:tc>
          <w:tcPr>
            <w:tcW w:w="800" w:type="dxa"/>
          </w:tcPr>
          <w:p w14:paraId="281591DC" w14:textId="077525E8"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Normal</w:t>
            </w:r>
          </w:p>
        </w:tc>
        <w:tc>
          <w:tcPr>
            <w:tcW w:w="551" w:type="dxa"/>
          </w:tcPr>
          <w:p w14:paraId="5E896F40" w14:textId="343BFA71"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w:t>
            </w:r>
          </w:p>
        </w:tc>
        <w:tc>
          <w:tcPr>
            <w:tcW w:w="631" w:type="dxa"/>
          </w:tcPr>
          <w:p w14:paraId="597DCB48" w14:textId="1AACEA45"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Very Short</w:t>
            </w:r>
          </w:p>
        </w:tc>
        <w:tc>
          <w:tcPr>
            <w:tcW w:w="631" w:type="dxa"/>
          </w:tcPr>
          <w:p w14:paraId="49EC6B9D" w14:textId="76A40CFD"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Short</w:t>
            </w:r>
          </w:p>
        </w:tc>
        <w:tc>
          <w:tcPr>
            <w:tcW w:w="800" w:type="dxa"/>
          </w:tcPr>
          <w:p w14:paraId="0DE93371" w14:textId="0E934165"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Normal</w:t>
            </w:r>
          </w:p>
        </w:tc>
        <w:tc>
          <w:tcPr>
            <w:tcW w:w="551" w:type="dxa"/>
          </w:tcPr>
          <w:p w14:paraId="46671B84" w14:textId="4240805B"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w:t>
            </w:r>
          </w:p>
        </w:tc>
        <w:tc>
          <w:tcPr>
            <w:tcW w:w="631" w:type="dxa"/>
          </w:tcPr>
          <w:p w14:paraId="7C9769E5" w14:textId="4DEEFECB"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Very Short</w:t>
            </w:r>
          </w:p>
        </w:tc>
        <w:tc>
          <w:tcPr>
            <w:tcW w:w="631" w:type="dxa"/>
          </w:tcPr>
          <w:p w14:paraId="78908545" w14:textId="64B185BD"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Short</w:t>
            </w:r>
          </w:p>
        </w:tc>
        <w:tc>
          <w:tcPr>
            <w:tcW w:w="800" w:type="dxa"/>
          </w:tcPr>
          <w:p w14:paraId="00C342F2" w14:textId="09649541"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Normal</w:t>
            </w:r>
          </w:p>
        </w:tc>
        <w:tc>
          <w:tcPr>
            <w:tcW w:w="1109" w:type="dxa"/>
          </w:tcPr>
          <w:p w14:paraId="356938A9" w14:textId="72BEA02C" w:rsidR="00A910BA" w:rsidRPr="009C09C4" w:rsidRDefault="00A910BA" w:rsidP="00D66962">
            <w:pPr>
              <w:spacing w:after="120"/>
              <w:jc w:val="center"/>
              <w:rPr>
                <w:rFonts w:ascii="Times New Roman" w:hAnsi="Times New Roman" w:cs="Times New Roman"/>
                <w:sz w:val="20"/>
                <w:szCs w:val="20"/>
              </w:rPr>
            </w:pPr>
            <w:r w:rsidRPr="009C09C4">
              <w:rPr>
                <w:rFonts w:ascii="Times New Roman" w:hAnsi="Times New Roman" w:cs="Times New Roman"/>
                <w:sz w:val="20"/>
                <w:szCs w:val="20"/>
              </w:rPr>
              <w:t>%</w:t>
            </w:r>
          </w:p>
        </w:tc>
      </w:tr>
      <w:tr w:rsidR="00B04A6B" w:rsidRPr="009C09C4" w14:paraId="37A8BFEE" w14:textId="20AF7AE5" w:rsidTr="009C09C4">
        <w:tc>
          <w:tcPr>
            <w:tcW w:w="845" w:type="dxa"/>
          </w:tcPr>
          <w:p w14:paraId="7428ED77" w14:textId="1079D0A1"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Sei Balai</w:t>
            </w:r>
          </w:p>
        </w:tc>
        <w:tc>
          <w:tcPr>
            <w:tcW w:w="632" w:type="dxa"/>
            <w:vAlign w:val="bottom"/>
          </w:tcPr>
          <w:p w14:paraId="612AF4A6" w14:textId="68205B4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110</w:t>
            </w:r>
          </w:p>
        </w:tc>
        <w:tc>
          <w:tcPr>
            <w:tcW w:w="631" w:type="dxa"/>
            <w:vAlign w:val="bottom"/>
          </w:tcPr>
          <w:p w14:paraId="47F87F69" w14:textId="150B45C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215</w:t>
            </w:r>
          </w:p>
        </w:tc>
        <w:tc>
          <w:tcPr>
            <w:tcW w:w="800" w:type="dxa"/>
            <w:vAlign w:val="bottom"/>
          </w:tcPr>
          <w:p w14:paraId="233CC9B2" w14:textId="758D370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1609</w:t>
            </w:r>
          </w:p>
        </w:tc>
        <w:tc>
          <w:tcPr>
            <w:tcW w:w="551" w:type="dxa"/>
            <w:vAlign w:val="bottom"/>
          </w:tcPr>
          <w:p w14:paraId="6E127060" w14:textId="1D7FD28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20.2</w:t>
            </w:r>
          </w:p>
        </w:tc>
        <w:tc>
          <w:tcPr>
            <w:tcW w:w="631" w:type="dxa"/>
            <w:vAlign w:val="bottom"/>
          </w:tcPr>
          <w:p w14:paraId="546E145A" w14:textId="72D19E7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87</w:t>
            </w:r>
          </w:p>
        </w:tc>
        <w:tc>
          <w:tcPr>
            <w:tcW w:w="631" w:type="dxa"/>
            <w:vAlign w:val="bottom"/>
          </w:tcPr>
          <w:p w14:paraId="1E0F95BE" w14:textId="6EB8325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156</w:t>
            </w:r>
          </w:p>
        </w:tc>
        <w:tc>
          <w:tcPr>
            <w:tcW w:w="800" w:type="dxa"/>
            <w:vAlign w:val="bottom"/>
          </w:tcPr>
          <w:p w14:paraId="56F053B8" w14:textId="2B6FECA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1570</w:t>
            </w:r>
          </w:p>
        </w:tc>
        <w:tc>
          <w:tcPr>
            <w:tcW w:w="551" w:type="dxa"/>
            <w:vAlign w:val="bottom"/>
          </w:tcPr>
          <w:p w14:paraId="5CC88E70" w14:textId="7FD598C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15.6</w:t>
            </w:r>
          </w:p>
        </w:tc>
        <w:tc>
          <w:tcPr>
            <w:tcW w:w="631" w:type="dxa"/>
            <w:vAlign w:val="bottom"/>
          </w:tcPr>
          <w:p w14:paraId="150D3B4D" w14:textId="1EEF9DE5"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134</w:t>
            </w:r>
          </w:p>
        </w:tc>
        <w:tc>
          <w:tcPr>
            <w:tcW w:w="631" w:type="dxa"/>
            <w:vAlign w:val="bottom"/>
          </w:tcPr>
          <w:p w14:paraId="7D08F4B5" w14:textId="6989208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187</w:t>
            </w:r>
          </w:p>
        </w:tc>
        <w:tc>
          <w:tcPr>
            <w:tcW w:w="800" w:type="dxa"/>
            <w:vAlign w:val="bottom"/>
          </w:tcPr>
          <w:p w14:paraId="3E988683" w14:textId="4CB28A3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1872</w:t>
            </w:r>
          </w:p>
        </w:tc>
        <w:tc>
          <w:tcPr>
            <w:tcW w:w="1109" w:type="dxa"/>
            <w:vAlign w:val="bottom"/>
          </w:tcPr>
          <w:p w14:paraId="070A7252" w14:textId="786CC39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10.8</w:t>
            </w:r>
          </w:p>
        </w:tc>
      </w:tr>
      <w:tr w:rsidR="00B04A6B" w:rsidRPr="009C09C4" w14:paraId="0FDEAF77" w14:textId="36D06013" w:rsidTr="009C09C4">
        <w:tc>
          <w:tcPr>
            <w:tcW w:w="845" w:type="dxa"/>
          </w:tcPr>
          <w:p w14:paraId="5FD7E7D3" w14:textId="7EADDFAB"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 xml:space="preserve">Tanjung </w:t>
            </w:r>
            <w:proofErr w:type="spellStart"/>
            <w:r w:rsidRPr="009C09C4">
              <w:rPr>
                <w:rFonts w:ascii="Times New Roman" w:hAnsi="Times New Roman" w:cs="Times New Roman"/>
                <w:sz w:val="20"/>
                <w:szCs w:val="20"/>
              </w:rPr>
              <w:t>Tiram</w:t>
            </w:r>
            <w:proofErr w:type="spellEnd"/>
          </w:p>
        </w:tc>
        <w:tc>
          <w:tcPr>
            <w:tcW w:w="632" w:type="dxa"/>
            <w:vAlign w:val="bottom"/>
          </w:tcPr>
          <w:p w14:paraId="78E565BC" w14:textId="3C5B62E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508</w:t>
            </w:r>
          </w:p>
        </w:tc>
        <w:tc>
          <w:tcPr>
            <w:tcW w:w="631" w:type="dxa"/>
            <w:vAlign w:val="bottom"/>
          </w:tcPr>
          <w:p w14:paraId="137CE692" w14:textId="6C802FA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613</w:t>
            </w:r>
          </w:p>
        </w:tc>
        <w:tc>
          <w:tcPr>
            <w:tcW w:w="800" w:type="dxa"/>
            <w:vAlign w:val="bottom"/>
          </w:tcPr>
          <w:p w14:paraId="39A61986" w14:textId="4584409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2633</w:t>
            </w:r>
          </w:p>
        </w:tc>
        <w:tc>
          <w:tcPr>
            <w:tcW w:w="551" w:type="dxa"/>
            <w:vAlign w:val="bottom"/>
          </w:tcPr>
          <w:p w14:paraId="342E0325" w14:textId="4BBC4F1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42.6</w:t>
            </w:r>
          </w:p>
        </w:tc>
        <w:tc>
          <w:tcPr>
            <w:tcW w:w="631" w:type="dxa"/>
            <w:vAlign w:val="bottom"/>
          </w:tcPr>
          <w:p w14:paraId="643B77A2" w14:textId="4053F92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309</w:t>
            </w:r>
          </w:p>
        </w:tc>
        <w:tc>
          <w:tcPr>
            <w:tcW w:w="631" w:type="dxa"/>
            <w:vAlign w:val="bottom"/>
          </w:tcPr>
          <w:p w14:paraId="58696FD8" w14:textId="7089BFE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318</w:t>
            </w:r>
          </w:p>
        </w:tc>
        <w:tc>
          <w:tcPr>
            <w:tcW w:w="800" w:type="dxa"/>
            <w:vAlign w:val="bottom"/>
          </w:tcPr>
          <w:p w14:paraId="5FF4A42F" w14:textId="6F93FB5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2647</w:t>
            </w:r>
          </w:p>
        </w:tc>
        <w:tc>
          <w:tcPr>
            <w:tcW w:w="551" w:type="dxa"/>
            <w:vAlign w:val="bottom"/>
          </w:tcPr>
          <w:p w14:paraId="474B7C6F" w14:textId="1B1E7E0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23.6</w:t>
            </w:r>
          </w:p>
        </w:tc>
        <w:tc>
          <w:tcPr>
            <w:tcW w:w="631" w:type="dxa"/>
            <w:vAlign w:val="bottom"/>
          </w:tcPr>
          <w:p w14:paraId="35F1949A" w14:textId="7F980B0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267</w:t>
            </w:r>
          </w:p>
        </w:tc>
        <w:tc>
          <w:tcPr>
            <w:tcW w:w="631" w:type="dxa"/>
            <w:vAlign w:val="bottom"/>
          </w:tcPr>
          <w:p w14:paraId="422878B6" w14:textId="06EC454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411</w:t>
            </w:r>
          </w:p>
        </w:tc>
        <w:tc>
          <w:tcPr>
            <w:tcW w:w="800" w:type="dxa"/>
            <w:vAlign w:val="bottom"/>
          </w:tcPr>
          <w:p w14:paraId="01FAFCB9" w14:textId="312B0CD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2718</w:t>
            </w:r>
          </w:p>
        </w:tc>
        <w:tc>
          <w:tcPr>
            <w:tcW w:w="1109" w:type="dxa"/>
            <w:vAlign w:val="bottom"/>
          </w:tcPr>
          <w:p w14:paraId="730279CA" w14:textId="5B9754B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24.9</w:t>
            </w:r>
          </w:p>
        </w:tc>
      </w:tr>
      <w:tr w:rsidR="00B04A6B" w:rsidRPr="009C09C4" w14:paraId="45BD29FA" w14:textId="41071FC3" w:rsidTr="009C09C4">
        <w:tc>
          <w:tcPr>
            <w:tcW w:w="845" w:type="dxa"/>
          </w:tcPr>
          <w:p w14:paraId="6CFE21B3" w14:textId="3DF0321F"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lastRenderedPageBreak/>
              <w:t>Ujung Kubu</w:t>
            </w:r>
          </w:p>
        </w:tc>
        <w:tc>
          <w:tcPr>
            <w:tcW w:w="632" w:type="dxa"/>
            <w:vAlign w:val="bottom"/>
          </w:tcPr>
          <w:p w14:paraId="6C5FB614" w14:textId="18EF02A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219</w:t>
            </w:r>
          </w:p>
        </w:tc>
        <w:tc>
          <w:tcPr>
            <w:tcW w:w="631" w:type="dxa"/>
            <w:vAlign w:val="bottom"/>
          </w:tcPr>
          <w:p w14:paraId="2ED90664" w14:textId="0CB1873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254</w:t>
            </w:r>
          </w:p>
        </w:tc>
        <w:tc>
          <w:tcPr>
            <w:tcW w:w="800" w:type="dxa"/>
            <w:vAlign w:val="bottom"/>
          </w:tcPr>
          <w:p w14:paraId="56D6FE2C" w14:textId="7DAE93E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1411</w:t>
            </w:r>
          </w:p>
        </w:tc>
        <w:tc>
          <w:tcPr>
            <w:tcW w:w="551" w:type="dxa"/>
            <w:vAlign w:val="bottom"/>
          </w:tcPr>
          <w:p w14:paraId="10E1C1A4" w14:textId="1232511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33.5</w:t>
            </w:r>
          </w:p>
        </w:tc>
        <w:tc>
          <w:tcPr>
            <w:tcW w:w="631" w:type="dxa"/>
            <w:vAlign w:val="bottom"/>
          </w:tcPr>
          <w:p w14:paraId="3FCE7A62" w14:textId="7BD6377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143</w:t>
            </w:r>
          </w:p>
        </w:tc>
        <w:tc>
          <w:tcPr>
            <w:tcW w:w="631" w:type="dxa"/>
            <w:vAlign w:val="bottom"/>
          </w:tcPr>
          <w:p w14:paraId="6F39D837" w14:textId="641A0D3E"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197</w:t>
            </w:r>
          </w:p>
        </w:tc>
        <w:tc>
          <w:tcPr>
            <w:tcW w:w="800" w:type="dxa"/>
            <w:vAlign w:val="bottom"/>
          </w:tcPr>
          <w:p w14:paraId="1928B549" w14:textId="567AF50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1140</w:t>
            </w:r>
          </w:p>
        </w:tc>
        <w:tc>
          <w:tcPr>
            <w:tcW w:w="551" w:type="dxa"/>
            <w:vAlign w:val="bottom"/>
          </w:tcPr>
          <w:p w14:paraId="49BF7C5F" w14:textId="4617619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29.8</w:t>
            </w:r>
          </w:p>
        </w:tc>
        <w:tc>
          <w:tcPr>
            <w:tcW w:w="631" w:type="dxa"/>
            <w:vAlign w:val="bottom"/>
          </w:tcPr>
          <w:p w14:paraId="521333F5" w14:textId="579AB3F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114</w:t>
            </w:r>
          </w:p>
        </w:tc>
        <w:tc>
          <w:tcPr>
            <w:tcW w:w="631" w:type="dxa"/>
            <w:vAlign w:val="bottom"/>
          </w:tcPr>
          <w:p w14:paraId="4A498652" w14:textId="64F62A3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279</w:t>
            </w:r>
          </w:p>
        </w:tc>
        <w:tc>
          <w:tcPr>
            <w:tcW w:w="800" w:type="dxa"/>
            <w:vAlign w:val="bottom"/>
          </w:tcPr>
          <w:p w14:paraId="59168AEF" w14:textId="52BEA858"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2144</w:t>
            </w:r>
          </w:p>
        </w:tc>
        <w:tc>
          <w:tcPr>
            <w:tcW w:w="1109" w:type="dxa"/>
            <w:vAlign w:val="bottom"/>
          </w:tcPr>
          <w:p w14:paraId="495A4C8A" w14:textId="774D176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18.3</w:t>
            </w:r>
          </w:p>
        </w:tc>
      </w:tr>
      <w:tr w:rsidR="00B04A6B" w:rsidRPr="009C09C4" w14:paraId="3D1FF03C" w14:textId="283715AA" w:rsidTr="009C09C4">
        <w:tc>
          <w:tcPr>
            <w:tcW w:w="845" w:type="dxa"/>
          </w:tcPr>
          <w:p w14:paraId="05002BD9" w14:textId="0057379C" w:rsidR="00B04A6B" w:rsidRPr="009C09C4" w:rsidRDefault="00B04A6B" w:rsidP="00B04A6B">
            <w:pPr>
              <w:spacing w:after="120"/>
              <w:jc w:val="both"/>
              <w:rPr>
                <w:rFonts w:ascii="Times New Roman" w:hAnsi="Times New Roman" w:cs="Times New Roman"/>
                <w:sz w:val="20"/>
                <w:szCs w:val="20"/>
              </w:rPr>
            </w:pPr>
            <w:proofErr w:type="spellStart"/>
            <w:r w:rsidRPr="009C09C4">
              <w:rPr>
                <w:rFonts w:ascii="Times New Roman" w:hAnsi="Times New Roman" w:cs="Times New Roman"/>
                <w:sz w:val="20"/>
                <w:szCs w:val="20"/>
              </w:rPr>
              <w:t>Talawi</w:t>
            </w:r>
            <w:proofErr w:type="spellEnd"/>
          </w:p>
        </w:tc>
        <w:tc>
          <w:tcPr>
            <w:tcW w:w="632" w:type="dxa"/>
            <w:vAlign w:val="bottom"/>
          </w:tcPr>
          <w:p w14:paraId="729ED701" w14:textId="2445915E"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234</w:t>
            </w:r>
          </w:p>
        </w:tc>
        <w:tc>
          <w:tcPr>
            <w:tcW w:w="631" w:type="dxa"/>
            <w:vAlign w:val="bottom"/>
          </w:tcPr>
          <w:p w14:paraId="52AB43E3" w14:textId="119C352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306</w:t>
            </w:r>
          </w:p>
        </w:tc>
        <w:tc>
          <w:tcPr>
            <w:tcW w:w="800" w:type="dxa"/>
            <w:vAlign w:val="bottom"/>
          </w:tcPr>
          <w:p w14:paraId="0F58457E" w14:textId="2D6C135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1776</w:t>
            </w:r>
          </w:p>
        </w:tc>
        <w:tc>
          <w:tcPr>
            <w:tcW w:w="551" w:type="dxa"/>
            <w:vAlign w:val="bottom"/>
          </w:tcPr>
          <w:p w14:paraId="486EA713" w14:textId="2F5C9F6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30.4</w:t>
            </w:r>
          </w:p>
        </w:tc>
        <w:tc>
          <w:tcPr>
            <w:tcW w:w="631" w:type="dxa"/>
            <w:vAlign w:val="bottom"/>
          </w:tcPr>
          <w:p w14:paraId="580C5580" w14:textId="0A07B95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143</w:t>
            </w:r>
          </w:p>
        </w:tc>
        <w:tc>
          <w:tcPr>
            <w:tcW w:w="631" w:type="dxa"/>
            <w:vAlign w:val="bottom"/>
          </w:tcPr>
          <w:p w14:paraId="6C38E1EB" w14:textId="655E367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215</w:t>
            </w:r>
          </w:p>
        </w:tc>
        <w:tc>
          <w:tcPr>
            <w:tcW w:w="800" w:type="dxa"/>
            <w:vAlign w:val="bottom"/>
          </w:tcPr>
          <w:p w14:paraId="5D3FED14" w14:textId="6A5D4B3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1592</w:t>
            </w:r>
          </w:p>
        </w:tc>
        <w:tc>
          <w:tcPr>
            <w:tcW w:w="551" w:type="dxa"/>
            <w:vAlign w:val="bottom"/>
          </w:tcPr>
          <w:p w14:paraId="78770A14" w14:textId="181BC68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22.5</w:t>
            </w:r>
          </w:p>
        </w:tc>
        <w:tc>
          <w:tcPr>
            <w:tcW w:w="631" w:type="dxa"/>
            <w:vAlign w:val="bottom"/>
          </w:tcPr>
          <w:p w14:paraId="09CA9E1A" w14:textId="63889A2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72</w:t>
            </w:r>
          </w:p>
        </w:tc>
        <w:tc>
          <w:tcPr>
            <w:tcW w:w="631" w:type="dxa"/>
            <w:vAlign w:val="bottom"/>
          </w:tcPr>
          <w:p w14:paraId="41D9596A" w14:textId="0A8F6148"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114</w:t>
            </w:r>
          </w:p>
        </w:tc>
        <w:tc>
          <w:tcPr>
            <w:tcW w:w="800" w:type="dxa"/>
            <w:vAlign w:val="bottom"/>
          </w:tcPr>
          <w:p w14:paraId="43E62D6F" w14:textId="3993ABB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1959</w:t>
            </w:r>
          </w:p>
        </w:tc>
        <w:tc>
          <w:tcPr>
            <w:tcW w:w="1109" w:type="dxa"/>
            <w:vAlign w:val="bottom"/>
          </w:tcPr>
          <w:p w14:paraId="6446D1D4" w14:textId="712FA44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12</w:t>
            </w:r>
          </w:p>
        </w:tc>
      </w:tr>
      <w:tr w:rsidR="00B04A6B" w:rsidRPr="009C09C4" w14:paraId="6391ED04" w14:textId="0BEC9F44" w:rsidTr="009C09C4">
        <w:tc>
          <w:tcPr>
            <w:tcW w:w="845" w:type="dxa"/>
          </w:tcPr>
          <w:p w14:paraId="0D500EC2" w14:textId="21538397"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Tanah Datar</w:t>
            </w:r>
          </w:p>
        </w:tc>
        <w:tc>
          <w:tcPr>
            <w:tcW w:w="632" w:type="dxa"/>
            <w:vAlign w:val="bottom"/>
          </w:tcPr>
          <w:p w14:paraId="5352DD9A" w14:textId="1BE68EAE"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186</w:t>
            </w:r>
          </w:p>
        </w:tc>
        <w:tc>
          <w:tcPr>
            <w:tcW w:w="631" w:type="dxa"/>
            <w:vAlign w:val="bottom"/>
          </w:tcPr>
          <w:p w14:paraId="2D0C2E78" w14:textId="30AFBE2F"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243</w:t>
            </w:r>
          </w:p>
        </w:tc>
        <w:tc>
          <w:tcPr>
            <w:tcW w:w="800" w:type="dxa"/>
            <w:vAlign w:val="bottom"/>
          </w:tcPr>
          <w:p w14:paraId="475F7D0C" w14:textId="262E4945"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1252</w:t>
            </w:r>
          </w:p>
        </w:tc>
        <w:tc>
          <w:tcPr>
            <w:tcW w:w="551" w:type="dxa"/>
            <w:vAlign w:val="bottom"/>
          </w:tcPr>
          <w:p w14:paraId="354D0BD4" w14:textId="0F5B8B3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34.3</w:t>
            </w:r>
          </w:p>
        </w:tc>
        <w:tc>
          <w:tcPr>
            <w:tcW w:w="631" w:type="dxa"/>
            <w:vAlign w:val="bottom"/>
          </w:tcPr>
          <w:p w14:paraId="67CB8F04" w14:textId="7C9C672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97</w:t>
            </w:r>
          </w:p>
        </w:tc>
        <w:tc>
          <w:tcPr>
            <w:tcW w:w="631" w:type="dxa"/>
            <w:vAlign w:val="bottom"/>
          </w:tcPr>
          <w:p w14:paraId="073A85D7" w14:textId="172D7CB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210</w:t>
            </w:r>
          </w:p>
        </w:tc>
        <w:tc>
          <w:tcPr>
            <w:tcW w:w="800" w:type="dxa"/>
            <w:vAlign w:val="bottom"/>
          </w:tcPr>
          <w:p w14:paraId="6B2D4678" w14:textId="47171C0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1254</w:t>
            </w:r>
          </w:p>
        </w:tc>
        <w:tc>
          <w:tcPr>
            <w:tcW w:w="551" w:type="dxa"/>
            <w:vAlign w:val="bottom"/>
          </w:tcPr>
          <w:p w14:paraId="42F560BB" w14:textId="5C9B095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24.5</w:t>
            </w:r>
          </w:p>
        </w:tc>
        <w:tc>
          <w:tcPr>
            <w:tcW w:w="631" w:type="dxa"/>
            <w:vAlign w:val="bottom"/>
          </w:tcPr>
          <w:p w14:paraId="5A8CB894" w14:textId="4BBD5FD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89</w:t>
            </w:r>
          </w:p>
        </w:tc>
        <w:tc>
          <w:tcPr>
            <w:tcW w:w="631" w:type="dxa"/>
            <w:vAlign w:val="bottom"/>
          </w:tcPr>
          <w:p w14:paraId="48A09996" w14:textId="3B12189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178</w:t>
            </w:r>
          </w:p>
        </w:tc>
        <w:tc>
          <w:tcPr>
            <w:tcW w:w="800" w:type="dxa"/>
            <w:vAlign w:val="bottom"/>
          </w:tcPr>
          <w:p w14:paraId="296B03AE" w14:textId="4045304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1539</w:t>
            </w:r>
          </w:p>
        </w:tc>
        <w:tc>
          <w:tcPr>
            <w:tcW w:w="1109" w:type="dxa"/>
            <w:vAlign w:val="bottom"/>
          </w:tcPr>
          <w:p w14:paraId="0FA6A0BD" w14:textId="3959866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17.3</w:t>
            </w:r>
          </w:p>
        </w:tc>
      </w:tr>
      <w:tr w:rsidR="00B04A6B" w:rsidRPr="009C09C4" w14:paraId="43E1918B" w14:textId="06712C82" w:rsidTr="009C09C4">
        <w:tc>
          <w:tcPr>
            <w:tcW w:w="845" w:type="dxa"/>
          </w:tcPr>
          <w:p w14:paraId="703E97D4" w14:textId="4C7EF615"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 xml:space="preserve">Lima </w:t>
            </w:r>
            <w:proofErr w:type="spellStart"/>
            <w:r w:rsidRPr="009C09C4">
              <w:rPr>
                <w:rFonts w:ascii="Times New Roman" w:hAnsi="Times New Roman" w:cs="Times New Roman"/>
                <w:sz w:val="20"/>
                <w:szCs w:val="20"/>
              </w:rPr>
              <w:t>Puluh</w:t>
            </w:r>
            <w:proofErr w:type="spellEnd"/>
          </w:p>
        </w:tc>
        <w:tc>
          <w:tcPr>
            <w:tcW w:w="632" w:type="dxa"/>
            <w:vAlign w:val="bottom"/>
          </w:tcPr>
          <w:p w14:paraId="2C539701" w14:textId="76FC6048"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136</w:t>
            </w:r>
          </w:p>
        </w:tc>
        <w:tc>
          <w:tcPr>
            <w:tcW w:w="631" w:type="dxa"/>
            <w:vAlign w:val="bottom"/>
          </w:tcPr>
          <w:p w14:paraId="1DD4C5ED" w14:textId="611FE09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211</w:t>
            </w:r>
          </w:p>
        </w:tc>
        <w:tc>
          <w:tcPr>
            <w:tcW w:w="800" w:type="dxa"/>
            <w:vAlign w:val="bottom"/>
          </w:tcPr>
          <w:p w14:paraId="06B9D04B" w14:textId="58BDA80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1340</w:t>
            </w:r>
          </w:p>
        </w:tc>
        <w:tc>
          <w:tcPr>
            <w:tcW w:w="551" w:type="dxa"/>
            <w:vAlign w:val="bottom"/>
          </w:tcPr>
          <w:p w14:paraId="217893C1" w14:textId="45F9305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25.9</w:t>
            </w:r>
          </w:p>
        </w:tc>
        <w:tc>
          <w:tcPr>
            <w:tcW w:w="631" w:type="dxa"/>
            <w:vAlign w:val="bottom"/>
          </w:tcPr>
          <w:p w14:paraId="29C92A08" w14:textId="42C13AE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87</w:t>
            </w:r>
          </w:p>
        </w:tc>
        <w:tc>
          <w:tcPr>
            <w:tcW w:w="631" w:type="dxa"/>
            <w:vAlign w:val="bottom"/>
          </w:tcPr>
          <w:p w14:paraId="255E435C" w14:textId="09FE490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213</w:t>
            </w:r>
          </w:p>
        </w:tc>
        <w:tc>
          <w:tcPr>
            <w:tcW w:w="800" w:type="dxa"/>
            <w:vAlign w:val="bottom"/>
          </w:tcPr>
          <w:p w14:paraId="2C4ADAB8" w14:textId="7B453EF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1494</w:t>
            </w:r>
          </w:p>
        </w:tc>
        <w:tc>
          <w:tcPr>
            <w:tcW w:w="551" w:type="dxa"/>
            <w:vAlign w:val="bottom"/>
          </w:tcPr>
          <w:p w14:paraId="4EB58475" w14:textId="2A8DF30F"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20.1</w:t>
            </w:r>
          </w:p>
        </w:tc>
        <w:tc>
          <w:tcPr>
            <w:tcW w:w="631" w:type="dxa"/>
            <w:vAlign w:val="bottom"/>
          </w:tcPr>
          <w:p w14:paraId="24A75E83" w14:textId="3A8523B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67</w:t>
            </w:r>
          </w:p>
        </w:tc>
        <w:tc>
          <w:tcPr>
            <w:tcW w:w="631" w:type="dxa"/>
            <w:vAlign w:val="bottom"/>
          </w:tcPr>
          <w:p w14:paraId="73A2317B" w14:textId="20B8BDB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130</w:t>
            </w:r>
          </w:p>
        </w:tc>
        <w:tc>
          <w:tcPr>
            <w:tcW w:w="800" w:type="dxa"/>
            <w:vAlign w:val="bottom"/>
          </w:tcPr>
          <w:p w14:paraId="7DEBAE73" w14:textId="6A53B85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1961</w:t>
            </w:r>
          </w:p>
        </w:tc>
        <w:tc>
          <w:tcPr>
            <w:tcW w:w="1109" w:type="dxa"/>
            <w:vAlign w:val="bottom"/>
          </w:tcPr>
          <w:p w14:paraId="3EC53365" w14:textId="28D4337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10</w:t>
            </w:r>
          </w:p>
        </w:tc>
      </w:tr>
      <w:tr w:rsidR="00B04A6B" w:rsidRPr="009C09C4" w14:paraId="3DE79CCE" w14:textId="77777777" w:rsidTr="009C09C4">
        <w:tc>
          <w:tcPr>
            <w:tcW w:w="845" w:type="dxa"/>
          </w:tcPr>
          <w:p w14:paraId="0B732A7A" w14:textId="44ACB17E"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 xml:space="preserve">Lima </w:t>
            </w:r>
            <w:proofErr w:type="spellStart"/>
            <w:r w:rsidRPr="009C09C4">
              <w:rPr>
                <w:rFonts w:ascii="Times New Roman" w:hAnsi="Times New Roman" w:cs="Times New Roman"/>
                <w:sz w:val="20"/>
                <w:szCs w:val="20"/>
              </w:rPr>
              <w:t>Puluh</w:t>
            </w:r>
            <w:proofErr w:type="spellEnd"/>
            <w:r w:rsidRPr="009C09C4">
              <w:rPr>
                <w:rFonts w:ascii="Times New Roman" w:hAnsi="Times New Roman" w:cs="Times New Roman"/>
                <w:sz w:val="20"/>
                <w:szCs w:val="20"/>
              </w:rPr>
              <w:t xml:space="preserve"> </w:t>
            </w:r>
            <w:proofErr w:type="spellStart"/>
            <w:r w:rsidRPr="009C09C4">
              <w:rPr>
                <w:rFonts w:ascii="Times New Roman" w:hAnsi="Times New Roman" w:cs="Times New Roman"/>
                <w:sz w:val="20"/>
                <w:szCs w:val="20"/>
              </w:rPr>
              <w:t>Pesisir</w:t>
            </w:r>
            <w:proofErr w:type="spellEnd"/>
          </w:p>
        </w:tc>
        <w:tc>
          <w:tcPr>
            <w:tcW w:w="632" w:type="dxa"/>
            <w:vAlign w:val="bottom"/>
          </w:tcPr>
          <w:p w14:paraId="5C314E81" w14:textId="4B06976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298</w:t>
            </w:r>
          </w:p>
        </w:tc>
        <w:tc>
          <w:tcPr>
            <w:tcW w:w="631" w:type="dxa"/>
            <w:vAlign w:val="bottom"/>
          </w:tcPr>
          <w:p w14:paraId="6A9D8FF0" w14:textId="1EF7368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354</w:t>
            </w:r>
          </w:p>
        </w:tc>
        <w:tc>
          <w:tcPr>
            <w:tcW w:w="800" w:type="dxa"/>
            <w:vAlign w:val="bottom"/>
          </w:tcPr>
          <w:p w14:paraId="39A7EBAA" w14:textId="7EE48EE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2734</w:t>
            </w:r>
          </w:p>
        </w:tc>
        <w:tc>
          <w:tcPr>
            <w:tcW w:w="551" w:type="dxa"/>
            <w:vAlign w:val="bottom"/>
          </w:tcPr>
          <w:p w14:paraId="7A08ADCC" w14:textId="03C09EF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23.8</w:t>
            </w:r>
          </w:p>
        </w:tc>
        <w:tc>
          <w:tcPr>
            <w:tcW w:w="631" w:type="dxa"/>
            <w:vAlign w:val="bottom"/>
          </w:tcPr>
          <w:p w14:paraId="3A007188" w14:textId="22B2523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157</w:t>
            </w:r>
          </w:p>
        </w:tc>
        <w:tc>
          <w:tcPr>
            <w:tcW w:w="631" w:type="dxa"/>
            <w:vAlign w:val="bottom"/>
          </w:tcPr>
          <w:p w14:paraId="3E104327" w14:textId="2E0860DF"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344</w:t>
            </w:r>
          </w:p>
        </w:tc>
        <w:tc>
          <w:tcPr>
            <w:tcW w:w="800" w:type="dxa"/>
            <w:vAlign w:val="bottom"/>
          </w:tcPr>
          <w:p w14:paraId="10ECF35B" w14:textId="1279058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2233</w:t>
            </w:r>
          </w:p>
        </w:tc>
        <w:tc>
          <w:tcPr>
            <w:tcW w:w="551" w:type="dxa"/>
            <w:vAlign w:val="bottom"/>
          </w:tcPr>
          <w:p w14:paraId="6D40A8C5" w14:textId="47D606E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22.9</w:t>
            </w:r>
          </w:p>
        </w:tc>
        <w:tc>
          <w:tcPr>
            <w:tcW w:w="631" w:type="dxa"/>
            <w:vAlign w:val="bottom"/>
          </w:tcPr>
          <w:p w14:paraId="64978F0A" w14:textId="6FC7C6E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132</w:t>
            </w:r>
          </w:p>
        </w:tc>
        <w:tc>
          <w:tcPr>
            <w:tcW w:w="631" w:type="dxa"/>
            <w:vAlign w:val="bottom"/>
          </w:tcPr>
          <w:p w14:paraId="25576E0B" w14:textId="5E26883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168</w:t>
            </w:r>
          </w:p>
        </w:tc>
        <w:tc>
          <w:tcPr>
            <w:tcW w:w="800" w:type="dxa"/>
            <w:vAlign w:val="bottom"/>
          </w:tcPr>
          <w:p w14:paraId="262555B1" w14:textId="0744D9B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2556</w:t>
            </w:r>
          </w:p>
        </w:tc>
        <w:tc>
          <w:tcPr>
            <w:tcW w:w="1109" w:type="dxa"/>
            <w:vAlign w:val="bottom"/>
          </w:tcPr>
          <w:p w14:paraId="01553BE6" w14:textId="7761D1C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11.7</w:t>
            </w:r>
          </w:p>
        </w:tc>
      </w:tr>
      <w:tr w:rsidR="00B04A6B" w:rsidRPr="009C09C4" w14:paraId="6950A67A" w14:textId="77777777" w:rsidTr="009C09C4">
        <w:tc>
          <w:tcPr>
            <w:tcW w:w="845" w:type="dxa"/>
          </w:tcPr>
          <w:p w14:paraId="4C72C15A" w14:textId="1A4C7357"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 xml:space="preserve">Datuk Lima </w:t>
            </w:r>
            <w:proofErr w:type="spellStart"/>
            <w:r w:rsidRPr="009C09C4">
              <w:rPr>
                <w:rFonts w:ascii="Times New Roman" w:hAnsi="Times New Roman" w:cs="Times New Roman"/>
                <w:sz w:val="20"/>
                <w:szCs w:val="20"/>
              </w:rPr>
              <w:t>Puluh</w:t>
            </w:r>
            <w:proofErr w:type="spellEnd"/>
          </w:p>
        </w:tc>
        <w:tc>
          <w:tcPr>
            <w:tcW w:w="632" w:type="dxa"/>
            <w:vAlign w:val="bottom"/>
          </w:tcPr>
          <w:p w14:paraId="69706692" w14:textId="56EB1DF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118</w:t>
            </w:r>
          </w:p>
        </w:tc>
        <w:tc>
          <w:tcPr>
            <w:tcW w:w="631" w:type="dxa"/>
            <w:vAlign w:val="bottom"/>
          </w:tcPr>
          <w:p w14:paraId="181BD6D1" w14:textId="0CF3ABB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362</w:t>
            </w:r>
          </w:p>
        </w:tc>
        <w:tc>
          <w:tcPr>
            <w:tcW w:w="800" w:type="dxa"/>
            <w:vAlign w:val="bottom"/>
          </w:tcPr>
          <w:p w14:paraId="7F0CD95A" w14:textId="214A224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1749</w:t>
            </w:r>
          </w:p>
        </w:tc>
        <w:tc>
          <w:tcPr>
            <w:tcW w:w="551" w:type="dxa"/>
            <w:vAlign w:val="bottom"/>
          </w:tcPr>
          <w:p w14:paraId="2AFB5233" w14:textId="0F9F8BB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27.4</w:t>
            </w:r>
          </w:p>
        </w:tc>
        <w:tc>
          <w:tcPr>
            <w:tcW w:w="631" w:type="dxa"/>
            <w:vAlign w:val="bottom"/>
          </w:tcPr>
          <w:p w14:paraId="068D35CA" w14:textId="78D487B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176</w:t>
            </w:r>
          </w:p>
        </w:tc>
        <w:tc>
          <w:tcPr>
            <w:tcW w:w="631" w:type="dxa"/>
            <w:vAlign w:val="bottom"/>
          </w:tcPr>
          <w:p w14:paraId="72552FE4" w14:textId="0C684F1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176</w:t>
            </w:r>
          </w:p>
        </w:tc>
        <w:tc>
          <w:tcPr>
            <w:tcW w:w="800" w:type="dxa"/>
            <w:vAlign w:val="bottom"/>
          </w:tcPr>
          <w:p w14:paraId="491B2FCB" w14:textId="18AF729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1348</w:t>
            </w:r>
          </w:p>
        </w:tc>
        <w:tc>
          <w:tcPr>
            <w:tcW w:w="551" w:type="dxa"/>
            <w:vAlign w:val="bottom"/>
          </w:tcPr>
          <w:p w14:paraId="3305633A" w14:textId="1DCBABA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18.9</w:t>
            </w:r>
          </w:p>
        </w:tc>
        <w:tc>
          <w:tcPr>
            <w:tcW w:w="631" w:type="dxa"/>
            <w:vAlign w:val="bottom"/>
          </w:tcPr>
          <w:p w14:paraId="70BC71CC" w14:textId="7EB94F8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93</w:t>
            </w:r>
          </w:p>
        </w:tc>
        <w:tc>
          <w:tcPr>
            <w:tcW w:w="631" w:type="dxa"/>
            <w:vAlign w:val="bottom"/>
          </w:tcPr>
          <w:p w14:paraId="08669520" w14:textId="262DBE1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150</w:t>
            </w:r>
          </w:p>
        </w:tc>
        <w:tc>
          <w:tcPr>
            <w:tcW w:w="800" w:type="dxa"/>
            <w:vAlign w:val="bottom"/>
          </w:tcPr>
          <w:p w14:paraId="6273A365" w14:textId="43E291E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1506</w:t>
            </w:r>
          </w:p>
        </w:tc>
        <w:tc>
          <w:tcPr>
            <w:tcW w:w="1109" w:type="dxa"/>
            <w:vAlign w:val="bottom"/>
          </w:tcPr>
          <w:p w14:paraId="0950516E" w14:textId="66036BE8"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14.7</w:t>
            </w:r>
          </w:p>
        </w:tc>
      </w:tr>
      <w:tr w:rsidR="00B04A6B" w:rsidRPr="009C09C4" w14:paraId="02F0F47C" w14:textId="77777777" w:rsidTr="009C09C4">
        <w:tc>
          <w:tcPr>
            <w:tcW w:w="845" w:type="dxa"/>
          </w:tcPr>
          <w:p w14:paraId="59C3E148" w14:textId="0EE8FCA9"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Air Putih</w:t>
            </w:r>
          </w:p>
        </w:tc>
        <w:tc>
          <w:tcPr>
            <w:tcW w:w="632" w:type="dxa"/>
            <w:vAlign w:val="bottom"/>
          </w:tcPr>
          <w:p w14:paraId="4AA672D4" w14:textId="14E9548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247</w:t>
            </w:r>
          </w:p>
        </w:tc>
        <w:tc>
          <w:tcPr>
            <w:tcW w:w="631" w:type="dxa"/>
            <w:vAlign w:val="bottom"/>
          </w:tcPr>
          <w:p w14:paraId="6E900987" w14:textId="7B0E662F"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409</w:t>
            </w:r>
          </w:p>
        </w:tc>
        <w:tc>
          <w:tcPr>
            <w:tcW w:w="800" w:type="dxa"/>
            <w:vAlign w:val="bottom"/>
          </w:tcPr>
          <w:p w14:paraId="26CA6A12" w14:textId="3411139F"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1678</w:t>
            </w:r>
          </w:p>
        </w:tc>
        <w:tc>
          <w:tcPr>
            <w:tcW w:w="551" w:type="dxa"/>
            <w:vAlign w:val="bottom"/>
          </w:tcPr>
          <w:p w14:paraId="3E53E8EA" w14:textId="76C02D2B"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39.1</w:t>
            </w:r>
          </w:p>
        </w:tc>
        <w:tc>
          <w:tcPr>
            <w:tcW w:w="631" w:type="dxa"/>
            <w:vAlign w:val="bottom"/>
          </w:tcPr>
          <w:p w14:paraId="341B3193" w14:textId="2985D4C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183</w:t>
            </w:r>
          </w:p>
        </w:tc>
        <w:tc>
          <w:tcPr>
            <w:tcW w:w="631" w:type="dxa"/>
            <w:vAlign w:val="bottom"/>
          </w:tcPr>
          <w:p w14:paraId="1249A2B5" w14:textId="0E3FBFD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311</w:t>
            </w:r>
          </w:p>
        </w:tc>
        <w:tc>
          <w:tcPr>
            <w:tcW w:w="800" w:type="dxa"/>
            <w:vAlign w:val="bottom"/>
          </w:tcPr>
          <w:p w14:paraId="2DF3A61D" w14:textId="3EAF58C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2510</w:t>
            </w:r>
          </w:p>
        </w:tc>
        <w:tc>
          <w:tcPr>
            <w:tcW w:w="551" w:type="dxa"/>
            <w:vAlign w:val="bottom"/>
          </w:tcPr>
          <w:p w14:paraId="77386E63" w14:textId="67ED6A3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19.7</w:t>
            </w:r>
          </w:p>
        </w:tc>
        <w:tc>
          <w:tcPr>
            <w:tcW w:w="631" w:type="dxa"/>
            <w:vAlign w:val="bottom"/>
          </w:tcPr>
          <w:p w14:paraId="4AEFD396" w14:textId="2C4F973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176</w:t>
            </w:r>
          </w:p>
        </w:tc>
        <w:tc>
          <w:tcPr>
            <w:tcW w:w="631" w:type="dxa"/>
            <w:vAlign w:val="bottom"/>
          </w:tcPr>
          <w:p w14:paraId="6D94F2A3" w14:textId="046832EF"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306</w:t>
            </w:r>
          </w:p>
        </w:tc>
        <w:tc>
          <w:tcPr>
            <w:tcW w:w="800" w:type="dxa"/>
            <w:vAlign w:val="bottom"/>
          </w:tcPr>
          <w:p w14:paraId="062D4C8E" w14:textId="2C769F2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1961</w:t>
            </w:r>
          </w:p>
        </w:tc>
        <w:tc>
          <w:tcPr>
            <w:tcW w:w="1109" w:type="dxa"/>
            <w:vAlign w:val="bottom"/>
          </w:tcPr>
          <w:p w14:paraId="12DEA873" w14:textId="5DC4EBC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15.1</w:t>
            </w:r>
          </w:p>
        </w:tc>
      </w:tr>
      <w:tr w:rsidR="00B04A6B" w:rsidRPr="009C09C4" w14:paraId="533AA9C6" w14:textId="77777777" w:rsidTr="009C09C4">
        <w:tc>
          <w:tcPr>
            <w:tcW w:w="845" w:type="dxa"/>
          </w:tcPr>
          <w:p w14:paraId="7100676A" w14:textId="2D2E2ECB"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Sei Suka</w:t>
            </w:r>
          </w:p>
        </w:tc>
        <w:tc>
          <w:tcPr>
            <w:tcW w:w="632" w:type="dxa"/>
            <w:vAlign w:val="bottom"/>
          </w:tcPr>
          <w:p w14:paraId="378C4F22" w14:textId="565BFFE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216</w:t>
            </w:r>
          </w:p>
        </w:tc>
        <w:tc>
          <w:tcPr>
            <w:tcW w:w="631" w:type="dxa"/>
            <w:vAlign w:val="bottom"/>
          </w:tcPr>
          <w:p w14:paraId="1CC4AE7C" w14:textId="727324D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351</w:t>
            </w:r>
          </w:p>
        </w:tc>
        <w:tc>
          <w:tcPr>
            <w:tcW w:w="800" w:type="dxa"/>
            <w:vAlign w:val="bottom"/>
          </w:tcPr>
          <w:p w14:paraId="40668A70" w14:textId="0E2A85D8"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2277</w:t>
            </w:r>
          </w:p>
        </w:tc>
        <w:tc>
          <w:tcPr>
            <w:tcW w:w="551" w:type="dxa"/>
            <w:vAlign w:val="bottom"/>
          </w:tcPr>
          <w:p w14:paraId="38D9B7CA" w14:textId="4591B93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24.9</w:t>
            </w:r>
          </w:p>
        </w:tc>
        <w:tc>
          <w:tcPr>
            <w:tcW w:w="631" w:type="dxa"/>
            <w:vAlign w:val="bottom"/>
          </w:tcPr>
          <w:p w14:paraId="136C96B4" w14:textId="1A1081FF"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185</w:t>
            </w:r>
          </w:p>
        </w:tc>
        <w:tc>
          <w:tcPr>
            <w:tcW w:w="631" w:type="dxa"/>
            <w:vAlign w:val="bottom"/>
          </w:tcPr>
          <w:p w14:paraId="47DE3475" w14:textId="0657C81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231</w:t>
            </w:r>
          </w:p>
        </w:tc>
        <w:tc>
          <w:tcPr>
            <w:tcW w:w="800" w:type="dxa"/>
            <w:vAlign w:val="bottom"/>
          </w:tcPr>
          <w:p w14:paraId="328F47C5" w14:textId="70A3D38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2221</w:t>
            </w:r>
          </w:p>
        </w:tc>
        <w:tc>
          <w:tcPr>
            <w:tcW w:w="551" w:type="dxa"/>
            <w:vAlign w:val="bottom"/>
          </w:tcPr>
          <w:p w14:paraId="3DC10D2F" w14:textId="57F6AC3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20.4</w:t>
            </w:r>
          </w:p>
        </w:tc>
        <w:tc>
          <w:tcPr>
            <w:tcW w:w="631" w:type="dxa"/>
            <w:vAlign w:val="bottom"/>
          </w:tcPr>
          <w:p w14:paraId="32239BE4" w14:textId="6695B26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110</w:t>
            </w:r>
          </w:p>
        </w:tc>
        <w:tc>
          <w:tcPr>
            <w:tcW w:w="631" w:type="dxa"/>
            <w:vAlign w:val="bottom"/>
          </w:tcPr>
          <w:p w14:paraId="1B204F2D" w14:textId="17EA8226"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197</w:t>
            </w:r>
          </w:p>
        </w:tc>
        <w:tc>
          <w:tcPr>
            <w:tcW w:w="800" w:type="dxa"/>
            <w:vAlign w:val="bottom"/>
          </w:tcPr>
          <w:p w14:paraId="418A208D" w14:textId="1A8FA60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2300</w:t>
            </w:r>
          </w:p>
        </w:tc>
        <w:tc>
          <w:tcPr>
            <w:tcW w:w="1109" w:type="dxa"/>
            <w:vAlign w:val="bottom"/>
          </w:tcPr>
          <w:p w14:paraId="6B0FABB2" w14:textId="13E1133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13.2</w:t>
            </w:r>
          </w:p>
        </w:tc>
      </w:tr>
      <w:tr w:rsidR="00B04A6B" w:rsidRPr="009C09C4" w14:paraId="686DB16C" w14:textId="77777777" w:rsidTr="009C09C4">
        <w:tc>
          <w:tcPr>
            <w:tcW w:w="845" w:type="dxa"/>
          </w:tcPr>
          <w:p w14:paraId="15CADF49" w14:textId="58E3ABD9" w:rsidR="00B04A6B" w:rsidRPr="009C09C4" w:rsidRDefault="00B04A6B" w:rsidP="00B04A6B">
            <w:pPr>
              <w:spacing w:after="120"/>
              <w:jc w:val="both"/>
              <w:rPr>
                <w:rFonts w:ascii="Times New Roman" w:hAnsi="Times New Roman" w:cs="Times New Roman"/>
                <w:sz w:val="20"/>
                <w:szCs w:val="20"/>
              </w:rPr>
            </w:pPr>
            <w:proofErr w:type="spellStart"/>
            <w:r w:rsidRPr="009C09C4">
              <w:rPr>
                <w:rFonts w:ascii="Times New Roman" w:hAnsi="Times New Roman" w:cs="Times New Roman"/>
                <w:sz w:val="20"/>
                <w:szCs w:val="20"/>
              </w:rPr>
              <w:t>Medang</w:t>
            </w:r>
            <w:proofErr w:type="spellEnd"/>
            <w:r w:rsidRPr="009C09C4">
              <w:rPr>
                <w:rFonts w:ascii="Times New Roman" w:hAnsi="Times New Roman" w:cs="Times New Roman"/>
                <w:sz w:val="20"/>
                <w:szCs w:val="20"/>
              </w:rPr>
              <w:t xml:space="preserve"> Deras</w:t>
            </w:r>
          </w:p>
        </w:tc>
        <w:tc>
          <w:tcPr>
            <w:tcW w:w="632" w:type="dxa"/>
            <w:vAlign w:val="bottom"/>
          </w:tcPr>
          <w:p w14:paraId="22E4A799" w14:textId="22742FD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612</w:t>
            </w:r>
          </w:p>
        </w:tc>
        <w:tc>
          <w:tcPr>
            <w:tcW w:w="631" w:type="dxa"/>
            <w:vAlign w:val="bottom"/>
          </w:tcPr>
          <w:p w14:paraId="38FE62EE" w14:textId="465836A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578</w:t>
            </w:r>
          </w:p>
        </w:tc>
        <w:tc>
          <w:tcPr>
            <w:tcW w:w="800" w:type="dxa"/>
            <w:vAlign w:val="bottom"/>
          </w:tcPr>
          <w:p w14:paraId="12261DA1" w14:textId="105D6319"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2926</w:t>
            </w:r>
          </w:p>
        </w:tc>
        <w:tc>
          <w:tcPr>
            <w:tcW w:w="551" w:type="dxa"/>
            <w:vAlign w:val="bottom"/>
          </w:tcPr>
          <w:p w14:paraId="5B4B62CF" w14:textId="027B50B8"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40.7</w:t>
            </w:r>
          </w:p>
        </w:tc>
        <w:tc>
          <w:tcPr>
            <w:tcW w:w="631" w:type="dxa"/>
            <w:vAlign w:val="bottom"/>
          </w:tcPr>
          <w:p w14:paraId="761A7750" w14:textId="2D39D9F4"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543</w:t>
            </w:r>
          </w:p>
        </w:tc>
        <w:tc>
          <w:tcPr>
            <w:tcW w:w="631" w:type="dxa"/>
            <w:vAlign w:val="bottom"/>
          </w:tcPr>
          <w:p w14:paraId="70602947" w14:textId="1F6B37E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393</w:t>
            </w:r>
          </w:p>
        </w:tc>
        <w:tc>
          <w:tcPr>
            <w:tcW w:w="800" w:type="dxa"/>
            <w:vAlign w:val="bottom"/>
          </w:tcPr>
          <w:p w14:paraId="341C7451" w14:textId="6F4CD06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3404</w:t>
            </w:r>
          </w:p>
        </w:tc>
        <w:tc>
          <w:tcPr>
            <w:tcW w:w="551" w:type="dxa"/>
            <w:vAlign w:val="bottom"/>
          </w:tcPr>
          <w:p w14:paraId="42A71414" w14:textId="70E46C7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27.2</w:t>
            </w:r>
          </w:p>
        </w:tc>
        <w:tc>
          <w:tcPr>
            <w:tcW w:w="631" w:type="dxa"/>
            <w:vAlign w:val="bottom"/>
          </w:tcPr>
          <w:p w14:paraId="1EBA1624" w14:textId="3CA9FE9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543</w:t>
            </w:r>
          </w:p>
        </w:tc>
        <w:tc>
          <w:tcPr>
            <w:tcW w:w="631" w:type="dxa"/>
            <w:vAlign w:val="bottom"/>
          </w:tcPr>
          <w:p w14:paraId="63F01282" w14:textId="6097CA4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454</w:t>
            </w:r>
          </w:p>
        </w:tc>
        <w:tc>
          <w:tcPr>
            <w:tcW w:w="800" w:type="dxa"/>
            <w:vAlign w:val="bottom"/>
          </w:tcPr>
          <w:p w14:paraId="0C02DE3F" w14:textId="3A3707B0"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3083</w:t>
            </w:r>
          </w:p>
        </w:tc>
        <w:tc>
          <w:tcPr>
            <w:tcW w:w="1109" w:type="dxa"/>
            <w:vAlign w:val="bottom"/>
          </w:tcPr>
          <w:p w14:paraId="6514C245" w14:textId="6C2ED03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27.2</w:t>
            </w:r>
          </w:p>
        </w:tc>
      </w:tr>
      <w:tr w:rsidR="00B04A6B" w:rsidRPr="009C09C4" w14:paraId="3D012A41" w14:textId="77777777" w:rsidTr="009C09C4">
        <w:tc>
          <w:tcPr>
            <w:tcW w:w="845" w:type="dxa"/>
          </w:tcPr>
          <w:p w14:paraId="0B074C36" w14:textId="58589C43" w:rsidR="00B04A6B" w:rsidRPr="009C09C4" w:rsidRDefault="00B04A6B" w:rsidP="00B04A6B">
            <w:pPr>
              <w:spacing w:after="120"/>
              <w:jc w:val="both"/>
              <w:rPr>
                <w:rFonts w:ascii="Times New Roman" w:hAnsi="Times New Roman" w:cs="Times New Roman"/>
                <w:sz w:val="20"/>
                <w:szCs w:val="20"/>
              </w:rPr>
            </w:pPr>
            <w:r w:rsidRPr="009C09C4">
              <w:rPr>
                <w:rFonts w:ascii="Times New Roman" w:hAnsi="Times New Roman" w:cs="Times New Roman"/>
                <w:sz w:val="20"/>
                <w:szCs w:val="20"/>
              </w:rPr>
              <w:t>Laut Tador</w:t>
            </w:r>
          </w:p>
        </w:tc>
        <w:tc>
          <w:tcPr>
            <w:tcW w:w="632" w:type="dxa"/>
            <w:vAlign w:val="bottom"/>
          </w:tcPr>
          <w:p w14:paraId="32036AC4" w14:textId="5E5CCB95"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56</w:t>
            </w:r>
          </w:p>
        </w:tc>
        <w:tc>
          <w:tcPr>
            <w:tcW w:w="631" w:type="dxa"/>
            <w:vAlign w:val="bottom"/>
          </w:tcPr>
          <w:p w14:paraId="4823AF0E" w14:textId="413463BA"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77</w:t>
            </w:r>
          </w:p>
        </w:tc>
        <w:tc>
          <w:tcPr>
            <w:tcW w:w="800" w:type="dxa"/>
            <w:vAlign w:val="bottom"/>
          </w:tcPr>
          <w:p w14:paraId="1BFF7B5D" w14:textId="69AF6F53"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508</w:t>
            </w:r>
          </w:p>
        </w:tc>
        <w:tc>
          <w:tcPr>
            <w:tcW w:w="551" w:type="dxa"/>
            <w:vAlign w:val="bottom"/>
          </w:tcPr>
          <w:p w14:paraId="332C5901" w14:textId="4FD45F3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26.2</w:t>
            </w:r>
          </w:p>
        </w:tc>
        <w:tc>
          <w:tcPr>
            <w:tcW w:w="631" w:type="dxa"/>
            <w:vAlign w:val="bottom"/>
          </w:tcPr>
          <w:p w14:paraId="475F5A5F" w14:textId="0622EC8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41</w:t>
            </w:r>
          </w:p>
        </w:tc>
        <w:tc>
          <w:tcPr>
            <w:tcW w:w="631" w:type="dxa"/>
            <w:vAlign w:val="bottom"/>
          </w:tcPr>
          <w:p w14:paraId="301AD4A4" w14:textId="04D8A6E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102</w:t>
            </w:r>
          </w:p>
        </w:tc>
        <w:tc>
          <w:tcPr>
            <w:tcW w:w="800" w:type="dxa"/>
            <w:vAlign w:val="bottom"/>
          </w:tcPr>
          <w:p w14:paraId="105C6129" w14:textId="06888833"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1000</w:t>
            </w:r>
          </w:p>
        </w:tc>
        <w:tc>
          <w:tcPr>
            <w:tcW w:w="551" w:type="dxa"/>
            <w:vAlign w:val="bottom"/>
          </w:tcPr>
          <w:p w14:paraId="4308239B" w14:textId="3EDDC58C"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14.3</w:t>
            </w:r>
          </w:p>
        </w:tc>
        <w:tc>
          <w:tcPr>
            <w:tcW w:w="631" w:type="dxa"/>
            <w:vAlign w:val="bottom"/>
          </w:tcPr>
          <w:p w14:paraId="2A4AD69D" w14:textId="5AF7A42D"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41</w:t>
            </w:r>
          </w:p>
        </w:tc>
        <w:tc>
          <w:tcPr>
            <w:tcW w:w="631" w:type="dxa"/>
            <w:vAlign w:val="bottom"/>
          </w:tcPr>
          <w:p w14:paraId="14180EB1" w14:textId="69624177"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112</w:t>
            </w:r>
          </w:p>
        </w:tc>
        <w:tc>
          <w:tcPr>
            <w:tcW w:w="800" w:type="dxa"/>
            <w:vAlign w:val="bottom"/>
          </w:tcPr>
          <w:p w14:paraId="79F864FA" w14:textId="79765A61"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1136</w:t>
            </w:r>
          </w:p>
        </w:tc>
        <w:tc>
          <w:tcPr>
            <w:tcW w:w="1109" w:type="dxa"/>
            <w:vAlign w:val="bottom"/>
          </w:tcPr>
          <w:p w14:paraId="4946D25E" w14:textId="4C762782" w:rsidR="00B04A6B" w:rsidRPr="009C09C4" w:rsidRDefault="00B04A6B" w:rsidP="00B04A6B">
            <w:pPr>
              <w:spacing w:after="120"/>
              <w:jc w:val="both"/>
              <w:rPr>
                <w:rFonts w:ascii="Times New Roman" w:hAnsi="Times New Roman" w:cs="Times New Roman"/>
                <w:sz w:val="20"/>
                <w:szCs w:val="20"/>
              </w:rPr>
            </w:pPr>
            <w:r w:rsidRPr="009C09C4">
              <w:rPr>
                <w:rFonts w:ascii="Times New Roman" w:eastAsia="Times New Roman" w:hAnsi="Times New Roman" w:cs="Times New Roman"/>
                <w:color w:val="000000"/>
                <w:kern w:val="0"/>
                <w:sz w:val="20"/>
                <w:szCs w:val="20"/>
                <w:lang w:val="id-ID" w:eastAsia="ja-JP"/>
                <w14:ligatures w14:val="none"/>
              </w:rPr>
              <w:t>12.6</w:t>
            </w:r>
          </w:p>
        </w:tc>
      </w:tr>
      <w:tr w:rsidR="009C09C4" w:rsidRPr="009C09C4" w14:paraId="3C0241FD" w14:textId="77777777" w:rsidTr="009C09C4">
        <w:tc>
          <w:tcPr>
            <w:tcW w:w="845" w:type="dxa"/>
          </w:tcPr>
          <w:p w14:paraId="622CA5A1" w14:textId="6E839823" w:rsidR="009C09C4" w:rsidRPr="009C09C4" w:rsidRDefault="009C09C4" w:rsidP="009C09C4">
            <w:pPr>
              <w:spacing w:after="120"/>
              <w:jc w:val="both"/>
              <w:rPr>
                <w:rFonts w:ascii="Times New Roman" w:hAnsi="Times New Roman" w:cs="Times New Roman"/>
                <w:b/>
                <w:bCs/>
                <w:sz w:val="16"/>
                <w:szCs w:val="16"/>
                <w:highlight w:val="yellow"/>
              </w:rPr>
            </w:pPr>
            <w:r w:rsidRPr="009C09C4">
              <w:rPr>
                <w:rFonts w:ascii="Times New Roman" w:hAnsi="Times New Roman" w:cs="Times New Roman"/>
                <w:b/>
                <w:bCs/>
                <w:sz w:val="16"/>
                <w:szCs w:val="16"/>
                <w:highlight w:val="yellow"/>
              </w:rPr>
              <w:t>Total</w:t>
            </w:r>
          </w:p>
        </w:tc>
        <w:tc>
          <w:tcPr>
            <w:tcW w:w="632" w:type="dxa"/>
          </w:tcPr>
          <w:p w14:paraId="65DAF6DD" w14:textId="13383CF9"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2940</w:t>
            </w:r>
          </w:p>
        </w:tc>
        <w:tc>
          <w:tcPr>
            <w:tcW w:w="631" w:type="dxa"/>
          </w:tcPr>
          <w:p w14:paraId="1C3D7346" w14:textId="46D3C5EC"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3973</w:t>
            </w:r>
          </w:p>
        </w:tc>
        <w:tc>
          <w:tcPr>
            <w:tcW w:w="800" w:type="dxa"/>
          </w:tcPr>
          <w:p w14:paraId="7C7C08FC" w14:textId="116B1964"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21893</w:t>
            </w:r>
          </w:p>
        </w:tc>
        <w:tc>
          <w:tcPr>
            <w:tcW w:w="551" w:type="dxa"/>
          </w:tcPr>
          <w:p w14:paraId="3D71B378" w14:textId="76CE1859"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30.8</w:t>
            </w:r>
          </w:p>
        </w:tc>
        <w:tc>
          <w:tcPr>
            <w:tcW w:w="631" w:type="dxa"/>
          </w:tcPr>
          <w:p w14:paraId="4DFEC940" w14:textId="335E76C2"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2073</w:t>
            </w:r>
          </w:p>
        </w:tc>
        <w:tc>
          <w:tcPr>
            <w:tcW w:w="631" w:type="dxa"/>
          </w:tcPr>
          <w:p w14:paraId="427B811B" w14:textId="4FB56AD0"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2866</w:t>
            </w:r>
          </w:p>
        </w:tc>
        <w:tc>
          <w:tcPr>
            <w:tcW w:w="800" w:type="dxa"/>
          </w:tcPr>
          <w:p w14:paraId="1714AF05" w14:textId="1C4B3A73"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22269</w:t>
            </w:r>
          </w:p>
        </w:tc>
        <w:tc>
          <w:tcPr>
            <w:tcW w:w="551" w:type="dxa"/>
          </w:tcPr>
          <w:p w14:paraId="0F8B0DDD" w14:textId="6CD471F9"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21.7</w:t>
            </w:r>
          </w:p>
        </w:tc>
        <w:tc>
          <w:tcPr>
            <w:tcW w:w="631" w:type="dxa"/>
          </w:tcPr>
          <w:p w14:paraId="649F8FDB" w14:textId="0BE34107"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1773</w:t>
            </w:r>
          </w:p>
        </w:tc>
        <w:tc>
          <w:tcPr>
            <w:tcW w:w="631" w:type="dxa"/>
          </w:tcPr>
          <w:p w14:paraId="585EA3B7" w14:textId="141FC431"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2741</w:t>
            </w:r>
          </w:p>
        </w:tc>
        <w:tc>
          <w:tcPr>
            <w:tcW w:w="800" w:type="dxa"/>
          </w:tcPr>
          <w:p w14:paraId="41BB978B" w14:textId="67E8757D" w:rsidR="009C09C4" w:rsidRPr="009C09C4" w:rsidRDefault="009C09C4" w:rsidP="009C09C4">
            <w:pPr>
              <w:spacing w:after="120"/>
              <w:jc w:val="both"/>
              <w:rPr>
                <w:rFonts w:ascii="Times New Roman" w:eastAsia="Times New Roman" w:hAnsi="Times New Roman" w:cs="Times New Roman"/>
                <w:b/>
                <w:bCs/>
                <w:color w:val="000000"/>
                <w:kern w:val="0"/>
                <w:sz w:val="16"/>
                <w:szCs w:val="16"/>
                <w:highlight w:val="yellow"/>
                <w:lang w:eastAsia="ja-JP"/>
                <w14:ligatures w14:val="none"/>
              </w:rPr>
            </w:pPr>
            <w:r w:rsidRPr="009C09C4">
              <w:rPr>
                <w:rFonts w:ascii="Times New Roman" w:hAnsi="Times New Roman" w:cs="Times New Roman"/>
                <w:sz w:val="20"/>
                <w:szCs w:val="20"/>
                <w:highlight w:val="yellow"/>
              </w:rPr>
              <w:t>26919</w:t>
            </w:r>
          </w:p>
        </w:tc>
        <w:tc>
          <w:tcPr>
            <w:tcW w:w="1109" w:type="dxa"/>
          </w:tcPr>
          <w:p w14:paraId="54B19732" w14:textId="278C24A7" w:rsidR="009C09C4" w:rsidRPr="009C09C4" w:rsidRDefault="009C09C4" w:rsidP="009C09C4">
            <w:pPr>
              <w:spacing w:after="120"/>
              <w:jc w:val="both"/>
              <w:rPr>
                <w:rFonts w:ascii="Times New Roman" w:eastAsia="Times New Roman" w:hAnsi="Times New Roman" w:cs="Times New Roman"/>
                <w:b/>
                <w:bCs/>
                <w:color w:val="000000"/>
                <w:kern w:val="0"/>
                <w:sz w:val="16"/>
                <w:szCs w:val="16"/>
                <w:lang w:eastAsia="ja-JP"/>
                <w14:ligatures w14:val="none"/>
              </w:rPr>
            </w:pPr>
            <w:r w:rsidRPr="009C09C4">
              <w:rPr>
                <w:rFonts w:ascii="Times New Roman" w:hAnsi="Times New Roman" w:cs="Times New Roman"/>
                <w:sz w:val="20"/>
                <w:szCs w:val="20"/>
                <w:highlight w:val="yellow"/>
              </w:rPr>
              <w:t>15.7</w:t>
            </w:r>
          </w:p>
        </w:tc>
      </w:tr>
    </w:tbl>
    <w:p w14:paraId="090E3207" w14:textId="00A1F304" w:rsidR="0043375F" w:rsidRPr="009C09C4" w:rsidRDefault="0043375F" w:rsidP="0043375F">
      <w:pPr>
        <w:spacing w:after="120" w:line="240" w:lineRule="auto"/>
        <w:jc w:val="both"/>
        <w:rPr>
          <w:rFonts w:ascii="Times New Roman" w:hAnsi="Times New Roman" w:cs="Times New Roman"/>
        </w:rPr>
      </w:pPr>
    </w:p>
    <w:p w14:paraId="5FF483F8" w14:textId="0C2721D3" w:rsidR="0043375F" w:rsidRPr="009C09C4" w:rsidRDefault="0043375F" w:rsidP="0043375F">
      <w:pPr>
        <w:spacing w:after="120" w:line="240" w:lineRule="auto"/>
        <w:jc w:val="both"/>
        <w:rPr>
          <w:rFonts w:ascii="Times New Roman" w:hAnsi="Times New Roman" w:cs="Times New Roman"/>
          <w:b/>
          <w:bCs/>
        </w:rPr>
      </w:pPr>
      <w:r w:rsidRPr="009C09C4">
        <w:rPr>
          <w:rFonts w:ascii="Times New Roman" w:hAnsi="Times New Roman" w:cs="Times New Roman"/>
          <w:b/>
          <w:bCs/>
        </w:rPr>
        <w:t>Impact of Vitamin A Supplementation on Nutritional Outcomes</w:t>
      </w:r>
    </w:p>
    <w:p w14:paraId="285C815E" w14:textId="77777777" w:rsidR="009C09C4" w:rsidRPr="009C09C4" w:rsidRDefault="009C09C4" w:rsidP="009C09C4">
      <w:pPr>
        <w:spacing w:after="120" w:line="240" w:lineRule="auto"/>
        <w:jc w:val="both"/>
        <w:rPr>
          <w:rFonts w:ascii="Times New Roman" w:hAnsi="Times New Roman" w:cs="Times New Roman"/>
        </w:rPr>
      </w:pPr>
      <w:r w:rsidRPr="009C09C4">
        <w:rPr>
          <w:rFonts w:ascii="Times New Roman" w:hAnsi="Times New Roman" w:cs="Times New Roman"/>
        </w:rPr>
        <w:t xml:space="preserve">he Batu Bara Regency government has taken strategic steps to combat stunting through targeted nutritional interventions, including the widespread distribution of vitamin A supplements. This initiative, reinforced by local regulation </w:t>
      </w:r>
      <w:proofErr w:type="spellStart"/>
      <w:r w:rsidRPr="009C09C4">
        <w:rPr>
          <w:rFonts w:ascii="Times New Roman" w:hAnsi="Times New Roman" w:cs="Times New Roman"/>
          <w:i/>
          <w:iCs/>
        </w:rPr>
        <w:t>Perbup</w:t>
      </w:r>
      <w:proofErr w:type="spellEnd"/>
      <w:r w:rsidRPr="009C09C4">
        <w:rPr>
          <w:rFonts w:ascii="Times New Roman" w:hAnsi="Times New Roman" w:cs="Times New Roman"/>
        </w:rPr>
        <w:t xml:space="preserve"> No. 41 of 2021, emphasizes integrated efforts combining promotive, preventive, and rehabilitative approaches in community health programs. Field implementation is carried out through coordinated activities in local health centers (</w:t>
      </w:r>
      <w:proofErr w:type="spellStart"/>
      <w:r w:rsidRPr="009C09C4">
        <w:rPr>
          <w:rFonts w:ascii="Times New Roman" w:hAnsi="Times New Roman" w:cs="Times New Roman"/>
          <w:i/>
          <w:iCs/>
        </w:rPr>
        <w:t>Posyandu</w:t>
      </w:r>
      <w:proofErr w:type="spellEnd"/>
      <w:r w:rsidRPr="009C09C4">
        <w:rPr>
          <w:rFonts w:ascii="Times New Roman" w:hAnsi="Times New Roman" w:cs="Times New Roman"/>
        </w:rPr>
        <w:t>), clinics, and district hospitals, involving nutritionists and health cadres.</w:t>
      </w:r>
    </w:p>
    <w:p w14:paraId="22634B1B" w14:textId="77777777" w:rsidR="009C09C4" w:rsidRPr="009C09C4" w:rsidRDefault="009C09C4" w:rsidP="009C09C4">
      <w:pPr>
        <w:spacing w:after="120" w:line="240" w:lineRule="auto"/>
        <w:jc w:val="both"/>
        <w:rPr>
          <w:rFonts w:ascii="Times New Roman" w:hAnsi="Times New Roman" w:cs="Times New Roman"/>
        </w:rPr>
      </w:pPr>
    </w:p>
    <w:p w14:paraId="3220AE12" w14:textId="77777777" w:rsidR="009C09C4" w:rsidRPr="009C09C4" w:rsidRDefault="009C09C4" w:rsidP="009C09C4">
      <w:pPr>
        <w:spacing w:after="120" w:line="240" w:lineRule="auto"/>
        <w:jc w:val="both"/>
        <w:rPr>
          <w:rFonts w:ascii="Times New Roman" w:hAnsi="Times New Roman" w:cs="Times New Roman"/>
        </w:rPr>
      </w:pPr>
    </w:p>
    <w:p w14:paraId="19E42632" w14:textId="62186C54" w:rsidR="00646514" w:rsidRPr="009C09C4" w:rsidRDefault="009C09C4" w:rsidP="00646514">
      <w:pPr>
        <w:spacing w:after="120" w:line="240" w:lineRule="auto"/>
        <w:jc w:val="center"/>
        <w:rPr>
          <w:rFonts w:ascii="Times New Roman" w:hAnsi="Times New Roman" w:cs="Times New Roman"/>
          <w:lang w:val="id-ID"/>
        </w:rPr>
      </w:pPr>
      <w:r w:rsidRPr="009C09C4">
        <w:rPr>
          <w:rFonts w:ascii="Times New Roman" w:hAnsi="Times New Roman" w:cs="Times New Roman"/>
          <w:b/>
          <w:bCs/>
        </w:rPr>
        <w:t>Table 2.</w:t>
      </w:r>
      <w:r w:rsidRPr="009C09C4">
        <w:rPr>
          <w:rFonts w:ascii="Times New Roman" w:hAnsi="Times New Roman" w:cs="Times New Roman"/>
        </w:rPr>
        <w:t xml:space="preserve"> </w:t>
      </w:r>
      <w:r w:rsidRPr="009C09C4">
        <w:rPr>
          <w:rFonts w:ascii="Times New Roman" w:hAnsi="Times New Roman" w:cs="Times New Roman"/>
          <w:i/>
          <w:iCs/>
        </w:rPr>
        <w:t>Vitamin A Coverage by District, 2023</w:t>
      </w:r>
      <w:r w:rsidRPr="009C09C4">
        <w:rPr>
          <w:rFonts w:ascii="Times New Roman" w:hAnsi="Times New Roman" w:cs="Times New Roman"/>
          <w:lang w:val="id-ID"/>
        </w:rPr>
        <w:t xml:space="preserve"> </w:t>
      </w:r>
    </w:p>
    <w:tbl>
      <w:tblPr>
        <w:tblStyle w:val="TableGrid"/>
        <w:tblW w:w="7560" w:type="dxa"/>
        <w:jc w:val="center"/>
        <w:tblLook w:val="04A0" w:firstRow="1" w:lastRow="0" w:firstColumn="1" w:lastColumn="0" w:noHBand="0" w:noVBand="1"/>
      </w:tblPr>
      <w:tblGrid>
        <w:gridCol w:w="1706"/>
        <w:gridCol w:w="960"/>
        <w:gridCol w:w="960"/>
        <w:gridCol w:w="960"/>
        <w:gridCol w:w="960"/>
        <w:gridCol w:w="1003"/>
        <w:gridCol w:w="1136"/>
      </w:tblGrid>
      <w:tr w:rsidR="00646514" w:rsidRPr="009C09C4" w14:paraId="5C035453" w14:textId="77777777" w:rsidTr="00B401DA">
        <w:trPr>
          <w:trHeight w:val="300"/>
          <w:jc w:val="center"/>
        </w:trPr>
        <w:tc>
          <w:tcPr>
            <w:tcW w:w="1706" w:type="dxa"/>
            <w:noWrap/>
            <w:hideMark/>
          </w:tcPr>
          <w:p w14:paraId="609A12AC"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District</w:t>
            </w:r>
          </w:p>
        </w:tc>
        <w:tc>
          <w:tcPr>
            <w:tcW w:w="960" w:type="dxa"/>
            <w:noWrap/>
            <w:hideMark/>
          </w:tcPr>
          <w:p w14:paraId="11CB2768"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Normal</w:t>
            </w:r>
          </w:p>
        </w:tc>
        <w:tc>
          <w:tcPr>
            <w:tcW w:w="960" w:type="dxa"/>
            <w:noWrap/>
            <w:hideMark/>
          </w:tcPr>
          <w:p w14:paraId="39B368DE"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Short</w:t>
            </w:r>
          </w:p>
        </w:tc>
        <w:tc>
          <w:tcPr>
            <w:tcW w:w="960" w:type="dxa"/>
            <w:noWrap/>
            <w:hideMark/>
          </w:tcPr>
          <w:p w14:paraId="32CAED4F"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Very Short</w:t>
            </w:r>
          </w:p>
        </w:tc>
        <w:tc>
          <w:tcPr>
            <w:tcW w:w="960" w:type="dxa"/>
            <w:noWrap/>
            <w:hideMark/>
          </w:tcPr>
          <w:p w14:paraId="2DFEAF51"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Total</w:t>
            </w:r>
          </w:p>
        </w:tc>
        <w:tc>
          <w:tcPr>
            <w:tcW w:w="960" w:type="dxa"/>
            <w:noWrap/>
            <w:hideMark/>
          </w:tcPr>
          <w:p w14:paraId="1E987212"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Vitamin A Given</w:t>
            </w:r>
          </w:p>
        </w:tc>
        <w:tc>
          <w:tcPr>
            <w:tcW w:w="1054" w:type="dxa"/>
            <w:noWrap/>
            <w:hideMark/>
          </w:tcPr>
          <w:p w14:paraId="595CE67E"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Coverage (%)</w:t>
            </w:r>
          </w:p>
        </w:tc>
      </w:tr>
      <w:tr w:rsidR="00646514" w:rsidRPr="009C09C4" w14:paraId="36F84F25" w14:textId="77777777" w:rsidTr="00B401DA">
        <w:trPr>
          <w:trHeight w:val="300"/>
          <w:jc w:val="center"/>
        </w:trPr>
        <w:tc>
          <w:tcPr>
            <w:tcW w:w="1706" w:type="dxa"/>
            <w:noWrap/>
            <w:hideMark/>
          </w:tcPr>
          <w:p w14:paraId="06C6EB38"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Sei Balai</w:t>
            </w:r>
          </w:p>
        </w:tc>
        <w:tc>
          <w:tcPr>
            <w:tcW w:w="960" w:type="dxa"/>
            <w:noWrap/>
            <w:hideMark/>
          </w:tcPr>
          <w:p w14:paraId="183A6883"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1872</w:t>
            </w:r>
          </w:p>
        </w:tc>
        <w:tc>
          <w:tcPr>
            <w:tcW w:w="960" w:type="dxa"/>
            <w:noWrap/>
            <w:hideMark/>
          </w:tcPr>
          <w:p w14:paraId="13C820AA"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134</w:t>
            </w:r>
          </w:p>
        </w:tc>
        <w:tc>
          <w:tcPr>
            <w:tcW w:w="960" w:type="dxa"/>
            <w:noWrap/>
            <w:hideMark/>
          </w:tcPr>
          <w:p w14:paraId="7F99E0A3"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69</w:t>
            </w:r>
          </w:p>
        </w:tc>
        <w:tc>
          <w:tcPr>
            <w:tcW w:w="960" w:type="dxa"/>
            <w:noWrap/>
            <w:hideMark/>
          </w:tcPr>
          <w:p w14:paraId="4D4BC6F9"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2075</w:t>
            </w:r>
          </w:p>
        </w:tc>
        <w:tc>
          <w:tcPr>
            <w:tcW w:w="960" w:type="dxa"/>
            <w:noWrap/>
            <w:hideMark/>
          </w:tcPr>
          <w:p w14:paraId="6F1D1EBD"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1850</w:t>
            </w:r>
          </w:p>
        </w:tc>
        <w:tc>
          <w:tcPr>
            <w:tcW w:w="1054" w:type="dxa"/>
            <w:noWrap/>
            <w:hideMark/>
          </w:tcPr>
          <w:p w14:paraId="4B312229"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89.16</w:t>
            </w:r>
          </w:p>
        </w:tc>
      </w:tr>
      <w:tr w:rsidR="00646514" w:rsidRPr="009C09C4" w14:paraId="42688F71" w14:textId="77777777" w:rsidTr="00B401DA">
        <w:trPr>
          <w:trHeight w:val="300"/>
          <w:jc w:val="center"/>
        </w:trPr>
        <w:tc>
          <w:tcPr>
            <w:tcW w:w="1706" w:type="dxa"/>
            <w:noWrap/>
            <w:hideMark/>
          </w:tcPr>
          <w:p w14:paraId="6F010685"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Tanjung Tiram</w:t>
            </w:r>
          </w:p>
        </w:tc>
        <w:tc>
          <w:tcPr>
            <w:tcW w:w="960" w:type="dxa"/>
            <w:noWrap/>
            <w:hideMark/>
          </w:tcPr>
          <w:p w14:paraId="1564127B"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2718</w:t>
            </w:r>
          </w:p>
        </w:tc>
        <w:tc>
          <w:tcPr>
            <w:tcW w:w="960" w:type="dxa"/>
            <w:noWrap/>
            <w:hideMark/>
          </w:tcPr>
          <w:p w14:paraId="3B25BD6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411</w:t>
            </w:r>
          </w:p>
        </w:tc>
        <w:tc>
          <w:tcPr>
            <w:tcW w:w="960" w:type="dxa"/>
            <w:noWrap/>
            <w:hideMark/>
          </w:tcPr>
          <w:p w14:paraId="31DF94D3"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267</w:t>
            </w:r>
          </w:p>
        </w:tc>
        <w:tc>
          <w:tcPr>
            <w:tcW w:w="960" w:type="dxa"/>
            <w:noWrap/>
            <w:hideMark/>
          </w:tcPr>
          <w:p w14:paraId="695D20EA"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3396</w:t>
            </w:r>
          </w:p>
        </w:tc>
        <w:tc>
          <w:tcPr>
            <w:tcW w:w="960" w:type="dxa"/>
            <w:noWrap/>
            <w:hideMark/>
          </w:tcPr>
          <w:p w14:paraId="34C4AF0A"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2459</w:t>
            </w:r>
          </w:p>
        </w:tc>
        <w:tc>
          <w:tcPr>
            <w:tcW w:w="1054" w:type="dxa"/>
            <w:noWrap/>
            <w:hideMark/>
          </w:tcPr>
          <w:p w14:paraId="787BDA09"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72.41</w:t>
            </w:r>
          </w:p>
        </w:tc>
      </w:tr>
      <w:tr w:rsidR="00646514" w:rsidRPr="009C09C4" w14:paraId="16C526E2" w14:textId="77777777" w:rsidTr="00B401DA">
        <w:trPr>
          <w:trHeight w:val="300"/>
          <w:jc w:val="center"/>
        </w:trPr>
        <w:tc>
          <w:tcPr>
            <w:tcW w:w="1706" w:type="dxa"/>
            <w:noWrap/>
            <w:hideMark/>
          </w:tcPr>
          <w:p w14:paraId="4053CBC6"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Nibung Hangus</w:t>
            </w:r>
          </w:p>
        </w:tc>
        <w:tc>
          <w:tcPr>
            <w:tcW w:w="960" w:type="dxa"/>
            <w:noWrap/>
            <w:hideMark/>
          </w:tcPr>
          <w:p w14:paraId="69BD501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2144</w:t>
            </w:r>
          </w:p>
        </w:tc>
        <w:tc>
          <w:tcPr>
            <w:tcW w:w="960" w:type="dxa"/>
            <w:noWrap/>
            <w:hideMark/>
          </w:tcPr>
          <w:p w14:paraId="1EB617B6"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279</w:t>
            </w:r>
          </w:p>
        </w:tc>
        <w:tc>
          <w:tcPr>
            <w:tcW w:w="960" w:type="dxa"/>
            <w:noWrap/>
            <w:hideMark/>
          </w:tcPr>
          <w:p w14:paraId="4AB8720A"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114</w:t>
            </w:r>
          </w:p>
        </w:tc>
        <w:tc>
          <w:tcPr>
            <w:tcW w:w="960" w:type="dxa"/>
            <w:noWrap/>
            <w:hideMark/>
          </w:tcPr>
          <w:p w14:paraId="20FBCA11"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2537</w:t>
            </w:r>
          </w:p>
        </w:tc>
        <w:tc>
          <w:tcPr>
            <w:tcW w:w="960" w:type="dxa"/>
            <w:noWrap/>
            <w:hideMark/>
          </w:tcPr>
          <w:p w14:paraId="7683BF3F"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2072</w:t>
            </w:r>
          </w:p>
        </w:tc>
        <w:tc>
          <w:tcPr>
            <w:tcW w:w="1054" w:type="dxa"/>
            <w:noWrap/>
            <w:hideMark/>
          </w:tcPr>
          <w:p w14:paraId="374CC242"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81.67</w:t>
            </w:r>
          </w:p>
        </w:tc>
      </w:tr>
      <w:tr w:rsidR="00646514" w:rsidRPr="009C09C4" w14:paraId="5BD1588E" w14:textId="77777777" w:rsidTr="00B401DA">
        <w:trPr>
          <w:trHeight w:val="300"/>
          <w:jc w:val="center"/>
        </w:trPr>
        <w:tc>
          <w:tcPr>
            <w:tcW w:w="1706" w:type="dxa"/>
            <w:noWrap/>
            <w:hideMark/>
          </w:tcPr>
          <w:p w14:paraId="24717BD4"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Talawi</w:t>
            </w:r>
          </w:p>
        </w:tc>
        <w:tc>
          <w:tcPr>
            <w:tcW w:w="960" w:type="dxa"/>
            <w:noWrap/>
            <w:hideMark/>
          </w:tcPr>
          <w:p w14:paraId="30A831AF"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1959</w:t>
            </w:r>
          </w:p>
        </w:tc>
        <w:tc>
          <w:tcPr>
            <w:tcW w:w="960" w:type="dxa"/>
            <w:noWrap/>
            <w:hideMark/>
          </w:tcPr>
          <w:p w14:paraId="3F86CCDB"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114</w:t>
            </w:r>
          </w:p>
        </w:tc>
        <w:tc>
          <w:tcPr>
            <w:tcW w:w="960" w:type="dxa"/>
            <w:noWrap/>
            <w:hideMark/>
          </w:tcPr>
          <w:p w14:paraId="316DD5EF"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122</w:t>
            </w:r>
          </w:p>
        </w:tc>
        <w:tc>
          <w:tcPr>
            <w:tcW w:w="960" w:type="dxa"/>
            <w:noWrap/>
            <w:hideMark/>
          </w:tcPr>
          <w:p w14:paraId="5DB50CA3"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2195</w:t>
            </w:r>
          </w:p>
        </w:tc>
        <w:tc>
          <w:tcPr>
            <w:tcW w:w="960" w:type="dxa"/>
            <w:noWrap/>
            <w:hideMark/>
          </w:tcPr>
          <w:p w14:paraId="05B2A8C1"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1931</w:t>
            </w:r>
          </w:p>
        </w:tc>
        <w:tc>
          <w:tcPr>
            <w:tcW w:w="1054" w:type="dxa"/>
            <w:noWrap/>
            <w:hideMark/>
          </w:tcPr>
          <w:p w14:paraId="320097EE"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87.97</w:t>
            </w:r>
          </w:p>
        </w:tc>
      </w:tr>
      <w:tr w:rsidR="00646514" w:rsidRPr="009C09C4" w14:paraId="393FC1EB" w14:textId="77777777" w:rsidTr="00B401DA">
        <w:trPr>
          <w:trHeight w:val="300"/>
          <w:jc w:val="center"/>
        </w:trPr>
        <w:tc>
          <w:tcPr>
            <w:tcW w:w="1706" w:type="dxa"/>
            <w:noWrap/>
            <w:hideMark/>
          </w:tcPr>
          <w:p w14:paraId="093F2A4A"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Datuk Tanah Datar</w:t>
            </w:r>
          </w:p>
        </w:tc>
        <w:tc>
          <w:tcPr>
            <w:tcW w:w="960" w:type="dxa"/>
            <w:noWrap/>
            <w:hideMark/>
          </w:tcPr>
          <w:p w14:paraId="5745FF2C"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1539</w:t>
            </w:r>
          </w:p>
        </w:tc>
        <w:tc>
          <w:tcPr>
            <w:tcW w:w="960" w:type="dxa"/>
            <w:noWrap/>
            <w:hideMark/>
          </w:tcPr>
          <w:p w14:paraId="335B0DDB"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189</w:t>
            </w:r>
          </w:p>
        </w:tc>
        <w:tc>
          <w:tcPr>
            <w:tcW w:w="960" w:type="dxa"/>
            <w:noWrap/>
            <w:hideMark/>
          </w:tcPr>
          <w:p w14:paraId="472F605A"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78</w:t>
            </w:r>
          </w:p>
        </w:tc>
        <w:tc>
          <w:tcPr>
            <w:tcW w:w="960" w:type="dxa"/>
            <w:noWrap/>
            <w:hideMark/>
          </w:tcPr>
          <w:p w14:paraId="7F9035B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1806</w:t>
            </w:r>
          </w:p>
        </w:tc>
        <w:tc>
          <w:tcPr>
            <w:tcW w:w="960" w:type="dxa"/>
            <w:noWrap/>
            <w:hideMark/>
          </w:tcPr>
          <w:p w14:paraId="5A6958DD"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1493</w:t>
            </w:r>
          </w:p>
        </w:tc>
        <w:tc>
          <w:tcPr>
            <w:tcW w:w="1054" w:type="dxa"/>
            <w:noWrap/>
            <w:hideMark/>
          </w:tcPr>
          <w:p w14:paraId="1682F6B9"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82.67</w:t>
            </w:r>
          </w:p>
        </w:tc>
      </w:tr>
      <w:tr w:rsidR="00646514" w:rsidRPr="009C09C4" w14:paraId="478EDE23" w14:textId="77777777" w:rsidTr="00B401DA">
        <w:trPr>
          <w:trHeight w:val="300"/>
          <w:jc w:val="center"/>
        </w:trPr>
        <w:tc>
          <w:tcPr>
            <w:tcW w:w="1706" w:type="dxa"/>
            <w:noWrap/>
            <w:hideMark/>
          </w:tcPr>
          <w:p w14:paraId="5DFF1C60"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Lima Puluh</w:t>
            </w:r>
          </w:p>
        </w:tc>
        <w:tc>
          <w:tcPr>
            <w:tcW w:w="960" w:type="dxa"/>
            <w:noWrap/>
            <w:hideMark/>
          </w:tcPr>
          <w:p w14:paraId="1EF07E12"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1961</w:t>
            </w:r>
          </w:p>
        </w:tc>
        <w:tc>
          <w:tcPr>
            <w:tcW w:w="960" w:type="dxa"/>
            <w:noWrap/>
            <w:hideMark/>
          </w:tcPr>
          <w:p w14:paraId="0B21414C"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130</w:t>
            </w:r>
          </w:p>
        </w:tc>
        <w:tc>
          <w:tcPr>
            <w:tcW w:w="960" w:type="dxa"/>
            <w:noWrap/>
            <w:hideMark/>
          </w:tcPr>
          <w:p w14:paraId="15D2C266"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67</w:t>
            </w:r>
          </w:p>
        </w:tc>
        <w:tc>
          <w:tcPr>
            <w:tcW w:w="960" w:type="dxa"/>
            <w:noWrap/>
            <w:hideMark/>
          </w:tcPr>
          <w:p w14:paraId="517888F6"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2158</w:t>
            </w:r>
          </w:p>
        </w:tc>
        <w:tc>
          <w:tcPr>
            <w:tcW w:w="960" w:type="dxa"/>
            <w:noWrap/>
            <w:hideMark/>
          </w:tcPr>
          <w:p w14:paraId="182B3144"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1941</w:t>
            </w:r>
          </w:p>
        </w:tc>
        <w:tc>
          <w:tcPr>
            <w:tcW w:w="1054" w:type="dxa"/>
            <w:noWrap/>
            <w:hideMark/>
          </w:tcPr>
          <w:p w14:paraId="4C0DC6C2"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89.94</w:t>
            </w:r>
          </w:p>
        </w:tc>
      </w:tr>
      <w:tr w:rsidR="00646514" w:rsidRPr="009C09C4" w14:paraId="0D62086D" w14:textId="77777777" w:rsidTr="00B401DA">
        <w:trPr>
          <w:trHeight w:val="300"/>
          <w:jc w:val="center"/>
        </w:trPr>
        <w:tc>
          <w:tcPr>
            <w:tcW w:w="1706" w:type="dxa"/>
            <w:noWrap/>
            <w:hideMark/>
          </w:tcPr>
          <w:p w14:paraId="4EECC080"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lastRenderedPageBreak/>
              <w:t>Lima Puluh Pesisir</w:t>
            </w:r>
          </w:p>
        </w:tc>
        <w:tc>
          <w:tcPr>
            <w:tcW w:w="960" w:type="dxa"/>
            <w:noWrap/>
            <w:hideMark/>
          </w:tcPr>
          <w:p w14:paraId="6BA1DBE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2556</w:t>
            </w:r>
          </w:p>
        </w:tc>
        <w:tc>
          <w:tcPr>
            <w:tcW w:w="960" w:type="dxa"/>
            <w:noWrap/>
            <w:hideMark/>
          </w:tcPr>
          <w:p w14:paraId="3B7DC186"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168</w:t>
            </w:r>
          </w:p>
        </w:tc>
        <w:tc>
          <w:tcPr>
            <w:tcW w:w="960" w:type="dxa"/>
            <w:noWrap/>
            <w:hideMark/>
          </w:tcPr>
          <w:p w14:paraId="627609B8"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132</w:t>
            </w:r>
          </w:p>
        </w:tc>
        <w:tc>
          <w:tcPr>
            <w:tcW w:w="960" w:type="dxa"/>
            <w:noWrap/>
            <w:hideMark/>
          </w:tcPr>
          <w:p w14:paraId="655FC217"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2856</w:t>
            </w:r>
          </w:p>
        </w:tc>
        <w:tc>
          <w:tcPr>
            <w:tcW w:w="960" w:type="dxa"/>
            <w:noWrap/>
            <w:hideMark/>
          </w:tcPr>
          <w:p w14:paraId="25A5DBED"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2521</w:t>
            </w:r>
          </w:p>
        </w:tc>
        <w:tc>
          <w:tcPr>
            <w:tcW w:w="1054" w:type="dxa"/>
            <w:noWrap/>
            <w:hideMark/>
          </w:tcPr>
          <w:p w14:paraId="66F2D854"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88.27</w:t>
            </w:r>
          </w:p>
        </w:tc>
      </w:tr>
      <w:tr w:rsidR="00646514" w:rsidRPr="009C09C4" w14:paraId="7C9DDF1F" w14:textId="77777777" w:rsidTr="00B401DA">
        <w:trPr>
          <w:trHeight w:val="300"/>
          <w:jc w:val="center"/>
        </w:trPr>
        <w:tc>
          <w:tcPr>
            <w:tcW w:w="1706" w:type="dxa"/>
            <w:noWrap/>
            <w:hideMark/>
          </w:tcPr>
          <w:p w14:paraId="04EA0562"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Datuk Limapuluh</w:t>
            </w:r>
          </w:p>
        </w:tc>
        <w:tc>
          <w:tcPr>
            <w:tcW w:w="960" w:type="dxa"/>
            <w:noWrap/>
            <w:hideMark/>
          </w:tcPr>
          <w:p w14:paraId="20DD3487"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1506</w:t>
            </w:r>
          </w:p>
        </w:tc>
        <w:tc>
          <w:tcPr>
            <w:tcW w:w="960" w:type="dxa"/>
            <w:noWrap/>
            <w:hideMark/>
          </w:tcPr>
          <w:p w14:paraId="6134F429"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159</w:t>
            </w:r>
          </w:p>
        </w:tc>
        <w:tc>
          <w:tcPr>
            <w:tcW w:w="960" w:type="dxa"/>
            <w:noWrap/>
            <w:hideMark/>
          </w:tcPr>
          <w:p w14:paraId="4787AFEC"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63</w:t>
            </w:r>
          </w:p>
        </w:tc>
        <w:tc>
          <w:tcPr>
            <w:tcW w:w="960" w:type="dxa"/>
            <w:noWrap/>
            <w:hideMark/>
          </w:tcPr>
          <w:p w14:paraId="3B74C13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1728</w:t>
            </w:r>
          </w:p>
        </w:tc>
        <w:tc>
          <w:tcPr>
            <w:tcW w:w="960" w:type="dxa"/>
            <w:noWrap/>
            <w:hideMark/>
          </w:tcPr>
          <w:p w14:paraId="0924EB3E"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1473</w:t>
            </w:r>
          </w:p>
        </w:tc>
        <w:tc>
          <w:tcPr>
            <w:tcW w:w="1054" w:type="dxa"/>
            <w:noWrap/>
            <w:hideMark/>
          </w:tcPr>
          <w:p w14:paraId="68616CF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85.24</w:t>
            </w:r>
          </w:p>
        </w:tc>
      </w:tr>
      <w:tr w:rsidR="00646514" w:rsidRPr="009C09C4" w14:paraId="7FEB5F65" w14:textId="77777777" w:rsidTr="00B401DA">
        <w:trPr>
          <w:trHeight w:val="300"/>
          <w:jc w:val="center"/>
        </w:trPr>
        <w:tc>
          <w:tcPr>
            <w:tcW w:w="1706" w:type="dxa"/>
            <w:noWrap/>
            <w:hideMark/>
          </w:tcPr>
          <w:p w14:paraId="4F85AC96"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Air Putih</w:t>
            </w:r>
          </w:p>
        </w:tc>
        <w:tc>
          <w:tcPr>
            <w:tcW w:w="960" w:type="dxa"/>
            <w:noWrap/>
            <w:hideMark/>
          </w:tcPr>
          <w:p w14:paraId="563AC7F0"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3196</w:t>
            </w:r>
          </w:p>
        </w:tc>
        <w:tc>
          <w:tcPr>
            <w:tcW w:w="960" w:type="dxa"/>
            <w:noWrap/>
            <w:hideMark/>
          </w:tcPr>
          <w:p w14:paraId="28152D09"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306</w:t>
            </w:r>
          </w:p>
        </w:tc>
        <w:tc>
          <w:tcPr>
            <w:tcW w:w="960" w:type="dxa"/>
            <w:noWrap/>
            <w:hideMark/>
          </w:tcPr>
          <w:p w14:paraId="4F6D8CDB"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176</w:t>
            </w:r>
          </w:p>
        </w:tc>
        <w:tc>
          <w:tcPr>
            <w:tcW w:w="960" w:type="dxa"/>
            <w:noWrap/>
            <w:hideMark/>
          </w:tcPr>
          <w:p w14:paraId="38C19E8D"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3678</w:t>
            </w:r>
          </w:p>
        </w:tc>
        <w:tc>
          <w:tcPr>
            <w:tcW w:w="960" w:type="dxa"/>
            <w:noWrap/>
            <w:hideMark/>
          </w:tcPr>
          <w:p w14:paraId="76EC5DC3"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3123</w:t>
            </w:r>
          </w:p>
        </w:tc>
        <w:tc>
          <w:tcPr>
            <w:tcW w:w="1054" w:type="dxa"/>
            <w:noWrap/>
            <w:hideMark/>
          </w:tcPr>
          <w:p w14:paraId="64D5FA2C"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84.91</w:t>
            </w:r>
          </w:p>
        </w:tc>
      </w:tr>
      <w:tr w:rsidR="00646514" w:rsidRPr="009C09C4" w14:paraId="7F494A08" w14:textId="77777777" w:rsidTr="00B401DA">
        <w:trPr>
          <w:trHeight w:val="300"/>
          <w:jc w:val="center"/>
        </w:trPr>
        <w:tc>
          <w:tcPr>
            <w:tcW w:w="1706" w:type="dxa"/>
            <w:noWrap/>
            <w:hideMark/>
          </w:tcPr>
          <w:p w14:paraId="03B797BC"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Sei Suka</w:t>
            </w:r>
          </w:p>
        </w:tc>
        <w:tc>
          <w:tcPr>
            <w:tcW w:w="960" w:type="dxa"/>
            <w:noWrap/>
            <w:hideMark/>
          </w:tcPr>
          <w:p w14:paraId="3544CC7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2330</w:t>
            </w:r>
          </w:p>
        </w:tc>
        <w:tc>
          <w:tcPr>
            <w:tcW w:w="960" w:type="dxa"/>
            <w:noWrap/>
            <w:hideMark/>
          </w:tcPr>
          <w:p w14:paraId="2B64711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197</w:t>
            </w:r>
          </w:p>
        </w:tc>
        <w:tc>
          <w:tcPr>
            <w:tcW w:w="960" w:type="dxa"/>
            <w:noWrap/>
            <w:hideMark/>
          </w:tcPr>
          <w:p w14:paraId="4752FE88"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110</w:t>
            </w:r>
          </w:p>
        </w:tc>
        <w:tc>
          <w:tcPr>
            <w:tcW w:w="960" w:type="dxa"/>
            <w:noWrap/>
            <w:hideMark/>
          </w:tcPr>
          <w:p w14:paraId="55FB8152"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2637</w:t>
            </w:r>
          </w:p>
        </w:tc>
        <w:tc>
          <w:tcPr>
            <w:tcW w:w="960" w:type="dxa"/>
            <w:noWrap/>
            <w:hideMark/>
          </w:tcPr>
          <w:p w14:paraId="2C9CFF6E"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2290</w:t>
            </w:r>
          </w:p>
        </w:tc>
        <w:tc>
          <w:tcPr>
            <w:tcW w:w="1054" w:type="dxa"/>
            <w:noWrap/>
            <w:hideMark/>
          </w:tcPr>
          <w:p w14:paraId="1DFFF43B"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86.84</w:t>
            </w:r>
          </w:p>
        </w:tc>
      </w:tr>
      <w:tr w:rsidR="00646514" w:rsidRPr="009C09C4" w14:paraId="3403CFC6" w14:textId="77777777" w:rsidTr="00B401DA">
        <w:trPr>
          <w:trHeight w:val="300"/>
          <w:jc w:val="center"/>
        </w:trPr>
        <w:tc>
          <w:tcPr>
            <w:tcW w:w="1706" w:type="dxa"/>
            <w:noWrap/>
            <w:hideMark/>
          </w:tcPr>
          <w:p w14:paraId="39AA0380"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Medang Deras</w:t>
            </w:r>
          </w:p>
        </w:tc>
        <w:tc>
          <w:tcPr>
            <w:tcW w:w="960" w:type="dxa"/>
            <w:noWrap/>
            <w:hideMark/>
          </w:tcPr>
          <w:p w14:paraId="4A55233C"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3992</w:t>
            </w:r>
          </w:p>
        </w:tc>
        <w:tc>
          <w:tcPr>
            <w:tcW w:w="960" w:type="dxa"/>
            <w:noWrap/>
            <w:hideMark/>
          </w:tcPr>
          <w:p w14:paraId="3F35978E"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542</w:t>
            </w:r>
          </w:p>
        </w:tc>
        <w:tc>
          <w:tcPr>
            <w:tcW w:w="960" w:type="dxa"/>
            <w:noWrap/>
            <w:hideMark/>
          </w:tcPr>
          <w:p w14:paraId="0603E580"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543</w:t>
            </w:r>
          </w:p>
        </w:tc>
        <w:tc>
          <w:tcPr>
            <w:tcW w:w="960" w:type="dxa"/>
            <w:noWrap/>
            <w:hideMark/>
          </w:tcPr>
          <w:p w14:paraId="5E881AD7"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5077</w:t>
            </w:r>
          </w:p>
        </w:tc>
        <w:tc>
          <w:tcPr>
            <w:tcW w:w="960" w:type="dxa"/>
            <w:noWrap/>
            <w:hideMark/>
          </w:tcPr>
          <w:p w14:paraId="267AA4EA"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3697</w:t>
            </w:r>
          </w:p>
        </w:tc>
        <w:tc>
          <w:tcPr>
            <w:tcW w:w="1054" w:type="dxa"/>
            <w:noWrap/>
            <w:hideMark/>
          </w:tcPr>
          <w:p w14:paraId="4A1573AF"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72.82</w:t>
            </w:r>
          </w:p>
        </w:tc>
      </w:tr>
      <w:tr w:rsidR="00646514" w:rsidRPr="009C09C4" w14:paraId="261319CC" w14:textId="77777777" w:rsidTr="00B401DA">
        <w:trPr>
          <w:trHeight w:val="300"/>
          <w:jc w:val="center"/>
        </w:trPr>
        <w:tc>
          <w:tcPr>
            <w:tcW w:w="1706" w:type="dxa"/>
            <w:noWrap/>
            <w:hideMark/>
          </w:tcPr>
          <w:p w14:paraId="1146B88C" w14:textId="77777777" w:rsidR="00646514" w:rsidRPr="009C09C4" w:rsidRDefault="00646514" w:rsidP="00B401DA">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Laut Tador</w:t>
            </w:r>
          </w:p>
        </w:tc>
        <w:tc>
          <w:tcPr>
            <w:tcW w:w="960" w:type="dxa"/>
            <w:noWrap/>
            <w:hideMark/>
          </w:tcPr>
          <w:p w14:paraId="61228FA0"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1146</w:t>
            </w:r>
          </w:p>
        </w:tc>
        <w:tc>
          <w:tcPr>
            <w:tcW w:w="960" w:type="dxa"/>
            <w:noWrap/>
            <w:hideMark/>
          </w:tcPr>
          <w:p w14:paraId="05ECD2E2"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112</w:t>
            </w:r>
          </w:p>
        </w:tc>
        <w:tc>
          <w:tcPr>
            <w:tcW w:w="960" w:type="dxa"/>
            <w:noWrap/>
            <w:hideMark/>
          </w:tcPr>
          <w:p w14:paraId="6962CED6"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32</w:t>
            </w:r>
          </w:p>
        </w:tc>
        <w:tc>
          <w:tcPr>
            <w:tcW w:w="960" w:type="dxa"/>
            <w:noWrap/>
            <w:hideMark/>
          </w:tcPr>
          <w:p w14:paraId="0EA5E46D"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1290</w:t>
            </w:r>
          </w:p>
        </w:tc>
        <w:tc>
          <w:tcPr>
            <w:tcW w:w="960" w:type="dxa"/>
            <w:noWrap/>
            <w:hideMark/>
          </w:tcPr>
          <w:p w14:paraId="0D38E6AB"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1128</w:t>
            </w:r>
          </w:p>
        </w:tc>
        <w:tc>
          <w:tcPr>
            <w:tcW w:w="1054" w:type="dxa"/>
            <w:noWrap/>
            <w:hideMark/>
          </w:tcPr>
          <w:p w14:paraId="5AF5E305" w14:textId="77777777" w:rsidR="00646514" w:rsidRPr="009C09C4" w:rsidRDefault="00646514" w:rsidP="00B401DA">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87.44</w:t>
            </w:r>
          </w:p>
        </w:tc>
      </w:tr>
      <w:tr w:rsidR="00646514" w:rsidRPr="009C09C4" w14:paraId="34C3816B" w14:textId="77777777" w:rsidTr="00B401DA">
        <w:trPr>
          <w:trHeight w:val="300"/>
          <w:jc w:val="center"/>
        </w:trPr>
        <w:tc>
          <w:tcPr>
            <w:tcW w:w="1706" w:type="dxa"/>
            <w:noWrap/>
          </w:tcPr>
          <w:p w14:paraId="45D17EED" w14:textId="77777777" w:rsidR="00646514" w:rsidRPr="009C09C4" w:rsidRDefault="00646514" w:rsidP="00B401DA">
            <w:pPr>
              <w:rPr>
                <w:rFonts w:ascii="Times New Roman" w:eastAsia="Times New Roman" w:hAnsi="Times New Roman" w:cs="Times New Roman"/>
                <w:b/>
                <w:bCs/>
                <w:color w:val="000000"/>
                <w:kern w:val="0"/>
                <w:lang w:eastAsia="ja-JP"/>
                <w14:ligatures w14:val="none"/>
              </w:rPr>
            </w:pPr>
            <w:r w:rsidRPr="009C09C4">
              <w:rPr>
                <w:rFonts w:ascii="Times New Roman" w:eastAsia="Times New Roman" w:hAnsi="Times New Roman" w:cs="Times New Roman"/>
                <w:b/>
                <w:bCs/>
                <w:color w:val="000000"/>
                <w:kern w:val="0"/>
                <w:lang w:eastAsia="ja-JP"/>
                <w14:ligatures w14:val="none"/>
              </w:rPr>
              <w:t>Total</w:t>
            </w:r>
          </w:p>
        </w:tc>
        <w:tc>
          <w:tcPr>
            <w:tcW w:w="960" w:type="dxa"/>
            <w:noWrap/>
          </w:tcPr>
          <w:p w14:paraId="10FF1F72" w14:textId="77777777" w:rsidR="00646514" w:rsidRPr="009C09C4" w:rsidRDefault="00646514" w:rsidP="00B401DA">
            <w:pPr>
              <w:jc w:val="right"/>
              <w:rPr>
                <w:rFonts w:ascii="Times New Roman" w:eastAsia="Times New Roman" w:hAnsi="Times New Roman" w:cs="Times New Roman"/>
                <w:b/>
                <w:bCs/>
                <w:color w:val="000000"/>
                <w:kern w:val="0"/>
                <w:lang w:eastAsia="ja-JP"/>
                <w14:ligatures w14:val="none"/>
              </w:rPr>
            </w:pPr>
            <w:r w:rsidRPr="009C09C4">
              <w:rPr>
                <w:rFonts w:ascii="Times New Roman" w:eastAsia="Times New Roman" w:hAnsi="Times New Roman" w:cs="Times New Roman"/>
                <w:b/>
                <w:bCs/>
                <w:color w:val="000000"/>
                <w:kern w:val="0"/>
                <w:lang w:eastAsia="ja-JP"/>
                <w14:ligatures w14:val="none"/>
              </w:rPr>
              <w:t>26919</w:t>
            </w:r>
          </w:p>
        </w:tc>
        <w:tc>
          <w:tcPr>
            <w:tcW w:w="960" w:type="dxa"/>
            <w:noWrap/>
          </w:tcPr>
          <w:p w14:paraId="2666079F" w14:textId="77777777" w:rsidR="00646514" w:rsidRPr="009C09C4" w:rsidRDefault="00646514" w:rsidP="00B401DA">
            <w:pPr>
              <w:jc w:val="right"/>
              <w:rPr>
                <w:rFonts w:ascii="Times New Roman" w:eastAsia="Times New Roman" w:hAnsi="Times New Roman" w:cs="Times New Roman"/>
                <w:b/>
                <w:bCs/>
                <w:color w:val="000000"/>
                <w:kern w:val="0"/>
                <w:lang w:eastAsia="ja-JP"/>
                <w14:ligatures w14:val="none"/>
              </w:rPr>
            </w:pPr>
            <w:r w:rsidRPr="009C09C4">
              <w:rPr>
                <w:rFonts w:ascii="Times New Roman" w:eastAsia="Times New Roman" w:hAnsi="Times New Roman" w:cs="Times New Roman"/>
                <w:b/>
                <w:bCs/>
                <w:color w:val="000000"/>
                <w:kern w:val="0"/>
                <w:lang w:eastAsia="ja-JP"/>
                <w14:ligatures w14:val="none"/>
              </w:rPr>
              <w:t>2741</w:t>
            </w:r>
          </w:p>
        </w:tc>
        <w:tc>
          <w:tcPr>
            <w:tcW w:w="960" w:type="dxa"/>
            <w:noWrap/>
          </w:tcPr>
          <w:p w14:paraId="333F22DF" w14:textId="77777777" w:rsidR="00646514" w:rsidRPr="009C09C4" w:rsidRDefault="00646514" w:rsidP="00B401DA">
            <w:pPr>
              <w:jc w:val="right"/>
              <w:rPr>
                <w:rFonts w:ascii="Times New Roman" w:eastAsia="Times New Roman" w:hAnsi="Times New Roman" w:cs="Times New Roman"/>
                <w:b/>
                <w:bCs/>
                <w:color w:val="000000"/>
                <w:kern w:val="0"/>
                <w:lang w:eastAsia="ja-JP"/>
                <w14:ligatures w14:val="none"/>
              </w:rPr>
            </w:pPr>
            <w:r w:rsidRPr="009C09C4">
              <w:rPr>
                <w:rFonts w:ascii="Times New Roman" w:eastAsia="Times New Roman" w:hAnsi="Times New Roman" w:cs="Times New Roman"/>
                <w:b/>
                <w:bCs/>
                <w:color w:val="000000"/>
                <w:kern w:val="0"/>
                <w:lang w:eastAsia="ja-JP"/>
                <w14:ligatures w14:val="none"/>
              </w:rPr>
              <w:t>1773</w:t>
            </w:r>
          </w:p>
        </w:tc>
        <w:tc>
          <w:tcPr>
            <w:tcW w:w="960" w:type="dxa"/>
            <w:noWrap/>
          </w:tcPr>
          <w:p w14:paraId="1829A320" w14:textId="77777777" w:rsidR="00646514" w:rsidRPr="009C09C4" w:rsidRDefault="00646514" w:rsidP="00B401DA">
            <w:pPr>
              <w:jc w:val="right"/>
              <w:rPr>
                <w:rFonts w:ascii="Times New Roman" w:eastAsia="Times New Roman" w:hAnsi="Times New Roman" w:cs="Times New Roman"/>
                <w:b/>
                <w:bCs/>
                <w:color w:val="000000"/>
                <w:kern w:val="0"/>
                <w:lang w:eastAsia="ja-JP"/>
                <w14:ligatures w14:val="none"/>
              </w:rPr>
            </w:pPr>
            <w:r w:rsidRPr="009C09C4">
              <w:rPr>
                <w:rFonts w:ascii="Times New Roman" w:eastAsia="Times New Roman" w:hAnsi="Times New Roman" w:cs="Times New Roman"/>
                <w:b/>
                <w:bCs/>
                <w:color w:val="000000"/>
                <w:kern w:val="0"/>
                <w:lang w:eastAsia="ja-JP"/>
                <w14:ligatures w14:val="none"/>
              </w:rPr>
              <w:t>31433</w:t>
            </w:r>
          </w:p>
        </w:tc>
        <w:tc>
          <w:tcPr>
            <w:tcW w:w="960" w:type="dxa"/>
            <w:noWrap/>
          </w:tcPr>
          <w:p w14:paraId="1063BB80" w14:textId="77777777" w:rsidR="00646514" w:rsidRPr="009C09C4" w:rsidRDefault="00646514" w:rsidP="00B401DA">
            <w:pPr>
              <w:jc w:val="right"/>
              <w:rPr>
                <w:rFonts w:ascii="Times New Roman" w:eastAsia="Times New Roman" w:hAnsi="Times New Roman" w:cs="Times New Roman"/>
                <w:b/>
                <w:bCs/>
                <w:color w:val="000000"/>
                <w:kern w:val="0"/>
                <w:lang w:eastAsia="ja-JP"/>
                <w14:ligatures w14:val="none"/>
              </w:rPr>
            </w:pPr>
            <w:r w:rsidRPr="009C09C4">
              <w:rPr>
                <w:rFonts w:ascii="Times New Roman" w:eastAsia="Times New Roman" w:hAnsi="Times New Roman" w:cs="Times New Roman"/>
                <w:b/>
                <w:bCs/>
                <w:color w:val="000000"/>
                <w:kern w:val="0"/>
                <w:lang w:eastAsia="ja-JP"/>
                <w14:ligatures w14:val="none"/>
              </w:rPr>
              <w:t>25978</w:t>
            </w:r>
          </w:p>
        </w:tc>
        <w:tc>
          <w:tcPr>
            <w:tcW w:w="1054" w:type="dxa"/>
            <w:noWrap/>
          </w:tcPr>
          <w:p w14:paraId="5D1CCBCE" w14:textId="5B178E46" w:rsidR="00646514" w:rsidRPr="009C09C4" w:rsidRDefault="00646514" w:rsidP="00B401DA">
            <w:pPr>
              <w:jc w:val="right"/>
              <w:rPr>
                <w:rFonts w:ascii="Times New Roman" w:eastAsia="Times New Roman" w:hAnsi="Times New Roman" w:cs="Times New Roman"/>
                <w:b/>
                <w:bCs/>
                <w:color w:val="000000"/>
                <w:kern w:val="0"/>
                <w:lang w:eastAsia="ja-JP"/>
                <w14:ligatures w14:val="none"/>
              </w:rPr>
            </w:pPr>
            <w:r w:rsidRPr="009C09C4">
              <w:rPr>
                <w:rFonts w:ascii="Times New Roman" w:eastAsia="Times New Roman" w:hAnsi="Times New Roman" w:cs="Times New Roman"/>
                <w:b/>
                <w:bCs/>
                <w:color w:val="000000"/>
                <w:kern w:val="0"/>
                <w:lang w:eastAsia="ja-JP"/>
                <w14:ligatures w14:val="none"/>
              </w:rPr>
              <w:t>82</w:t>
            </w:r>
            <w:r w:rsidR="009C09C4" w:rsidRPr="009C09C4">
              <w:rPr>
                <w:rFonts w:ascii="Times New Roman" w:eastAsia="Times New Roman" w:hAnsi="Times New Roman" w:cs="Times New Roman"/>
                <w:b/>
                <w:bCs/>
                <w:color w:val="000000"/>
                <w:kern w:val="0"/>
                <w:lang w:eastAsia="ja-JP"/>
                <w14:ligatures w14:val="none"/>
              </w:rPr>
              <w:t>.</w:t>
            </w:r>
            <w:r w:rsidRPr="009C09C4">
              <w:rPr>
                <w:rFonts w:ascii="Times New Roman" w:eastAsia="Times New Roman" w:hAnsi="Times New Roman" w:cs="Times New Roman"/>
                <w:b/>
                <w:bCs/>
                <w:color w:val="000000"/>
                <w:kern w:val="0"/>
                <w:lang w:eastAsia="ja-JP"/>
                <w14:ligatures w14:val="none"/>
              </w:rPr>
              <w:t>65</w:t>
            </w:r>
          </w:p>
        </w:tc>
      </w:tr>
    </w:tbl>
    <w:p w14:paraId="4B48A8B5" w14:textId="77777777" w:rsidR="00646514" w:rsidRPr="009C09C4" w:rsidRDefault="00646514" w:rsidP="00646514">
      <w:pPr>
        <w:spacing w:after="120" w:line="240" w:lineRule="auto"/>
        <w:jc w:val="both"/>
        <w:rPr>
          <w:rFonts w:ascii="Times New Roman" w:hAnsi="Times New Roman" w:cs="Times New Roman"/>
          <w:i/>
          <w:iCs/>
        </w:rPr>
      </w:pPr>
      <w:r w:rsidRPr="009C09C4">
        <w:rPr>
          <w:rStyle w:val="Strong"/>
          <w:rFonts w:ascii="Times New Roman" w:hAnsi="Times New Roman" w:cs="Times New Roman"/>
        </w:rPr>
        <w:t>Source:</w:t>
      </w:r>
      <w:r w:rsidRPr="009C09C4">
        <w:rPr>
          <w:rFonts w:ascii="Times New Roman" w:hAnsi="Times New Roman" w:cs="Times New Roman"/>
        </w:rPr>
        <w:t xml:space="preserve"> </w:t>
      </w:r>
      <w:r w:rsidRPr="009C09C4">
        <w:rPr>
          <w:rStyle w:val="Emphasis"/>
          <w:rFonts w:ascii="Times New Roman" w:hAnsi="Times New Roman" w:cs="Times New Roman"/>
        </w:rPr>
        <w:t>Batu Bara District Health, Population Control, and Family Planning Office, 2023 (Processed Data)</w:t>
      </w:r>
    </w:p>
    <w:p w14:paraId="668866FF" w14:textId="77777777" w:rsidR="00646514" w:rsidRPr="009C09C4" w:rsidRDefault="00646514" w:rsidP="00E21608">
      <w:pPr>
        <w:spacing w:after="120" w:line="240" w:lineRule="auto"/>
        <w:jc w:val="both"/>
        <w:rPr>
          <w:rFonts w:ascii="Times New Roman" w:hAnsi="Times New Roman" w:cs="Times New Roman"/>
        </w:rPr>
      </w:pPr>
    </w:p>
    <w:p w14:paraId="1E614EB9" w14:textId="77777777" w:rsidR="009C09C4" w:rsidRPr="009C09C4" w:rsidRDefault="009C09C4" w:rsidP="009C09C4">
      <w:pPr>
        <w:spacing w:after="120" w:line="240" w:lineRule="auto"/>
        <w:jc w:val="both"/>
        <w:rPr>
          <w:rFonts w:ascii="Times New Roman" w:hAnsi="Times New Roman" w:cs="Times New Roman"/>
          <w:highlight w:val="yellow"/>
        </w:rPr>
      </w:pPr>
      <w:r w:rsidRPr="009C09C4">
        <w:rPr>
          <w:rFonts w:ascii="Times New Roman" w:hAnsi="Times New Roman" w:cs="Times New Roman"/>
          <w:highlight w:val="yellow"/>
        </w:rPr>
        <w:t xml:space="preserve">The effectiveness of this intervention is also supported by essential health infrastructure, detailed in </w:t>
      </w:r>
      <w:r w:rsidRPr="009C09C4">
        <w:rPr>
          <w:rFonts w:ascii="Times New Roman" w:hAnsi="Times New Roman" w:cs="Times New Roman"/>
          <w:b/>
          <w:bCs/>
          <w:highlight w:val="yellow"/>
        </w:rPr>
        <w:t>Table 1</w:t>
      </w:r>
      <w:r w:rsidRPr="009C09C4">
        <w:rPr>
          <w:rFonts w:ascii="Times New Roman" w:hAnsi="Times New Roman" w:cs="Times New Roman"/>
          <w:highlight w:val="yellow"/>
        </w:rPr>
        <w:t>, which documents the number of hospitals, clinics, and nutritionists distributed across districts. This infrastructure is crucial in facilitating the delivery of vitamin A supplements and supporting broader child health initiatives.</w:t>
      </w:r>
    </w:p>
    <w:p w14:paraId="1615D2F2" w14:textId="77777777" w:rsidR="009C09C4" w:rsidRPr="009C09C4" w:rsidRDefault="009C09C4" w:rsidP="009C09C4">
      <w:pPr>
        <w:spacing w:after="120" w:line="240" w:lineRule="auto"/>
        <w:jc w:val="both"/>
        <w:rPr>
          <w:rFonts w:ascii="Times New Roman" w:hAnsi="Times New Roman" w:cs="Times New Roman"/>
          <w:highlight w:val="yellow"/>
        </w:rPr>
      </w:pPr>
      <w:r w:rsidRPr="009C09C4">
        <w:rPr>
          <w:rFonts w:ascii="Times New Roman" w:hAnsi="Times New Roman" w:cs="Times New Roman"/>
          <w:highlight w:val="yellow"/>
        </w:rPr>
        <w:t xml:space="preserve">To assess program implementation outcomes, key performance indicators were monitored at the district level. One such indicator is the </w:t>
      </w:r>
      <w:r w:rsidRPr="009C09C4">
        <w:rPr>
          <w:rFonts w:ascii="Times New Roman" w:hAnsi="Times New Roman" w:cs="Times New Roman"/>
          <w:b/>
          <w:bCs/>
          <w:highlight w:val="yellow"/>
        </w:rPr>
        <w:t>coverage rate of vitamin A supplementation</w:t>
      </w:r>
      <w:r w:rsidRPr="009C09C4">
        <w:rPr>
          <w:rFonts w:ascii="Times New Roman" w:hAnsi="Times New Roman" w:cs="Times New Roman"/>
          <w:highlight w:val="yellow"/>
        </w:rPr>
        <w:t xml:space="preserve">, which serves as a proxy for access to essential nutrition services. While several districts demonstrated strong performance, the overall </w:t>
      </w:r>
      <w:r w:rsidRPr="009C09C4">
        <w:rPr>
          <w:rFonts w:ascii="Times New Roman" w:hAnsi="Times New Roman" w:cs="Times New Roman"/>
          <w:b/>
          <w:bCs/>
          <w:highlight w:val="yellow"/>
        </w:rPr>
        <w:t>achievement rate reached 73.51% in 2023</w:t>
      </w:r>
      <w:r w:rsidRPr="009C09C4">
        <w:rPr>
          <w:rFonts w:ascii="Times New Roman" w:hAnsi="Times New Roman" w:cs="Times New Roman"/>
          <w:highlight w:val="yellow"/>
        </w:rPr>
        <w:t xml:space="preserve">, which—although commendable—still falls short of the </w:t>
      </w:r>
      <w:r w:rsidRPr="009C09C4">
        <w:rPr>
          <w:rFonts w:ascii="Times New Roman" w:hAnsi="Times New Roman" w:cs="Times New Roman"/>
          <w:b/>
          <w:bCs/>
          <w:highlight w:val="yellow"/>
        </w:rPr>
        <w:t>national target of 90%</w:t>
      </w:r>
      <w:r w:rsidRPr="009C09C4">
        <w:rPr>
          <w:rFonts w:ascii="Times New Roman" w:hAnsi="Times New Roman" w:cs="Times New Roman"/>
          <w:highlight w:val="yellow"/>
        </w:rPr>
        <w:t>.</w:t>
      </w:r>
    </w:p>
    <w:p w14:paraId="6CB2D080" w14:textId="6BDC79D4" w:rsidR="00646514" w:rsidRPr="009C09C4" w:rsidRDefault="009C09C4" w:rsidP="00E21608">
      <w:pPr>
        <w:spacing w:after="120" w:line="240" w:lineRule="auto"/>
        <w:jc w:val="both"/>
        <w:rPr>
          <w:rFonts w:ascii="Times New Roman" w:hAnsi="Times New Roman" w:cs="Times New Roman"/>
        </w:rPr>
      </w:pPr>
      <w:r w:rsidRPr="009C09C4">
        <w:rPr>
          <w:rFonts w:ascii="Times New Roman" w:hAnsi="Times New Roman" w:cs="Times New Roman"/>
          <w:b/>
          <w:bCs/>
          <w:highlight w:val="yellow"/>
        </w:rPr>
        <w:t>Figure 2</w:t>
      </w:r>
      <w:r w:rsidRPr="009C09C4">
        <w:rPr>
          <w:rFonts w:ascii="Times New Roman" w:hAnsi="Times New Roman" w:cs="Times New Roman"/>
          <w:highlight w:val="yellow"/>
        </w:rPr>
        <w:t xml:space="preserve"> presents a visual summary of the performance of essential stunting reduction programs, including vitamin A supplementation, supplementary feeding, and related interventions across Batu Bara Regency:</w:t>
      </w:r>
    </w:p>
    <w:p w14:paraId="68259374" w14:textId="77777777" w:rsidR="009C09C4" w:rsidRPr="009C09C4" w:rsidRDefault="009C09C4" w:rsidP="00E21608">
      <w:pPr>
        <w:spacing w:after="120" w:line="240" w:lineRule="auto"/>
        <w:jc w:val="both"/>
        <w:rPr>
          <w:rFonts w:ascii="Times New Roman" w:hAnsi="Times New Roman" w:cs="Times New Roman"/>
          <w:b/>
          <w:bCs/>
          <w:lang w:val="id-ID"/>
        </w:rPr>
      </w:pPr>
    </w:p>
    <w:p w14:paraId="2310FC2F" w14:textId="77777777" w:rsidR="009C09C4" w:rsidRPr="009C09C4" w:rsidRDefault="009C09C4" w:rsidP="00E21608">
      <w:pPr>
        <w:spacing w:after="120" w:line="240" w:lineRule="auto"/>
        <w:jc w:val="both"/>
        <w:rPr>
          <w:rFonts w:ascii="Times New Roman" w:hAnsi="Times New Roman" w:cs="Times New Roman"/>
          <w:b/>
          <w:bCs/>
          <w:lang w:val="id-ID"/>
        </w:rPr>
      </w:pPr>
    </w:p>
    <w:p w14:paraId="788A365F" w14:textId="77777777" w:rsidR="009C09C4" w:rsidRPr="009C09C4" w:rsidRDefault="009C09C4" w:rsidP="00E21608">
      <w:pPr>
        <w:spacing w:after="120" w:line="240" w:lineRule="auto"/>
        <w:jc w:val="both"/>
        <w:rPr>
          <w:rFonts w:ascii="Times New Roman" w:hAnsi="Times New Roman" w:cs="Times New Roman"/>
          <w:b/>
          <w:bCs/>
          <w:lang w:val="id-ID"/>
        </w:rPr>
      </w:pPr>
    </w:p>
    <w:p w14:paraId="7540C847" w14:textId="77777777" w:rsidR="009C09C4" w:rsidRPr="009C09C4" w:rsidRDefault="009C09C4" w:rsidP="00E21608">
      <w:pPr>
        <w:spacing w:after="120" w:line="240" w:lineRule="auto"/>
        <w:jc w:val="both"/>
        <w:rPr>
          <w:rFonts w:ascii="Times New Roman" w:hAnsi="Times New Roman" w:cs="Times New Roman"/>
          <w:b/>
          <w:bCs/>
          <w:lang w:val="id-ID"/>
        </w:rPr>
      </w:pPr>
    </w:p>
    <w:p w14:paraId="115D9D5B" w14:textId="77777777" w:rsidR="009C09C4" w:rsidRPr="009C09C4" w:rsidRDefault="009C09C4" w:rsidP="00E21608">
      <w:pPr>
        <w:spacing w:after="120" w:line="240" w:lineRule="auto"/>
        <w:jc w:val="both"/>
        <w:rPr>
          <w:rFonts w:ascii="Times New Roman" w:hAnsi="Times New Roman" w:cs="Times New Roman"/>
          <w:b/>
          <w:bCs/>
          <w:lang w:val="id-ID"/>
        </w:rPr>
      </w:pPr>
    </w:p>
    <w:p w14:paraId="3D3F0F32" w14:textId="77777777" w:rsidR="009C09C4" w:rsidRPr="009C09C4" w:rsidRDefault="009C09C4" w:rsidP="00E21608">
      <w:pPr>
        <w:spacing w:after="120" w:line="240" w:lineRule="auto"/>
        <w:jc w:val="both"/>
        <w:rPr>
          <w:rFonts w:ascii="Times New Roman" w:hAnsi="Times New Roman" w:cs="Times New Roman"/>
          <w:b/>
          <w:bCs/>
          <w:lang w:val="id-ID"/>
        </w:rPr>
      </w:pPr>
    </w:p>
    <w:p w14:paraId="46AA6870" w14:textId="7AF30414" w:rsidR="009C09C4" w:rsidRPr="009C09C4" w:rsidRDefault="009C09C4" w:rsidP="00E21608">
      <w:pPr>
        <w:spacing w:after="120" w:line="240" w:lineRule="auto"/>
        <w:jc w:val="both"/>
        <w:rPr>
          <w:rFonts w:ascii="Times New Roman" w:hAnsi="Times New Roman" w:cs="Times New Roman"/>
        </w:rPr>
      </w:pPr>
      <w:r w:rsidRPr="009C09C4">
        <w:rPr>
          <w:rFonts w:ascii="Times New Roman" w:hAnsi="Times New Roman" w:cs="Times New Roman"/>
          <w:b/>
          <w:bCs/>
          <w:lang w:val="id-ID"/>
        </w:rPr>
        <w:t xml:space="preserve">Figure </w:t>
      </w:r>
      <w:r w:rsidR="0027480A" w:rsidRPr="009C09C4">
        <w:rPr>
          <w:rFonts w:ascii="Times New Roman" w:hAnsi="Times New Roman" w:cs="Times New Roman"/>
          <w:b/>
          <w:bCs/>
          <w:lang w:val="id-ID"/>
        </w:rPr>
        <w:t>2.</w:t>
      </w:r>
      <w:r w:rsidR="0027480A" w:rsidRPr="009C09C4">
        <w:rPr>
          <w:rFonts w:ascii="Times New Roman" w:hAnsi="Times New Roman" w:cs="Times New Roman"/>
          <w:lang w:val="id-ID"/>
        </w:rPr>
        <w:t xml:space="preserve"> </w:t>
      </w:r>
      <w:r w:rsidRPr="009C09C4">
        <w:rPr>
          <w:rFonts w:ascii="Times New Roman" w:hAnsi="Times New Roman" w:cs="Times New Roman"/>
        </w:rPr>
        <w:t xml:space="preserve"> </w:t>
      </w:r>
      <w:r w:rsidRPr="009C09C4">
        <w:rPr>
          <w:rFonts w:ascii="Times New Roman" w:hAnsi="Times New Roman" w:cs="Times New Roman"/>
          <w:highlight w:val="yellow"/>
        </w:rPr>
        <w:t>Graph indicating the performance of essential stunting reduction programs in Batu Bara Regency, 2023</w:t>
      </w:r>
      <w:r w:rsidRPr="009C09C4">
        <w:rPr>
          <w:rFonts w:ascii="Times New Roman" w:hAnsi="Times New Roman" w:cs="Times New Roman"/>
        </w:rPr>
        <w:t>.</w:t>
      </w:r>
    </w:p>
    <w:p w14:paraId="315FDB83" w14:textId="22F5ABBF" w:rsidR="00B04A6B" w:rsidRPr="009C09C4" w:rsidRDefault="0019344F" w:rsidP="0043375F">
      <w:pPr>
        <w:spacing w:after="120" w:line="240" w:lineRule="auto"/>
        <w:jc w:val="both"/>
        <w:rPr>
          <w:rFonts w:ascii="Times New Roman" w:hAnsi="Times New Roman" w:cs="Times New Roman"/>
          <w:lang w:val="id-ID"/>
        </w:rPr>
      </w:pPr>
      <w:r w:rsidRPr="009C09C4">
        <w:rPr>
          <w:rFonts w:ascii="Times New Roman" w:hAnsi="Times New Roman" w:cs="Times New Roman"/>
          <w:noProof/>
        </w:rPr>
        <w:drawing>
          <wp:inline distT="0" distB="0" distL="0" distR="0" wp14:anchorId="12F49097" wp14:editId="1363CC58">
            <wp:extent cx="5739874"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9874" cy="1885950"/>
                    </a:xfrm>
                    <a:prstGeom prst="rect">
                      <a:avLst/>
                    </a:prstGeom>
                  </pic:spPr>
                </pic:pic>
              </a:graphicData>
            </a:graphic>
          </wp:inline>
        </w:drawing>
      </w:r>
    </w:p>
    <w:p w14:paraId="3D253059" w14:textId="57F07FFB" w:rsidR="00A910BA" w:rsidRPr="009C09C4" w:rsidRDefault="00A910BA" w:rsidP="00A910BA">
      <w:pPr>
        <w:spacing w:after="120" w:line="240" w:lineRule="auto"/>
        <w:jc w:val="both"/>
        <w:rPr>
          <w:rFonts w:ascii="Times New Roman" w:hAnsi="Times New Roman" w:cs="Times New Roman"/>
          <w:b/>
          <w:bCs/>
        </w:rPr>
      </w:pPr>
      <w:r w:rsidRPr="009C09C4">
        <w:rPr>
          <w:rFonts w:ascii="Times New Roman" w:hAnsi="Times New Roman" w:cs="Times New Roman"/>
          <w:b/>
          <w:bCs/>
        </w:rPr>
        <w:t>Efficacy of Supplementary Feeding Programs in Stunting Reduction</w:t>
      </w:r>
    </w:p>
    <w:p w14:paraId="56BCAC29" w14:textId="77777777" w:rsidR="00A910BA" w:rsidRPr="009C09C4" w:rsidRDefault="00A910BA" w:rsidP="00A910BA">
      <w:pPr>
        <w:spacing w:after="120" w:line="240" w:lineRule="auto"/>
        <w:jc w:val="both"/>
        <w:rPr>
          <w:rFonts w:ascii="Times New Roman" w:hAnsi="Times New Roman" w:cs="Times New Roman"/>
        </w:rPr>
      </w:pPr>
      <w:r w:rsidRPr="009C09C4">
        <w:rPr>
          <w:rFonts w:ascii="Times New Roman" w:hAnsi="Times New Roman" w:cs="Times New Roman"/>
        </w:rPr>
        <w:lastRenderedPageBreak/>
        <w:t xml:space="preserve">Another pivotal intervention is the provision of supplementary feeding for stunted children. The 2023 coverage stood at 72.75%, with Lima </w:t>
      </w:r>
      <w:proofErr w:type="spellStart"/>
      <w:r w:rsidRPr="009C09C4">
        <w:rPr>
          <w:rFonts w:ascii="Times New Roman" w:hAnsi="Times New Roman" w:cs="Times New Roman"/>
        </w:rPr>
        <w:t>Puluh</w:t>
      </w:r>
      <w:proofErr w:type="spellEnd"/>
      <w:r w:rsidRPr="009C09C4">
        <w:rPr>
          <w:rFonts w:ascii="Times New Roman" w:hAnsi="Times New Roman" w:cs="Times New Roman"/>
        </w:rPr>
        <w:t xml:space="preserve"> again achieving the highest reach (87.16%) and Tanjung </w:t>
      </w:r>
      <w:proofErr w:type="spellStart"/>
      <w:r w:rsidRPr="009C09C4">
        <w:rPr>
          <w:rFonts w:ascii="Times New Roman" w:hAnsi="Times New Roman" w:cs="Times New Roman"/>
        </w:rPr>
        <w:t>Tiram</w:t>
      </w:r>
      <w:proofErr w:type="spellEnd"/>
      <w:r w:rsidRPr="009C09C4">
        <w:rPr>
          <w:rFonts w:ascii="Times New Roman" w:hAnsi="Times New Roman" w:cs="Times New Roman"/>
        </w:rPr>
        <w:t xml:space="preserve"> the lowest (48.14%).</w:t>
      </w:r>
    </w:p>
    <w:p w14:paraId="1F2574F7" w14:textId="77777777" w:rsidR="00A910BA" w:rsidRPr="009C09C4" w:rsidRDefault="00A910BA" w:rsidP="00A910BA">
      <w:pPr>
        <w:spacing w:after="120" w:line="240" w:lineRule="auto"/>
        <w:jc w:val="both"/>
        <w:rPr>
          <w:rFonts w:ascii="Times New Roman" w:hAnsi="Times New Roman" w:cs="Times New Roman"/>
        </w:rPr>
      </w:pPr>
    </w:p>
    <w:p w14:paraId="7B04F9EC" w14:textId="406A9ED1" w:rsidR="00A910BA" w:rsidRPr="009C09C4" w:rsidRDefault="00A910BA" w:rsidP="00A910BA">
      <w:pPr>
        <w:spacing w:after="120" w:line="240" w:lineRule="auto"/>
        <w:jc w:val="center"/>
        <w:rPr>
          <w:rFonts w:ascii="Times New Roman" w:hAnsi="Times New Roman" w:cs="Times New Roman"/>
        </w:rPr>
      </w:pPr>
      <w:r w:rsidRPr="009C09C4">
        <w:rPr>
          <w:rFonts w:ascii="Times New Roman" w:hAnsi="Times New Roman" w:cs="Times New Roman"/>
          <w:b/>
          <w:bCs/>
        </w:rPr>
        <w:t>Table 3</w:t>
      </w:r>
      <w:r w:rsidR="009C09C4" w:rsidRPr="009C09C4">
        <w:rPr>
          <w:rFonts w:ascii="Times New Roman" w:hAnsi="Times New Roman" w:cs="Times New Roman"/>
          <w:b/>
          <w:bCs/>
        </w:rPr>
        <w:t>.</w:t>
      </w:r>
      <w:r w:rsidRPr="009C09C4">
        <w:rPr>
          <w:rFonts w:ascii="Times New Roman" w:hAnsi="Times New Roman" w:cs="Times New Roman"/>
        </w:rPr>
        <w:t xml:space="preserve"> Supplementary Feeding Coverage for Stunted Children, 2023</w:t>
      </w:r>
    </w:p>
    <w:tbl>
      <w:tblPr>
        <w:tblStyle w:val="TableGrid"/>
        <w:tblW w:w="9265" w:type="dxa"/>
        <w:tblLook w:val="04A0" w:firstRow="1" w:lastRow="0" w:firstColumn="1" w:lastColumn="0" w:noHBand="0" w:noVBand="1"/>
      </w:tblPr>
      <w:tblGrid>
        <w:gridCol w:w="1435"/>
        <w:gridCol w:w="1170"/>
        <w:gridCol w:w="990"/>
        <w:gridCol w:w="756"/>
        <w:gridCol w:w="1030"/>
        <w:gridCol w:w="810"/>
        <w:gridCol w:w="636"/>
        <w:gridCol w:w="1030"/>
        <w:gridCol w:w="744"/>
        <w:gridCol w:w="810"/>
      </w:tblGrid>
      <w:tr w:rsidR="00D66962" w:rsidRPr="009C09C4" w14:paraId="6082335E" w14:textId="77777777" w:rsidTr="007E2B90">
        <w:trPr>
          <w:trHeight w:val="300"/>
        </w:trPr>
        <w:tc>
          <w:tcPr>
            <w:tcW w:w="1435" w:type="dxa"/>
            <w:vMerge w:val="restart"/>
            <w:noWrap/>
            <w:hideMark/>
          </w:tcPr>
          <w:p w14:paraId="37EBCB8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District</w:t>
            </w:r>
          </w:p>
        </w:tc>
        <w:tc>
          <w:tcPr>
            <w:tcW w:w="2880" w:type="dxa"/>
            <w:gridSpan w:val="3"/>
            <w:noWrap/>
            <w:hideMark/>
          </w:tcPr>
          <w:p w14:paraId="6BECC7EC"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2021</w:t>
            </w:r>
          </w:p>
        </w:tc>
        <w:tc>
          <w:tcPr>
            <w:tcW w:w="2430" w:type="dxa"/>
            <w:gridSpan w:val="3"/>
            <w:noWrap/>
            <w:hideMark/>
          </w:tcPr>
          <w:p w14:paraId="75BE918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2022</w:t>
            </w:r>
          </w:p>
        </w:tc>
        <w:tc>
          <w:tcPr>
            <w:tcW w:w="2520" w:type="dxa"/>
            <w:gridSpan w:val="3"/>
            <w:noWrap/>
            <w:hideMark/>
          </w:tcPr>
          <w:p w14:paraId="2AE2F94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2023</w:t>
            </w:r>
          </w:p>
        </w:tc>
      </w:tr>
      <w:tr w:rsidR="007E2B90" w:rsidRPr="009C09C4" w14:paraId="26B4A534" w14:textId="77777777" w:rsidTr="007E2B90">
        <w:trPr>
          <w:trHeight w:val="300"/>
        </w:trPr>
        <w:tc>
          <w:tcPr>
            <w:tcW w:w="1435" w:type="dxa"/>
            <w:vMerge/>
            <w:hideMark/>
          </w:tcPr>
          <w:p w14:paraId="7DF992C8"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p>
        </w:tc>
        <w:tc>
          <w:tcPr>
            <w:tcW w:w="1170" w:type="dxa"/>
            <w:noWrap/>
            <w:hideMark/>
          </w:tcPr>
          <w:p w14:paraId="6A81099A"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Stunting</w:t>
            </w:r>
          </w:p>
        </w:tc>
        <w:tc>
          <w:tcPr>
            <w:tcW w:w="990" w:type="dxa"/>
            <w:noWrap/>
            <w:hideMark/>
          </w:tcPr>
          <w:p w14:paraId="735A380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PMT</w:t>
            </w:r>
          </w:p>
        </w:tc>
        <w:tc>
          <w:tcPr>
            <w:tcW w:w="720" w:type="dxa"/>
            <w:noWrap/>
            <w:hideMark/>
          </w:tcPr>
          <w:p w14:paraId="672451A3"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w:t>
            </w:r>
          </w:p>
        </w:tc>
        <w:tc>
          <w:tcPr>
            <w:tcW w:w="990" w:type="dxa"/>
            <w:noWrap/>
            <w:hideMark/>
          </w:tcPr>
          <w:p w14:paraId="775CC60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Stunting</w:t>
            </w:r>
          </w:p>
        </w:tc>
        <w:tc>
          <w:tcPr>
            <w:tcW w:w="810" w:type="dxa"/>
            <w:noWrap/>
            <w:hideMark/>
          </w:tcPr>
          <w:p w14:paraId="3D262FB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PMT</w:t>
            </w:r>
          </w:p>
        </w:tc>
        <w:tc>
          <w:tcPr>
            <w:tcW w:w="630" w:type="dxa"/>
            <w:noWrap/>
            <w:hideMark/>
          </w:tcPr>
          <w:p w14:paraId="7D0187C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w:t>
            </w:r>
          </w:p>
        </w:tc>
        <w:tc>
          <w:tcPr>
            <w:tcW w:w="966" w:type="dxa"/>
            <w:noWrap/>
            <w:hideMark/>
          </w:tcPr>
          <w:p w14:paraId="3EC2A04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Stunting</w:t>
            </w:r>
          </w:p>
        </w:tc>
        <w:tc>
          <w:tcPr>
            <w:tcW w:w="744" w:type="dxa"/>
            <w:noWrap/>
            <w:hideMark/>
          </w:tcPr>
          <w:p w14:paraId="4B8BAC9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PMT</w:t>
            </w:r>
          </w:p>
        </w:tc>
        <w:tc>
          <w:tcPr>
            <w:tcW w:w="810" w:type="dxa"/>
            <w:noWrap/>
            <w:hideMark/>
          </w:tcPr>
          <w:p w14:paraId="486A07A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w:t>
            </w:r>
          </w:p>
        </w:tc>
      </w:tr>
      <w:tr w:rsidR="007E2B90" w:rsidRPr="009C09C4" w14:paraId="2C00DF3C" w14:textId="77777777" w:rsidTr="007E2B90">
        <w:trPr>
          <w:trHeight w:val="300"/>
        </w:trPr>
        <w:tc>
          <w:tcPr>
            <w:tcW w:w="1435" w:type="dxa"/>
            <w:noWrap/>
            <w:hideMark/>
          </w:tcPr>
          <w:p w14:paraId="7B328850"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SEI BALAI</w:t>
            </w:r>
          </w:p>
        </w:tc>
        <w:tc>
          <w:tcPr>
            <w:tcW w:w="1170" w:type="dxa"/>
            <w:noWrap/>
            <w:hideMark/>
          </w:tcPr>
          <w:p w14:paraId="5CA46FC1"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325</w:t>
            </w:r>
          </w:p>
        </w:tc>
        <w:tc>
          <w:tcPr>
            <w:tcW w:w="990" w:type="dxa"/>
            <w:noWrap/>
            <w:hideMark/>
          </w:tcPr>
          <w:p w14:paraId="2B60215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187</w:t>
            </w:r>
          </w:p>
        </w:tc>
        <w:tc>
          <w:tcPr>
            <w:tcW w:w="720" w:type="dxa"/>
            <w:noWrap/>
            <w:hideMark/>
          </w:tcPr>
          <w:p w14:paraId="21EC0BD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57.5</w:t>
            </w:r>
          </w:p>
        </w:tc>
        <w:tc>
          <w:tcPr>
            <w:tcW w:w="990" w:type="dxa"/>
            <w:noWrap/>
            <w:hideMark/>
          </w:tcPr>
          <w:p w14:paraId="778E9C34"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243</w:t>
            </w:r>
          </w:p>
        </w:tc>
        <w:tc>
          <w:tcPr>
            <w:tcW w:w="810" w:type="dxa"/>
            <w:noWrap/>
            <w:hideMark/>
          </w:tcPr>
          <w:p w14:paraId="350B6F14"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182</w:t>
            </w:r>
          </w:p>
        </w:tc>
        <w:tc>
          <w:tcPr>
            <w:tcW w:w="630" w:type="dxa"/>
            <w:noWrap/>
            <w:hideMark/>
          </w:tcPr>
          <w:p w14:paraId="12B1133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74.9</w:t>
            </w:r>
          </w:p>
        </w:tc>
        <w:tc>
          <w:tcPr>
            <w:tcW w:w="966" w:type="dxa"/>
            <w:noWrap/>
            <w:hideMark/>
          </w:tcPr>
          <w:p w14:paraId="2E3B846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203</w:t>
            </w:r>
          </w:p>
        </w:tc>
        <w:tc>
          <w:tcPr>
            <w:tcW w:w="744" w:type="dxa"/>
            <w:noWrap/>
            <w:hideMark/>
          </w:tcPr>
          <w:p w14:paraId="3C53C960"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167</w:t>
            </w:r>
          </w:p>
        </w:tc>
        <w:tc>
          <w:tcPr>
            <w:tcW w:w="810" w:type="dxa"/>
            <w:noWrap/>
            <w:hideMark/>
          </w:tcPr>
          <w:p w14:paraId="75612CC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82.3</w:t>
            </w:r>
          </w:p>
        </w:tc>
      </w:tr>
      <w:tr w:rsidR="007E2B90" w:rsidRPr="009C09C4" w14:paraId="134EEAD2" w14:textId="77777777" w:rsidTr="007E2B90">
        <w:trPr>
          <w:trHeight w:val="300"/>
        </w:trPr>
        <w:tc>
          <w:tcPr>
            <w:tcW w:w="1435" w:type="dxa"/>
            <w:noWrap/>
            <w:hideMark/>
          </w:tcPr>
          <w:p w14:paraId="3880D923"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TANJUNG TIRAM</w:t>
            </w:r>
          </w:p>
        </w:tc>
        <w:tc>
          <w:tcPr>
            <w:tcW w:w="1170" w:type="dxa"/>
            <w:noWrap/>
            <w:hideMark/>
          </w:tcPr>
          <w:p w14:paraId="4216F37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1121</w:t>
            </w:r>
          </w:p>
        </w:tc>
        <w:tc>
          <w:tcPr>
            <w:tcW w:w="990" w:type="dxa"/>
            <w:noWrap/>
            <w:hideMark/>
          </w:tcPr>
          <w:p w14:paraId="0587480C"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415</w:t>
            </w:r>
          </w:p>
        </w:tc>
        <w:tc>
          <w:tcPr>
            <w:tcW w:w="720" w:type="dxa"/>
            <w:noWrap/>
            <w:hideMark/>
          </w:tcPr>
          <w:p w14:paraId="31E394B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37</w:t>
            </w:r>
          </w:p>
        </w:tc>
        <w:tc>
          <w:tcPr>
            <w:tcW w:w="990" w:type="dxa"/>
            <w:noWrap/>
            <w:hideMark/>
          </w:tcPr>
          <w:p w14:paraId="02CD8F6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627</w:t>
            </w:r>
          </w:p>
        </w:tc>
        <w:tc>
          <w:tcPr>
            <w:tcW w:w="810" w:type="dxa"/>
            <w:noWrap/>
            <w:hideMark/>
          </w:tcPr>
          <w:p w14:paraId="2302D7C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410</w:t>
            </w:r>
          </w:p>
        </w:tc>
        <w:tc>
          <w:tcPr>
            <w:tcW w:w="630" w:type="dxa"/>
            <w:noWrap/>
            <w:hideMark/>
          </w:tcPr>
          <w:p w14:paraId="3F1CCF14"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65.4</w:t>
            </w:r>
          </w:p>
        </w:tc>
        <w:tc>
          <w:tcPr>
            <w:tcW w:w="966" w:type="dxa"/>
            <w:noWrap/>
            <w:hideMark/>
          </w:tcPr>
          <w:p w14:paraId="4F40FE51"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678</w:t>
            </w:r>
          </w:p>
        </w:tc>
        <w:tc>
          <w:tcPr>
            <w:tcW w:w="744" w:type="dxa"/>
            <w:noWrap/>
            <w:hideMark/>
          </w:tcPr>
          <w:p w14:paraId="0B69514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395</w:t>
            </w:r>
          </w:p>
        </w:tc>
        <w:tc>
          <w:tcPr>
            <w:tcW w:w="810" w:type="dxa"/>
            <w:noWrap/>
            <w:hideMark/>
          </w:tcPr>
          <w:p w14:paraId="625FE130"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58.3</w:t>
            </w:r>
          </w:p>
        </w:tc>
      </w:tr>
      <w:tr w:rsidR="007E2B90" w:rsidRPr="009C09C4" w14:paraId="7C9349DF" w14:textId="77777777" w:rsidTr="007E2B90">
        <w:trPr>
          <w:trHeight w:val="300"/>
        </w:trPr>
        <w:tc>
          <w:tcPr>
            <w:tcW w:w="1435" w:type="dxa"/>
            <w:noWrap/>
            <w:hideMark/>
          </w:tcPr>
          <w:p w14:paraId="559341D8"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UJUNG KUBU</w:t>
            </w:r>
          </w:p>
        </w:tc>
        <w:tc>
          <w:tcPr>
            <w:tcW w:w="1170" w:type="dxa"/>
            <w:noWrap/>
            <w:hideMark/>
          </w:tcPr>
          <w:p w14:paraId="0D51E73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473</w:t>
            </w:r>
          </w:p>
        </w:tc>
        <w:tc>
          <w:tcPr>
            <w:tcW w:w="990" w:type="dxa"/>
            <w:noWrap/>
            <w:hideMark/>
          </w:tcPr>
          <w:p w14:paraId="1A200A7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311</w:t>
            </w:r>
          </w:p>
        </w:tc>
        <w:tc>
          <w:tcPr>
            <w:tcW w:w="720" w:type="dxa"/>
            <w:noWrap/>
            <w:hideMark/>
          </w:tcPr>
          <w:p w14:paraId="5A3E36C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65.8</w:t>
            </w:r>
          </w:p>
        </w:tc>
        <w:tc>
          <w:tcPr>
            <w:tcW w:w="990" w:type="dxa"/>
            <w:noWrap/>
            <w:hideMark/>
          </w:tcPr>
          <w:p w14:paraId="1FC7FE9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340</w:t>
            </w:r>
          </w:p>
        </w:tc>
        <w:tc>
          <w:tcPr>
            <w:tcW w:w="810" w:type="dxa"/>
            <w:noWrap/>
            <w:hideMark/>
          </w:tcPr>
          <w:p w14:paraId="567F4E62"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306</w:t>
            </w:r>
          </w:p>
        </w:tc>
        <w:tc>
          <w:tcPr>
            <w:tcW w:w="630" w:type="dxa"/>
            <w:noWrap/>
            <w:hideMark/>
          </w:tcPr>
          <w:p w14:paraId="6CEEE9C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90</w:t>
            </w:r>
          </w:p>
        </w:tc>
        <w:tc>
          <w:tcPr>
            <w:tcW w:w="966" w:type="dxa"/>
            <w:noWrap/>
            <w:hideMark/>
          </w:tcPr>
          <w:p w14:paraId="248B71E1"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393</w:t>
            </w:r>
          </w:p>
        </w:tc>
        <w:tc>
          <w:tcPr>
            <w:tcW w:w="744" w:type="dxa"/>
            <w:noWrap/>
            <w:hideMark/>
          </w:tcPr>
          <w:p w14:paraId="149C7E83"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291</w:t>
            </w:r>
          </w:p>
        </w:tc>
        <w:tc>
          <w:tcPr>
            <w:tcW w:w="810" w:type="dxa"/>
            <w:noWrap/>
            <w:hideMark/>
          </w:tcPr>
          <w:p w14:paraId="52AE1CCA"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74</w:t>
            </w:r>
          </w:p>
        </w:tc>
      </w:tr>
      <w:tr w:rsidR="007E2B90" w:rsidRPr="009C09C4" w14:paraId="24FA8FC5" w14:textId="77777777" w:rsidTr="007E2B90">
        <w:trPr>
          <w:trHeight w:val="300"/>
        </w:trPr>
        <w:tc>
          <w:tcPr>
            <w:tcW w:w="1435" w:type="dxa"/>
            <w:noWrap/>
            <w:hideMark/>
          </w:tcPr>
          <w:p w14:paraId="3985DDB5"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TALAWI</w:t>
            </w:r>
          </w:p>
        </w:tc>
        <w:tc>
          <w:tcPr>
            <w:tcW w:w="1170" w:type="dxa"/>
            <w:noWrap/>
            <w:hideMark/>
          </w:tcPr>
          <w:p w14:paraId="5F973F9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540</w:t>
            </w:r>
          </w:p>
        </w:tc>
        <w:tc>
          <w:tcPr>
            <w:tcW w:w="990" w:type="dxa"/>
            <w:noWrap/>
            <w:hideMark/>
          </w:tcPr>
          <w:p w14:paraId="486F9810"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233</w:t>
            </w:r>
          </w:p>
        </w:tc>
        <w:tc>
          <w:tcPr>
            <w:tcW w:w="720" w:type="dxa"/>
            <w:noWrap/>
            <w:hideMark/>
          </w:tcPr>
          <w:p w14:paraId="7C29829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43.1</w:t>
            </w:r>
          </w:p>
        </w:tc>
        <w:tc>
          <w:tcPr>
            <w:tcW w:w="990" w:type="dxa"/>
            <w:noWrap/>
            <w:hideMark/>
          </w:tcPr>
          <w:p w14:paraId="5F83C07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358</w:t>
            </w:r>
          </w:p>
        </w:tc>
        <w:tc>
          <w:tcPr>
            <w:tcW w:w="810" w:type="dxa"/>
            <w:noWrap/>
            <w:hideMark/>
          </w:tcPr>
          <w:p w14:paraId="5C7B2E0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228</w:t>
            </w:r>
          </w:p>
        </w:tc>
        <w:tc>
          <w:tcPr>
            <w:tcW w:w="630" w:type="dxa"/>
            <w:noWrap/>
            <w:hideMark/>
          </w:tcPr>
          <w:p w14:paraId="7CA1C77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63.7</w:t>
            </w:r>
          </w:p>
        </w:tc>
        <w:tc>
          <w:tcPr>
            <w:tcW w:w="966" w:type="dxa"/>
            <w:noWrap/>
            <w:hideMark/>
          </w:tcPr>
          <w:p w14:paraId="656E02E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236</w:t>
            </w:r>
          </w:p>
        </w:tc>
        <w:tc>
          <w:tcPr>
            <w:tcW w:w="744" w:type="dxa"/>
            <w:noWrap/>
            <w:hideMark/>
          </w:tcPr>
          <w:p w14:paraId="4872870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213</w:t>
            </w:r>
          </w:p>
        </w:tc>
        <w:tc>
          <w:tcPr>
            <w:tcW w:w="810" w:type="dxa"/>
            <w:noWrap/>
            <w:hideMark/>
          </w:tcPr>
          <w:p w14:paraId="6CB2DDF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90.3</w:t>
            </w:r>
          </w:p>
        </w:tc>
      </w:tr>
      <w:tr w:rsidR="007E2B90" w:rsidRPr="009C09C4" w14:paraId="05061BD5" w14:textId="77777777" w:rsidTr="007E2B90">
        <w:trPr>
          <w:trHeight w:val="300"/>
        </w:trPr>
        <w:tc>
          <w:tcPr>
            <w:tcW w:w="1435" w:type="dxa"/>
            <w:noWrap/>
            <w:hideMark/>
          </w:tcPr>
          <w:p w14:paraId="3B6A4B37"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TANAH DATAR</w:t>
            </w:r>
          </w:p>
        </w:tc>
        <w:tc>
          <w:tcPr>
            <w:tcW w:w="1170" w:type="dxa"/>
            <w:noWrap/>
            <w:hideMark/>
          </w:tcPr>
          <w:p w14:paraId="77D43DD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429</w:t>
            </w:r>
          </w:p>
        </w:tc>
        <w:tc>
          <w:tcPr>
            <w:tcW w:w="990" w:type="dxa"/>
            <w:noWrap/>
            <w:hideMark/>
          </w:tcPr>
          <w:p w14:paraId="2456530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278</w:t>
            </w:r>
          </w:p>
        </w:tc>
        <w:tc>
          <w:tcPr>
            <w:tcW w:w="720" w:type="dxa"/>
            <w:noWrap/>
            <w:hideMark/>
          </w:tcPr>
          <w:p w14:paraId="1EBC043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64.8</w:t>
            </w:r>
          </w:p>
        </w:tc>
        <w:tc>
          <w:tcPr>
            <w:tcW w:w="990" w:type="dxa"/>
            <w:noWrap/>
            <w:hideMark/>
          </w:tcPr>
          <w:p w14:paraId="2DFB8A0D"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307</w:t>
            </w:r>
          </w:p>
        </w:tc>
        <w:tc>
          <w:tcPr>
            <w:tcW w:w="810" w:type="dxa"/>
            <w:noWrap/>
            <w:hideMark/>
          </w:tcPr>
          <w:p w14:paraId="25EBF22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273</w:t>
            </w:r>
          </w:p>
        </w:tc>
        <w:tc>
          <w:tcPr>
            <w:tcW w:w="630" w:type="dxa"/>
            <w:noWrap/>
            <w:hideMark/>
          </w:tcPr>
          <w:p w14:paraId="67B5D5C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88.9</w:t>
            </w:r>
          </w:p>
        </w:tc>
        <w:tc>
          <w:tcPr>
            <w:tcW w:w="966" w:type="dxa"/>
            <w:noWrap/>
            <w:hideMark/>
          </w:tcPr>
          <w:p w14:paraId="45D706B0"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267</w:t>
            </w:r>
          </w:p>
        </w:tc>
        <w:tc>
          <w:tcPr>
            <w:tcW w:w="744" w:type="dxa"/>
            <w:noWrap/>
            <w:hideMark/>
          </w:tcPr>
          <w:p w14:paraId="65286E2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258</w:t>
            </w:r>
          </w:p>
        </w:tc>
        <w:tc>
          <w:tcPr>
            <w:tcW w:w="810" w:type="dxa"/>
            <w:noWrap/>
            <w:hideMark/>
          </w:tcPr>
          <w:p w14:paraId="5B1663F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96.6</w:t>
            </w:r>
          </w:p>
        </w:tc>
      </w:tr>
      <w:tr w:rsidR="007E2B90" w:rsidRPr="009C09C4" w14:paraId="3F6B172D" w14:textId="77777777" w:rsidTr="007E2B90">
        <w:trPr>
          <w:trHeight w:val="300"/>
        </w:trPr>
        <w:tc>
          <w:tcPr>
            <w:tcW w:w="1435" w:type="dxa"/>
            <w:noWrap/>
            <w:hideMark/>
          </w:tcPr>
          <w:p w14:paraId="56665BB9"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LIMA PULUH</w:t>
            </w:r>
          </w:p>
        </w:tc>
        <w:tc>
          <w:tcPr>
            <w:tcW w:w="1170" w:type="dxa"/>
            <w:noWrap/>
            <w:hideMark/>
          </w:tcPr>
          <w:p w14:paraId="2FD99B8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347</w:t>
            </w:r>
          </w:p>
        </w:tc>
        <w:tc>
          <w:tcPr>
            <w:tcW w:w="990" w:type="dxa"/>
            <w:noWrap/>
            <w:hideMark/>
          </w:tcPr>
          <w:p w14:paraId="4A30634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212</w:t>
            </w:r>
          </w:p>
        </w:tc>
        <w:tc>
          <w:tcPr>
            <w:tcW w:w="720" w:type="dxa"/>
            <w:noWrap/>
            <w:hideMark/>
          </w:tcPr>
          <w:p w14:paraId="3D5DA7CF"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61.1</w:t>
            </w:r>
          </w:p>
        </w:tc>
        <w:tc>
          <w:tcPr>
            <w:tcW w:w="990" w:type="dxa"/>
            <w:noWrap/>
            <w:hideMark/>
          </w:tcPr>
          <w:p w14:paraId="4CFB8432"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300</w:t>
            </w:r>
          </w:p>
        </w:tc>
        <w:tc>
          <w:tcPr>
            <w:tcW w:w="810" w:type="dxa"/>
            <w:noWrap/>
            <w:hideMark/>
          </w:tcPr>
          <w:p w14:paraId="680B3D64"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207</w:t>
            </w:r>
          </w:p>
        </w:tc>
        <w:tc>
          <w:tcPr>
            <w:tcW w:w="630" w:type="dxa"/>
            <w:noWrap/>
            <w:hideMark/>
          </w:tcPr>
          <w:p w14:paraId="123F0D42"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69</w:t>
            </w:r>
          </w:p>
        </w:tc>
        <w:tc>
          <w:tcPr>
            <w:tcW w:w="966" w:type="dxa"/>
            <w:noWrap/>
            <w:hideMark/>
          </w:tcPr>
          <w:p w14:paraId="17EC4DFC"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197</w:t>
            </w:r>
          </w:p>
        </w:tc>
        <w:tc>
          <w:tcPr>
            <w:tcW w:w="744" w:type="dxa"/>
            <w:noWrap/>
            <w:hideMark/>
          </w:tcPr>
          <w:p w14:paraId="5F786814"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192</w:t>
            </w:r>
          </w:p>
        </w:tc>
        <w:tc>
          <w:tcPr>
            <w:tcW w:w="810" w:type="dxa"/>
            <w:noWrap/>
            <w:hideMark/>
          </w:tcPr>
          <w:p w14:paraId="293DB590"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97.5</w:t>
            </w:r>
          </w:p>
        </w:tc>
      </w:tr>
      <w:tr w:rsidR="007E2B90" w:rsidRPr="009C09C4" w14:paraId="29AE7377" w14:textId="77777777" w:rsidTr="007E2B90">
        <w:trPr>
          <w:trHeight w:val="300"/>
        </w:trPr>
        <w:tc>
          <w:tcPr>
            <w:tcW w:w="1435" w:type="dxa"/>
            <w:noWrap/>
            <w:hideMark/>
          </w:tcPr>
          <w:p w14:paraId="0A64E63A"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LIMA PULUH PESISIR</w:t>
            </w:r>
          </w:p>
        </w:tc>
        <w:tc>
          <w:tcPr>
            <w:tcW w:w="1170" w:type="dxa"/>
            <w:noWrap/>
            <w:hideMark/>
          </w:tcPr>
          <w:p w14:paraId="5BE1007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652</w:t>
            </w:r>
          </w:p>
        </w:tc>
        <w:tc>
          <w:tcPr>
            <w:tcW w:w="990" w:type="dxa"/>
            <w:noWrap/>
            <w:hideMark/>
          </w:tcPr>
          <w:p w14:paraId="61DC5E7A"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254</w:t>
            </w:r>
          </w:p>
        </w:tc>
        <w:tc>
          <w:tcPr>
            <w:tcW w:w="720" w:type="dxa"/>
            <w:noWrap/>
            <w:hideMark/>
          </w:tcPr>
          <w:p w14:paraId="5E21487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39</w:t>
            </w:r>
          </w:p>
        </w:tc>
        <w:tc>
          <w:tcPr>
            <w:tcW w:w="990" w:type="dxa"/>
            <w:noWrap/>
            <w:hideMark/>
          </w:tcPr>
          <w:p w14:paraId="3DE59E0D"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501</w:t>
            </w:r>
          </w:p>
        </w:tc>
        <w:tc>
          <w:tcPr>
            <w:tcW w:w="810" w:type="dxa"/>
            <w:noWrap/>
            <w:hideMark/>
          </w:tcPr>
          <w:p w14:paraId="2CED21A1"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249</w:t>
            </w:r>
          </w:p>
        </w:tc>
        <w:tc>
          <w:tcPr>
            <w:tcW w:w="630" w:type="dxa"/>
            <w:noWrap/>
            <w:hideMark/>
          </w:tcPr>
          <w:p w14:paraId="202FED3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49.7</w:t>
            </w:r>
          </w:p>
        </w:tc>
        <w:tc>
          <w:tcPr>
            <w:tcW w:w="966" w:type="dxa"/>
            <w:noWrap/>
            <w:hideMark/>
          </w:tcPr>
          <w:p w14:paraId="69AC14A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300</w:t>
            </w:r>
          </w:p>
        </w:tc>
        <w:tc>
          <w:tcPr>
            <w:tcW w:w="744" w:type="dxa"/>
            <w:noWrap/>
            <w:hideMark/>
          </w:tcPr>
          <w:p w14:paraId="09A0EA9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234</w:t>
            </w:r>
          </w:p>
        </w:tc>
        <w:tc>
          <w:tcPr>
            <w:tcW w:w="810" w:type="dxa"/>
            <w:noWrap/>
            <w:hideMark/>
          </w:tcPr>
          <w:p w14:paraId="7D5464DD"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78</w:t>
            </w:r>
          </w:p>
        </w:tc>
      </w:tr>
      <w:tr w:rsidR="007E2B90" w:rsidRPr="009C09C4" w14:paraId="79997A72" w14:textId="77777777" w:rsidTr="007E2B90">
        <w:trPr>
          <w:trHeight w:val="300"/>
        </w:trPr>
        <w:tc>
          <w:tcPr>
            <w:tcW w:w="1435" w:type="dxa"/>
            <w:noWrap/>
            <w:hideMark/>
          </w:tcPr>
          <w:p w14:paraId="24905567"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DATUK LIMA PULUH</w:t>
            </w:r>
          </w:p>
        </w:tc>
        <w:tc>
          <w:tcPr>
            <w:tcW w:w="1170" w:type="dxa"/>
            <w:noWrap/>
            <w:hideMark/>
          </w:tcPr>
          <w:p w14:paraId="50291A9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480</w:t>
            </w:r>
          </w:p>
        </w:tc>
        <w:tc>
          <w:tcPr>
            <w:tcW w:w="990" w:type="dxa"/>
            <w:noWrap/>
            <w:hideMark/>
          </w:tcPr>
          <w:p w14:paraId="53EE32AD"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209</w:t>
            </w:r>
          </w:p>
        </w:tc>
        <w:tc>
          <w:tcPr>
            <w:tcW w:w="720" w:type="dxa"/>
            <w:noWrap/>
            <w:hideMark/>
          </w:tcPr>
          <w:p w14:paraId="741B018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43.5</w:t>
            </w:r>
          </w:p>
        </w:tc>
        <w:tc>
          <w:tcPr>
            <w:tcW w:w="990" w:type="dxa"/>
            <w:noWrap/>
            <w:hideMark/>
          </w:tcPr>
          <w:p w14:paraId="4B172483"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274</w:t>
            </w:r>
          </w:p>
        </w:tc>
        <w:tc>
          <w:tcPr>
            <w:tcW w:w="810" w:type="dxa"/>
            <w:noWrap/>
            <w:hideMark/>
          </w:tcPr>
          <w:p w14:paraId="51E0888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204</w:t>
            </w:r>
          </w:p>
        </w:tc>
        <w:tc>
          <w:tcPr>
            <w:tcW w:w="630" w:type="dxa"/>
            <w:noWrap/>
            <w:hideMark/>
          </w:tcPr>
          <w:p w14:paraId="2DE2CC8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74.5</w:t>
            </w:r>
          </w:p>
        </w:tc>
        <w:tc>
          <w:tcPr>
            <w:tcW w:w="966" w:type="dxa"/>
            <w:noWrap/>
            <w:hideMark/>
          </w:tcPr>
          <w:p w14:paraId="70CD524C"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222</w:t>
            </w:r>
          </w:p>
        </w:tc>
        <w:tc>
          <w:tcPr>
            <w:tcW w:w="744" w:type="dxa"/>
            <w:noWrap/>
            <w:hideMark/>
          </w:tcPr>
          <w:p w14:paraId="0FDB261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189</w:t>
            </w:r>
          </w:p>
        </w:tc>
        <w:tc>
          <w:tcPr>
            <w:tcW w:w="810" w:type="dxa"/>
            <w:noWrap/>
            <w:hideMark/>
          </w:tcPr>
          <w:p w14:paraId="6551438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85.1</w:t>
            </w:r>
          </w:p>
        </w:tc>
      </w:tr>
      <w:tr w:rsidR="007E2B90" w:rsidRPr="009C09C4" w14:paraId="7816B923" w14:textId="77777777" w:rsidTr="007E2B90">
        <w:trPr>
          <w:trHeight w:val="300"/>
        </w:trPr>
        <w:tc>
          <w:tcPr>
            <w:tcW w:w="1435" w:type="dxa"/>
            <w:noWrap/>
            <w:hideMark/>
          </w:tcPr>
          <w:p w14:paraId="0FFB5BC8"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AIR PUTIH</w:t>
            </w:r>
          </w:p>
        </w:tc>
        <w:tc>
          <w:tcPr>
            <w:tcW w:w="1170" w:type="dxa"/>
            <w:noWrap/>
            <w:hideMark/>
          </w:tcPr>
          <w:p w14:paraId="38FCBE94"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656</w:t>
            </w:r>
          </w:p>
        </w:tc>
        <w:tc>
          <w:tcPr>
            <w:tcW w:w="990" w:type="dxa"/>
            <w:noWrap/>
            <w:hideMark/>
          </w:tcPr>
          <w:p w14:paraId="53281313"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429</w:t>
            </w:r>
          </w:p>
        </w:tc>
        <w:tc>
          <w:tcPr>
            <w:tcW w:w="720" w:type="dxa"/>
            <w:noWrap/>
            <w:hideMark/>
          </w:tcPr>
          <w:p w14:paraId="43709B8A"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65.4</w:t>
            </w:r>
          </w:p>
        </w:tc>
        <w:tc>
          <w:tcPr>
            <w:tcW w:w="990" w:type="dxa"/>
            <w:noWrap/>
            <w:hideMark/>
          </w:tcPr>
          <w:p w14:paraId="520BDC9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494</w:t>
            </w:r>
          </w:p>
        </w:tc>
        <w:tc>
          <w:tcPr>
            <w:tcW w:w="810" w:type="dxa"/>
            <w:noWrap/>
            <w:hideMark/>
          </w:tcPr>
          <w:p w14:paraId="2C1A766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424</w:t>
            </w:r>
          </w:p>
        </w:tc>
        <w:tc>
          <w:tcPr>
            <w:tcW w:w="630" w:type="dxa"/>
            <w:noWrap/>
            <w:hideMark/>
          </w:tcPr>
          <w:p w14:paraId="0E3E312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85.8</w:t>
            </w:r>
          </w:p>
        </w:tc>
        <w:tc>
          <w:tcPr>
            <w:tcW w:w="966" w:type="dxa"/>
            <w:noWrap/>
            <w:hideMark/>
          </w:tcPr>
          <w:p w14:paraId="02F175AD"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482</w:t>
            </w:r>
          </w:p>
        </w:tc>
        <w:tc>
          <w:tcPr>
            <w:tcW w:w="744" w:type="dxa"/>
            <w:noWrap/>
            <w:hideMark/>
          </w:tcPr>
          <w:p w14:paraId="043C17A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409</w:t>
            </w:r>
          </w:p>
        </w:tc>
        <w:tc>
          <w:tcPr>
            <w:tcW w:w="810" w:type="dxa"/>
            <w:noWrap/>
            <w:hideMark/>
          </w:tcPr>
          <w:p w14:paraId="10646F83"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84.9</w:t>
            </w:r>
          </w:p>
        </w:tc>
      </w:tr>
      <w:tr w:rsidR="007E2B90" w:rsidRPr="009C09C4" w14:paraId="74F528D1" w14:textId="77777777" w:rsidTr="007E2B90">
        <w:trPr>
          <w:trHeight w:val="300"/>
        </w:trPr>
        <w:tc>
          <w:tcPr>
            <w:tcW w:w="1435" w:type="dxa"/>
            <w:noWrap/>
            <w:hideMark/>
          </w:tcPr>
          <w:p w14:paraId="1AC96C64"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SEI SUKA</w:t>
            </w:r>
          </w:p>
        </w:tc>
        <w:tc>
          <w:tcPr>
            <w:tcW w:w="1170" w:type="dxa"/>
            <w:noWrap/>
            <w:hideMark/>
          </w:tcPr>
          <w:p w14:paraId="3C4FED27"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567</w:t>
            </w:r>
          </w:p>
        </w:tc>
        <w:tc>
          <w:tcPr>
            <w:tcW w:w="990" w:type="dxa"/>
            <w:noWrap/>
            <w:hideMark/>
          </w:tcPr>
          <w:p w14:paraId="6149CD2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287</w:t>
            </w:r>
          </w:p>
        </w:tc>
        <w:tc>
          <w:tcPr>
            <w:tcW w:w="720" w:type="dxa"/>
            <w:noWrap/>
            <w:hideMark/>
          </w:tcPr>
          <w:p w14:paraId="675139A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50.6</w:t>
            </w:r>
          </w:p>
        </w:tc>
        <w:tc>
          <w:tcPr>
            <w:tcW w:w="990" w:type="dxa"/>
            <w:noWrap/>
            <w:hideMark/>
          </w:tcPr>
          <w:p w14:paraId="321D6A4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416</w:t>
            </w:r>
          </w:p>
        </w:tc>
        <w:tc>
          <w:tcPr>
            <w:tcW w:w="810" w:type="dxa"/>
            <w:noWrap/>
            <w:hideMark/>
          </w:tcPr>
          <w:p w14:paraId="2D82D885"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282</w:t>
            </w:r>
          </w:p>
        </w:tc>
        <w:tc>
          <w:tcPr>
            <w:tcW w:w="630" w:type="dxa"/>
            <w:noWrap/>
            <w:hideMark/>
          </w:tcPr>
          <w:p w14:paraId="0FB93F0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67.8</w:t>
            </w:r>
          </w:p>
        </w:tc>
        <w:tc>
          <w:tcPr>
            <w:tcW w:w="966" w:type="dxa"/>
            <w:noWrap/>
            <w:hideMark/>
          </w:tcPr>
          <w:p w14:paraId="50B3F224"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307</w:t>
            </w:r>
          </w:p>
        </w:tc>
        <w:tc>
          <w:tcPr>
            <w:tcW w:w="744" w:type="dxa"/>
            <w:noWrap/>
            <w:hideMark/>
          </w:tcPr>
          <w:p w14:paraId="225D3FEC"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267</w:t>
            </w:r>
          </w:p>
        </w:tc>
        <w:tc>
          <w:tcPr>
            <w:tcW w:w="810" w:type="dxa"/>
            <w:noWrap/>
            <w:hideMark/>
          </w:tcPr>
          <w:p w14:paraId="6E6A095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87</w:t>
            </w:r>
          </w:p>
        </w:tc>
      </w:tr>
      <w:tr w:rsidR="007E2B90" w:rsidRPr="009C09C4" w14:paraId="5E366A8E" w14:textId="77777777" w:rsidTr="007E2B90">
        <w:trPr>
          <w:trHeight w:val="300"/>
        </w:trPr>
        <w:tc>
          <w:tcPr>
            <w:tcW w:w="1435" w:type="dxa"/>
            <w:noWrap/>
            <w:hideMark/>
          </w:tcPr>
          <w:p w14:paraId="7C2BCE70"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MEDANG DERAS</w:t>
            </w:r>
          </w:p>
        </w:tc>
        <w:tc>
          <w:tcPr>
            <w:tcW w:w="1170" w:type="dxa"/>
            <w:noWrap/>
            <w:hideMark/>
          </w:tcPr>
          <w:p w14:paraId="379B89E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1190</w:t>
            </w:r>
          </w:p>
        </w:tc>
        <w:tc>
          <w:tcPr>
            <w:tcW w:w="990" w:type="dxa"/>
            <w:noWrap/>
            <w:hideMark/>
          </w:tcPr>
          <w:p w14:paraId="650686C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815</w:t>
            </w:r>
          </w:p>
        </w:tc>
        <w:tc>
          <w:tcPr>
            <w:tcW w:w="720" w:type="dxa"/>
            <w:noWrap/>
            <w:hideMark/>
          </w:tcPr>
          <w:p w14:paraId="466DB060"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68.5</w:t>
            </w:r>
          </w:p>
        </w:tc>
        <w:tc>
          <w:tcPr>
            <w:tcW w:w="990" w:type="dxa"/>
            <w:noWrap/>
            <w:hideMark/>
          </w:tcPr>
          <w:p w14:paraId="7914272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936</w:t>
            </w:r>
          </w:p>
        </w:tc>
        <w:tc>
          <w:tcPr>
            <w:tcW w:w="810" w:type="dxa"/>
            <w:noWrap/>
            <w:hideMark/>
          </w:tcPr>
          <w:p w14:paraId="152F83BA"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810</w:t>
            </w:r>
          </w:p>
        </w:tc>
        <w:tc>
          <w:tcPr>
            <w:tcW w:w="630" w:type="dxa"/>
            <w:noWrap/>
            <w:hideMark/>
          </w:tcPr>
          <w:p w14:paraId="5ADD27A6"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86.5</w:t>
            </w:r>
          </w:p>
        </w:tc>
        <w:tc>
          <w:tcPr>
            <w:tcW w:w="966" w:type="dxa"/>
            <w:noWrap/>
            <w:hideMark/>
          </w:tcPr>
          <w:p w14:paraId="7146E42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1085</w:t>
            </w:r>
          </w:p>
        </w:tc>
        <w:tc>
          <w:tcPr>
            <w:tcW w:w="744" w:type="dxa"/>
            <w:noWrap/>
            <w:hideMark/>
          </w:tcPr>
          <w:p w14:paraId="47AC2FC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795</w:t>
            </w:r>
          </w:p>
        </w:tc>
        <w:tc>
          <w:tcPr>
            <w:tcW w:w="810" w:type="dxa"/>
            <w:noWrap/>
            <w:hideMark/>
          </w:tcPr>
          <w:p w14:paraId="33B2676C"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73.3</w:t>
            </w:r>
          </w:p>
        </w:tc>
      </w:tr>
      <w:tr w:rsidR="007E2B90" w:rsidRPr="009C09C4" w14:paraId="247646D1" w14:textId="77777777" w:rsidTr="007E2B90">
        <w:trPr>
          <w:trHeight w:val="300"/>
        </w:trPr>
        <w:tc>
          <w:tcPr>
            <w:tcW w:w="1435" w:type="dxa"/>
            <w:noWrap/>
            <w:hideMark/>
          </w:tcPr>
          <w:p w14:paraId="68A2BEFF" w14:textId="77777777" w:rsidR="00D66962" w:rsidRPr="009C09C4" w:rsidRDefault="00D66962" w:rsidP="00D66962">
            <w:pP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LAUT TADOR</w:t>
            </w:r>
          </w:p>
        </w:tc>
        <w:tc>
          <w:tcPr>
            <w:tcW w:w="1170" w:type="dxa"/>
            <w:noWrap/>
            <w:hideMark/>
          </w:tcPr>
          <w:p w14:paraId="46862EAD"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133</w:t>
            </w:r>
          </w:p>
        </w:tc>
        <w:tc>
          <w:tcPr>
            <w:tcW w:w="990" w:type="dxa"/>
            <w:noWrap/>
            <w:hideMark/>
          </w:tcPr>
          <w:p w14:paraId="24B98E39"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158</w:t>
            </w:r>
          </w:p>
        </w:tc>
        <w:tc>
          <w:tcPr>
            <w:tcW w:w="720" w:type="dxa"/>
            <w:noWrap/>
            <w:hideMark/>
          </w:tcPr>
          <w:p w14:paraId="7D91DF58"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118.8</w:t>
            </w:r>
          </w:p>
        </w:tc>
        <w:tc>
          <w:tcPr>
            <w:tcW w:w="990" w:type="dxa"/>
            <w:noWrap/>
            <w:hideMark/>
          </w:tcPr>
          <w:p w14:paraId="60322D7A"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143</w:t>
            </w:r>
          </w:p>
        </w:tc>
        <w:tc>
          <w:tcPr>
            <w:tcW w:w="810" w:type="dxa"/>
            <w:noWrap/>
            <w:hideMark/>
          </w:tcPr>
          <w:p w14:paraId="00077A90"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153</w:t>
            </w:r>
          </w:p>
        </w:tc>
        <w:tc>
          <w:tcPr>
            <w:tcW w:w="630" w:type="dxa"/>
            <w:noWrap/>
            <w:hideMark/>
          </w:tcPr>
          <w:p w14:paraId="39F5A69A"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107</w:t>
            </w:r>
          </w:p>
        </w:tc>
        <w:tc>
          <w:tcPr>
            <w:tcW w:w="966" w:type="dxa"/>
            <w:noWrap/>
            <w:hideMark/>
          </w:tcPr>
          <w:p w14:paraId="200535F2"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144</w:t>
            </w:r>
          </w:p>
        </w:tc>
        <w:tc>
          <w:tcPr>
            <w:tcW w:w="744" w:type="dxa"/>
            <w:noWrap/>
            <w:hideMark/>
          </w:tcPr>
          <w:p w14:paraId="02F3376B"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138</w:t>
            </w:r>
          </w:p>
        </w:tc>
        <w:tc>
          <w:tcPr>
            <w:tcW w:w="810" w:type="dxa"/>
            <w:noWrap/>
            <w:hideMark/>
          </w:tcPr>
          <w:p w14:paraId="47A1C7AE" w14:textId="77777777" w:rsidR="00D66962" w:rsidRPr="009C09C4" w:rsidRDefault="00D66962" w:rsidP="00D66962">
            <w:pPr>
              <w:jc w:val="center"/>
              <w:rPr>
                <w:rFonts w:ascii="Times New Roman" w:eastAsia="Times New Roman" w:hAnsi="Times New Roman" w:cs="Times New Roman"/>
                <w:color w:val="000000"/>
                <w:kern w:val="0"/>
                <w:lang w:val="id-ID" w:eastAsia="ja-JP"/>
                <w14:ligatures w14:val="none"/>
              </w:rPr>
            </w:pPr>
            <w:r w:rsidRPr="009C09C4">
              <w:rPr>
                <w:rFonts w:ascii="Times New Roman" w:eastAsia="Times New Roman" w:hAnsi="Times New Roman" w:cs="Times New Roman"/>
                <w:color w:val="000000"/>
                <w:kern w:val="0"/>
                <w:lang w:val="id-ID" w:eastAsia="ja-JP"/>
                <w14:ligatures w14:val="none"/>
              </w:rPr>
              <w:t>95.8</w:t>
            </w:r>
          </w:p>
        </w:tc>
      </w:tr>
    </w:tbl>
    <w:p w14:paraId="08F4DCE8" w14:textId="77777777" w:rsidR="00A910BA" w:rsidRPr="009C09C4" w:rsidRDefault="00A910BA" w:rsidP="00A910BA">
      <w:pPr>
        <w:spacing w:after="120" w:line="240" w:lineRule="auto"/>
        <w:jc w:val="both"/>
        <w:rPr>
          <w:rFonts w:ascii="Times New Roman" w:hAnsi="Times New Roman" w:cs="Times New Roman"/>
        </w:rPr>
      </w:pPr>
    </w:p>
    <w:p w14:paraId="0D7B0A4A" w14:textId="77777777" w:rsidR="002D7B07" w:rsidRPr="002D7B07" w:rsidRDefault="002D7B07" w:rsidP="002D7B07">
      <w:pPr>
        <w:spacing w:after="120" w:line="240" w:lineRule="auto"/>
        <w:jc w:val="both"/>
        <w:rPr>
          <w:rFonts w:ascii="Times New Roman" w:hAnsi="Times New Roman" w:cs="Times New Roman"/>
          <w:highlight w:val="yellow"/>
        </w:rPr>
      </w:pPr>
      <w:r w:rsidRPr="002D7B07">
        <w:rPr>
          <w:rFonts w:ascii="Times New Roman" w:hAnsi="Times New Roman" w:cs="Times New Roman"/>
          <w:highlight w:val="yellow"/>
        </w:rPr>
        <w:t xml:space="preserve">Temporal data, as presented in Table 3, reveal substantial progress since 2021, when the supplementary feeding coverage was only 54.8%. However, geographic disparities persist. The gap between the current achievement and the 90% national target—especially in districts like </w:t>
      </w:r>
      <w:proofErr w:type="spellStart"/>
      <w:r w:rsidRPr="002D7B07">
        <w:rPr>
          <w:rFonts w:ascii="Times New Roman" w:hAnsi="Times New Roman" w:cs="Times New Roman"/>
          <w:highlight w:val="yellow"/>
        </w:rPr>
        <w:t>Medang</w:t>
      </w:r>
      <w:proofErr w:type="spellEnd"/>
      <w:r w:rsidRPr="002D7B07">
        <w:rPr>
          <w:rFonts w:ascii="Times New Roman" w:hAnsi="Times New Roman" w:cs="Times New Roman"/>
          <w:highlight w:val="yellow"/>
        </w:rPr>
        <w:t xml:space="preserve"> Deras and </w:t>
      </w:r>
      <w:proofErr w:type="spellStart"/>
      <w:r w:rsidRPr="002D7B07">
        <w:rPr>
          <w:rFonts w:ascii="Times New Roman" w:hAnsi="Times New Roman" w:cs="Times New Roman"/>
          <w:highlight w:val="yellow"/>
        </w:rPr>
        <w:t>Nibung</w:t>
      </w:r>
      <w:proofErr w:type="spellEnd"/>
      <w:r w:rsidRPr="002D7B07">
        <w:rPr>
          <w:rFonts w:ascii="Times New Roman" w:hAnsi="Times New Roman" w:cs="Times New Roman"/>
          <w:highlight w:val="yellow"/>
        </w:rPr>
        <w:t xml:space="preserve"> </w:t>
      </w:r>
      <w:proofErr w:type="spellStart"/>
      <w:r w:rsidRPr="002D7B07">
        <w:rPr>
          <w:rFonts w:ascii="Times New Roman" w:hAnsi="Times New Roman" w:cs="Times New Roman"/>
          <w:highlight w:val="yellow"/>
        </w:rPr>
        <w:t>Hangus</w:t>
      </w:r>
      <w:proofErr w:type="spellEnd"/>
      <w:r w:rsidRPr="002D7B07">
        <w:rPr>
          <w:rFonts w:ascii="Times New Roman" w:hAnsi="Times New Roman" w:cs="Times New Roman"/>
          <w:highlight w:val="yellow"/>
        </w:rPr>
        <w:t>—calls for intensified local engagement and strengthened monitoring mechanisms.</w:t>
      </w:r>
    </w:p>
    <w:p w14:paraId="0F7F08F5" w14:textId="0551D3D0" w:rsidR="00A910BA" w:rsidRPr="002D7B07" w:rsidRDefault="002D7B07" w:rsidP="00A910BA">
      <w:pPr>
        <w:spacing w:after="120" w:line="240" w:lineRule="auto"/>
        <w:jc w:val="both"/>
        <w:rPr>
          <w:rFonts w:ascii="Times New Roman" w:hAnsi="Times New Roman" w:cs="Times New Roman"/>
        </w:rPr>
      </w:pPr>
      <w:r w:rsidRPr="002D7B07">
        <w:rPr>
          <w:rFonts w:ascii="Times New Roman" w:hAnsi="Times New Roman" w:cs="Times New Roman"/>
          <w:highlight w:val="yellow"/>
        </w:rPr>
        <w:t>Supplementary feeding programs are jointly executed by local government units, health departments, and family planning personnel, forming a multi-sectoral approach aligned with national development goals.</w:t>
      </w:r>
    </w:p>
    <w:p w14:paraId="3A43E895" w14:textId="2F3796AC" w:rsidR="00646514" w:rsidRPr="009C09C4" w:rsidRDefault="00646514" w:rsidP="00646514">
      <w:pPr>
        <w:spacing w:after="120" w:line="240" w:lineRule="auto"/>
        <w:jc w:val="both"/>
        <w:rPr>
          <w:rFonts w:ascii="Times New Roman" w:hAnsi="Times New Roman" w:cs="Times New Roman"/>
          <w:b/>
          <w:bCs/>
        </w:rPr>
      </w:pPr>
      <w:r w:rsidRPr="009C09C4">
        <w:rPr>
          <w:rFonts w:ascii="Times New Roman" w:hAnsi="Times New Roman" w:cs="Times New Roman"/>
          <w:b/>
          <w:bCs/>
        </w:rPr>
        <w:t>Statistical Analysis of the Effects of Nutrition Interventions on Stunting Prevalence</w:t>
      </w:r>
    </w:p>
    <w:p w14:paraId="6906E4C0" w14:textId="1945FCE5"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 xml:space="preserve">Understanding the multifaceted dynamics of stunting reduction requires not only the implementation of programs but also a rigorous examination of their statistical impact across regions. This study employed a descriptive and inferential approach to analyze the effectiveness of two key nutrition-specific interventions—vitamin A supplementation and supplementary feeding—on stunting prevalence in Batu Bara Regency between 2021 and 2023. The dataset encompassed 36 observations, representing 12 districts over a three-year span, and </w:t>
      </w:r>
      <w:r w:rsidRPr="009C09C4">
        <w:rPr>
          <w:rFonts w:ascii="Times New Roman" w:hAnsi="Times New Roman" w:cs="Times New Roman"/>
        </w:rPr>
        <w:lastRenderedPageBreak/>
        <w:t xml:space="preserve">was derived from credible governmental sources including the District Health Office and </w:t>
      </w:r>
      <w:proofErr w:type="spellStart"/>
      <w:r w:rsidRPr="009C09C4">
        <w:rPr>
          <w:rFonts w:ascii="Times New Roman" w:hAnsi="Times New Roman" w:cs="Times New Roman"/>
        </w:rPr>
        <w:t>Bappelitbangda</w:t>
      </w:r>
      <w:proofErr w:type="spellEnd"/>
      <w:r w:rsidRPr="009C09C4">
        <w:rPr>
          <w:rFonts w:ascii="Times New Roman" w:hAnsi="Times New Roman" w:cs="Times New Roman"/>
        </w:rPr>
        <w:t>.</w:t>
      </w:r>
    </w:p>
    <w:p w14:paraId="488290F6" w14:textId="029C2299" w:rsidR="00C51119" w:rsidRPr="009C09C4" w:rsidRDefault="00C51119" w:rsidP="00C51119">
      <w:pPr>
        <w:spacing w:after="120" w:line="240" w:lineRule="auto"/>
        <w:jc w:val="both"/>
        <w:rPr>
          <w:rFonts w:ascii="Times New Roman" w:hAnsi="Times New Roman" w:cs="Times New Roman"/>
          <w:b/>
          <w:bCs/>
        </w:rPr>
      </w:pPr>
      <w:r w:rsidRPr="009C09C4">
        <w:rPr>
          <w:rFonts w:ascii="Times New Roman" w:hAnsi="Times New Roman" w:cs="Times New Roman"/>
          <w:b/>
          <w:bCs/>
        </w:rPr>
        <w:t>Descriptive Summary of Core Variables</w:t>
      </w:r>
    </w:p>
    <w:p w14:paraId="2012EE93" w14:textId="2DE9FC53"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At the outset, descriptive statistics provided a general picture of how stunting and the two interventions varied across districts. The average stunting prevalence stood at 454 children per year per district, with a noticeable spread indicating heterogeneity in both health outcomes and service delivery. Vitamin A supplementation reached an average of approximately 340 children per district, while supplementary feeding programs recorded a slightly lower average of 307 children. Importantly, statistical tests of normality (e.g., Jarque-Bera) confirmed that the data distributions were reasonably normal across all variables, allowing for the application of panel regression models with confidence.</w:t>
      </w:r>
    </w:p>
    <w:p w14:paraId="11574509" w14:textId="77777777"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 xml:space="preserve">The data highlighted considerable disparities between districts. For example, </w:t>
      </w:r>
      <w:proofErr w:type="spellStart"/>
      <w:r w:rsidRPr="009C09C4">
        <w:rPr>
          <w:rFonts w:ascii="Times New Roman" w:hAnsi="Times New Roman" w:cs="Times New Roman"/>
        </w:rPr>
        <w:t>Medang</w:t>
      </w:r>
      <w:proofErr w:type="spellEnd"/>
      <w:r w:rsidRPr="009C09C4">
        <w:rPr>
          <w:rFonts w:ascii="Times New Roman" w:hAnsi="Times New Roman" w:cs="Times New Roman"/>
        </w:rPr>
        <w:t xml:space="preserve"> Deras and Sei Balai consistently exhibited high outreach in vitamin A supplementation, which coincided with relatively lower rates of stunting. In contrast, districts such as Lima </w:t>
      </w:r>
      <w:proofErr w:type="spellStart"/>
      <w:r w:rsidRPr="009C09C4">
        <w:rPr>
          <w:rFonts w:ascii="Times New Roman" w:hAnsi="Times New Roman" w:cs="Times New Roman"/>
        </w:rPr>
        <w:t>Puluh</w:t>
      </w:r>
      <w:proofErr w:type="spellEnd"/>
      <w:r w:rsidRPr="009C09C4">
        <w:rPr>
          <w:rFonts w:ascii="Times New Roman" w:hAnsi="Times New Roman" w:cs="Times New Roman"/>
        </w:rPr>
        <w:t xml:space="preserve"> </w:t>
      </w:r>
      <w:proofErr w:type="spellStart"/>
      <w:r w:rsidRPr="009C09C4">
        <w:rPr>
          <w:rFonts w:ascii="Times New Roman" w:hAnsi="Times New Roman" w:cs="Times New Roman"/>
        </w:rPr>
        <w:t>Pesisir</w:t>
      </w:r>
      <w:proofErr w:type="spellEnd"/>
      <w:r w:rsidRPr="009C09C4">
        <w:rPr>
          <w:rFonts w:ascii="Times New Roman" w:hAnsi="Times New Roman" w:cs="Times New Roman"/>
        </w:rPr>
        <w:t xml:space="preserve"> and Tanjung </w:t>
      </w:r>
      <w:proofErr w:type="spellStart"/>
      <w:r w:rsidRPr="009C09C4">
        <w:rPr>
          <w:rFonts w:ascii="Times New Roman" w:hAnsi="Times New Roman" w:cs="Times New Roman"/>
        </w:rPr>
        <w:t>Tiram</w:t>
      </w:r>
      <w:proofErr w:type="spellEnd"/>
      <w:r w:rsidRPr="009C09C4">
        <w:rPr>
          <w:rFonts w:ascii="Times New Roman" w:hAnsi="Times New Roman" w:cs="Times New Roman"/>
        </w:rPr>
        <w:t xml:space="preserve"> reported lower intervention coverage and persistently higher stunting rates, suggesting gaps in implementation or contextual challenges.</w:t>
      </w:r>
    </w:p>
    <w:p w14:paraId="5C00369F" w14:textId="77777777" w:rsidR="00C51119" w:rsidRPr="009C09C4" w:rsidRDefault="00C51119" w:rsidP="00C51119">
      <w:pPr>
        <w:spacing w:after="120" w:line="240" w:lineRule="auto"/>
        <w:jc w:val="both"/>
        <w:rPr>
          <w:rFonts w:ascii="Times New Roman" w:hAnsi="Times New Roman" w:cs="Times New Roman"/>
        </w:rPr>
      </w:pPr>
    </w:p>
    <w:p w14:paraId="0F3C4F20" w14:textId="3AE80074" w:rsidR="00C51119" w:rsidRPr="009C09C4" w:rsidRDefault="00C51119" w:rsidP="00C51119">
      <w:pPr>
        <w:spacing w:after="120" w:line="240" w:lineRule="auto"/>
        <w:jc w:val="both"/>
        <w:rPr>
          <w:rFonts w:ascii="Times New Roman" w:hAnsi="Times New Roman" w:cs="Times New Roman"/>
          <w:b/>
          <w:bCs/>
        </w:rPr>
      </w:pPr>
      <w:r w:rsidRPr="009C09C4">
        <w:rPr>
          <w:rFonts w:ascii="Times New Roman" w:hAnsi="Times New Roman" w:cs="Times New Roman"/>
          <w:b/>
          <w:bCs/>
        </w:rPr>
        <w:t>Modeling the Impact: Regression Analysis Using Panel Data</w:t>
      </w:r>
    </w:p>
    <w:p w14:paraId="78D00BA5" w14:textId="349CB509"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To identify the causal linkages between the interventions and stunting, three econometric models were estimated: the Common Effect Model (CEM), Fixed Effect Model (FEM), and Random Effect Model (REM).</w:t>
      </w:r>
    </w:p>
    <w:p w14:paraId="3AC087D8" w14:textId="7AD9E665"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The Common Effect Model, which assumes homogeneous intercepts across districts, showed that vitamin A supplementation was significantly associated with a reduction in stunting (p = 0.0045), whereas supplementary feeding did not reach statistical significance (p &gt; 0.75). This model, though informative, failed to account for unobserved district-specific factors, limiting its utility for policy targeting.</w:t>
      </w:r>
    </w:p>
    <w:p w14:paraId="0728330D" w14:textId="77777777"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Recognizing this limitation, the Fixed Effect Model was then applied to control for district-level heterogeneity. The FEM results demonstrated substantial improvement in explanatory power, with an adjusted R-squared value exceeding 0.90. Notably, both vitamin A supplementation (p = 0.0010) and supplementary feeding (p = 0.0373) showed statistically significant impacts on reducing stunting rates. These results underline the importance of considering localized factors—such as infrastructure, staffing, and socio-cultural practices—when evaluating program outcomes.</w:t>
      </w:r>
    </w:p>
    <w:p w14:paraId="2C3B3B70" w14:textId="77777777" w:rsidR="00C51119" w:rsidRPr="009C09C4" w:rsidRDefault="00C51119" w:rsidP="00C51119">
      <w:pPr>
        <w:spacing w:after="120" w:line="240" w:lineRule="auto"/>
        <w:jc w:val="both"/>
        <w:rPr>
          <w:rFonts w:ascii="Times New Roman" w:hAnsi="Times New Roman" w:cs="Times New Roman"/>
        </w:rPr>
      </w:pPr>
    </w:p>
    <w:p w14:paraId="50F94824" w14:textId="14689F83"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To validate the superiority of FEM over CEM, the Chow Test was conducted. The results strongly favored FEM (p &lt; 0.01), confirming that district-specific intercepts provided a more accurate depiction of intervention effects.</w:t>
      </w:r>
    </w:p>
    <w:p w14:paraId="06517C33" w14:textId="77777777"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Subsequently, the Random Effect Model was explored under the assumption of uncorrelated district-specific errors. While vitamin A supplementation remained significant (p = 0.0035), supplementary feeding again lost significance (p = 0.8039), echoing the inconsistencies observed in the CEM. However, a Hausman Test comparing FEM and REM ultimately endorsed the fixed effects approach (p &lt; 0.01), indicating that unobserved heterogeneity was correlated with the independent variables—a violation of the REM assumption.</w:t>
      </w:r>
    </w:p>
    <w:p w14:paraId="7F167250" w14:textId="77777777" w:rsidR="00C51119" w:rsidRPr="009C09C4" w:rsidRDefault="00C51119" w:rsidP="00C51119">
      <w:pPr>
        <w:spacing w:after="120" w:line="240" w:lineRule="auto"/>
        <w:jc w:val="both"/>
        <w:rPr>
          <w:rFonts w:ascii="Times New Roman" w:hAnsi="Times New Roman" w:cs="Times New Roman"/>
        </w:rPr>
      </w:pPr>
    </w:p>
    <w:p w14:paraId="1B2C5356" w14:textId="716636CF" w:rsidR="00C51119" w:rsidRPr="009C09C4" w:rsidRDefault="00C51119" w:rsidP="00C51119">
      <w:pPr>
        <w:spacing w:after="120" w:line="240" w:lineRule="auto"/>
        <w:jc w:val="both"/>
        <w:rPr>
          <w:rFonts w:ascii="Times New Roman" w:hAnsi="Times New Roman" w:cs="Times New Roman"/>
          <w:b/>
          <w:bCs/>
        </w:rPr>
      </w:pPr>
      <w:r w:rsidRPr="009C09C4">
        <w:rPr>
          <w:rFonts w:ascii="Times New Roman" w:hAnsi="Times New Roman" w:cs="Times New Roman"/>
          <w:b/>
          <w:bCs/>
        </w:rPr>
        <w:lastRenderedPageBreak/>
        <w:t>District-Level Insights and Policy Implications</w:t>
      </w:r>
    </w:p>
    <w:p w14:paraId="3E83AE38" w14:textId="765CC8F8"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 xml:space="preserve">The final FEM specification provided nuanced insights at the district level. </w:t>
      </w:r>
      <w:proofErr w:type="spellStart"/>
      <w:r w:rsidRPr="009C09C4">
        <w:rPr>
          <w:rFonts w:ascii="Times New Roman" w:hAnsi="Times New Roman" w:cs="Times New Roman"/>
        </w:rPr>
        <w:t>Medang</w:t>
      </w:r>
      <w:proofErr w:type="spellEnd"/>
      <w:r w:rsidRPr="009C09C4">
        <w:rPr>
          <w:rFonts w:ascii="Times New Roman" w:hAnsi="Times New Roman" w:cs="Times New Roman"/>
        </w:rPr>
        <w:t xml:space="preserve"> Deras emerged as the most responsive district, with the strongest negative fixed effects, suggesting that combined nutrition interventions had the most pronounced impact there. Similarly, districts such as Ujung Kubu and Tanjung </w:t>
      </w:r>
      <w:proofErr w:type="spellStart"/>
      <w:r w:rsidRPr="009C09C4">
        <w:rPr>
          <w:rFonts w:ascii="Times New Roman" w:hAnsi="Times New Roman" w:cs="Times New Roman"/>
        </w:rPr>
        <w:t>Tiram</w:t>
      </w:r>
      <w:proofErr w:type="spellEnd"/>
      <w:r w:rsidRPr="009C09C4">
        <w:rPr>
          <w:rFonts w:ascii="Times New Roman" w:hAnsi="Times New Roman" w:cs="Times New Roman"/>
        </w:rPr>
        <w:t xml:space="preserve"> showed considerable reductions in stunting correlated with increased program coverage. These areas likely benefitted from better program targeting, community engagement, or health infrastructure.</w:t>
      </w:r>
    </w:p>
    <w:p w14:paraId="37CD8144" w14:textId="6096D6F1"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 xml:space="preserve">Conversely, districts like Laut Tador and Lima </w:t>
      </w:r>
      <w:proofErr w:type="spellStart"/>
      <w:r w:rsidRPr="009C09C4">
        <w:rPr>
          <w:rFonts w:ascii="Times New Roman" w:hAnsi="Times New Roman" w:cs="Times New Roman"/>
        </w:rPr>
        <w:t>Puluh</w:t>
      </w:r>
      <w:proofErr w:type="spellEnd"/>
      <w:r w:rsidRPr="009C09C4">
        <w:rPr>
          <w:rFonts w:ascii="Times New Roman" w:hAnsi="Times New Roman" w:cs="Times New Roman"/>
        </w:rPr>
        <w:t>, despite moderate levels of intervention coverage, showed weaker associations, implying either operational inefficiencies or demographic factors that muted program effectiveness. Such disparities highlight the necessity of tailoring interventions not only by need but also by capacity and contextual fit.</w:t>
      </w:r>
    </w:p>
    <w:p w14:paraId="223AF7B6" w14:textId="15C0B757"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In aggregate, the findings affirm that vitamin A supplementation is a statistically robust predictor of reduced stunting, reinforcing its prioritization in child health programs. Supplementary feeding, while theoretically impactful, demonstrated more variable results, suggesting it may require more consistent delivery, higher nutritional quality, or complementary behavioral interventions to realize its full potential.</w:t>
      </w:r>
    </w:p>
    <w:p w14:paraId="0573410F" w14:textId="2CD08D8C" w:rsidR="00646514" w:rsidRPr="009C09C4" w:rsidRDefault="00C51119" w:rsidP="00A910BA">
      <w:pPr>
        <w:spacing w:after="120" w:line="240" w:lineRule="auto"/>
        <w:jc w:val="both"/>
        <w:rPr>
          <w:rFonts w:ascii="Times New Roman" w:hAnsi="Times New Roman" w:cs="Times New Roman"/>
        </w:rPr>
      </w:pPr>
      <w:r w:rsidRPr="009C09C4">
        <w:rPr>
          <w:rFonts w:ascii="Times New Roman" w:hAnsi="Times New Roman" w:cs="Times New Roman"/>
        </w:rPr>
        <w:t>Moreover, the superiority of the fixed effects model underscores the importance of localized policy frameworks. Centralized program targets must be accompanied by flexibility at the local level, enabling adaptations to specific community needs and challenges. The statistical significance of the FEM model provides empirical support for continuing and scaling up district-focused strategies that combine data-driven targeting with community-based implementation.</w:t>
      </w:r>
    </w:p>
    <w:p w14:paraId="57D30BD3" w14:textId="77777777" w:rsidR="00C51119" w:rsidRPr="009C09C4" w:rsidRDefault="00C51119" w:rsidP="00A910BA">
      <w:pPr>
        <w:spacing w:after="120" w:line="240" w:lineRule="auto"/>
        <w:jc w:val="both"/>
        <w:rPr>
          <w:rFonts w:ascii="Times New Roman" w:hAnsi="Times New Roman" w:cs="Times New Roman"/>
        </w:rPr>
      </w:pPr>
    </w:p>
    <w:p w14:paraId="10CA459A" w14:textId="79519DC7" w:rsidR="005059FC" w:rsidRPr="009C09C4" w:rsidRDefault="005059FC" w:rsidP="00075AE4">
      <w:pPr>
        <w:spacing w:after="120" w:line="240" w:lineRule="auto"/>
        <w:jc w:val="both"/>
        <w:rPr>
          <w:rFonts w:ascii="Times New Roman" w:hAnsi="Times New Roman" w:cs="Times New Roman"/>
          <w:b/>
          <w:bCs/>
        </w:rPr>
      </w:pPr>
      <w:r w:rsidRPr="009C09C4">
        <w:rPr>
          <w:rFonts w:ascii="Times New Roman" w:hAnsi="Times New Roman" w:cs="Times New Roman"/>
          <w:b/>
          <w:bCs/>
        </w:rPr>
        <w:t>Discussion</w:t>
      </w:r>
    </w:p>
    <w:p w14:paraId="3D607823" w14:textId="77777777"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This study highlights the progress and challenges in reducing stunting prevalence in Batu Bara Regency between 2021 and 2023. The observed reduction in stunting—from 30.9% to 15.7%—suggests that ongoing efforts, including vitamin A supplementation and supplementary feeding programs, have yielded meaningful impacts. Nevertheless, the regression models employed in this study underscore the critical importance of local context and variation in the effectiveness of these interventions.</w:t>
      </w:r>
    </w:p>
    <w:p w14:paraId="38EDAC5C" w14:textId="77777777" w:rsidR="00C51119" w:rsidRPr="009C09C4" w:rsidRDefault="00C51119" w:rsidP="00C51119">
      <w:pPr>
        <w:spacing w:after="120" w:line="240" w:lineRule="auto"/>
        <w:jc w:val="both"/>
        <w:rPr>
          <w:rFonts w:ascii="Times New Roman" w:hAnsi="Times New Roman" w:cs="Times New Roman"/>
        </w:rPr>
      </w:pPr>
    </w:p>
    <w:p w14:paraId="6457D87D" w14:textId="09864189"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The fixed effects model revealed that vitamin A supplementation has a consistent and statistically significant association with lower stunting prevalence across districts. This aligns with global literature indicating the essential role of micronutrients, especially vitamin A, in child growth and immunity. The significant p-value (0.0010) obtained in the FEM confirms this relationship within the Batu Bara context, where targeted vitamin A delivery appears to be an effective tool in stunting prevention.</w:t>
      </w:r>
    </w:p>
    <w:p w14:paraId="71FB77F6" w14:textId="74AF70C6"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 xml:space="preserve">In contrast, supplementary feeding interventions demonstrated more variable outcomes. While the FEM indicated statistical significance (p = 0.0373), both the common and random effect models showed weaker associations. This discrepancy may be attributed to inconsistent program implementation, disparities in food quality, or lack of concurrent behavioral education. Furthermore, geographic disparities in stunting prevalence—especially in districts like Tanjung </w:t>
      </w:r>
      <w:proofErr w:type="spellStart"/>
      <w:r w:rsidRPr="009C09C4">
        <w:rPr>
          <w:rFonts w:ascii="Times New Roman" w:hAnsi="Times New Roman" w:cs="Times New Roman"/>
        </w:rPr>
        <w:t>Tiram</w:t>
      </w:r>
      <w:proofErr w:type="spellEnd"/>
      <w:r w:rsidRPr="009C09C4">
        <w:rPr>
          <w:rFonts w:ascii="Times New Roman" w:hAnsi="Times New Roman" w:cs="Times New Roman"/>
        </w:rPr>
        <w:t xml:space="preserve"> and </w:t>
      </w:r>
      <w:proofErr w:type="spellStart"/>
      <w:r w:rsidRPr="009C09C4">
        <w:rPr>
          <w:rFonts w:ascii="Times New Roman" w:hAnsi="Times New Roman" w:cs="Times New Roman"/>
        </w:rPr>
        <w:t>Medang</w:t>
      </w:r>
      <w:proofErr w:type="spellEnd"/>
      <w:r w:rsidRPr="009C09C4">
        <w:rPr>
          <w:rFonts w:ascii="Times New Roman" w:hAnsi="Times New Roman" w:cs="Times New Roman"/>
        </w:rPr>
        <w:t xml:space="preserve"> Deras—highlight the need for refined delivery strategies and more robust local monitoring systems.</w:t>
      </w:r>
    </w:p>
    <w:p w14:paraId="4FB89D9D" w14:textId="538A1E0B"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lastRenderedPageBreak/>
        <w:t>Importantly, the geographic and administrative profile of Batu Bara plays a foundational role in shaping health outcomes. Rural and peri-urban regions, with limited infrastructure and lower health service access, exhibited both higher stunting rates and lower intervention coverage. This contextual insight justifies the use of the fixed effects model, which effectively accounts for such unobserved heterogeneity and emphasizes that "one-size-fits-all" strategies are insufficient in a diverse administrative landscape.</w:t>
      </w:r>
    </w:p>
    <w:p w14:paraId="64172CD4" w14:textId="083E27D0" w:rsidR="00C51119" w:rsidRPr="009C09C4" w:rsidRDefault="00C51119" w:rsidP="00C51119">
      <w:pPr>
        <w:spacing w:after="120" w:line="240" w:lineRule="auto"/>
        <w:jc w:val="both"/>
        <w:rPr>
          <w:rFonts w:ascii="Times New Roman" w:hAnsi="Times New Roman" w:cs="Times New Roman"/>
        </w:rPr>
      </w:pPr>
      <w:r w:rsidRPr="009C09C4">
        <w:rPr>
          <w:rFonts w:ascii="Times New Roman" w:hAnsi="Times New Roman" w:cs="Times New Roman"/>
        </w:rPr>
        <w:t>Finally, the study's panel regression analysis, validated by robust statistical tests such as the Chow and Hausman tests, affirms the superiority of the Fixed Effect Model in this setting. The use of district-level data over a three-year period offers strong empirical grounding for targeted policy decisions.</w:t>
      </w:r>
    </w:p>
    <w:p w14:paraId="4A5316C1" w14:textId="25109558" w:rsidR="00D77E67" w:rsidRPr="009C09C4" w:rsidRDefault="00C51119" w:rsidP="002743CE">
      <w:pPr>
        <w:spacing w:after="120" w:line="240" w:lineRule="auto"/>
        <w:jc w:val="both"/>
        <w:rPr>
          <w:rFonts w:ascii="Times New Roman" w:hAnsi="Times New Roman" w:cs="Times New Roman"/>
        </w:rPr>
      </w:pPr>
      <w:r w:rsidRPr="009C09C4">
        <w:rPr>
          <w:rFonts w:ascii="Times New Roman" w:hAnsi="Times New Roman" w:cs="Times New Roman"/>
        </w:rPr>
        <w:t>In summary, while Batu Bara Regency has made commendable progress in addressing child stunting, this discussion suggests that sustainable success depends on localized, evidence-driven strategies that integrate nutritional, infrastructural, and behavioral components.</w:t>
      </w:r>
    </w:p>
    <w:p w14:paraId="13711DFE" w14:textId="77777777" w:rsidR="002743CE" w:rsidRPr="009C09C4" w:rsidRDefault="002743CE" w:rsidP="002743CE">
      <w:pPr>
        <w:spacing w:after="120" w:line="240" w:lineRule="auto"/>
        <w:jc w:val="both"/>
        <w:rPr>
          <w:rFonts w:ascii="Times New Roman" w:hAnsi="Times New Roman" w:cs="Times New Roman"/>
        </w:rPr>
      </w:pPr>
    </w:p>
    <w:p w14:paraId="636FD44E" w14:textId="79633ADF" w:rsidR="008E65AB" w:rsidRPr="009C09C4" w:rsidRDefault="0046681B" w:rsidP="009C09C4">
      <w:pPr>
        <w:pStyle w:val="ListParagraph"/>
        <w:numPr>
          <w:ilvl w:val="0"/>
          <w:numId w:val="13"/>
        </w:numPr>
        <w:spacing w:after="120" w:line="240" w:lineRule="auto"/>
        <w:ind w:left="709"/>
        <w:jc w:val="both"/>
        <w:rPr>
          <w:rFonts w:ascii="Times New Roman" w:hAnsi="Times New Roman" w:cs="Times New Roman"/>
          <w:b/>
          <w:bCs/>
        </w:rPr>
      </w:pPr>
      <w:r w:rsidRPr="009C09C4">
        <w:rPr>
          <w:rFonts w:ascii="Times New Roman" w:hAnsi="Times New Roman" w:cs="Times New Roman"/>
          <w:b/>
          <w:bCs/>
        </w:rPr>
        <w:t>CONCLUSION AND RECOMMENDATIONS</w:t>
      </w:r>
    </w:p>
    <w:p w14:paraId="4FB0879D" w14:textId="4B1EE1CA" w:rsidR="0046681B" w:rsidRPr="009C09C4" w:rsidRDefault="0046681B" w:rsidP="0046681B">
      <w:pPr>
        <w:spacing w:after="120" w:line="240" w:lineRule="auto"/>
        <w:jc w:val="both"/>
        <w:rPr>
          <w:rFonts w:ascii="Times New Roman" w:hAnsi="Times New Roman" w:cs="Times New Roman"/>
          <w:b/>
          <w:bCs/>
        </w:rPr>
      </w:pPr>
      <w:r w:rsidRPr="009C09C4">
        <w:rPr>
          <w:rFonts w:ascii="Times New Roman" w:hAnsi="Times New Roman" w:cs="Times New Roman"/>
          <w:b/>
          <w:bCs/>
        </w:rPr>
        <w:t>CONCLUSION</w:t>
      </w:r>
    </w:p>
    <w:p w14:paraId="444D73D1" w14:textId="16DADBDD" w:rsidR="002743CE" w:rsidRPr="009C09C4" w:rsidRDefault="002743CE" w:rsidP="002743CE">
      <w:pPr>
        <w:spacing w:after="120" w:line="240" w:lineRule="auto"/>
        <w:jc w:val="both"/>
        <w:rPr>
          <w:rFonts w:ascii="Times New Roman" w:hAnsi="Times New Roman" w:cs="Times New Roman"/>
        </w:rPr>
      </w:pPr>
      <w:r w:rsidRPr="009C09C4">
        <w:rPr>
          <w:rFonts w:ascii="Times New Roman" w:hAnsi="Times New Roman" w:cs="Times New Roman"/>
        </w:rPr>
        <w:t>This study analyzed the relationship between stunting prevalence and two primary health interventions—Vitamin A supplementation and the provision of supplementary food (PMT)—in Batu Bara Regency from 2021 to 2023. Using a panel regression approach, the Fixed Effect Model was identified as the best-fitting model based on Chow and Hausman test results, with an adjusted R² of 0.908. This indicates that over 90% of the variation in stunting across districts can be explained by these two interventions.</w:t>
      </w:r>
    </w:p>
    <w:p w14:paraId="24709953" w14:textId="65317524" w:rsidR="002743CE" w:rsidRPr="009C09C4" w:rsidRDefault="002743CE" w:rsidP="002743CE">
      <w:pPr>
        <w:spacing w:after="120" w:line="240" w:lineRule="auto"/>
        <w:jc w:val="both"/>
        <w:rPr>
          <w:rFonts w:ascii="Times New Roman" w:hAnsi="Times New Roman" w:cs="Times New Roman"/>
        </w:rPr>
      </w:pPr>
      <w:r w:rsidRPr="009C09C4">
        <w:rPr>
          <w:rFonts w:ascii="Times New Roman" w:hAnsi="Times New Roman" w:cs="Times New Roman"/>
        </w:rPr>
        <w:t xml:space="preserve">The analysis demonstrated that Vitamin A supplementation had a significant negative effect on stunting prevalence (p = 0.0010), underscoring its crucial role in child growth and immunity. Supplementary feeding also showed a significant effect (p = 0.0373), although the magnitude was more modest. District-level results further highlighted spatial disparities, with </w:t>
      </w:r>
      <w:proofErr w:type="spellStart"/>
      <w:r w:rsidRPr="009C09C4">
        <w:rPr>
          <w:rFonts w:ascii="Times New Roman" w:hAnsi="Times New Roman" w:cs="Times New Roman"/>
        </w:rPr>
        <w:t>Medang</w:t>
      </w:r>
      <w:proofErr w:type="spellEnd"/>
      <w:r w:rsidRPr="009C09C4">
        <w:rPr>
          <w:rFonts w:ascii="Times New Roman" w:hAnsi="Times New Roman" w:cs="Times New Roman"/>
        </w:rPr>
        <w:t xml:space="preserve"> Deras showing the most significant improvements, while others such as Laut Tador and Lima </w:t>
      </w:r>
      <w:proofErr w:type="spellStart"/>
      <w:r w:rsidRPr="009C09C4">
        <w:rPr>
          <w:rFonts w:ascii="Times New Roman" w:hAnsi="Times New Roman" w:cs="Times New Roman"/>
        </w:rPr>
        <w:t>Puluh</w:t>
      </w:r>
      <w:proofErr w:type="spellEnd"/>
      <w:r w:rsidRPr="009C09C4">
        <w:rPr>
          <w:rFonts w:ascii="Times New Roman" w:hAnsi="Times New Roman" w:cs="Times New Roman"/>
        </w:rPr>
        <w:t xml:space="preserve"> were less responsive.</w:t>
      </w:r>
    </w:p>
    <w:p w14:paraId="6956FF3D" w14:textId="77777777" w:rsidR="002743CE" w:rsidRPr="009C09C4" w:rsidRDefault="002743CE" w:rsidP="002743CE">
      <w:pPr>
        <w:spacing w:after="120" w:line="240" w:lineRule="auto"/>
        <w:jc w:val="both"/>
        <w:rPr>
          <w:rFonts w:ascii="Times New Roman" w:hAnsi="Times New Roman" w:cs="Times New Roman"/>
        </w:rPr>
      </w:pPr>
      <w:r w:rsidRPr="009C09C4">
        <w:rPr>
          <w:rFonts w:ascii="Times New Roman" w:hAnsi="Times New Roman" w:cs="Times New Roman"/>
        </w:rPr>
        <w:t>Overall, this study affirms the critical impact of nutrition-based interventions on child health outcomes and supports the continued prioritization of these programs within regional development strategies.</w:t>
      </w:r>
    </w:p>
    <w:p w14:paraId="6A2673D7" w14:textId="7AC8DE04" w:rsidR="008E65AB" w:rsidRPr="009C09C4" w:rsidRDefault="0046681B" w:rsidP="002743CE">
      <w:pPr>
        <w:spacing w:after="120" w:line="240" w:lineRule="auto"/>
        <w:jc w:val="both"/>
        <w:rPr>
          <w:rFonts w:ascii="Times New Roman" w:hAnsi="Times New Roman" w:cs="Times New Roman"/>
          <w:b/>
          <w:bCs/>
        </w:rPr>
      </w:pPr>
      <w:r w:rsidRPr="009C09C4">
        <w:rPr>
          <w:rFonts w:ascii="Times New Roman" w:hAnsi="Times New Roman" w:cs="Times New Roman"/>
          <w:b/>
          <w:bCs/>
        </w:rPr>
        <w:t>RECOMMENDATIONS</w:t>
      </w:r>
    </w:p>
    <w:p w14:paraId="282BC9D2" w14:textId="77777777" w:rsidR="002743CE" w:rsidRPr="009C09C4" w:rsidRDefault="002743CE" w:rsidP="007E2B90">
      <w:pPr>
        <w:jc w:val="both"/>
        <w:rPr>
          <w:rFonts w:ascii="Times New Roman" w:hAnsi="Times New Roman" w:cs="Times New Roman"/>
        </w:rPr>
      </w:pPr>
      <w:r w:rsidRPr="009C09C4">
        <w:rPr>
          <w:rFonts w:ascii="Times New Roman" w:hAnsi="Times New Roman" w:cs="Times New Roman"/>
        </w:rPr>
        <w:t xml:space="preserve">To enhance the effectiveness of stunting reduction programs in Batu Bara Regency, several strategic recommendations emerge from the study. First, there is a clear need to scale up the implementation of Vitamin A supplementation and supplementary feeding programs, particularly in districts that have demonstrated strong responsiveness such as </w:t>
      </w:r>
      <w:proofErr w:type="spellStart"/>
      <w:r w:rsidRPr="009C09C4">
        <w:rPr>
          <w:rFonts w:ascii="Times New Roman" w:hAnsi="Times New Roman" w:cs="Times New Roman"/>
        </w:rPr>
        <w:t>Medang</w:t>
      </w:r>
      <w:proofErr w:type="spellEnd"/>
      <w:r w:rsidRPr="009C09C4">
        <w:rPr>
          <w:rFonts w:ascii="Times New Roman" w:hAnsi="Times New Roman" w:cs="Times New Roman"/>
        </w:rPr>
        <w:t xml:space="preserve"> Deras. The success in these areas suggests that with adequate coverage and community engagement, significant reductions in stunting are achievable. In contrast, districts such as Laut Tador and Lima </w:t>
      </w:r>
      <w:proofErr w:type="spellStart"/>
      <w:r w:rsidRPr="009C09C4">
        <w:rPr>
          <w:rFonts w:ascii="Times New Roman" w:hAnsi="Times New Roman" w:cs="Times New Roman"/>
        </w:rPr>
        <w:t>Puluh</w:t>
      </w:r>
      <w:proofErr w:type="spellEnd"/>
      <w:r w:rsidRPr="009C09C4">
        <w:rPr>
          <w:rFonts w:ascii="Times New Roman" w:hAnsi="Times New Roman" w:cs="Times New Roman"/>
        </w:rPr>
        <w:t xml:space="preserve"> require targeted interventions that address localized barriers—these may include infrastructure gaps, limited health worker capacity, or low caregiver awareness. Integrating nutrition-specific interventions with broader maternal and child health services, including immunization and routine growth monitoring, can create synergies that improve overall program impact. Equally important is the role of community engagement; increasing public awareness about the benefits of nutritional supplementation and ensuring consistent </w:t>
      </w:r>
      <w:r w:rsidRPr="009C09C4">
        <w:rPr>
          <w:rFonts w:ascii="Times New Roman" w:hAnsi="Times New Roman" w:cs="Times New Roman"/>
        </w:rPr>
        <w:lastRenderedPageBreak/>
        <w:t>participation are essential for long-term success. Lastly, the establishment of a robust, real-time monitoring and evaluation system is crucial to inform evidence-based decision-making, allowing policymakers to adapt strategies dynamically and ensure that resources are allocated effectively and equitably across all districts.</w:t>
      </w:r>
    </w:p>
    <w:p w14:paraId="31C4000D" w14:textId="6648AE55" w:rsidR="0035129B" w:rsidRPr="009C09C4" w:rsidRDefault="0035129B" w:rsidP="0035129B">
      <w:pPr>
        <w:spacing w:after="120" w:line="240" w:lineRule="auto"/>
        <w:jc w:val="both"/>
        <w:rPr>
          <w:rFonts w:ascii="Times New Roman" w:hAnsi="Times New Roman" w:cs="Times New Roman"/>
          <w:b/>
          <w:bCs/>
        </w:rPr>
      </w:pPr>
      <w:r w:rsidRPr="009C09C4">
        <w:rPr>
          <w:rFonts w:ascii="Times New Roman" w:hAnsi="Times New Roman" w:cs="Times New Roman"/>
          <w:b/>
          <w:bCs/>
        </w:rPr>
        <w:t xml:space="preserve"> Ethical </w:t>
      </w:r>
      <w:r>
        <w:rPr>
          <w:rFonts w:ascii="Times New Roman" w:hAnsi="Times New Roman" w:cs="Times New Roman"/>
          <w:b/>
          <w:bCs/>
        </w:rPr>
        <w:t>Approval and consent</w:t>
      </w:r>
    </w:p>
    <w:p w14:paraId="4742AE84" w14:textId="77777777" w:rsidR="0035129B" w:rsidRPr="009C09C4" w:rsidRDefault="0035129B" w:rsidP="0035129B">
      <w:pPr>
        <w:spacing w:after="120" w:line="240" w:lineRule="auto"/>
        <w:jc w:val="both"/>
        <w:rPr>
          <w:rFonts w:ascii="Times New Roman" w:hAnsi="Times New Roman" w:cs="Times New Roman"/>
        </w:rPr>
      </w:pPr>
      <w:r w:rsidRPr="009C09C4">
        <w:rPr>
          <w:rFonts w:ascii="Times New Roman" w:hAnsi="Times New Roman" w:cs="Times New Roman"/>
        </w:rPr>
        <w:t>Ethical approval was obtained from the institutional review board at the corresponding author’s university. Participation in interviews and questionnaires was voluntary, and informed consent was secured. Data confidentiality and anonymity were maintained in accordance with academic ethical standards.</w:t>
      </w:r>
    </w:p>
    <w:p w14:paraId="0809AEC6" w14:textId="77777777" w:rsidR="006E48C7" w:rsidRPr="009C09C4" w:rsidRDefault="006E48C7" w:rsidP="007E2B90">
      <w:pPr>
        <w:jc w:val="both"/>
        <w:rPr>
          <w:rFonts w:ascii="Times New Roman" w:hAnsi="Times New Roman" w:cs="Times New Roman"/>
        </w:rPr>
      </w:pPr>
    </w:p>
    <w:p w14:paraId="62548E88" w14:textId="77777777" w:rsidR="006E48C7" w:rsidRPr="009C09C4" w:rsidRDefault="006E48C7" w:rsidP="006E48C7">
      <w:pPr>
        <w:jc w:val="both"/>
        <w:rPr>
          <w:rFonts w:ascii="Times New Roman" w:hAnsi="Times New Roman" w:cs="Times New Roman"/>
        </w:rPr>
      </w:pPr>
      <w:r w:rsidRPr="009C09C4">
        <w:rPr>
          <w:rFonts w:ascii="Times New Roman" w:hAnsi="Times New Roman" w:cs="Times New Roman"/>
        </w:rPr>
        <w:t>COMPETING INTERESTS DISCLAIMER:</w:t>
      </w:r>
    </w:p>
    <w:p w14:paraId="0C3CF65A" w14:textId="60ECE972" w:rsidR="006E48C7" w:rsidRPr="009C09C4" w:rsidRDefault="006E48C7" w:rsidP="006E48C7">
      <w:pPr>
        <w:jc w:val="both"/>
        <w:rPr>
          <w:rFonts w:ascii="Times New Roman" w:hAnsi="Times New Roman" w:cs="Times New Roman"/>
        </w:rPr>
      </w:pPr>
      <w:r w:rsidRPr="009C09C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519921F" w14:textId="77777777" w:rsidR="00ED5471" w:rsidRPr="00ED5471" w:rsidRDefault="00ED5471" w:rsidP="00ED5471">
      <w:pPr>
        <w:rPr>
          <w:highlight w:val="yellow"/>
        </w:rPr>
      </w:pPr>
      <w:r w:rsidRPr="00ED5471">
        <w:rPr>
          <w:highlight w:val="yellow"/>
        </w:rPr>
        <w:t>Disclaimer (Artificial intelligence)</w:t>
      </w:r>
    </w:p>
    <w:p w14:paraId="61076476" w14:textId="77777777" w:rsidR="00ED5471" w:rsidRPr="00ED5471" w:rsidRDefault="00ED5471" w:rsidP="00ED5471">
      <w:pPr>
        <w:rPr>
          <w:highlight w:val="yellow"/>
        </w:rPr>
      </w:pPr>
      <w:r w:rsidRPr="00ED5471">
        <w:rPr>
          <w:highlight w:val="yellow"/>
        </w:rPr>
        <w:t xml:space="preserve">Option 1: </w:t>
      </w:r>
    </w:p>
    <w:p w14:paraId="73A5DB5B" w14:textId="77777777" w:rsidR="00ED5471" w:rsidRPr="00ED5471" w:rsidRDefault="00ED5471" w:rsidP="00ED5471">
      <w:pPr>
        <w:rPr>
          <w:highlight w:val="yellow"/>
        </w:rPr>
      </w:pPr>
      <w:r w:rsidRPr="00ED5471">
        <w:rPr>
          <w:highlight w:val="yellow"/>
        </w:rPr>
        <w:t xml:space="preserve">Author(s) hereby </w:t>
      </w:r>
      <w:proofErr w:type="gramStart"/>
      <w:r w:rsidRPr="00ED5471">
        <w:rPr>
          <w:highlight w:val="yellow"/>
        </w:rPr>
        <w:t>declare</w:t>
      </w:r>
      <w:proofErr w:type="gramEnd"/>
      <w:r w:rsidRPr="00ED5471">
        <w:rPr>
          <w:highlight w:val="yellow"/>
        </w:rPr>
        <w:t xml:space="preserve"> that NO generative AI technologies such as Large Language Models (ChatGPT, COPILOT, etc.) and text-to-image generators have been used during the writing or editing of this manuscript. </w:t>
      </w:r>
    </w:p>
    <w:p w14:paraId="3CDD1FC1" w14:textId="77777777" w:rsidR="00ED5471" w:rsidRPr="00ED5471" w:rsidRDefault="00ED5471" w:rsidP="00ED5471">
      <w:pPr>
        <w:rPr>
          <w:highlight w:val="yellow"/>
        </w:rPr>
      </w:pPr>
      <w:r w:rsidRPr="00ED5471">
        <w:rPr>
          <w:highlight w:val="yellow"/>
        </w:rPr>
        <w:t xml:space="preserve">Option 2: </w:t>
      </w:r>
    </w:p>
    <w:p w14:paraId="0A1805F5" w14:textId="77777777" w:rsidR="00ED5471" w:rsidRPr="00ED5471" w:rsidRDefault="00ED5471" w:rsidP="00ED5471">
      <w:pPr>
        <w:rPr>
          <w:highlight w:val="yellow"/>
        </w:rPr>
      </w:pPr>
      <w:r w:rsidRPr="00ED5471">
        <w:rPr>
          <w:highlight w:val="yellow"/>
        </w:rPr>
        <w:t xml:space="preserve">Author(s) hereby </w:t>
      </w:r>
      <w:proofErr w:type="gramStart"/>
      <w:r w:rsidRPr="00ED5471">
        <w:rPr>
          <w:highlight w:val="yellow"/>
        </w:rPr>
        <w:t>declare</w:t>
      </w:r>
      <w:proofErr w:type="gramEnd"/>
      <w:r w:rsidRPr="00ED5471">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A94F7C" w14:textId="77777777" w:rsidR="00ED5471" w:rsidRPr="00ED5471" w:rsidRDefault="00ED5471" w:rsidP="00ED5471">
      <w:pPr>
        <w:rPr>
          <w:highlight w:val="yellow"/>
        </w:rPr>
      </w:pPr>
      <w:r w:rsidRPr="00ED5471">
        <w:rPr>
          <w:highlight w:val="yellow"/>
        </w:rPr>
        <w:t>Details of the AI usage are given below:</w:t>
      </w:r>
    </w:p>
    <w:p w14:paraId="385B2CD4" w14:textId="77777777" w:rsidR="00ED5471" w:rsidRPr="00ED5471" w:rsidRDefault="00ED5471" w:rsidP="00ED5471">
      <w:pPr>
        <w:rPr>
          <w:highlight w:val="yellow"/>
        </w:rPr>
      </w:pPr>
      <w:r w:rsidRPr="00ED5471">
        <w:rPr>
          <w:highlight w:val="yellow"/>
        </w:rPr>
        <w:t>1.</w:t>
      </w:r>
    </w:p>
    <w:p w14:paraId="1CD38042" w14:textId="77777777" w:rsidR="00ED5471" w:rsidRPr="00ED5471" w:rsidRDefault="00ED5471" w:rsidP="00ED5471">
      <w:pPr>
        <w:rPr>
          <w:highlight w:val="yellow"/>
        </w:rPr>
      </w:pPr>
      <w:r w:rsidRPr="00ED5471">
        <w:rPr>
          <w:highlight w:val="yellow"/>
        </w:rPr>
        <w:t>2.</w:t>
      </w:r>
    </w:p>
    <w:p w14:paraId="78EC2323" w14:textId="77777777" w:rsidR="00ED5471" w:rsidRPr="0053103C" w:rsidRDefault="00ED5471" w:rsidP="00ED5471">
      <w:r w:rsidRPr="00ED5471">
        <w:rPr>
          <w:highlight w:val="yellow"/>
        </w:rPr>
        <w:t>3.</w:t>
      </w:r>
    </w:p>
    <w:p w14:paraId="2565420C" w14:textId="77777777" w:rsidR="005059FC" w:rsidRPr="009C09C4" w:rsidRDefault="005059FC" w:rsidP="00075AE4">
      <w:pPr>
        <w:spacing w:after="120" w:line="240" w:lineRule="auto"/>
        <w:jc w:val="both"/>
        <w:rPr>
          <w:rFonts w:ascii="Times New Roman" w:hAnsi="Times New Roman" w:cs="Times New Roman"/>
        </w:rPr>
      </w:pPr>
    </w:p>
    <w:p w14:paraId="414C085D" w14:textId="650DD097" w:rsidR="008E65AB" w:rsidRPr="009C09C4" w:rsidRDefault="00101FB6" w:rsidP="00075AE4">
      <w:pPr>
        <w:spacing w:after="120" w:line="240" w:lineRule="auto"/>
        <w:jc w:val="both"/>
        <w:rPr>
          <w:rFonts w:ascii="Times New Roman" w:hAnsi="Times New Roman" w:cs="Times New Roman"/>
          <w:b/>
          <w:bCs/>
        </w:rPr>
      </w:pPr>
      <w:r w:rsidRPr="009C09C4">
        <w:rPr>
          <w:rFonts w:ascii="Times New Roman" w:hAnsi="Times New Roman" w:cs="Times New Roman"/>
          <w:b/>
          <w:bCs/>
        </w:rPr>
        <w:t>References</w:t>
      </w:r>
    </w:p>
    <w:p w14:paraId="0DFC7CE2"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Deshpande, A., &amp; Ramachandran, R. (2022). Early childhood stunting and later life outcomes: A longitudinal analysis. </w:t>
      </w:r>
      <w:r w:rsidRPr="002455DC">
        <w:rPr>
          <w:rFonts w:ascii="Times New Roman" w:hAnsi="Times New Roman" w:cs="Times New Roman"/>
          <w:i/>
          <w:iCs/>
        </w:rPr>
        <w:t>Economics &amp; Human Biology, 44</w:t>
      </w:r>
      <w:r w:rsidRPr="002455DC">
        <w:rPr>
          <w:rFonts w:ascii="Times New Roman" w:hAnsi="Times New Roman" w:cs="Times New Roman"/>
        </w:rPr>
        <w:t xml:space="preserve">, 101099. </w:t>
      </w:r>
      <w:hyperlink r:id="rId9" w:tgtFrame="_new" w:history="1">
        <w:r w:rsidRPr="002455DC">
          <w:rPr>
            <w:rStyle w:val="Hyperlink"/>
            <w:rFonts w:ascii="Times New Roman" w:hAnsi="Times New Roman" w:cs="Times New Roman"/>
          </w:rPr>
          <w:t>https://doi.org/10.1016/j.ehb.2021.101099</w:t>
        </w:r>
      </w:hyperlink>
    </w:p>
    <w:p w14:paraId="2A4FA8E5" w14:textId="77777777" w:rsidR="002455DC" w:rsidRPr="002455DC" w:rsidRDefault="002455DC" w:rsidP="002455DC">
      <w:pPr>
        <w:spacing w:after="120" w:line="240" w:lineRule="auto"/>
        <w:ind w:left="567" w:hanging="567"/>
        <w:jc w:val="both"/>
        <w:rPr>
          <w:rFonts w:ascii="Times New Roman" w:hAnsi="Times New Roman" w:cs="Times New Roman"/>
        </w:rPr>
      </w:pPr>
      <w:proofErr w:type="spellStart"/>
      <w:r w:rsidRPr="002455DC">
        <w:rPr>
          <w:rFonts w:ascii="Times New Roman" w:hAnsi="Times New Roman" w:cs="Times New Roman"/>
        </w:rPr>
        <w:t>Ekholuenetale</w:t>
      </w:r>
      <w:proofErr w:type="spellEnd"/>
      <w:r w:rsidRPr="002455DC">
        <w:rPr>
          <w:rFonts w:ascii="Times New Roman" w:hAnsi="Times New Roman" w:cs="Times New Roman"/>
        </w:rPr>
        <w:t xml:space="preserve">, M., Barrow, A., </w:t>
      </w:r>
      <w:proofErr w:type="spellStart"/>
      <w:r w:rsidRPr="002455DC">
        <w:rPr>
          <w:rFonts w:ascii="Times New Roman" w:hAnsi="Times New Roman" w:cs="Times New Roman"/>
        </w:rPr>
        <w:t>Ekholuenetale</w:t>
      </w:r>
      <w:proofErr w:type="spellEnd"/>
      <w:r w:rsidRPr="002455DC">
        <w:rPr>
          <w:rFonts w:ascii="Times New Roman" w:hAnsi="Times New Roman" w:cs="Times New Roman"/>
        </w:rPr>
        <w:t xml:space="preserve">, C. E., &amp; others. (2020). Impact of stunting on early childhood cognitive development in Benin: Evidence from Demographic and </w:t>
      </w:r>
      <w:r w:rsidRPr="002455DC">
        <w:rPr>
          <w:rFonts w:ascii="Times New Roman" w:hAnsi="Times New Roman" w:cs="Times New Roman"/>
        </w:rPr>
        <w:lastRenderedPageBreak/>
        <w:t xml:space="preserve">Health Survey. </w:t>
      </w:r>
      <w:r w:rsidRPr="002455DC">
        <w:rPr>
          <w:rFonts w:ascii="Times New Roman" w:hAnsi="Times New Roman" w:cs="Times New Roman"/>
          <w:i/>
          <w:iCs/>
        </w:rPr>
        <w:t>Egypt Pediatric Association Gazette, 68</w:t>
      </w:r>
      <w:r w:rsidRPr="002455DC">
        <w:rPr>
          <w:rFonts w:ascii="Times New Roman" w:hAnsi="Times New Roman" w:cs="Times New Roman"/>
        </w:rPr>
        <w:t xml:space="preserve">, 31. </w:t>
      </w:r>
      <w:hyperlink r:id="rId10" w:tgtFrame="_new" w:history="1">
        <w:r w:rsidRPr="002455DC">
          <w:rPr>
            <w:rStyle w:val="Hyperlink"/>
            <w:rFonts w:ascii="Times New Roman" w:hAnsi="Times New Roman" w:cs="Times New Roman"/>
          </w:rPr>
          <w:t>https://doi.org/10.1186/s43054-020-00043-x</w:t>
        </w:r>
      </w:hyperlink>
    </w:p>
    <w:p w14:paraId="4D0F14E9" w14:textId="77777777" w:rsidR="002455DC" w:rsidRPr="002455DC" w:rsidRDefault="002455DC" w:rsidP="002455DC">
      <w:pPr>
        <w:spacing w:after="120" w:line="240" w:lineRule="auto"/>
        <w:ind w:left="567" w:hanging="567"/>
        <w:jc w:val="both"/>
        <w:rPr>
          <w:rFonts w:ascii="Times New Roman" w:hAnsi="Times New Roman" w:cs="Times New Roman"/>
        </w:rPr>
      </w:pPr>
      <w:proofErr w:type="spellStart"/>
      <w:r w:rsidRPr="002455DC">
        <w:rPr>
          <w:rFonts w:ascii="Times New Roman" w:hAnsi="Times New Roman" w:cs="Times New Roman"/>
        </w:rPr>
        <w:t>Morcel</w:t>
      </w:r>
      <w:proofErr w:type="spellEnd"/>
      <w:r w:rsidRPr="002455DC">
        <w:rPr>
          <w:rFonts w:ascii="Times New Roman" w:hAnsi="Times New Roman" w:cs="Times New Roman"/>
        </w:rPr>
        <w:t xml:space="preserve">, J., </w:t>
      </w:r>
      <w:proofErr w:type="spellStart"/>
      <w:r w:rsidRPr="002455DC">
        <w:rPr>
          <w:rFonts w:ascii="Times New Roman" w:hAnsi="Times New Roman" w:cs="Times New Roman"/>
        </w:rPr>
        <w:t>Béghin</w:t>
      </w:r>
      <w:proofErr w:type="spellEnd"/>
      <w:r w:rsidRPr="002455DC">
        <w:rPr>
          <w:rFonts w:ascii="Times New Roman" w:hAnsi="Times New Roman" w:cs="Times New Roman"/>
        </w:rPr>
        <w:t xml:space="preserve">, L., Michels, N., </w:t>
      </w:r>
      <w:proofErr w:type="spellStart"/>
      <w:r w:rsidRPr="002455DC">
        <w:rPr>
          <w:rFonts w:ascii="Times New Roman" w:hAnsi="Times New Roman" w:cs="Times New Roman"/>
        </w:rPr>
        <w:t>Vanhelst</w:t>
      </w:r>
      <w:proofErr w:type="spellEnd"/>
      <w:r w:rsidRPr="002455DC">
        <w:rPr>
          <w:rFonts w:ascii="Times New Roman" w:hAnsi="Times New Roman" w:cs="Times New Roman"/>
        </w:rPr>
        <w:t xml:space="preserve">, J., </w:t>
      </w:r>
      <w:proofErr w:type="spellStart"/>
      <w:r w:rsidRPr="002455DC">
        <w:rPr>
          <w:rFonts w:ascii="Times New Roman" w:hAnsi="Times New Roman" w:cs="Times New Roman"/>
        </w:rPr>
        <w:t>Labreuche</w:t>
      </w:r>
      <w:proofErr w:type="spellEnd"/>
      <w:r w:rsidRPr="002455DC">
        <w:rPr>
          <w:rFonts w:ascii="Times New Roman" w:hAnsi="Times New Roman" w:cs="Times New Roman"/>
        </w:rPr>
        <w:t xml:space="preserve">, J., </w:t>
      </w:r>
      <w:proofErr w:type="spellStart"/>
      <w:r w:rsidRPr="002455DC">
        <w:rPr>
          <w:rFonts w:ascii="Times New Roman" w:hAnsi="Times New Roman" w:cs="Times New Roman"/>
        </w:rPr>
        <w:t>Drumez</w:t>
      </w:r>
      <w:proofErr w:type="spellEnd"/>
      <w:r w:rsidRPr="002455DC">
        <w:rPr>
          <w:rFonts w:ascii="Times New Roman" w:hAnsi="Times New Roman" w:cs="Times New Roman"/>
        </w:rPr>
        <w:t xml:space="preserve">, E., Polito, A., Ferrari, M., </w:t>
      </w:r>
      <w:proofErr w:type="spellStart"/>
      <w:r w:rsidRPr="002455DC">
        <w:rPr>
          <w:rFonts w:ascii="Times New Roman" w:hAnsi="Times New Roman" w:cs="Times New Roman"/>
        </w:rPr>
        <w:t>Censi</w:t>
      </w:r>
      <w:proofErr w:type="spellEnd"/>
      <w:r w:rsidRPr="002455DC">
        <w:rPr>
          <w:rFonts w:ascii="Times New Roman" w:hAnsi="Times New Roman" w:cs="Times New Roman"/>
        </w:rPr>
        <w:t xml:space="preserve">, L., Deplanque, D., Miguel-Berges, M. L., De Ruyter, T., De </w:t>
      </w:r>
      <w:proofErr w:type="spellStart"/>
      <w:r w:rsidRPr="002455DC">
        <w:rPr>
          <w:rFonts w:ascii="Times New Roman" w:hAnsi="Times New Roman" w:cs="Times New Roman"/>
        </w:rPr>
        <w:t>Henauw</w:t>
      </w:r>
      <w:proofErr w:type="spellEnd"/>
      <w:r w:rsidRPr="002455DC">
        <w:rPr>
          <w:rFonts w:ascii="Times New Roman" w:hAnsi="Times New Roman" w:cs="Times New Roman"/>
        </w:rPr>
        <w:t xml:space="preserve">, S., Moreno, L. A., &amp; </w:t>
      </w:r>
      <w:proofErr w:type="spellStart"/>
      <w:r w:rsidRPr="002455DC">
        <w:rPr>
          <w:rFonts w:ascii="Times New Roman" w:hAnsi="Times New Roman" w:cs="Times New Roman"/>
        </w:rPr>
        <w:t>Gottrand</w:t>
      </w:r>
      <w:proofErr w:type="spellEnd"/>
      <w:r w:rsidRPr="002455DC">
        <w:rPr>
          <w:rFonts w:ascii="Times New Roman" w:hAnsi="Times New Roman" w:cs="Times New Roman"/>
        </w:rPr>
        <w:t xml:space="preserve">, F. (2022). Identification of lifestyle risk factors in adolescence influencing cardiovascular health in young adults: The BELINDA study. </w:t>
      </w:r>
      <w:r w:rsidRPr="002455DC">
        <w:rPr>
          <w:rFonts w:ascii="Times New Roman" w:hAnsi="Times New Roman" w:cs="Times New Roman"/>
          <w:i/>
          <w:iCs/>
        </w:rPr>
        <w:t>Nutrients, 14</w:t>
      </w:r>
      <w:r w:rsidRPr="002455DC">
        <w:rPr>
          <w:rFonts w:ascii="Times New Roman" w:hAnsi="Times New Roman" w:cs="Times New Roman"/>
        </w:rPr>
        <w:t xml:space="preserve">(10), 2089. </w:t>
      </w:r>
      <w:hyperlink r:id="rId11" w:tgtFrame="_new" w:history="1">
        <w:r w:rsidRPr="002455DC">
          <w:rPr>
            <w:rStyle w:val="Hyperlink"/>
            <w:rFonts w:ascii="Times New Roman" w:hAnsi="Times New Roman" w:cs="Times New Roman"/>
          </w:rPr>
          <w:t>https://doi.org/10.3390/nu14102089</w:t>
        </w:r>
      </w:hyperlink>
    </w:p>
    <w:p w14:paraId="56A1FF91"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Niguse. (2021). </w:t>
      </w:r>
      <w:proofErr w:type="spellStart"/>
      <w:r w:rsidRPr="002455DC">
        <w:rPr>
          <w:rFonts w:ascii="Times New Roman" w:hAnsi="Times New Roman" w:cs="Times New Roman"/>
        </w:rPr>
        <w:t>Pengaruh</w:t>
      </w:r>
      <w:proofErr w:type="spellEnd"/>
      <w:r w:rsidRPr="002455DC">
        <w:rPr>
          <w:rFonts w:ascii="Times New Roman" w:hAnsi="Times New Roman" w:cs="Times New Roman"/>
        </w:rPr>
        <w:t xml:space="preserve"> </w:t>
      </w:r>
      <w:proofErr w:type="spellStart"/>
      <w:r w:rsidRPr="002455DC">
        <w:rPr>
          <w:rFonts w:ascii="Times New Roman" w:hAnsi="Times New Roman" w:cs="Times New Roman"/>
        </w:rPr>
        <w:t>budaya</w:t>
      </w:r>
      <w:proofErr w:type="spellEnd"/>
      <w:r w:rsidRPr="002455DC">
        <w:rPr>
          <w:rFonts w:ascii="Times New Roman" w:hAnsi="Times New Roman" w:cs="Times New Roman"/>
        </w:rPr>
        <w:t xml:space="preserve"> </w:t>
      </w:r>
      <w:proofErr w:type="spellStart"/>
      <w:r w:rsidRPr="002455DC">
        <w:rPr>
          <w:rFonts w:ascii="Times New Roman" w:hAnsi="Times New Roman" w:cs="Times New Roman"/>
        </w:rPr>
        <w:t>organisasi</w:t>
      </w:r>
      <w:proofErr w:type="spellEnd"/>
      <w:r w:rsidRPr="002455DC">
        <w:rPr>
          <w:rFonts w:ascii="Times New Roman" w:hAnsi="Times New Roman" w:cs="Times New Roman"/>
        </w:rPr>
        <w:t xml:space="preserve"> </w:t>
      </w:r>
      <w:proofErr w:type="spellStart"/>
      <w:r w:rsidRPr="002455DC">
        <w:rPr>
          <w:rFonts w:ascii="Times New Roman" w:hAnsi="Times New Roman" w:cs="Times New Roman"/>
        </w:rPr>
        <w:t>terhadap</w:t>
      </w:r>
      <w:proofErr w:type="spellEnd"/>
      <w:r w:rsidRPr="002455DC">
        <w:rPr>
          <w:rFonts w:ascii="Times New Roman" w:hAnsi="Times New Roman" w:cs="Times New Roman"/>
        </w:rPr>
        <w:t xml:space="preserve"> turnover intention </w:t>
      </w:r>
      <w:proofErr w:type="spellStart"/>
      <w:r w:rsidRPr="002455DC">
        <w:rPr>
          <w:rFonts w:ascii="Times New Roman" w:hAnsi="Times New Roman" w:cs="Times New Roman"/>
        </w:rPr>
        <w:t>melalui</w:t>
      </w:r>
      <w:proofErr w:type="spellEnd"/>
      <w:r w:rsidRPr="002455DC">
        <w:rPr>
          <w:rFonts w:ascii="Times New Roman" w:hAnsi="Times New Roman" w:cs="Times New Roman"/>
        </w:rPr>
        <w:t xml:space="preserve"> </w:t>
      </w:r>
      <w:proofErr w:type="spellStart"/>
      <w:r w:rsidRPr="002455DC">
        <w:rPr>
          <w:rFonts w:ascii="Times New Roman" w:hAnsi="Times New Roman" w:cs="Times New Roman"/>
        </w:rPr>
        <w:t>motivasi</w:t>
      </w:r>
      <w:proofErr w:type="spellEnd"/>
      <w:r w:rsidRPr="002455DC">
        <w:rPr>
          <w:rFonts w:ascii="Times New Roman" w:hAnsi="Times New Roman" w:cs="Times New Roman"/>
        </w:rPr>
        <w:t xml:space="preserve"> pada </w:t>
      </w:r>
      <w:proofErr w:type="spellStart"/>
      <w:r w:rsidRPr="002455DC">
        <w:rPr>
          <w:rFonts w:ascii="Times New Roman" w:hAnsi="Times New Roman" w:cs="Times New Roman"/>
        </w:rPr>
        <w:t>karyawan</w:t>
      </w:r>
      <w:proofErr w:type="spellEnd"/>
      <w:r w:rsidRPr="002455DC">
        <w:rPr>
          <w:rFonts w:ascii="Times New Roman" w:hAnsi="Times New Roman" w:cs="Times New Roman"/>
        </w:rPr>
        <w:t xml:space="preserve"> </w:t>
      </w:r>
      <w:proofErr w:type="spellStart"/>
      <w:r w:rsidRPr="002455DC">
        <w:rPr>
          <w:rFonts w:ascii="Times New Roman" w:hAnsi="Times New Roman" w:cs="Times New Roman"/>
        </w:rPr>
        <w:t>generasi</w:t>
      </w:r>
      <w:proofErr w:type="spellEnd"/>
      <w:r w:rsidRPr="002455DC">
        <w:rPr>
          <w:rFonts w:ascii="Times New Roman" w:hAnsi="Times New Roman" w:cs="Times New Roman"/>
        </w:rPr>
        <w:t xml:space="preserve"> </w:t>
      </w:r>
      <w:proofErr w:type="spellStart"/>
      <w:r w:rsidRPr="002455DC">
        <w:rPr>
          <w:rFonts w:ascii="Times New Roman" w:hAnsi="Times New Roman" w:cs="Times New Roman"/>
        </w:rPr>
        <w:t>milenial</w:t>
      </w:r>
      <w:proofErr w:type="spellEnd"/>
      <w:r w:rsidRPr="002455DC">
        <w:rPr>
          <w:rFonts w:ascii="Times New Roman" w:hAnsi="Times New Roman" w:cs="Times New Roman"/>
        </w:rPr>
        <w:t xml:space="preserve">. </w:t>
      </w:r>
      <w:r w:rsidRPr="002455DC">
        <w:rPr>
          <w:rFonts w:ascii="Times New Roman" w:hAnsi="Times New Roman" w:cs="Times New Roman"/>
          <w:i/>
          <w:iCs/>
        </w:rPr>
        <w:t xml:space="preserve">Forum </w:t>
      </w:r>
      <w:proofErr w:type="spellStart"/>
      <w:r w:rsidRPr="002455DC">
        <w:rPr>
          <w:rFonts w:ascii="Times New Roman" w:hAnsi="Times New Roman" w:cs="Times New Roman"/>
          <w:i/>
          <w:iCs/>
        </w:rPr>
        <w:t>Ilmiah</w:t>
      </w:r>
      <w:proofErr w:type="spellEnd"/>
      <w:r w:rsidRPr="002455DC">
        <w:rPr>
          <w:rFonts w:ascii="Times New Roman" w:hAnsi="Times New Roman" w:cs="Times New Roman"/>
          <w:i/>
          <w:iCs/>
        </w:rPr>
        <w:t>, 18</w:t>
      </w:r>
      <w:r w:rsidRPr="002455DC">
        <w:rPr>
          <w:rFonts w:ascii="Times New Roman" w:hAnsi="Times New Roman" w:cs="Times New Roman"/>
        </w:rPr>
        <w:t>(1), 11–25.</w:t>
      </w:r>
    </w:p>
    <w:p w14:paraId="1FD63E1C"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Rah, J. H., Sukotjo, S., Badgaiyan, N., Cronin, A. A., &amp; </w:t>
      </w:r>
      <w:proofErr w:type="spellStart"/>
      <w:r w:rsidRPr="002455DC">
        <w:rPr>
          <w:rFonts w:ascii="Times New Roman" w:hAnsi="Times New Roman" w:cs="Times New Roman"/>
        </w:rPr>
        <w:t>Torlesse</w:t>
      </w:r>
      <w:proofErr w:type="spellEnd"/>
      <w:r w:rsidRPr="002455DC">
        <w:rPr>
          <w:rFonts w:ascii="Times New Roman" w:hAnsi="Times New Roman" w:cs="Times New Roman"/>
        </w:rPr>
        <w:t xml:space="preserve">, H. (2020). Improved sanitation is associated with reduced child stunting amongst Indonesian children under 3 years of age. </w:t>
      </w:r>
      <w:r w:rsidRPr="002455DC">
        <w:rPr>
          <w:rFonts w:ascii="Times New Roman" w:hAnsi="Times New Roman" w:cs="Times New Roman"/>
          <w:i/>
          <w:iCs/>
        </w:rPr>
        <w:t>Maternal &amp; Child Nutrition, 16</w:t>
      </w:r>
      <w:r w:rsidRPr="002455DC">
        <w:rPr>
          <w:rFonts w:ascii="Times New Roman" w:hAnsi="Times New Roman" w:cs="Times New Roman"/>
        </w:rPr>
        <w:t xml:space="preserve">(Suppl 2), e12741. </w:t>
      </w:r>
      <w:hyperlink r:id="rId12" w:tgtFrame="_new" w:history="1">
        <w:r w:rsidRPr="002455DC">
          <w:rPr>
            <w:rStyle w:val="Hyperlink"/>
            <w:rFonts w:ascii="Times New Roman" w:hAnsi="Times New Roman" w:cs="Times New Roman"/>
          </w:rPr>
          <w:t>https://doi.org/10.1111/mcn.12741</w:t>
        </w:r>
      </w:hyperlink>
    </w:p>
    <w:p w14:paraId="7919893E" w14:textId="77777777" w:rsidR="002455DC" w:rsidRPr="002455DC" w:rsidRDefault="002455DC" w:rsidP="002455DC">
      <w:pPr>
        <w:spacing w:after="120" w:line="240" w:lineRule="auto"/>
        <w:ind w:left="567" w:hanging="567"/>
        <w:jc w:val="both"/>
        <w:rPr>
          <w:rFonts w:ascii="Times New Roman" w:hAnsi="Times New Roman" w:cs="Times New Roman"/>
        </w:rPr>
      </w:pPr>
      <w:proofErr w:type="spellStart"/>
      <w:r w:rsidRPr="002455DC">
        <w:rPr>
          <w:rFonts w:ascii="Times New Roman" w:hAnsi="Times New Roman" w:cs="Times New Roman"/>
        </w:rPr>
        <w:t>Rachmi</w:t>
      </w:r>
      <w:proofErr w:type="spellEnd"/>
      <w:r w:rsidRPr="002455DC">
        <w:rPr>
          <w:rFonts w:ascii="Times New Roman" w:hAnsi="Times New Roman" w:cs="Times New Roman"/>
        </w:rPr>
        <w:t xml:space="preserve">, R., Marjan, A. Q., Sufyan, D. L., &amp; Wahyuningsih, U. (2024). Factors affecting chronic energy deficiency among pregnant women in East Nusa Tenggara Province, Indonesia. </w:t>
      </w:r>
      <w:proofErr w:type="spellStart"/>
      <w:r w:rsidRPr="002455DC">
        <w:rPr>
          <w:rFonts w:ascii="Times New Roman" w:hAnsi="Times New Roman" w:cs="Times New Roman"/>
          <w:i/>
          <w:iCs/>
        </w:rPr>
        <w:t>Jurnal</w:t>
      </w:r>
      <w:proofErr w:type="spellEnd"/>
      <w:r w:rsidRPr="002455DC">
        <w:rPr>
          <w:rFonts w:ascii="Times New Roman" w:hAnsi="Times New Roman" w:cs="Times New Roman"/>
          <w:i/>
          <w:iCs/>
        </w:rPr>
        <w:t xml:space="preserve"> Gizi dan Pangan, 19</w:t>
      </w:r>
      <w:r w:rsidRPr="002455DC">
        <w:rPr>
          <w:rFonts w:ascii="Times New Roman" w:hAnsi="Times New Roman" w:cs="Times New Roman"/>
        </w:rPr>
        <w:t xml:space="preserve">(Supp.1), 95–104. </w:t>
      </w:r>
      <w:hyperlink r:id="rId13" w:tgtFrame="_new" w:history="1">
        <w:r w:rsidRPr="002455DC">
          <w:rPr>
            <w:rStyle w:val="Hyperlink"/>
            <w:rFonts w:ascii="Times New Roman" w:hAnsi="Times New Roman" w:cs="Times New Roman"/>
          </w:rPr>
          <w:t>https://doi.org/10.25182/jgp.2024.19.Supp.1.95-104</w:t>
        </w:r>
      </w:hyperlink>
    </w:p>
    <w:p w14:paraId="63B2FDE4"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Reeve, B., Thow, A. M., Baker, P., </w:t>
      </w:r>
      <w:proofErr w:type="spellStart"/>
      <w:r w:rsidRPr="002455DC">
        <w:rPr>
          <w:rFonts w:ascii="Times New Roman" w:hAnsi="Times New Roman" w:cs="Times New Roman"/>
        </w:rPr>
        <w:t>Hresc</w:t>
      </w:r>
      <w:proofErr w:type="spellEnd"/>
      <w:r w:rsidRPr="002455DC">
        <w:rPr>
          <w:rFonts w:ascii="Times New Roman" w:hAnsi="Times New Roman" w:cs="Times New Roman"/>
        </w:rPr>
        <w:t xml:space="preserve">, J., &amp; May, S. (2020). The role of Australian local governments in creating a healthy food environment: An analysis of policy documents from six Sydney local governments. </w:t>
      </w:r>
      <w:r w:rsidRPr="002455DC">
        <w:rPr>
          <w:rFonts w:ascii="Times New Roman" w:hAnsi="Times New Roman" w:cs="Times New Roman"/>
          <w:i/>
          <w:iCs/>
        </w:rPr>
        <w:t>Australian and New Zealand Journal of Public Health, 44</w:t>
      </w:r>
      <w:r w:rsidRPr="002455DC">
        <w:rPr>
          <w:rFonts w:ascii="Times New Roman" w:hAnsi="Times New Roman" w:cs="Times New Roman"/>
        </w:rPr>
        <w:t xml:space="preserve">(2), 137–144. </w:t>
      </w:r>
      <w:hyperlink r:id="rId14" w:tgtFrame="_new" w:history="1">
        <w:r w:rsidRPr="002455DC">
          <w:rPr>
            <w:rStyle w:val="Hyperlink"/>
            <w:rFonts w:ascii="Times New Roman" w:hAnsi="Times New Roman" w:cs="Times New Roman"/>
          </w:rPr>
          <w:t>https://doi.org/10.1111/1753-6405.12968</w:t>
        </w:r>
      </w:hyperlink>
    </w:p>
    <w:p w14:paraId="64C30318"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Save the Children Indonesia &amp; Nutrition International. (2024). </w:t>
      </w:r>
      <w:r w:rsidRPr="002455DC">
        <w:rPr>
          <w:rFonts w:ascii="Times New Roman" w:hAnsi="Times New Roman" w:cs="Times New Roman"/>
          <w:i/>
          <w:iCs/>
        </w:rPr>
        <w:t>A policy paper on integrated nutrition strategies for stunting reduction: BISA.</w:t>
      </w:r>
    </w:p>
    <w:p w14:paraId="285AA5CF" w14:textId="77777777" w:rsidR="002455DC" w:rsidRPr="002455DC" w:rsidRDefault="002455DC" w:rsidP="002455DC">
      <w:pPr>
        <w:spacing w:after="120" w:line="240" w:lineRule="auto"/>
        <w:ind w:left="567" w:hanging="567"/>
        <w:jc w:val="both"/>
        <w:rPr>
          <w:rFonts w:ascii="Times New Roman" w:hAnsi="Times New Roman" w:cs="Times New Roman"/>
        </w:rPr>
      </w:pPr>
      <w:proofErr w:type="spellStart"/>
      <w:r w:rsidRPr="002455DC">
        <w:rPr>
          <w:rFonts w:ascii="Times New Roman" w:hAnsi="Times New Roman" w:cs="Times New Roman"/>
        </w:rPr>
        <w:t>Torlesse</w:t>
      </w:r>
      <w:proofErr w:type="spellEnd"/>
      <w:r w:rsidRPr="002455DC">
        <w:rPr>
          <w:rFonts w:ascii="Times New Roman" w:hAnsi="Times New Roman" w:cs="Times New Roman"/>
        </w:rPr>
        <w:t xml:space="preserve">, H., Benedict, R. K., Craig, H. C., &amp; Stoltzfus, R. J. (2021). The quality of maternal nutrition and infant feeding counselling during antenatal care in South Asia. </w:t>
      </w:r>
      <w:r w:rsidRPr="002455DC">
        <w:rPr>
          <w:rFonts w:ascii="Times New Roman" w:hAnsi="Times New Roman" w:cs="Times New Roman"/>
          <w:i/>
          <w:iCs/>
        </w:rPr>
        <w:t>Maternal &amp; Child Nutrition, 17</w:t>
      </w:r>
      <w:r w:rsidRPr="002455DC">
        <w:rPr>
          <w:rFonts w:ascii="Times New Roman" w:hAnsi="Times New Roman" w:cs="Times New Roman"/>
        </w:rPr>
        <w:t xml:space="preserve">(3), e13153. </w:t>
      </w:r>
      <w:hyperlink r:id="rId15" w:tgtFrame="_new" w:history="1">
        <w:r w:rsidRPr="002455DC">
          <w:rPr>
            <w:rStyle w:val="Hyperlink"/>
            <w:rFonts w:ascii="Times New Roman" w:hAnsi="Times New Roman" w:cs="Times New Roman"/>
          </w:rPr>
          <w:t>https://doi.org/10.1111/mcn.13153</w:t>
        </w:r>
      </w:hyperlink>
    </w:p>
    <w:p w14:paraId="3897B3DE"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UNICEF Indonesia. (2022). </w:t>
      </w:r>
      <w:r w:rsidRPr="002455DC">
        <w:rPr>
          <w:rFonts w:ascii="Times New Roman" w:hAnsi="Times New Roman" w:cs="Times New Roman"/>
          <w:i/>
          <w:iCs/>
        </w:rPr>
        <w:t>Delivering essential nutrition services through community action in Indonesia.</w:t>
      </w:r>
      <w:r w:rsidRPr="002455DC">
        <w:rPr>
          <w:rFonts w:ascii="Times New Roman" w:hAnsi="Times New Roman" w:cs="Times New Roman"/>
        </w:rPr>
        <w:t xml:space="preserve"> United Nations Children’s Fund (UNICEF).</w:t>
      </w:r>
    </w:p>
    <w:p w14:paraId="2EDC11EF"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UNICEF Indonesia. (2022). </w:t>
      </w:r>
      <w:r w:rsidRPr="002455DC">
        <w:rPr>
          <w:rFonts w:ascii="Times New Roman" w:hAnsi="Times New Roman" w:cs="Times New Roman"/>
          <w:i/>
          <w:iCs/>
        </w:rPr>
        <w:t>Formative evaluation of the National Strategy to Accelerate Stunting Prevention.</w:t>
      </w:r>
      <w:r w:rsidRPr="002455DC">
        <w:rPr>
          <w:rFonts w:ascii="Times New Roman" w:hAnsi="Times New Roman" w:cs="Times New Roman"/>
        </w:rPr>
        <w:t xml:space="preserve"> United Nations Children’s Fund (UNICEF).</w:t>
      </w:r>
    </w:p>
    <w:p w14:paraId="4BA8BFD6"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Wati, E. K., </w:t>
      </w:r>
      <w:proofErr w:type="spellStart"/>
      <w:r w:rsidRPr="002455DC">
        <w:rPr>
          <w:rFonts w:ascii="Times New Roman" w:hAnsi="Times New Roman" w:cs="Times New Roman"/>
        </w:rPr>
        <w:t>Murwani</w:t>
      </w:r>
      <w:proofErr w:type="spellEnd"/>
      <w:r w:rsidRPr="002455DC">
        <w:rPr>
          <w:rFonts w:ascii="Times New Roman" w:hAnsi="Times New Roman" w:cs="Times New Roman"/>
        </w:rPr>
        <w:t xml:space="preserve">, R., </w:t>
      </w:r>
      <w:proofErr w:type="spellStart"/>
      <w:r w:rsidRPr="002455DC">
        <w:rPr>
          <w:rFonts w:ascii="Times New Roman" w:hAnsi="Times New Roman" w:cs="Times New Roman"/>
        </w:rPr>
        <w:t>Kartasurya</w:t>
      </w:r>
      <w:proofErr w:type="spellEnd"/>
      <w:r w:rsidRPr="002455DC">
        <w:rPr>
          <w:rFonts w:ascii="Times New Roman" w:hAnsi="Times New Roman" w:cs="Times New Roman"/>
        </w:rPr>
        <w:t xml:space="preserve">, M. I., &amp; Sulistiyani, S. (2024). Determinants of chronic energy deficiency (CED) incidence in pregnant women: A cross-sectional study in </w:t>
      </w:r>
      <w:proofErr w:type="spellStart"/>
      <w:r w:rsidRPr="002455DC">
        <w:rPr>
          <w:rFonts w:ascii="Times New Roman" w:hAnsi="Times New Roman" w:cs="Times New Roman"/>
        </w:rPr>
        <w:t>Banyumas</w:t>
      </w:r>
      <w:proofErr w:type="spellEnd"/>
      <w:r w:rsidRPr="002455DC">
        <w:rPr>
          <w:rFonts w:ascii="Times New Roman" w:hAnsi="Times New Roman" w:cs="Times New Roman"/>
        </w:rPr>
        <w:t xml:space="preserve">, Indonesia. </w:t>
      </w:r>
      <w:r w:rsidRPr="002455DC">
        <w:rPr>
          <w:rFonts w:ascii="Times New Roman" w:hAnsi="Times New Roman" w:cs="Times New Roman"/>
          <w:i/>
          <w:iCs/>
        </w:rPr>
        <w:t>Narra Journal, 4</w:t>
      </w:r>
      <w:r w:rsidRPr="002455DC">
        <w:rPr>
          <w:rFonts w:ascii="Times New Roman" w:hAnsi="Times New Roman" w:cs="Times New Roman"/>
        </w:rPr>
        <w:t xml:space="preserve">(1), e742. </w:t>
      </w:r>
      <w:hyperlink r:id="rId16" w:tgtFrame="_new" w:history="1">
        <w:r w:rsidRPr="002455DC">
          <w:rPr>
            <w:rStyle w:val="Hyperlink"/>
            <w:rFonts w:ascii="Times New Roman" w:hAnsi="Times New Roman" w:cs="Times New Roman"/>
          </w:rPr>
          <w:t>https://doi.org/10.52225/narra.v4i1.742</w:t>
        </w:r>
      </w:hyperlink>
    </w:p>
    <w:p w14:paraId="23D44F8F"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Wirth, J. P., Petry, N., </w:t>
      </w:r>
      <w:proofErr w:type="spellStart"/>
      <w:r w:rsidRPr="002455DC">
        <w:rPr>
          <w:rFonts w:ascii="Times New Roman" w:hAnsi="Times New Roman" w:cs="Times New Roman"/>
        </w:rPr>
        <w:t>Tanumihardjo</w:t>
      </w:r>
      <w:proofErr w:type="spellEnd"/>
      <w:r w:rsidRPr="002455DC">
        <w:rPr>
          <w:rFonts w:ascii="Times New Roman" w:hAnsi="Times New Roman" w:cs="Times New Roman"/>
        </w:rPr>
        <w:t xml:space="preserve">, S. A., Rogers, L. M., McLean, E., Greig, A., Garrett, G. S., Klemm, R. D. W., &amp; Rohner, F. (2017). Vitamin A supplementation programs and country-level evidence of vitamin A deficiency. </w:t>
      </w:r>
      <w:r w:rsidRPr="002455DC">
        <w:rPr>
          <w:rFonts w:ascii="Times New Roman" w:hAnsi="Times New Roman" w:cs="Times New Roman"/>
          <w:i/>
          <w:iCs/>
        </w:rPr>
        <w:t>Nutrients, 9</w:t>
      </w:r>
      <w:r w:rsidRPr="002455DC">
        <w:rPr>
          <w:rFonts w:ascii="Times New Roman" w:hAnsi="Times New Roman" w:cs="Times New Roman"/>
        </w:rPr>
        <w:t xml:space="preserve">(3), 190. </w:t>
      </w:r>
      <w:hyperlink r:id="rId17" w:tgtFrame="_new" w:history="1">
        <w:r w:rsidRPr="002455DC">
          <w:rPr>
            <w:rStyle w:val="Hyperlink"/>
            <w:rFonts w:ascii="Times New Roman" w:hAnsi="Times New Roman" w:cs="Times New Roman"/>
          </w:rPr>
          <w:t>https://doi.org/10.3390/nu9030190</w:t>
        </w:r>
      </w:hyperlink>
    </w:p>
    <w:p w14:paraId="22FCDA1F" w14:textId="77777777" w:rsidR="002455DC" w:rsidRPr="002455DC" w:rsidRDefault="002455DC" w:rsidP="002455DC">
      <w:pPr>
        <w:spacing w:after="120" w:line="240" w:lineRule="auto"/>
        <w:ind w:left="567" w:hanging="567"/>
        <w:jc w:val="both"/>
        <w:rPr>
          <w:rFonts w:ascii="Times New Roman" w:hAnsi="Times New Roman" w:cs="Times New Roman"/>
        </w:rPr>
      </w:pPr>
      <w:r w:rsidRPr="002455DC">
        <w:rPr>
          <w:rFonts w:ascii="Times New Roman" w:hAnsi="Times New Roman" w:cs="Times New Roman"/>
        </w:rPr>
        <w:t xml:space="preserve">World Health Organization. (2011). </w:t>
      </w:r>
      <w:r w:rsidRPr="002455DC">
        <w:rPr>
          <w:rFonts w:ascii="Times New Roman" w:hAnsi="Times New Roman" w:cs="Times New Roman"/>
          <w:i/>
          <w:iCs/>
        </w:rPr>
        <w:t>Guideline: Vitamin A supplementation in infants and children 6–59 months of age.</w:t>
      </w:r>
      <w:r w:rsidRPr="002455DC">
        <w:rPr>
          <w:rFonts w:ascii="Times New Roman" w:hAnsi="Times New Roman" w:cs="Times New Roman"/>
        </w:rPr>
        <w:t xml:space="preserve"> World Health Organization.</w:t>
      </w:r>
    </w:p>
    <w:p w14:paraId="30387B80" w14:textId="77777777" w:rsidR="008E65AB" w:rsidRPr="009C09C4" w:rsidRDefault="008E65AB" w:rsidP="00075AE4">
      <w:pPr>
        <w:spacing w:after="120" w:line="240" w:lineRule="auto"/>
        <w:jc w:val="both"/>
        <w:rPr>
          <w:rFonts w:ascii="Times New Roman" w:hAnsi="Times New Roman" w:cs="Times New Roman"/>
        </w:rPr>
      </w:pPr>
    </w:p>
    <w:p w14:paraId="097C28A5" w14:textId="77777777" w:rsidR="008E65AB" w:rsidRPr="009C09C4" w:rsidRDefault="008E65AB" w:rsidP="00075AE4">
      <w:pPr>
        <w:spacing w:after="120" w:line="240" w:lineRule="auto"/>
        <w:jc w:val="both"/>
        <w:rPr>
          <w:rFonts w:ascii="Times New Roman" w:hAnsi="Times New Roman" w:cs="Times New Roman"/>
        </w:rPr>
      </w:pPr>
    </w:p>
    <w:p w14:paraId="7B4B627F" w14:textId="77777777" w:rsidR="008E65AB" w:rsidRPr="009C09C4" w:rsidRDefault="008E65AB" w:rsidP="00075AE4">
      <w:pPr>
        <w:spacing w:after="120" w:line="240" w:lineRule="auto"/>
        <w:jc w:val="both"/>
        <w:rPr>
          <w:rFonts w:ascii="Times New Roman" w:hAnsi="Times New Roman" w:cs="Times New Roman"/>
        </w:rPr>
      </w:pPr>
    </w:p>
    <w:p w14:paraId="4AAA7306" w14:textId="77777777" w:rsidR="008E65AB" w:rsidRPr="009C09C4" w:rsidRDefault="008E65AB" w:rsidP="00075AE4">
      <w:pPr>
        <w:spacing w:after="120" w:line="240" w:lineRule="auto"/>
        <w:jc w:val="both"/>
        <w:rPr>
          <w:rFonts w:ascii="Times New Roman" w:hAnsi="Times New Roman" w:cs="Times New Roman"/>
        </w:rPr>
      </w:pPr>
    </w:p>
    <w:p w14:paraId="3EA36CD7" w14:textId="77777777" w:rsidR="008E65AB" w:rsidRPr="009C09C4" w:rsidRDefault="008E65AB" w:rsidP="00075AE4">
      <w:pPr>
        <w:spacing w:after="120" w:line="240" w:lineRule="auto"/>
        <w:jc w:val="both"/>
        <w:rPr>
          <w:rFonts w:ascii="Times New Roman" w:hAnsi="Times New Roman" w:cs="Times New Roman"/>
        </w:rPr>
      </w:pPr>
    </w:p>
    <w:p w14:paraId="1413AF3C" w14:textId="77777777" w:rsidR="008E65AB" w:rsidRPr="009C09C4" w:rsidRDefault="008E65AB" w:rsidP="00075AE4">
      <w:pPr>
        <w:spacing w:after="120" w:line="240" w:lineRule="auto"/>
        <w:jc w:val="both"/>
        <w:rPr>
          <w:rFonts w:ascii="Times New Roman" w:hAnsi="Times New Roman" w:cs="Times New Roman"/>
        </w:rPr>
      </w:pPr>
    </w:p>
    <w:p w14:paraId="09EB4051" w14:textId="77777777" w:rsidR="008E65AB" w:rsidRPr="009C09C4" w:rsidRDefault="008E65AB" w:rsidP="00075AE4">
      <w:pPr>
        <w:spacing w:after="120" w:line="240" w:lineRule="auto"/>
        <w:jc w:val="both"/>
        <w:rPr>
          <w:rFonts w:ascii="Times New Roman" w:hAnsi="Times New Roman" w:cs="Times New Roman"/>
        </w:rPr>
      </w:pPr>
    </w:p>
    <w:sectPr w:rsidR="008E65AB" w:rsidRPr="009C09C4" w:rsidSect="008E65AB">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877D" w14:textId="77777777" w:rsidR="00D92F81" w:rsidRDefault="00D92F81" w:rsidP="00DA5567">
      <w:pPr>
        <w:spacing w:after="0" w:line="240" w:lineRule="auto"/>
      </w:pPr>
      <w:r>
        <w:separator/>
      </w:r>
    </w:p>
  </w:endnote>
  <w:endnote w:type="continuationSeparator" w:id="0">
    <w:p w14:paraId="2AB710A0" w14:textId="77777777" w:rsidR="00D92F81" w:rsidRDefault="00D92F81" w:rsidP="00DA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7CC3" w14:textId="77777777" w:rsidR="0003493F" w:rsidRDefault="0003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65B" w14:textId="77777777" w:rsidR="0003493F" w:rsidRDefault="00034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6DEE" w14:textId="77777777" w:rsidR="0003493F" w:rsidRDefault="0003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FE52" w14:textId="77777777" w:rsidR="00D92F81" w:rsidRDefault="00D92F81" w:rsidP="00DA5567">
      <w:pPr>
        <w:spacing w:after="0" w:line="240" w:lineRule="auto"/>
      </w:pPr>
      <w:r>
        <w:separator/>
      </w:r>
    </w:p>
  </w:footnote>
  <w:footnote w:type="continuationSeparator" w:id="0">
    <w:p w14:paraId="235F3201" w14:textId="77777777" w:rsidR="00D92F81" w:rsidRDefault="00D92F81" w:rsidP="00DA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849A" w14:textId="4A6BF2C5" w:rsidR="0003493F" w:rsidRDefault="00000000">
    <w:pPr>
      <w:pStyle w:val="Header"/>
    </w:pPr>
    <w:r>
      <w:rPr>
        <w:noProof/>
      </w:rPr>
      <w:pict w14:anchorId="7A633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921" w14:textId="01D36C29" w:rsidR="0003493F" w:rsidRDefault="00000000">
    <w:pPr>
      <w:pStyle w:val="Header"/>
    </w:pPr>
    <w:r>
      <w:rPr>
        <w:noProof/>
      </w:rPr>
      <w:pict w14:anchorId="16422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49A" w14:textId="1AA5EE7F" w:rsidR="0003493F" w:rsidRDefault="00000000">
    <w:pPr>
      <w:pStyle w:val="Header"/>
    </w:pPr>
    <w:r>
      <w:rPr>
        <w:noProof/>
      </w:rPr>
      <w:pict w14:anchorId="38C93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743E2"/>
    <w:multiLevelType w:val="hybridMultilevel"/>
    <w:tmpl w:val="8BA84E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22E01"/>
    <w:multiLevelType w:val="hybridMultilevel"/>
    <w:tmpl w:val="0AF0E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03239"/>
    <w:multiLevelType w:val="hybridMultilevel"/>
    <w:tmpl w:val="B43624F2"/>
    <w:lvl w:ilvl="0" w:tplc="EBFA6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320900">
    <w:abstractNumId w:val="11"/>
  </w:num>
  <w:num w:numId="2" w16cid:durableId="2085834805">
    <w:abstractNumId w:val="6"/>
  </w:num>
  <w:num w:numId="3" w16cid:durableId="626356216">
    <w:abstractNumId w:val="3"/>
  </w:num>
  <w:num w:numId="4" w16cid:durableId="891700170">
    <w:abstractNumId w:val="7"/>
  </w:num>
  <w:num w:numId="5" w16cid:durableId="669866866">
    <w:abstractNumId w:val="10"/>
  </w:num>
  <w:num w:numId="6" w16cid:durableId="310598873">
    <w:abstractNumId w:val="1"/>
  </w:num>
  <w:num w:numId="7" w16cid:durableId="866017118">
    <w:abstractNumId w:val="0"/>
  </w:num>
  <w:num w:numId="8" w16cid:durableId="884291765">
    <w:abstractNumId w:val="8"/>
  </w:num>
  <w:num w:numId="9" w16cid:durableId="428086680">
    <w:abstractNumId w:val="4"/>
  </w:num>
  <w:num w:numId="10" w16cid:durableId="666246142">
    <w:abstractNumId w:val="2"/>
  </w:num>
  <w:num w:numId="11" w16cid:durableId="1425151502">
    <w:abstractNumId w:val="9"/>
  </w:num>
  <w:num w:numId="12" w16cid:durableId="1304236634">
    <w:abstractNumId w:val="5"/>
  </w:num>
  <w:num w:numId="13" w16cid:durableId="1793278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wMjA1tjS3NDA1NTJT0lEKTi0uzszPAykwrAUARKYWDSwAAAA="/>
  </w:docVars>
  <w:rsids>
    <w:rsidRoot w:val="008E65AB"/>
    <w:rsid w:val="0003493F"/>
    <w:rsid w:val="00075AE4"/>
    <w:rsid w:val="000B03EC"/>
    <w:rsid w:val="000C4ECC"/>
    <w:rsid w:val="000E0866"/>
    <w:rsid w:val="000E0ABB"/>
    <w:rsid w:val="000E1D19"/>
    <w:rsid w:val="00101FB6"/>
    <w:rsid w:val="0019344F"/>
    <w:rsid w:val="001A6E7A"/>
    <w:rsid w:val="001D454D"/>
    <w:rsid w:val="001F7C67"/>
    <w:rsid w:val="00225305"/>
    <w:rsid w:val="002370A8"/>
    <w:rsid w:val="002455DC"/>
    <w:rsid w:val="002516FE"/>
    <w:rsid w:val="002743CE"/>
    <w:rsid w:val="0027480A"/>
    <w:rsid w:val="002A4F24"/>
    <w:rsid w:val="002D7B07"/>
    <w:rsid w:val="00304178"/>
    <w:rsid w:val="00310CF6"/>
    <w:rsid w:val="00314F9C"/>
    <w:rsid w:val="0035129B"/>
    <w:rsid w:val="00353412"/>
    <w:rsid w:val="00371938"/>
    <w:rsid w:val="00393F65"/>
    <w:rsid w:val="003A1A4B"/>
    <w:rsid w:val="003B6D1C"/>
    <w:rsid w:val="0043375F"/>
    <w:rsid w:val="00454F88"/>
    <w:rsid w:val="0046681B"/>
    <w:rsid w:val="004717F6"/>
    <w:rsid w:val="004728BC"/>
    <w:rsid w:val="004E2084"/>
    <w:rsid w:val="005059FC"/>
    <w:rsid w:val="00514388"/>
    <w:rsid w:val="005E36EC"/>
    <w:rsid w:val="0063535D"/>
    <w:rsid w:val="00636F44"/>
    <w:rsid w:val="0063727B"/>
    <w:rsid w:val="00646514"/>
    <w:rsid w:val="006B609C"/>
    <w:rsid w:val="006E48C7"/>
    <w:rsid w:val="007031CD"/>
    <w:rsid w:val="00710608"/>
    <w:rsid w:val="007A0D3F"/>
    <w:rsid w:val="007E2B90"/>
    <w:rsid w:val="008A7250"/>
    <w:rsid w:val="008E65AB"/>
    <w:rsid w:val="009250A3"/>
    <w:rsid w:val="009A486E"/>
    <w:rsid w:val="009B69D8"/>
    <w:rsid w:val="009C09C4"/>
    <w:rsid w:val="00A27659"/>
    <w:rsid w:val="00A72379"/>
    <w:rsid w:val="00A910BA"/>
    <w:rsid w:val="00A91303"/>
    <w:rsid w:val="00A95AAD"/>
    <w:rsid w:val="00AF6020"/>
    <w:rsid w:val="00B04A6B"/>
    <w:rsid w:val="00B32B65"/>
    <w:rsid w:val="00B401DA"/>
    <w:rsid w:val="00B950A4"/>
    <w:rsid w:val="00C0419F"/>
    <w:rsid w:val="00C15983"/>
    <w:rsid w:val="00C166FE"/>
    <w:rsid w:val="00C51119"/>
    <w:rsid w:val="00C64958"/>
    <w:rsid w:val="00D12247"/>
    <w:rsid w:val="00D42B91"/>
    <w:rsid w:val="00D66962"/>
    <w:rsid w:val="00D73792"/>
    <w:rsid w:val="00D77E67"/>
    <w:rsid w:val="00D92F81"/>
    <w:rsid w:val="00DA027F"/>
    <w:rsid w:val="00DA5567"/>
    <w:rsid w:val="00DB3AA0"/>
    <w:rsid w:val="00E21608"/>
    <w:rsid w:val="00E64368"/>
    <w:rsid w:val="00E87A0B"/>
    <w:rsid w:val="00E93FCD"/>
    <w:rsid w:val="00E96C84"/>
    <w:rsid w:val="00ED5471"/>
    <w:rsid w:val="00EF2C5E"/>
    <w:rsid w:val="00F162A9"/>
    <w:rsid w:val="00FA111B"/>
    <w:rsid w:val="00FD1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230AE"/>
  <w15:docId w15:val="{5A0E0BD0-43A6-4165-87EB-52811C83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B"/>
    <w:rPr>
      <w:rFonts w:eastAsiaTheme="majorEastAsia" w:cstheme="majorBidi"/>
      <w:color w:val="272727" w:themeColor="text1" w:themeTint="D8"/>
    </w:rPr>
  </w:style>
  <w:style w:type="paragraph" w:styleId="Title">
    <w:name w:val="Title"/>
    <w:basedOn w:val="Normal"/>
    <w:next w:val="Normal"/>
    <w:link w:val="TitleCh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B"/>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B"/>
    <w:rPr>
      <w:i/>
      <w:iCs/>
      <w:color w:val="404040" w:themeColor="text1" w:themeTint="BF"/>
    </w:rPr>
  </w:style>
  <w:style w:type="paragraph" w:styleId="ListParagraph">
    <w:name w:val="List Paragraph"/>
    <w:basedOn w:val="Normal"/>
    <w:uiPriority w:val="34"/>
    <w:qFormat/>
    <w:rsid w:val="008E65AB"/>
    <w:pPr>
      <w:ind w:left="720"/>
      <w:contextualSpacing/>
    </w:pPr>
  </w:style>
  <w:style w:type="character" w:styleId="IntenseEmphasis">
    <w:name w:val="Intense Emphasis"/>
    <w:basedOn w:val="DefaultParagraphFont"/>
    <w:uiPriority w:val="21"/>
    <w:qFormat/>
    <w:rsid w:val="008E65AB"/>
    <w:rPr>
      <w:i/>
      <w:iCs/>
      <w:color w:val="0F4761" w:themeColor="accent1" w:themeShade="BF"/>
    </w:rPr>
  </w:style>
  <w:style w:type="paragraph" w:styleId="IntenseQuote">
    <w:name w:val="Intense Quote"/>
    <w:basedOn w:val="Normal"/>
    <w:next w:val="Normal"/>
    <w:link w:val="IntenseQuoteCh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AB"/>
    <w:rPr>
      <w:i/>
      <w:iCs/>
      <w:color w:val="0F4761" w:themeColor="accent1" w:themeShade="BF"/>
    </w:rPr>
  </w:style>
  <w:style w:type="character" w:styleId="IntenseReference">
    <w:name w:val="Intense Reference"/>
    <w:basedOn w:val="DefaultParagraphFon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customStyle="1" w:styleId="TableGridLight1">
    <w:name w:val="Table Grid Light1"/>
    <w:basedOn w:val="Table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DefaultParagraphFont"/>
    <w:link w:val="PgfSubBab"/>
    <w:rsid w:val="00101FB6"/>
    <w:rPr>
      <w:rFonts w:ascii="Times New Roman" w:hAnsi="Times New Roman" w:cs="Times New Roman"/>
      <w:kern w:val="0"/>
      <w14:ligatures w14:val="none"/>
    </w:rPr>
  </w:style>
  <w:style w:type="character" w:styleId="Hyperlink">
    <w:name w:val="Hyperlink"/>
    <w:basedOn w:val="DefaultParagraphFont"/>
    <w:uiPriority w:val="99"/>
    <w:unhideWhenUsed/>
    <w:rsid w:val="00D77E67"/>
    <w:rPr>
      <w:color w:val="467886" w:themeColor="hyperlink"/>
      <w:u w:val="single"/>
    </w:rPr>
  </w:style>
  <w:style w:type="character" w:customStyle="1" w:styleId="UnresolvedMention1">
    <w:name w:val="Unresolved Mention1"/>
    <w:basedOn w:val="DefaultParagraphFont"/>
    <w:uiPriority w:val="99"/>
    <w:semiHidden/>
    <w:unhideWhenUsed/>
    <w:rsid w:val="002A4F24"/>
    <w:rPr>
      <w:color w:val="605E5C"/>
      <w:shd w:val="clear" w:color="auto" w:fill="E1DFDD"/>
    </w:rPr>
  </w:style>
  <w:style w:type="character" w:styleId="Emphasis">
    <w:name w:val="Emphasis"/>
    <w:basedOn w:val="DefaultParagraphFont"/>
    <w:uiPriority w:val="20"/>
    <w:qFormat/>
    <w:rsid w:val="00D66962"/>
    <w:rPr>
      <w:i/>
      <w:iCs/>
    </w:rPr>
  </w:style>
  <w:style w:type="paragraph" w:styleId="Header">
    <w:name w:val="header"/>
    <w:basedOn w:val="Normal"/>
    <w:link w:val="HeaderChar"/>
    <w:uiPriority w:val="99"/>
    <w:unhideWhenUsed/>
    <w:rsid w:val="00DA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67"/>
  </w:style>
  <w:style w:type="paragraph" w:styleId="Footer">
    <w:name w:val="footer"/>
    <w:basedOn w:val="Normal"/>
    <w:link w:val="FooterChar"/>
    <w:uiPriority w:val="99"/>
    <w:unhideWhenUsed/>
    <w:rsid w:val="00DA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67"/>
  </w:style>
  <w:style w:type="character" w:styleId="CommentReference">
    <w:name w:val="annotation reference"/>
    <w:basedOn w:val="DefaultParagraphFont"/>
    <w:uiPriority w:val="99"/>
    <w:semiHidden/>
    <w:unhideWhenUsed/>
    <w:rsid w:val="00EF2C5E"/>
    <w:rPr>
      <w:sz w:val="16"/>
      <w:szCs w:val="16"/>
    </w:rPr>
  </w:style>
  <w:style w:type="paragraph" w:styleId="CommentText">
    <w:name w:val="annotation text"/>
    <w:basedOn w:val="Normal"/>
    <w:link w:val="CommentTextChar"/>
    <w:uiPriority w:val="99"/>
    <w:unhideWhenUsed/>
    <w:rsid w:val="00EF2C5E"/>
    <w:pPr>
      <w:spacing w:line="240" w:lineRule="auto"/>
    </w:pPr>
    <w:rPr>
      <w:sz w:val="20"/>
      <w:szCs w:val="20"/>
    </w:rPr>
  </w:style>
  <w:style w:type="character" w:customStyle="1" w:styleId="CommentTextChar">
    <w:name w:val="Comment Text Char"/>
    <w:basedOn w:val="DefaultParagraphFont"/>
    <w:link w:val="CommentText"/>
    <w:uiPriority w:val="99"/>
    <w:rsid w:val="00EF2C5E"/>
    <w:rPr>
      <w:sz w:val="20"/>
      <w:szCs w:val="20"/>
    </w:rPr>
  </w:style>
  <w:style w:type="paragraph" w:styleId="CommentSubject">
    <w:name w:val="annotation subject"/>
    <w:basedOn w:val="CommentText"/>
    <w:next w:val="CommentText"/>
    <w:link w:val="CommentSubjectChar"/>
    <w:uiPriority w:val="99"/>
    <w:semiHidden/>
    <w:unhideWhenUsed/>
    <w:rsid w:val="00EF2C5E"/>
    <w:rPr>
      <w:b/>
      <w:bCs/>
    </w:rPr>
  </w:style>
  <w:style w:type="character" w:customStyle="1" w:styleId="CommentSubjectChar">
    <w:name w:val="Comment Subject Char"/>
    <w:basedOn w:val="CommentTextChar"/>
    <w:link w:val="CommentSubject"/>
    <w:uiPriority w:val="99"/>
    <w:semiHidden/>
    <w:rsid w:val="00EF2C5E"/>
    <w:rPr>
      <w:b/>
      <w:bCs/>
      <w:sz w:val="20"/>
      <w:szCs w:val="20"/>
    </w:rPr>
  </w:style>
  <w:style w:type="paragraph" w:styleId="BalloonText">
    <w:name w:val="Balloon Text"/>
    <w:basedOn w:val="Normal"/>
    <w:link w:val="BalloonTextChar"/>
    <w:uiPriority w:val="99"/>
    <w:semiHidden/>
    <w:unhideWhenUsed/>
    <w:rsid w:val="00EF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C5E"/>
    <w:rPr>
      <w:rFonts w:ascii="Tahoma" w:hAnsi="Tahoma" w:cs="Tahoma"/>
      <w:sz w:val="16"/>
      <w:szCs w:val="16"/>
    </w:rPr>
  </w:style>
  <w:style w:type="character" w:styleId="UnresolvedMention">
    <w:name w:val="Unresolved Mention"/>
    <w:basedOn w:val="DefaultParagraphFont"/>
    <w:uiPriority w:val="99"/>
    <w:semiHidden/>
    <w:unhideWhenUsed/>
    <w:rsid w:val="002455DC"/>
    <w:rPr>
      <w:color w:val="605E5C"/>
      <w:shd w:val="clear" w:color="auto" w:fill="E1DFDD"/>
    </w:rPr>
  </w:style>
  <w:style w:type="paragraph" w:styleId="Revision">
    <w:name w:val="Revision"/>
    <w:hidden/>
    <w:uiPriority w:val="99"/>
    <w:semiHidden/>
    <w:rsid w:val="00AF6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238251269">
      <w:bodyDiv w:val="1"/>
      <w:marLeft w:val="0"/>
      <w:marRight w:val="0"/>
      <w:marTop w:val="0"/>
      <w:marBottom w:val="0"/>
      <w:divBdr>
        <w:top w:val="none" w:sz="0" w:space="0" w:color="auto"/>
        <w:left w:val="none" w:sz="0" w:space="0" w:color="auto"/>
        <w:bottom w:val="none" w:sz="0" w:space="0" w:color="auto"/>
        <w:right w:val="none" w:sz="0" w:space="0" w:color="auto"/>
      </w:divBdr>
    </w:div>
    <w:div w:id="263001679">
      <w:bodyDiv w:val="1"/>
      <w:marLeft w:val="0"/>
      <w:marRight w:val="0"/>
      <w:marTop w:val="0"/>
      <w:marBottom w:val="0"/>
      <w:divBdr>
        <w:top w:val="none" w:sz="0" w:space="0" w:color="auto"/>
        <w:left w:val="none" w:sz="0" w:space="0" w:color="auto"/>
        <w:bottom w:val="none" w:sz="0" w:space="0" w:color="auto"/>
        <w:right w:val="none" w:sz="0" w:space="0" w:color="auto"/>
      </w:divBdr>
    </w:div>
    <w:div w:id="417024385">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9296">
      <w:bodyDiv w:val="1"/>
      <w:marLeft w:val="0"/>
      <w:marRight w:val="0"/>
      <w:marTop w:val="0"/>
      <w:marBottom w:val="0"/>
      <w:divBdr>
        <w:top w:val="none" w:sz="0" w:space="0" w:color="auto"/>
        <w:left w:val="none" w:sz="0" w:space="0" w:color="auto"/>
        <w:bottom w:val="none" w:sz="0" w:space="0" w:color="auto"/>
        <w:right w:val="none" w:sz="0" w:space="0" w:color="auto"/>
      </w:divBdr>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44120220">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778644754">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886335554">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1095901749">
      <w:bodyDiv w:val="1"/>
      <w:marLeft w:val="0"/>
      <w:marRight w:val="0"/>
      <w:marTop w:val="0"/>
      <w:marBottom w:val="0"/>
      <w:divBdr>
        <w:top w:val="none" w:sz="0" w:space="0" w:color="auto"/>
        <w:left w:val="none" w:sz="0" w:space="0" w:color="auto"/>
        <w:bottom w:val="none" w:sz="0" w:space="0" w:color="auto"/>
        <w:right w:val="none" w:sz="0" w:space="0" w:color="auto"/>
      </w:divBdr>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214850067">
      <w:bodyDiv w:val="1"/>
      <w:marLeft w:val="0"/>
      <w:marRight w:val="0"/>
      <w:marTop w:val="0"/>
      <w:marBottom w:val="0"/>
      <w:divBdr>
        <w:top w:val="none" w:sz="0" w:space="0" w:color="auto"/>
        <w:left w:val="none" w:sz="0" w:space="0" w:color="auto"/>
        <w:bottom w:val="none" w:sz="0" w:space="0" w:color="auto"/>
        <w:right w:val="none" w:sz="0" w:space="0" w:color="auto"/>
      </w:divBdr>
    </w:div>
    <w:div w:id="1290017912">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67239377">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1489">
      <w:bodyDiv w:val="1"/>
      <w:marLeft w:val="0"/>
      <w:marRight w:val="0"/>
      <w:marTop w:val="0"/>
      <w:marBottom w:val="0"/>
      <w:divBdr>
        <w:top w:val="none" w:sz="0" w:space="0" w:color="auto"/>
        <w:left w:val="none" w:sz="0" w:space="0" w:color="auto"/>
        <w:bottom w:val="none" w:sz="0" w:space="0" w:color="auto"/>
        <w:right w:val="none" w:sz="0" w:space="0" w:color="auto"/>
      </w:divBdr>
    </w:div>
    <w:div w:id="1583560340">
      <w:bodyDiv w:val="1"/>
      <w:marLeft w:val="0"/>
      <w:marRight w:val="0"/>
      <w:marTop w:val="0"/>
      <w:marBottom w:val="0"/>
      <w:divBdr>
        <w:top w:val="none" w:sz="0" w:space="0" w:color="auto"/>
        <w:left w:val="none" w:sz="0" w:space="0" w:color="auto"/>
        <w:bottom w:val="none" w:sz="0" w:space="0" w:color="auto"/>
        <w:right w:val="none" w:sz="0" w:space="0" w:color="auto"/>
      </w:divBdr>
    </w:div>
    <w:div w:id="1589777987">
      <w:bodyDiv w:val="1"/>
      <w:marLeft w:val="0"/>
      <w:marRight w:val="0"/>
      <w:marTop w:val="0"/>
      <w:marBottom w:val="0"/>
      <w:divBdr>
        <w:top w:val="none" w:sz="0" w:space="0" w:color="auto"/>
        <w:left w:val="none" w:sz="0" w:space="0" w:color="auto"/>
        <w:bottom w:val="none" w:sz="0" w:space="0" w:color="auto"/>
        <w:right w:val="none" w:sz="0" w:space="0" w:color="auto"/>
      </w:divBdr>
    </w:div>
    <w:div w:id="1589997198">
      <w:bodyDiv w:val="1"/>
      <w:marLeft w:val="0"/>
      <w:marRight w:val="0"/>
      <w:marTop w:val="0"/>
      <w:marBottom w:val="0"/>
      <w:divBdr>
        <w:top w:val="none" w:sz="0" w:space="0" w:color="auto"/>
        <w:left w:val="none" w:sz="0" w:space="0" w:color="auto"/>
        <w:bottom w:val="none" w:sz="0" w:space="0" w:color="auto"/>
        <w:right w:val="none" w:sz="0" w:space="0" w:color="auto"/>
      </w:divBdr>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672492097">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8690">
      <w:bodyDiv w:val="1"/>
      <w:marLeft w:val="0"/>
      <w:marRight w:val="0"/>
      <w:marTop w:val="0"/>
      <w:marBottom w:val="0"/>
      <w:divBdr>
        <w:top w:val="none" w:sz="0" w:space="0" w:color="auto"/>
        <w:left w:val="none" w:sz="0" w:space="0" w:color="auto"/>
        <w:bottom w:val="none" w:sz="0" w:space="0" w:color="auto"/>
        <w:right w:val="none" w:sz="0" w:space="0" w:color="auto"/>
      </w:divBdr>
    </w:div>
    <w:div w:id="1790003239">
      <w:bodyDiv w:val="1"/>
      <w:marLeft w:val="0"/>
      <w:marRight w:val="0"/>
      <w:marTop w:val="0"/>
      <w:marBottom w:val="0"/>
      <w:divBdr>
        <w:top w:val="none" w:sz="0" w:space="0" w:color="auto"/>
        <w:left w:val="none" w:sz="0" w:space="0" w:color="auto"/>
        <w:bottom w:val="none" w:sz="0" w:space="0" w:color="auto"/>
        <w:right w:val="none" w:sz="0" w:space="0" w:color="auto"/>
      </w:divBdr>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4204">
      <w:bodyDiv w:val="1"/>
      <w:marLeft w:val="0"/>
      <w:marRight w:val="0"/>
      <w:marTop w:val="0"/>
      <w:marBottom w:val="0"/>
      <w:divBdr>
        <w:top w:val="none" w:sz="0" w:space="0" w:color="auto"/>
        <w:left w:val="none" w:sz="0" w:space="0" w:color="auto"/>
        <w:bottom w:val="none" w:sz="0" w:space="0" w:color="auto"/>
        <w:right w:val="none" w:sz="0" w:space="0" w:color="auto"/>
      </w:divBdr>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5182/jgp.2024.19.Supp.1.95-10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111/mcn.12741" TargetMode="External"/><Relationship Id="rId17" Type="http://schemas.openxmlformats.org/officeDocument/2006/relationships/hyperlink" Target="https://doi.org/10.3390/nu90301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2225/narra.v4i1.74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u1410208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mcn.13153" TargetMode="External"/><Relationship Id="rId23" Type="http://schemas.openxmlformats.org/officeDocument/2006/relationships/footer" Target="footer3.xml"/><Relationship Id="rId10" Type="http://schemas.openxmlformats.org/officeDocument/2006/relationships/hyperlink" Target="https://doi.org/10.1186/s43054-020-00043-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ehb.2021.101099" TargetMode="External"/><Relationship Id="rId14" Type="http://schemas.openxmlformats.org/officeDocument/2006/relationships/hyperlink" Target="https://doi.org/10.1111/1753-6405.1296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4664</Words>
  <Characters>26587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Solution</dc:creator>
  <cp:lastModifiedBy>Editor GP 005</cp:lastModifiedBy>
  <cp:revision>5</cp:revision>
  <dcterms:created xsi:type="dcterms:W3CDTF">2025-07-11T17:06:00Z</dcterms:created>
  <dcterms:modified xsi:type="dcterms:W3CDTF">2025-07-16T05:36:00Z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ad1afdaa-16f6-4f62-9d78-9ce0727a0517</vt:lpwstr>
  </property>
</Properties>
</file>