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3EA0" w14:textId="79FFFCAE" w:rsidR="00754C9A" w:rsidRDefault="004A0E51" w:rsidP="00441B6F">
      <w:pPr>
        <w:pStyle w:val="Title"/>
        <w:spacing w:after="0"/>
        <w:jc w:val="both"/>
        <w:rPr>
          <w:rFonts w:ascii="Arial" w:hAnsi="Arial" w:cs="Arial"/>
        </w:rPr>
      </w:pPr>
      <w:r w:rsidRPr="004A0E51">
        <w:rPr>
          <w:rFonts w:ascii="Arial" w:hAnsi="Arial" w:cs="Arial"/>
        </w:rPr>
        <w:t>Original Research Article</w:t>
      </w:r>
    </w:p>
    <w:p w14:paraId="5475BCB5" w14:textId="77777777" w:rsidR="004A0E51" w:rsidRDefault="004A0E51" w:rsidP="00441B6F">
      <w:pPr>
        <w:pStyle w:val="Title"/>
        <w:spacing w:after="0"/>
        <w:jc w:val="both"/>
        <w:rPr>
          <w:rFonts w:ascii="Arial" w:hAnsi="Arial" w:cs="Arial"/>
        </w:rPr>
      </w:pPr>
    </w:p>
    <w:p w14:paraId="0B943D0C" w14:textId="77777777" w:rsidR="00950F64" w:rsidRPr="00950F64" w:rsidRDefault="00950F64" w:rsidP="00950F64">
      <w:pPr>
        <w:jc w:val="center"/>
        <w:rPr>
          <w:rFonts w:ascii="Arial" w:hAnsi="Arial" w:cs="Arial"/>
          <w:b/>
          <w:bCs/>
          <w:iCs/>
          <w:kern w:val="28"/>
          <w:sz w:val="36"/>
        </w:rPr>
      </w:pPr>
      <w:bookmarkStart w:id="0" w:name="_Hlk181878149"/>
      <w:r w:rsidRPr="00950F64">
        <w:rPr>
          <w:rFonts w:ascii="Arial" w:hAnsi="Arial" w:cs="Arial"/>
          <w:b/>
          <w:bCs/>
          <w:iCs/>
          <w:kern w:val="28"/>
          <w:sz w:val="36"/>
        </w:rPr>
        <w:t>AI Tool for Sustainable Project Management Construction (SPMC)</w:t>
      </w:r>
    </w:p>
    <w:bookmarkEnd w:id="0"/>
    <w:p w14:paraId="394C8CEB" w14:textId="77777777" w:rsidR="00A258C3" w:rsidRPr="00790ADA" w:rsidRDefault="00A258C3" w:rsidP="00441B6F">
      <w:pPr>
        <w:pStyle w:val="Author"/>
        <w:spacing w:line="240" w:lineRule="auto"/>
        <w:jc w:val="both"/>
        <w:rPr>
          <w:rFonts w:ascii="Arial" w:hAnsi="Arial" w:cs="Arial"/>
          <w:sz w:val="36"/>
        </w:rPr>
      </w:pPr>
    </w:p>
    <w:p w14:paraId="22206AAC" w14:textId="77777777" w:rsidR="002C57D2" w:rsidRPr="00FB3A86" w:rsidRDefault="002C57D2" w:rsidP="00441B6F">
      <w:pPr>
        <w:pStyle w:val="Affiliation"/>
        <w:spacing w:after="0" w:line="240" w:lineRule="auto"/>
        <w:jc w:val="both"/>
        <w:rPr>
          <w:rFonts w:ascii="Arial" w:hAnsi="Arial" w:cs="Arial"/>
        </w:rPr>
      </w:pPr>
    </w:p>
    <w:p w14:paraId="1FF73174" w14:textId="77777777" w:rsidR="00B01FCD" w:rsidRPr="00FB3A86" w:rsidRDefault="00000000" w:rsidP="00441B6F">
      <w:pPr>
        <w:pStyle w:val="Copyright"/>
        <w:spacing w:after="0" w:line="240" w:lineRule="auto"/>
        <w:jc w:val="both"/>
        <w:rPr>
          <w:rFonts w:ascii="Arial" w:hAnsi="Arial" w:cs="Arial"/>
        </w:rPr>
        <w:sectPr w:rsidR="00B01FCD" w:rsidRPr="00FB3A86" w:rsidSect="00982B2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930F42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E2FC030" w14:textId="500AA2A1" w:rsidR="00790ADA" w:rsidRPr="00FB3A86" w:rsidRDefault="00B01FCD" w:rsidP="008E11A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D3A46A5" w14:textId="77777777" w:rsidTr="001E44FE">
        <w:tc>
          <w:tcPr>
            <w:tcW w:w="9576" w:type="dxa"/>
            <w:shd w:val="clear" w:color="auto" w:fill="F2F2F2"/>
          </w:tcPr>
          <w:p w14:paraId="6B40BA5C" w14:textId="74A6F60C" w:rsidR="00840D8D" w:rsidRPr="00BA1B01" w:rsidRDefault="00840D8D" w:rsidP="00EC00B3">
            <w:pPr>
              <w:pStyle w:val="Body"/>
              <w:spacing w:after="0"/>
              <w:rPr>
                <w:rFonts w:ascii="Arial" w:eastAsia="Calibri" w:hAnsi="Arial" w:cs="Arial"/>
                <w:szCs w:val="22"/>
              </w:rPr>
            </w:pPr>
            <w:r w:rsidRPr="00840D8D">
              <w:rPr>
                <w:rFonts w:ascii="Arial" w:eastAsia="Calibri" w:hAnsi="Arial" w:cs="Arial"/>
                <w:szCs w:val="22"/>
              </w:rPr>
              <w:t xml:space="preserve">This work aims to develop an AI-driven tool that can enhance the project management construction to be environmentally friendly </w:t>
            </w:r>
            <w:proofErr w:type="gramStart"/>
            <w:r w:rsidRPr="00840D8D">
              <w:rPr>
                <w:rFonts w:ascii="Arial" w:eastAsia="Calibri" w:hAnsi="Arial" w:cs="Arial"/>
                <w:szCs w:val="22"/>
              </w:rPr>
              <w:t>and also</w:t>
            </w:r>
            <w:proofErr w:type="gramEnd"/>
            <w:r w:rsidRPr="00840D8D">
              <w:rPr>
                <w:rFonts w:ascii="Arial" w:eastAsia="Calibri" w:hAnsi="Arial" w:cs="Arial"/>
                <w:szCs w:val="22"/>
              </w:rPr>
              <w:t xml:space="preserve"> efficient. The provided tool predicts the schedule delays and improves resource allocation through combining the project data, Random Forest algorithms, and important environmental parameters which include waste production and carbon emissions. A graphical interface based on Python that is easy to use has been developed to support in the scenario analysis and decision-making. We used cross-validation on a real-world building dataset to investigate how well the model worked. It achieved an average R² of 0.87 and a 15% lower mean absolute error than baseline approaches. Sensitivity analysis further demonstrated that the tool </w:t>
            </w:r>
            <w:proofErr w:type="gramStart"/>
            <w:r w:rsidRPr="00840D8D">
              <w:rPr>
                <w:rFonts w:ascii="Arial" w:eastAsia="Calibri" w:hAnsi="Arial" w:cs="Arial"/>
                <w:szCs w:val="22"/>
              </w:rPr>
              <w:t>has the ability to</w:t>
            </w:r>
            <w:proofErr w:type="gramEnd"/>
            <w:r w:rsidRPr="00840D8D">
              <w:rPr>
                <w:rFonts w:ascii="Arial" w:eastAsia="Calibri" w:hAnsi="Arial" w:cs="Arial"/>
                <w:szCs w:val="22"/>
              </w:rPr>
              <w:t xml:space="preserve"> balance between operational efficiency and environmental objectives. The results show that incorporating sustainability factors directly in the prediction model can greatly lower the project overruns and environmental issues. This work addresses a major gap in </w:t>
            </w:r>
            <w:proofErr w:type="gramStart"/>
            <w:r w:rsidRPr="00840D8D">
              <w:rPr>
                <w:rFonts w:ascii="Arial" w:eastAsia="Calibri" w:hAnsi="Arial" w:cs="Arial"/>
                <w:szCs w:val="22"/>
              </w:rPr>
              <w:t>the digital</w:t>
            </w:r>
            <w:proofErr w:type="gramEnd"/>
            <w:r w:rsidRPr="00840D8D">
              <w:rPr>
                <w:rFonts w:ascii="Arial" w:eastAsia="Calibri" w:hAnsi="Arial" w:cs="Arial"/>
                <w:szCs w:val="22"/>
              </w:rPr>
              <w:t xml:space="preserve"> construction management by providing </w:t>
            </w:r>
            <w:proofErr w:type="gramStart"/>
            <w:r w:rsidRPr="00840D8D">
              <w:rPr>
                <w:rFonts w:ascii="Arial" w:eastAsia="Calibri" w:hAnsi="Arial" w:cs="Arial"/>
                <w:szCs w:val="22"/>
              </w:rPr>
              <w:t>the professionals</w:t>
            </w:r>
            <w:proofErr w:type="gramEnd"/>
            <w:r w:rsidRPr="00840D8D">
              <w:rPr>
                <w:rFonts w:ascii="Arial" w:eastAsia="Calibri" w:hAnsi="Arial" w:cs="Arial"/>
                <w:szCs w:val="22"/>
              </w:rPr>
              <w:t xml:space="preserve"> and </w:t>
            </w:r>
            <w:r w:rsidR="00AC5C85" w:rsidRPr="00840D8D">
              <w:rPr>
                <w:rFonts w:ascii="Arial" w:eastAsia="Calibri" w:hAnsi="Arial" w:cs="Arial"/>
                <w:szCs w:val="22"/>
              </w:rPr>
              <w:t>researchers with</w:t>
            </w:r>
            <w:r w:rsidRPr="00840D8D">
              <w:rPr>
                <w:rFonts w:ascii="Arial" w:eastAsia="Calibri" w:hAnsi="Arial" w:cs="Arial"/>
                <w:szCs w:val="22"/>
              </w:rPr>
              <w:t xml:space="preserve"> a practical, evidence-based procedure to ensure that projects satisfy environmental objectives. The study underscores the need for intelligent systems in construction management to reduce project inefficiencies and promote a more sustainable built environment.</w:t>
            </w:r>
          </w:p>
        </w:tc>
      </w:tr>
    </w:tbl>
    <w:p w14:paraId="2FB4FF16" w14:textId="77777777" w:rsidR="00636EB2" w:rsidRDefault="00636EB2" w:rsidP="00441B6F">
      <w:pPr>
        <w:pStyle w:val="Body"/>
        <w:spacing w:after="0"/>
        <w:rPr>
          <w:rFonts w:ascii="Arial" w:hAnsi="Arial" w:cs="Arial"/>
          <w:i/>
        </w:rPr>
      </w:pPr>
    </w:p>
    <w:p w14:paraId="1F279A79" w14:textId="7171D51F" w:rsidR="00D214B1" w:rsidRPr="00D214B1" w:rsidRDefault="00A24E7E" w:rsidP="00D214B1">
      <w:pPr>
        <w:pStyle w:val="Body"/>
        <w:spacing w:after="0"/>
        <w:rPr>
          <w:rFonts w:ascii="Arial" w:hAnsi="Arial" w:cs="Arial"/>
          <w:i/>
        </w:rPr>
      </w:pPr>
      <w:r>
        <w:rPr>
          <w:rFonts w:ascii="Arial" w:hAnsi="Arial" w:cs="Arial"/>
          <w:i/>
        </w:rPr>
        <w:t xml:space="preserve">Keywords: </w:t>
      </w:r>
      <w:r w:rsidR="00D214B1" w:rsidRPr="00D214B1">
        <w:rPr>
          <w:rFonts w:ascii="Arial" w:hAnsi="Arial" w:cs="Arial"/>
          <w:i/>
        </w:rPr>
        <w:t>AI, project management, prediction models, sustainable construction, SPMC</w:t>
      </w:r>
    </w:p>
    <w:p w14:paraId="7C14C8D1" w14:textId="77777777" w:rsidR="00D214B1" w:rsidRDefault="00D214B1" w:rsidP="00441B6F">
      <w:pPr>
        <w:pStyle w:val="Body"/>
        <w:spacing w:after="0"/>
        <w:rPr>
          <w:rFonts w:ascii="Arial" w:hAnsi="Arial" w:cs="Arial"/>
          <w:i/>
        </w:rPr>
      </w:pPr>
    </w:p>
    <w:p w14:paraId="7D21B994" w14:textId="77777777" w:rsidR="00505F06" w:rsidRPr="00A24E7E" w:rsidRDefault="00505F06" w:rsidP="00441B6F">
      <w:pPr>
        <w:pStyle w:val="Body"/>
        <w:spacing w:after="0"/>
        <w:rPr>
          <w:rFonts w:ascii="Arial" w:hAnsi="Arial" w:cs="Arial"/>
          <w:i/>
        </w:rPr>
      </w:pPr>
    </w:p>
    <w:p w14:paraId="593E324A" w14:textId="063C365C" w:rsidR="00790ADA" w:rsidRPr="00FB3A86" w:rsidRDefault="00902823" w:rsidP="008A7C70">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B25CBE" w14:textId="77777777" w:rsidR="008A7C70" w:rsidRPr="008A7C70" w:rsidRDefault="008A7C70" w:rsidP="008A7C70">
      <w:pPr>
        <w:pStyle w:val="Body"/>
        <w:spacing w:after="0"/>
        <w:rPr>
          <w:rFonts w:ascii="Arial" w:hAnsi="Arial" w:cs="Arial"/>
        </w:rPr>
      </w:pPr>
      <w:r w:rsidRPr="008A7C70">
        <w:rPr>
          <w:rFonts w:ascii="Arial" w:hAnsi="Arial" w:cs="Arial"/>
        </w:rPr>
        <w:t>The construction sector consistently encounters considerable challenges with schedule slippages, resource misallocations, and budget overruns, often resulting in costly project disruptions [1], [2]. Meanwhile, the industry’s environmental footprint reflected in substantial carbon emissions, resource depletion, and construction waste has gained increasing scrutiny [3], [4]. Given these challenges, researchers have begun exploring artificial intelligence (AI) and machine learning (ML) for predictive analytics, risk mitigation, and sustainability benchmarking [5], [6], [7].</w:t>
      </w:r>
    </w:p>
    <w:p w14:paraId="439CC994" w14:textId="77777777" w:rsidR="008A7C70" w:rsidRPr="008A7C70" w:rsidRDefault="008A7C70" w:rsidP="008A7C70">
      <w:pPr>
        <w:pStyle w:val="Body"/>
        <w:spacing w:after="0"/>
        <w:rPr>
          <w:rFonts w:ascii="Arial" w:hAnsi="Arial" w:cs="Arial"/>
        </w:rPr>
      </w:pPr>
      <w:r w:rsidRPr="008A7C70">
        <w:rPr>
          <w:rFonts w:ascii="Arial" w:hAnsi="Arial" w:cs="Arial"/>
        </w:rPr>
        <w:t>Although recent strides in AI-based construction management have yielded more precise scheduling and efficient resource planning, the sector still lacks comprehensive frameworks that integrate sustainability as a core parameter rather than an afterthought [8], [9]. By embedding metrics such as carbon emission indices, waste reduction scores, and recycled material usage directly into project-management algorithms, construction teams can identify how operational decisions intersect with environmental outcomes.</w:t>
      </w:r>
    </w:p>
    <w:p w14:paraId="70EE0376" w14:textId="77777777" w:rsidR="008A7C70" w:rsidRPr="008A7C70" w:rsidRDefault="008A7C70" w:rsidP="008A7C70">
      <w:pPr>
        <w:pStyle w:val="Body"/>
        <w:spacing w:after="0"/>
        <w:rPr>
          <w:rFonts w:ascii="Arial" w:hAnsi="Arial" w:cs="Arial"/>
        </w:rPr>
      </w:pPr>
      <w:r w:rsidRPr="008A7C70">
        <w:rPr>
          <w:rFonts w:ascii="Arial" w:hAnsi="Arial" w:cs="Arial"/>
        </w:rPr>
        <w:t>In response, this paper presents a Sustainable Project Management Construction (SPMC) tool that addresses the operational and ecological needs of modern projects. Building upon a dataset of 33 construction projects encompassing infrastructure, residential, and commercial sectors the SPMC framework employs a Random Forest Regressor, tested against alternative ML approaches. This approach unifies scheduling, cost optimization, and explicit green metrics into a single platform. Recent studies confirm that collaborative project delivery and AI-based solutions can accelerate the shift toward sustainable building practices, provided the models are robust and stakeholder engagement is facilitated [10], [11], [12], [13].</w:t>
      </w:r>
    </w:p>
    <w:p w14:paraId="139A0C8E" w14:textId="77777777" w:rsidR="00790ADA" w:rsidRPr="008A7C70" w:rsidRDefault="00790ADA" w:rsidP="00441B6F">
      <w:pPr>
        <w:pStyle w:val="Body"/>
        <w:spacing w:after="0"/>
        <w:rPr>
          <w:rFonts w:ascii="Arial" w:hAnsi="Arial" w:cs="Arial"/>
          <w:lang w:val="cs-CZ"/>
        </w:rPr>
      </w:pPr>
    </w:p>
    <w:p w14:paraId="13BA6A63" w14:textId="62CBAD55" w:rsidR="00097FAC" w:rsidRDefault="00902823" w:rsidP="00097FAC">
      <w:pPr>
        <w:pStyle w:val="AbstHead"/>
        <w:spacing w:after="0"/>
        <w:jc w:val="both"/>
        <w:rPr>
          <w:rFonts w:cs="Arial"/>
          <w:caps w:val="0"/>
        </w:rPr>
      </w:pPr>
      <w:r>
        <w:rPr>
          <w:rFonts w:ascii="Arial" w:hAnsi="Arial" w:cs="Arial"/>
        </w:rPr>
        <w:t xml:space="preserve">2. </w:t>
      </w:r>
      <w:r w:rsidR="00097FAC" w:rsidRPr="00097FAC">
        <w:rPr>
          <w:rFonts w:cs="Arial"/>
          <w:caps w:val="0"/>
        </w:rPr>
        <w:t>Literature Review</w:t>
      </w:r>
    </w:p>
    <w:p w14:paraId="46348B0D" w14:textId="54282C00" w:rsidR="00A61FEE" w:rsidRPr="00A61FEE" w:rsidRDefault="00AE40C1" w:rsidP="00876CC7">
      <w:pPr>
        <w:pStyle w:val="AbstHead"/>
        <w:numPr>
          <w:ilvl w:val="1"/>
          <w:numId w:val="35"/>
        </w:numPr>
        <w:spacing w:after="0"/>
        <w:ind w:left="360"/>
        <w:jc w:val="both"/>
        <w:rPr>
          <w:rFonts w:ascii="Arial" w:hAnsi="Arial" w:cs="Arial"/>
        </w:rPr>
      </w:pPr>
      <w:r w:rsidRPr="00A61FEE">
        <w:rPr>
          <w:rFonts w:ascii="Arial" w:hAnsi="Arial" w:cs="Arial"/>
          <w:caps w:val="0"/>
        </w:rPr>
        <w:t>Ai In Construction Management</w:t>
      </w:r>
    </w:p>
    <w:p w14:paraId="323356C3" w14:textId="02B196F9" w:rsidR="00584A21" w:rsidRDefault="00584A21" w:rsidP="00162AE2">
      <w:pPr>
        <w:pStyle w:val="Body"/>
        <w:spacing w:after="0"/>
        <w:rPr>
          <w:rFonts w:ascii="Arial" w:hAnsi="Arial" w:cs="Arial"/>
        </w:rPr>
      </w:pPr>
      <w:r w:rsidRPr="00584A21">
        <w:rPr>
          <w:rFonts w:ascii="Arial" w:hAnsi="Arial" w:cs="Arial"/>
        </w:rPr>
        <w:t xml:space="preserve">Over the last decade, AI has become pivotal in improving resource efficiency and predicting project performance in construction environments. Abu Dabous et al. (2023) describe how combining machine learning with sensor data can </w:t>
      </w:r>
      <w:r w:rsidRPr="00584A21">
        <w:rPr>
          <w:rFonts w:ascii="Arial" w:hAnsi="Arial" w:cs="Arial"/>
        </w:rPr>
        <w:lastRenderedPageBreak/>
        <w:t>automate inspection, cost management, and scheduling [1]. Datta et al. (2023) highlight the end-to-end benefits of AI throughout the construction lifecycle ranging from conceptual design to post-construction analytics leading to improved accuracy in cost projections and better coordination among contractors [2].</w:t>
      </w:r>
      <w:r w:rsidR="00162AE2">
        <w:rPr>
          <w:rFonts w:ascii="Arial" w:hAnsi="Arial" w:cs="Arial"/>
        </w:rPr>
        <w:t xml:space="preserve"> A</w:t>
      </w:r>
      <w:r w:rsidR="00162AE2" w:rsidRPr="00162AE2">
        <w:rPr>
          <w:rFonts w:ascii="Arial" w:hAnsi="Arial" w:cs="Arial"/>
        </w:rPr>
        <w:t>cross scheduling, risk management, cost forecasting, and productivity prediction. A review of these applications is provided by Bai and Chen (2020)</w:t>
      </w:r>
      <w:r w:rsidR="004D255D">
        <w:rPr>
          <w:rFonts w:ascii="Arial" w:hAnsi="Arial" w:cs="Arial"/>
        </w:rPr>
        <w:t xml:space="preserve"> [[19].</w:t>
      </w:r>
    </w:p>
    <w:p w14:paraId="1B4410B4" w14:textId="77777777" w:rsidR="00584A21" w:rsidRPr="00584A21" w:rsidRDefault="00584A21" w:rsidP="00584A21">
      <w:pPr>
        <w:pStyle w:val="Body"/>
        <w:spacing w:after="0"/>
        <w:rPr>
          <w:rFonts w:ascii="Arial" w:hAnsi="Arial" w:cs="Arial"/>
        </w:rPr>
      </w:pPr>
    </w:p>
    <w:p w14:paraId="769437E0" w14:textId="77777777" w:rsidR="00584A21" w:rsidRPr="00584A21" w:rsidRDefault="00584A21" w:rsidP="00584A21">
      <w:pPr>
        <w:pStyle w:val="Body"/>
        <w:spacing w:after="0"/>
        <w:rPr>
          <w:rFonts w:ascii="Arial" w:hAnsi="Arial" w:cs="Arial"/>
        </w:rPr>
      </w:pPr>
      <w:r w:rsidRPr="00584A21">
        <w:rPr>
          <w:rFonts w:ascii="Arial" w:hAnsi="Arial" w:cs="Arial"/>
        </w:rPr>
        <w:t>Nevertheless, many standard AI-driven platforms focus primarily on operational factors (time, cost) rather than sustainability outcomes [3], [9]. Regona et al. (2022) show that despite growing interest in green construction, the adoption of AI tools often encounters organizational and technical hurdles [4]. Such barriers underscore the importance of user-friendly designs and transparent integration of new sustainability measures.</w:t>
      </w:r>
    </w:p>
    <w:p w14:paraId="722814F9" w14:textId="77777777" w:rsidR="00790ADA" w:rsidRPr="00584A21" w:rsidRDefault="00790ADA" w:rsidP="00441B6F">
      <w:pPr>
        <w:pStyle w:val="Body"/>
        <w:spacing w:after="0"/>
        <w:rPr>
          <w:rFonts w:ascii="Arial" w:hAnsi="Arial" w:cs="Arial"/>
          <w:lang w:val="cs-CZ"/>
        </w:rPr>
      </w:pPr>
    </w:p>
    <w:p w14:paraId="36876279" w14:textId="2134F777" w:rsidR="000B466A" w:rsidRPr="004629B6" w:rsidRDefault="000B466A" w:rsidP="004629B6">
      <w:pPr>
        <w:pStyle w:val="AbstHead"/>
        <w:numPr>
          <w:ilvl w:val="1"/>
          <w:numId w:val="35"/>
        </w:numPr>
        <w:spacing w:after="0"/>
        <w:ind w:left="360"/>
        <w:jc w:val="both"/>
        <w:rPr>
          <w:rFonts w:ascii="Arial" w:hAnsi="Arial" w:cs="Arial"/>
          <w:caps w:val="0"/>
        </w:rPr>
      </w:pPr>
      <w:r w:rsidRPr="004629B6">
        <w:rPr>
          <w:rFonts w:ascii="Arial" w:hAnsi="Arial" w:cs="Arial"/>
          <w:caps w:val="0"/>
        </w:rPr>
        <w:t>Emphasis on Sustainability</w:t>
      </w:r>
    </w:p>
    <w:p w14:paraId="22B81CA3" w14:textId="7FF2C471" w:rsidR="0082083B" w:rsidRDefault="0082083B" w:rsidP="00195F7A">
      <w:pPr>
        <w:pStyle w:val="Body"/>
        <w:spacing w:after="0"/>
        <w:rPr>
          <w:rFonts w:ascii="Arial" w:hAnsi="Arial" w:cs="Arial"/>
        </w:rPr>
      </w:pPr>
      <w:r w:rsidRPr="0082083B">
        <w:rPr>
          <w:rFonts w:ascii="Arial" w:hAnsi="Arial" w:cs="Arial"/>
        </w:rPr>
        <w:t xml:space="preserve">The need for green or sustainable building practices is not new. Shurrab et al. (2019) argue that operationalizing eco-friendly methods can reduce both material waste and environmental damage [6]. Sev (2009) and Naik (2008) each stress the importance of integrating sustainability principles early in the project cycle to maximize efficiency and ecological responsibility [7], [8]. Meanwhile, Kang et al. (2016) developed a framework for assessing building </w:t>
      </w:r>
      <w:r w:rsidR="00162AE2" w:rsidRPr="0082083B">
        <w:rPr>
          <w:rFonts w:ascii="Arial" w:hAnsi="Arial" w:cs="Arial"/>
        </w:rPr>
        <w:t>sustainability yet</w:t>
      </w:r>
      <w:r w:rsidRPr="0082083B">
        <w:rPr>
          <w:rFonts w:ascii="Arial" w:hAnsi="Arial" w:cs="Arial"/>
        </w:rPr>
        <w:t xml:space="preserve"> stopped short of creating a unified tool for real-time decision support [9].</w:t>
      </w:r>
      <w:r w:rsidR="00195F7A">
        <w:rPr>
          <w:rFonts w:ascii="Arial" w:hAnsi="Arial" w:cs="Arial"/>
        </w:rPr>
        <w:t xml:space="preserve"> </w:t>
      </w:r>
      <w:r w:rsidR="00195F7A" w:rsidRPr="00195F7A">
        <w:rPr>
          <w:rFonts w:ascii="Arial" w:hAnsi="Arial" w:cs="Arial"/>
        </w:rPr>
        <w:t xml:space="preserve">fostering environmental and social objectives in construction practices. Recent systematic analyses map these trends and gaps in AI-for-sustainability applications </w:t>
      </w:r>
      <w:r w:rsidR="00162AE2">
        <w:rPr>
          <w:rFonts w:ascii="Arial" w:hAnsi="Arial" w:cs="Arial"/>
        </w:rPr>
        <w:t>[20].</w:t>
      </w:r>
    </w:p>
    <w:p w14:paraId="2C607C44" w14:textId="77777777" w:rsidR="0082083B" w:rsidRDefault="0082083B" w:rsidP="0082083B">
      <w:pPr>
        <w:pStyle w:val="Body"/>
        <w:spacing w:after="0"/>
        <w:rPr>
          <w:rFonts w:ascii="Arial" w:hAnsi="Arial" w:cs="Arial"/>
        </w:rPr>
      </w:pPr>
    </w:p>
    <w:p w14:paraId="2734112C" w14:textId="77777777" w:rsidR="000B1DC1" w:rsidRPr="000B1DC1" w:rsidRDefault="000B1DC1" w:rsidP="000B1DC1">
      <w:pPr>
        <w:pStyle w:val="AbstHead"/>
        <w:numPr>
          <w:ilvl w:val="1"/>
          <w:numId w:val="35"/>
        </w:numPr>
        <w:spacing w:after="0"/>
        <w:ind w:left="360"/>
        <w:jc w:val="both"/>
        <w:rPr>
          <w:rFonts w:ascii="Arial" w:hAnsi="Arial" w:cs="Arial"/>
          <w:caps w:val="0"/>
        </w:rPr>
      </w:pPr>
      <w:r w:rsidRPr="000B1DC1">
        <w:rPr>
          <w:rFonts w:ascii="Arial" w:hAnsi="Arial" w:cs="Arial"/>
          <w:caps w:val="0"/>
        </w:rPr>
        <w:t>Gaps in Existing Approaches</w:t>
      </w:r>
    </w:p>
    <w:p w14:paraId="4212526B" w14:textId="7A3D6199" w:rsidR="002819C1" w:rsidRDefault="002819C1" w:rsidP="002819C1">
      <w:pPr>
        <w:pStyle w:val="Body"/>
        <w:spacing w:after="0"/>
        <w:rPr>
          <w:rFonts w:ascii="Arial" w:hAnsi="Arial" w:cs="Arial"/>
        </w:rPr>
      </w:pPr>
      <w:r w:rsidRPr="002819C1">
        <w:rPr>
          <w:rFonts w:ascii="Arial" w:hAnsi="Arial" w:cs="Arial"/>
        </w:rPr>
        <w:t xml:space="preserve">While numerous platforms </w:t>
      </w:r>
      <w:r w:rsidR="009A4889">
        <w:rPr>
          <w:rFonts w:ascii="Arial" w:hAnsi="Arial" w:cs="Arial"/>
        </w:rPr>
        <w:t xml:space="preserve">such as </w:t>
      </w:r>
      <w:r w:rsidRPr="002819C1">
        <w:rPr>
          <w:rFonts w:ascii="Arial" w:hAnsi="Arial" w:cs="Arial"/>
        </w:rPr>
        <w:t xml:space="preserve">Oracle </w:t>
      </w:r>
      <w:r w:rsidR="00D65C22" w:rsidRPr="002819C1">
        <w:rPr>
          <w:rFonts w:ascii="Arial" w:hAnsi="Arial" w:cs="Arial"/>
        </w:rPr>
        <w:t>Primavera and</w:t>
      </w:r>
      <w:r w:rsidRPr="002819C1">
        <w:rPr>
          <w:rFonts w:ascii="Arial" w:hAnsi="Arial" w:cs="Arial"/>
        </w:rPr>
        <w:t xml:space="preserve"> </w:t>
      </w:r>
      <w:proofErr w:type="gramStart"/>
      <w:r w:rsidRPr="002819C1">
        <w:rPr>
          <w:rFonts w:ascii="Arial" w:hAnsi="Arial" w:cs="Arial"/>
        </w:rPr>
        <w:t>Procore</w:t>
      </w:r>
      <w:r w:rsidR="00D65C22">
        <w:rPr>
          <w:rFonts w:ascii="Arial" w:hAnsi="Arial" w:cs="Arial"/>
        </w:rPr>
        <w:t xml:space="preserve"> </w:t>
      </w:r>
      <w:r w:rsidR="000C766C">
        <w:rPr>
          <w:rFonts w:ascii="Arial" w:hAnsi="Arial" w:cs="Arial"/>
        </w:rPr>
        <w:t>which</w:t>
      </w:r>
      <w:proofErr w:type="gramEnd"/>
      <w:r w:rsidRPr="002819C1">
        <w:rPr>
          <w:rFonts w:ascii="Arial" w:hAnsi="Arial" w:cs="Arial"/>
        </w:rPr>
        <w:t xml:space="preserve"> offer scheduling automation or cost-tracking features, explicit environmental metrics are often relegated to optional or post-hoc analyses. Li et al. (2023) show that embedding eco-efficiency into AI-based construction models can yield significant long-term savings [13]. Yet many solutions lack direct synergy between operational predictions such as resource allocation and sustainability indicators like carbon footprints or recycling ratios. Khoshnevisan et al. (2023) further emphasize the potential of advanced ML for green building design but highlights the necessity of user-friendly interfaces to ensure widespread adoption [14]. García et al. (2023) suggest that AI can serve as a strategic enabler for more sustainable infrastructures on a global scale, given adequate data integration and stakeholder buy-in [15].</w:t>
      </w:r>
    </w:p>
    <w:p w14:paraId="5A595661" w14:textId="77777777" w:rsidR="002819C1" w:rsidRPr="002819C1" w:rsidRDefault="002819C1" w:rsidP="002819C1">
      <w:pPr>
        <w:pStyle w:val="Body"/>
        <w:spacing w:after="0"/>
        <w:rPr>
          <w:rFonts w:ascii="Arial" w:hAnsi="Arial" w:cs="Arial"/>
        </w:rPr>
      </w:pPr>
    </w:p>
    <w:p w14:paraId="53F0B507" w14:textId="77777777" w:rsidR="002819C1" w:rsidRPr="002819C1" w:rsidRDefault="002819C1" w:rsidP="002819C1">
      <w:pPr>
        <w:pStyle w:val="Body"/>
        <w:spacing w:after="0"/>
        <w:rPr>
          <w:rFonts w:ascii="Arial" w:hAnsi="Arial" w:cs="Arial"/>
        </w:rPr>
      </w:pPr>
      <w:r w:rsidRPr="002819C1">
        <w:rPr>
          <w:rFonts w:ascii="Arial" w:hAnsi="Arial" w:cs="Arial"/>
        </w:rPr>
        <w:t>In light of these observations, the SPMC tool aims to unite predictive analytics and environmental stewardship within a single operational model. By harnessing improved project data coverage (33 projects), advanced ML (Random Forest), and explicit design for sustainability, the tool responds to recognized needs in both academic research and practical construction management.</w:t>
      </w:r>
    </w:p>
    <w:p w14:paraId="490CD252" w14:textId="77777777" w:rsidR="0082083B" w:rsidRPr="002819C1" w:rsidRDefault="0082083B" w:rsidP="0082083B">
      <w:pPr>
        <w:pStyle w:val="Body"/>
        <w:spacing w:after="0"/>
        <w:rPr>
          <w:rFonts w:ascii="Arial" w:hAnsi="Arial" w:cs="Arial"/>
          <w:lang w:val="cs-CZ"/>
        </w:rPr>
      </w:pPr>
    </w:p>
    <w:p w14:paraId="0C2F4EDE" w14:textId="03998B7A" w:rsidR="0082083B" w:rsidRPr="0082083B" w:rsidRDefault="0082083B" w:rsidP="0065098E">
      <w:pPr>
        <w:pStyle w:val="Body"/>
        <w:spacing w:after="0"/>
        <w:rPr>
          <w:rFonts w:ascii="Arial" w:hAnsi="Arial" w:cs="Arial"/>
        </w:rPr>
      </w:pPr>
      <w:r w:rsidRPr="0082083B">
        <w:rPr>
          <w:rFonts w:ascii="Arial" w:hAnsi="Arial" w:cs="Arial"/>
        </w:rPr>
        <w:t>Other researchers illustrate how project delivery systems affect the successful execution of green buildings, noting that integrated or collaborative deliveries can more readily incorporate sustainability from the outset [10]. Additionally, AI-based solutions have been identified as instrumental to sustainable design and real-time scheduling within the construction domain [11], [12]</w:t>
      </w:r>
      <w:r w:rsidR="00E0265B">
        <w:rPr>
          <w:rFonts w:ascii="Arial" w:hAnsi="Arial" w:cs="Arial"/>
        </w:rPr>
        <w:t>, [16-17]</w:t>
      </w:r>
      <w:r w:rsidRPr="0082083B">
        <w:rPr>
          <w:rFonts w:ascii="Arial" w:hAnsi="Arial" w:cs="Arial"/>
        </w:rPr>
        <w:t xml:space="preserve">. </w:t>
      </w:r>
      <w:r w:rsidR="0065098E" w:rsidRPr="0065098E">
        <w:rPr>
          <w:rFonts w:ascii="Arial" w:hAnsi="Arial" w:cs="Arial"/>
        </w:rPr>
        <w:t>Recent studies have explored the use of LiDAR, ultrasonic, and vision sensors to track material flows, detect hazards, and ensure worker safety on construction sites</w:t>
      </w:r>
      <w:r w:rsidR="0065098E">
        <w:rPr>
          <w:rFonts w:ascii="Arial" w:hAnsi="Arial" w:cs="Arial"/>
        </w:rPr>
        <w:t>. Comprehensive</w:t>
      </w:r>
      <w:r w:rsidR="0065098E" w:rsidRPr="0065098E">
        <w:rPr>
          <w:rFonts w:ascii="Arial" w:hAnsi="Arial" w:cs="Arial"/>
        </w:rPr>
        <w:t xml:space="preserve"> reviews of these sensor technologies and their applications in real</w:t>
      </w:r>
      <w:r w:rsidR="0065098E" w:rsidRPr="0065098E">
        <w:rPr>
          <w:rFonts w:ascii="Arial" w:hAnsi="Arial" w:cs="Arial"/>
        </w:rPr>
        <w:noBreakHyphen/>
        <w:t>time site monitoring can be found in Rao et al. (2022)</w:t>
      </w:r>
      <w:r w:rsidR="0065098E">
        <w:rPr>
          <w:rFonts w:ascii="Arial" w:hAnsi="Arial" w:cs="Arial"/>
        </w:rPr>
        <w:t xml:space="preserve"> [18]. </w:t>
      </w:r>
      <w:r w:rsidRPr="0082083B">
        <w:rPr>
          <w:rFonts w:ascii="Arial" w:hAnsi="Arial" w:cs="Arial"/>
        </w:rPr>
        <w:t>However, truly comprehensive frameworks remain sparse.</w:t>
      </w:r>
    </w:p>
    <w:p w14:paraId="79560125" w14:textId="77777777" w:rsidR="000B466A" w:rsidRDefault="000B466A" w:rsidP="00441B6F">
      <w:pPr>
        <w:pStyle w:val="Body"/>
        <w:spacing w:after="0"/>
        <w:rPr>
          <w:rFonts w:ascii="Arial" w:hAnsi="Arial" w:cs="Arial"/>
        </w:rPr>
      </w:pPr>
    </w:p>
    <w:p w14:paraId="756DC6D0" w14:textId="77777777" w:rsidR="00F913FC" w:rsidRPr="00F913FC" w:rsidRDefault="00000F8F" w:rsidP="00F37B4D">
      <w:pPr>
        <w:pStyle w:val="AbstHead"/>
        <w:spacing w:after="0"/>
        <w:jc w:val="both"/>
        <w:rPr>
          <w:rFonts w:ascii="Arial" w:hAnsi="Arial" w:cs="Arial"/>
        </w:rPr>
      </w:pPr>
      <w:r>
        <w:rPr>
          <w:rFonts w:ascii="Arial" w:hAnsi="Arial" w:cs="Arial"/>
        </w:rPr>
        <w:t>3</w:t>
      </w:r>
      <w:r w:rsidR="00902823">
        <w:rPr>
          <w:rFonts w:ascii="Arial" w:hAnsi="Arial" w:cs="Arial"/>
        </w:rPr>
        <w:t xml:space="preserve">. </w:t>
      </w:r>
      <w:r w:rsidR="00F913FC" w:rsidRPr="00F913FC">
        <w:rPr>
          <w:rFonts w:ascii="Arial" w:hAnsi="Arial" w:cs="Arial"/>
        </w:rPr>
        <w:t>Research Objectives</w:t>
      </w:r>
    </w:p>
    <w:p w14:paraId="076A77F1" w14:textId="55500125" w:rsidR="00856694" w:rsidRDefault="00856694" w:rsidP="00082665">
      <w:pPr>
        <w:pStyle w:val="Heading2"/>
        <w:numPr>
          <w:ilvl w:val="1"/>
          <w:numId w:val="38"/>
        </w:numPr>
        <w:ind w:left="360" w:hanging="360"/>
        <w:rPr>
          <w:rFonts w:ascii="Arial" w:eastAsia="Times New Roman" w:hAnsi="Arial" w:cs="Arial"/>
          <w:color w:val="auto"/>
          <w:sz w:val="20"/>
          <w:szCs w:val="20"/>
        </w:rPr>
      </w:pPr>
      <w:r w:rsidRPr="00856694">
        <w:rPr>
          <w:rFonts w:ascii="Arial" w:eastAsia="Times New Roman" w:hAnsi="Arial" w:cs="Arial"/>
          <w:b/>
          <w:color w:val="auto"/>
          <w:sz w:val="22"/>
          <w:szCs w:val="20"/>
        </w:rPr>
        <w:t>predict Project Delays</w:t>
      </w:r>
      <w:r w:rsidRPr="00856694">
        <w:rPr>
          <w:rFonts w:ascii="Arial" w:eastAsia="Times New Roman" w:hAnsi="Arial" w:cs="Arial"/>
          <w:b/>
          <w:color w:val="auto"/>
          <w:sz w:val="22"/>
          <w:szCs w:val="20"/>
        </w:rPr>
        <w:br/>
      </w:r>
      <w:r w:rsidRPr="007D70D0">
        <w:rPr>
          <w:rFonts w:ascii="Arial" w:eastAsia="Times New Roman" w:hAnsi="Arial" w:cs="Arial"/>
          <w:color w:val="auto"/>
          <w:sz w:val="20"/>
          <w:szCs w:val="20"/>
        </w:rPr>
        <w:t>Create an AI-based module capable of early detection of scheduling setbacks, enabling proactive adjustments in staffing, materials, and workflows.</w:t>
      </w:r>
    </w:p>
    <w:p w14:paraId="14A13E28" w14:textId="77777777" w:rsidR="008812D6" w:rsidRPr="008812D6" w:rsidRDefault="008812D6" w:rsidP="008812D6"/>
    <w:p w14:paraId="1A8818EB" w14:textId="77777777" w:rsidR="00856694" w:rsidRDefault="00856694" w:rsidP="0032515E">
      <w:pPr>
        <w:pStyle w:val="Heading2"/>
        <w:numPr>
          <w:ilvl w:val="1"/>
          <w:numId w:val="38"/>
        </w:numPr>
        <w:ind w:left="360" w:hanging="360"/>
        <w:rPr>
          <w:rFonts w:ascii="Arial" w:eastAsia="Times New Roman" w:hAnsi="Arial" w:cs="Arial"/>
          <w:color w:val="auto"/>
          <w:sz w:val="20"/>
          <w:szCs w:val="20"/>
        </w:rPr>
      </w:pPr>
      <w:r w:rsidRPr="007331CE">
        <w:rPr>
          <w:rFonts w:ascii="Arial" w:eastAsia="Times New Roman" w:hAnsi="Arial" w:cs="Arial"/>
          <w:b/>
          <w:color w:val="auto"/>
          <w:sz w:val="22"/>
          <w:szCs w:val="20"/>
        </w:rPr>
        <w:t>Optimize Resource Utilization</w:t>
      </w:r>
      <w:r w:rsidRPr="00AB5C1F">
        <w:br/>
      </w:r>
      <w:r w:rsidRPr="007D70D0">
        <w:rPr>
          <w:rFonts w:ascii="Arial" w:eastAsia="Times New Roman" w:hAnsi="Arial" w:cs="Arial"/>
          <w:color w:val="auto"/>
          <w:sz w:val="20"/>
          <w:szCs w:val="20"/>
        </w:rPr>
        <w:t>Ensure more precise allocation of labor and materials, reducing the costs and environmental burdens.</w:t>
      </w:r>
    </w:p>
    <w:p w14:paraId="5185109C" w14:textId="77777777" w:rsidR="008812D6" w:rsidRPr="008812D6" w:rsidRDefault="008812D6" w:rsidP="008812D6"/>
    <w:p w14:paraId="7230A3F8" w14:textId="77777777" w:rsidR="00856694" w:rsidRDefault="00856694" w:rsidP="0032515E">
      <w:pPr>
        <w:pStyle w:val="Heading2"/>
        <w:numPr>
          <w:ilvl w:val="1"/>
          <w:numId w:val="38"/>
        </w:numPr>
        <w:ind w:left="360" w:hanging="360"/>
        <w:rPr>
          <w:rFonts w:ascii="Arial" w:eastAsia="Times New Roman" w:hAnsi="Arial" w:cs="Arial"/>
          <w:color w:val="auto"/>
          <w:sz w:val="20"/>
          <w:szCs w:val="20"/>
        </w:rPr>
      </w:pPr>
      <w:r w:rsidRPr="0032515E">
        <w:rPr>
          <w:rFonts w:ascii="Arial" w:eastAsia="Times New Roman" w:hAnsi="Arial" w:cs="Arial"/>
          <w:b/>
          <w:color w:val="auto"/>
          <w:sz w:val="22"/>
          <w:szCs w:val="20"/>
        </w:rPr>
        <w:t>Enhance Decision-Making</w:t>
      </w:r>
      <w:r w:rsidRPr="0032515E">
        <w:rPr>
          <w:rFonts w:ascii="Arial" w:eastAsia="Times New Roman" w:hAnsi="Arial" w:cs="Arial"/>
          <w:b/>
          <w:color w:val="auto"/>
          <w:sz w:val="22"/>
          <w:szCs w:val="20"/>
        </w:rPr>
        <w:br/>
      </w:r>
      <w:r w:rsidRPr="007D70D0">
        <w:rPr>
          <w:rFonts w:ascii="Arial" w:eastAsia="Times New Roman" w:hAnsi="Arial" w:cs="Arial"/>
          <w:color w:val="auto"/>
          <w:sz w:val="20"/>
          <w:szCs w:val="20"/>
        </w:rPr>
        <w:t>Develop a user-friendly platform that provides on-demand analytics for project managers, facilitating data-driven scenario analyses and resource allocation.</w:t>
      </w:r>
    </w:p>
    <w:p w14:paraId="28CDA505" w14:textId="77777777" w:rsidR="008812D6" w:rsidRPr="008812D6" w:rsidRDefault="008812D6" w:rsidP="008812D6"/>
    <w:p w14:paraId="4F0F4E90" w14:textId="77777777" w:rsidR="00856694" w:rsidRPr="00F862F0" w:rsidRDefault="00856694" w:rsidP="0032515E">
      <w:pPr>
        <w:pStyle w:val="Heading2"/>
        <w:numPr>
          <w:ilvl w:val="1"/>
          <w:numId w:val="38"/>
        </w:numPr>
        <w:ind w:left="360" w:hanging="360"/>
        <w:rPr>
          <w:b/>
          <w:bCs/>
        </w:rPr>
      </w:pPr>
      <w:r w:rsidRPr="0032515E">
        <w:rPr>
          <w:rFonts w:ascii="Arial" w:eastAsia="Times New Roman" w:hAnsi="Arial" w:cs="Arial"/>
          <w:b/>
          <w:color w:val="auto"/>
          <w:sz w:val="22"/>
          <w:szCs w:val="20"/>
        </w:rPr>
        <w:lastRenderedPageBreak/>
        <w:t>Maintain Ethical and Secure Data Handling</w:t>
      </w:r>
      <w:r w:rsidRPr="00AB5C1F">
        <w:br/>
      </w:r>
      <w:r w:rsidRPr="007D70D0">
        <w:rPr>
          <w:rFonts w:ascii="Arial" w:eastAsia="Times New Roman" w:hAnsi="Arial" w:cs="Arial"/>
          <w:color w:val="auto"/>
          <w:sz w:val="20"/>
          <w:szCs w:val="20"/>
        </w:rPr>
        <w:t>Implement anonymization measures, restricted data access, and adherence to institutional review protocols to protect stakeholders’ sensitive information.</w:t>
      </w:r>
    </w:p>
    <w:p w14:paraId="10133808" w14:textId="0F70FF65" w:rsidR="00902823" w:rsidRDefault="00902823" w:rsidP="00441B6F">
      <w:pPr>
        <w:pStyle w:val="Head1"/>
        <w:spacing w:after="0"/>
        <w:jc w:val="both"/>
        <w:rPr>
          <w:rFonts w:ascii="Arial" w:hAnsi="Arial" w:cs="Arial"/>
        </w:rPr>
      </w:pPr>
    </w:p>
    <w:p w14:paraId="402B0A97" w14:textId="016CC200" w:rsidR="00AD44BE" w:rsidRDefault="00AD44BE" w:rsidP="009601E0">
      <w:pPr>
        <w:pStyle w:val="AbstHead"/>
        <w:numPr>
          <w:ilvl w:val="0"/>
          <w:numId w:val="38"/>
        </w:numPr>
        <w:spacing w:after="0"/>
        <w:jc w:val="both"/>
        <w:rPr>
          <w:rFonts w:ascii="Arial" w:hAnsi="Arial" w:cs="Arial"/>
        </w:rPr>
      </w:pPr>
      <w:r w:rsidRPr="009601E0">
        <w:rPr>
          <w:rFonts w:ascii="Arial" w:hAnsi="Arial" w:cs="Arial"/>
        </w:rPr>
        <w:t>Methodology</w:t>
      </w:r>
    </w:p>
    <w:p w14:paraId="221AFD17" w14:textId="77777777" w:rsidR="00CD3E7D" w:rsidRPr="00CD3E7D" w:rsidRDefault="00CD3E7D" w:rsidP="00CD3E7D">
      <w:pPr>
        <w:pStyle w:val="Heading2"/>
        <w:numPr>
          <w:ilvl w:val="1"/>
          <w:numId w:val="38"/>
        </w:numPr>
        <w:ind w:left="360" w:hanging="360"/>
        <w:rPr>
          <w:rFonts w:ascii="Arial" w:eastAsia="Times New Roman" w:hAnsi="Arial" w:cs="Arial"/>
          <w:b/>
          <w:color w:val="auto"/>
          <w:sz w:val="22"/>
          <w:szCs w:val="20"/>
        </w:rPr>
      </w:pPr>
      <w:r w:rsidRPr="00CD3E7D">
        <w:rPr>
          <w:rFonts w:ascii="Arial" w:eastAsia="Times New Roman" w:hAnsi="Arial" w:cs="Arial"/>
          <w:b/>
          <w:color w:val="auto"/>
          <w:sz w:val="22"/>
          <w:szCs w:val="20"/>
        </w:rPr>
        <w:t>Conceptual Framework</w:t>
      </w:r>
    </w:p>
    <w:p w14:paraId="7557E47A" w14:textId="77777777" w:rsidR="008812D6" w:rsidRPr="00582D06" w:rsidRDefault="008812D6" w:rsidP="008812D6">
      <w:pPr>
        <w:ind w:left="510"/>
      </w:pPr>
      <w:r w:rsidRPr="00582D06">
        <w:t>The SPMC system comprises four layers:</w:t>
      </w:r>
    </w:p>
    <w:p w14:paraId="47E50BD0" w14:textId="564BC6BB"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Data Ingestion &amp; Cleaning</w:t>
      </w:r>
      <w:r w:rsidR="00907CD3" w:rsidRPr="00300C2B">
        <w:rPr>
          <w:rFonts w:asciiTheme="minorBidi" w:hAnsiTheme="minorBidi" w:cstheme="minorBidi"/>
          <w:b/>
          <w:bCs/>
        </w:rPr>
        <w:t>:</w:t>
      </w:r>
      <w:r w:rsidRPr="00300C2B">
        <w:rPr>
          <w:rFonts w:asciiTheme="minorBidi" w:hAnsiTheme="minorBidi" w:cstheme="minorBidi"/>
        </w:rPr>
        <w:t xml:space="preserve"> Collects project schedules, resource logs, and ecological metrics. Cleansing routines address missing values and outliers.</w:t>
      </w:r>
    </w:p>
    <w:p w14:paraId="39030F31" w14:textId="21670FB1"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Machine Learning Core</w:t>
      </w:r>
      <w:r w:rsidR="00907CD3" w:rsidRPr="00300C2B">
        <w:rPr>
          <w:rFonts w:asciiTheme="minorBidi" w:hAnsiTheme="minorBidi" w:cstheme="minorBidi"/>
          <w:b/>
          <w:bCs/>
        </w:rPr>
        <w:t>:</w:t>
      </w:r>
      <w:r w:rsidRPr="00300C2B">
        <w:rPr>
          <w:rFonts w:asciiTheme="minorBidi" w:hAnsiTheme="minorBidi" w:cstheme="minorBidi"/>
        </w:rPr>
        <w:t xml:space="preserve"> Trains a Random Forest Regressor to forecast project delays and resource utilization, benchmarking its results against </w:t>
      </w:r>
      <w:proofErr w:type="spellStart"/>
      <w:r w:rsidRPr="00300C2B">
        <w:rPr>
          <w:rFonts w:asciiTheme="minorBidi" w:hAnsiTheme="minorBidi" w:cstheme="minorBidi"/>
        </w:rPr>
        <w:t>XGBoost</w:t>
      </w:r>
      <w:proofErr w:type="spellEnd"/>
      <w:r w:rsidRPr="00300C2B">
        <w:rPr>
          <w:rFonts w:asciiTheme="minorBidi" w:hAnsiTheme="minorBidi" w:cstheme="minorBidi"/>
        </w:rPr>
        <w:t xml:space="preserve"> to confirm reliability.</w:t>
      </w:r>
    </w:p>
    <w:p w14:paraId="456AA278" w14:textId="639AE6B9"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Validation &amp; Reporting</w:t>
      </w:r>
      <w:r w:rsidR="00907CD3" w:rsidRPr="00300C2B">
        <w:rPr>
          <w:rFonts w:asciiTheme="minorBidi" w:hAnsiTheme="minorBidi" w:cstheme="minorBidi"/>
          <w:b/>
          <w:bCs/>
        </w:rPr>
        <w:t>:</w:t>
      </w:r>
      <w:r w:rsidRPr="00300C2B">
        <w:rPr>
          <w:rFonts w:asciiTheme="minorBidi" w:hAnsiTheme="minorBidi" w:cstheme="minorBidi"/>
        </w:rPr>
        <w:t xml:space="preserve"> Employs k-fold cross-validation, residual plots, and scenario analyses to gauge model robustness.</w:t>
      </w:r>
    </w:p>
    <w:p w14:paraId="26E79D01" w14:textId="6981A320" w:rsidR="008812D6" w:rsidRPr="00300C2B" w:rsidRDefault="008812D6" w:rsidP="008812D6">
      <w:pPr>
        <w:numPr>
          <w:ilvl w:val="0"/>
          <w:numId w:val="39"/>
        </w:numPr>
        <w:tabs>
          <w:tab w:val="num" w:pos="204"/>
        </w:tabs>
        <w:autoSpaceDE w:val="0"/>
        <w:autoSpaceDN w:val="0"/>
        <w:spacing w:before="120"/>
        <w:ind w:left="1224"/>
        <w:jc w:val="both"/>
        <w:rPr>
          <w:rFonts w:asciiTheme="minorBidi" w:hAnsiTheme="minorBidi" w:cstheme="minorBidi"/>
        </w:rPr>
      </w:pPr>
      <w:r w:rsidRPr="00300C2B">
        <w:rPr>
          <w:rFonts w:asciiTheme="minorBidi" w:hAnsiTheme="minorBidi" w:cstheme="minorBidi"/>
          <w:b/>
          <w:bCs/>
        </w:rPr>
        <w:t>User Interface &amp; Visualization</w:t>
      </w:r>
      <w:r w:rsidR="00907CD3" w:rsidRPr="00300C2B">
        <w:rPr>
          <w:rFonts w:asciiTheme="minorBidi" w:hAnsiTheme="minorBidi" w:cstheme="minorBidi"/>
          <w:b/>
          <w:bCs/>
        </w:rPr>
        <w:t>:</w:t>
      </w:r>
      <w:r w:rsidRPr="00300C2B">
        <w:rPr>
          <w:rFonts w:asciiTheme="minorBidi" w:hAnsiTheme="minorBidi" w:cstheme="minorBidi"/>
        </w:rPr>
        <w:t xml:space="preserve"> Provides a Python GUI for managers to input new data, run predictions, and see sustainability metrics.</w:t>
      </w:r>
    </w:p>
    <w:tbl>
      <w:tblPr>
        <w:tblStyle w:val="TableGrid"/>
        <w:tblW w:w="6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tblGrid>
      <w:tr w:rsidR="000C037F" w14:paraId="6F9F6146" w14:textId="77777777" w:rsidTr="000C037F">
        <w:trPr>
          <w:trHeight w:val="3510"/>
          <w:jc w:val="center"/>
        </w:trPr>
        <w:tc>
          <w:tcPr>
            <w:tcW w:w="6085" w:type="dxa"/>
          </w:tcPr>
          <w:p w14:paraId="12BFF449" w14:textId="1896E9A3" w:rsidR="000C037F" w:rsidRPr="006E6CB9" w:rsidRDefault="000C037F" w:rsidP="000C037F">
            <w:pPr>
              <w:jc w:val="center"/>
              <w:rPr>
                <w:rFonts w:asciiTheme="minorBidi" w:hAnsiTheme="minorBidi" w:cstheme="minorBidi"/>
                <w:b/>
                <w:bCs/>
              </w:rPr>
            </w:pPr>
            <w:r w:rsidRPr="006E6CB9">
              <w:rPr>
                <w:rFonts w:asciiTheme="minorBidi" w:hAnsiTheme="minorBidi" w:cstheme="minorBidi"/>
                <w:b/>
                <w:noProof/>
                <w:sz w:val="18"/>
              </w:rPr>
              <w:drawing>
                <wp:anchor distT="0" distB="0" distL="114300" distR="114300" simplePos="0" relativeHeight="251635712" behindDoc="0" locked="0" layoutInCell="1" allowOverlap="1" wp14:anchorId="5063AAE5" wp14:editId="6FC5C8DE">
                  <wp:simplePos x="0" y="0"/>
                  <wp:positionH relativeFrom="margin">
                    <wp:posOffset>363855</wp:posOffset>
                  </wp:positionH>
                  <wp:positionV relativeFrom="paragraph">
                    <wp:posOffset>14605</wp:posOffset>
                  </wp:positionV>
                  <wp:extent cx="3153410" cy="1922780"/>
                  <wp:effectExtent l="0" t="0" r="0" b="0"/>
                  <wp:wrapTopAndBottom/>
                  <wp:docPr id="1902430787" name="Picture 2" descr="A graph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0787" name="Picture 2" descr="A graph of a construction projec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3410"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CB9">
              <w:rPr>
                <w:rFonts w:asciiTheme="minorBidi" w:hAnsiTheme="minorBidi" w:cstheme="minorBidi"/>
                <w:b/>
                <w:bCs/>
                <w:sz w:val="20"/>
                <w:szCs w:val="16"/>
              </w:rPr>
              <w:t>Figure 1</w:t>
            </w:r>
            <w:r w:rsidRPr="006E6CB9">
              <w:rPr>
                <w:rFonts w:asciiTheme="minorBidi" w:hAnsiTheme="minorBidi" w:cstheme="minorBidi"/>
                <w:i/>
                <w:sz w:val="20"/>
              </w:rPr>
              <w:t>: Financial Allocation Across Construction Projects</w:t>
            </w:r>
          </w:p>
        </w:tc>
      </w:tr>
    </w:tbl>
    <w:tbl>
      <w:tblPr>
        <w:tblStyle w:val="TableGrid1"/>
        <w:tblW w:w="5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9"/>
      </w:tblGrid>
      <w:tr w:rsidR="00040E29" w14:paraId="0BA2C346" w14:textId="77777777" w:rsidTr="006E6CB9">
        <w:trPr>
          <w:trHeight w:val="3145"/>
          <w:jc w:val="center"/>
        </w:trPr>
        <w:tc>
          <w:tcPr>
            <w:tcW w:w="5889" w:type="dxa"/>
          </w:tcPr>
          <w:p w14:paraId="0A3AC4F6" w14:textId="77777777" w:rsidR="00040E29" w:rsidRPr="006E6CB9" w:rsidRDefault="00040E29" w:rsidP="00BB54CE">
            <w:pPr>
              <w:rPr>
                <w:rFonts w:asciiTheme="minorBidi" w:hAnsiTheme="minorBidi" w:cstheme="minorBidi"/>
                <w:i/>
                <w:iCs/>
              </w:rPr>
            </w:pPr>
            <w:r w:rsidRPr="006E6CB9">
              <w:rPr>
                <w:rFonts w:asciiTheme="minorBidi" w:hAnsiTheme="minorBidi" w:cstheme="minorBidi"/>
                <w:noProof/>
                <w:szCs w:val="16"/>
              </w:rPr>
              <w:drawing>
                <wp:anchor distT="0" distB="0" distL="114300" distR="114300" simplePos="0" relativeHeight="251644928" behindDoc="0" locked="0" layoutInCell="1" allowOverlap="1" wp14:anchorId="7221BDD0" wp14:editId="0E410768">
                  <wp:simplePos x="0" y="0"/>
                  <wp:positionH relativeFrom="margin">
                    <wp:posOffset>230505</wp:posOffset>
                  </wp:positionH>
                  <wp:positionV relativeFrom="paragraph">
                    <wp:posOffset>0</wp:posOffset>
                  </wp:positionV>
                  <wp:extent cx="3240405" cy="2014220"/>
                  <wp:effectExtent l="0" t="0" r="0" b="0"/>
                  <wp:wrapTopAndBottom/>
                  <wp:docPr id="18804170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405" cy="201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CB9">
              <w:rPr>
                <w:rFonts w:asciiTheme="minorBidi" w:hAnsiTheme="minorBidi" w:cstheme="minorBidi"/>
                <w:b/>
                <w:bCs/>
                <w:szCs w:val="16"/>
              </w:rPr>
              <w:t>Figure 2:</w:t>
            </w:r>
            <w:r w:rsidRPr="006E6CB9">
              <w:rPr>
                <w:rFonts w:asciiTheme="minorBidi" w:hAnsiTheme="minorBidi" w:cstheme="minorBidi"/>
                <w:i/>
                <w:iCs/>
                <w:szCs w:val="16"/>
              </w:rPr>
              <w:t xml:space="preserve"> Geographical distribution of project funding by type</w:t>
            </w:r>
          </w:p>
        </w:tc>
      </w:tr>
    </w:tbl>
    <w:p w14:paraId="6568AA6A" w14:textId="77777777" w:rsidR="0031066C" w:rsidRDefault="0031066C" w:rsidP="0031066C">
      <w:pPr>
        <w:autoSpaceDE w:val="0"/>
        <w:autoSpaceDN w:val="0"/>
        <w:spacing w:before="120"/>
        <w:ind w:left="1224"/>
        <w:jc w:val="both"/>
      </w:pPr>
    </w:p>
    <w:p w14:paraId="0FDB24F7" w14:textId="77777777" w:rsidR="001E29DB" w:rsidRPr="0044252A" w:rsidRDefault="001E29DB" w:rsidP="001E29DB">
      <w:pPr>
        <w:pStyle w:val="Caption1"/>
        <w:spacing w:before="120"/>
        <w:jc w:val="center"/>
        <w:rPr>
          <w:rFonts w:asciiTheme="minorBidi" w:hAnsiTheme="minorBidi" w:cstheme="minorBidi"/>
          <w:i/>
          <w:sz w:val="20"/>
        </w:rPr>
      </w:pPr>
      <w:r w:rsidRPr="0044252A">
        <w:rPr>
          <w:rFonts w:asciiTheme="minorBidi" w:hAnsiTheme="minorBidi" w:cstheme="minorBidi"/>
          <w:b/>
          <w:bCs/>
          <w:i/>
          <w:sz w:val="20"/>
        </w:rPr>
        <w:t>Table 1:</w:t>
      </w:r>
      <w:r w:rsidRPr="0044252A">
        <w:rPr>
          <w:rFonts w:asciiTheme="minorBidi" w:hAnsiTheme="minorBidi" w:cstheme="minorBidi"/>
          <w:i/>
          <w:sz w:val="20"/>
        </w:rPr>
        <w:t xml:space="preserve"> </w:t>
      </w:r>
      <w:r w:rsidRPr="000241C7">
        <w:rPr>
          <w:rFonts w:asciiTheme="minorBidi" w:hAnsiTheme="minorBidi" w:cstheme="minorBidi"/>
          <w:b/>
          <w:bCs/>
          <w:iCs/>
          <w:sz w:val="20"/>
        </w:rPr>
        <w:t>Project Type Summary</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1440"/>
        <w:gridCol w:w="1620"/>
        <w:gridCol w:w="2250"/>
      </w:tblGrid>
      <w:tr w:rsidR="001E29DB" w14:paraId="21799303" w14:textId="77777777" w:rsidTr="0044252A">
        <w:trPr>
          <w:jc w:val="center"/>
        </w:trPr>
        <w:tc>
          <w:tcPr>
            <w:tcW w:w="972" w:type="dxa"/>
            <w:tcBorders>
              <w:top w:val="single" w:sz="12" w:space="0" w:color="auto"/>
              <w:bottom w:val="single" w:sz="12" w:space="0" w:color="auto"/>
            </w:tcBorders>
            <w:shd w:val="clear" w:color="auto" w:fill="BFBFBF" w:themeFill="background1" w:themeFillShade="BF"/>
          </w:tcPr>
          <w:p w14:paraId="605742B8"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Project Type</w:t>
            </w:r>
          </w:p>
        </w:tc>
        <w:tc>
          <w:tcPr>
            <w:tcW w:w="1440" w:type="dxa"/>
            <w:tcBorders>
              <w:top w:val="single" w:sz="12" w:space="0" w:color="auto"/>
              <w:bottom w:val="single" w:sz="12" w:space="0" w:color="auto"/>
            </w:tcBorders>
            <w:shd w:val="clear" w:color="auto" w:fill="BFBFBF" w:themeFill="background1" w:themeFillShade="BF"/>
          </w:tcPr>
          <w:p w14:paraId="0EA76BDB"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Total Projects</w:t>
            </w:r>
          </w:p>
        </w:tc>
        <w:tc>
          <w:tcPr>
            <w:tcW w:w="1620" w:type="dxa"/>
            <w:tcBorders>
              <w:top w:val="single" w:sz="12" w:space="0" w:color="auto"/>
              <w:bottom w:val="single" w:sz="12" w:space="0" w:color="auto"/>
            </w:tcBorders>
            <w:shd w:val="clear" w:color="auto" w:fill="BFBFBF" w:themeFill="background1" w:themeFillShade="BF"/>
          </w:tcPr>
          <w:p w14:paraId="47E17053"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Average Funding Amount</w:t>
            </w:r>
          </w:p>
        </w:tc>
        <w:tc>
          <w:tcPr>
            <w:tcW w:w="2250" w:type="dxa"/>
            <w:tcBorders>
              <w:top w:val="single" w:sz="12" w:space="0" w:color="auto"/>
              <w:bottom w:val="single" w:sz="12" w:space="0" w:color="auto"/>
            </w:tcBorders>
            <w:shd w:val="clear" w:color="auto" w:fill="BFBFBF" w:themeFill="background1" w:themeFillShade="BF"/>
          </w:tcPr>
          <w:p w14:paraId="2E9EE9BC"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Total Funding Amount</w:t>
            </w:r>
          </w:p>
        </w:tc>
      </w:tr>
      <w:tr w:rsidR="001E29DB" w14:paraId="58D6F088" w14:textId="77777777" w:rsidTr="0044252A">
        <w:trPr>
          <w:jc w:val="center"/>
        </w:trPr>
        <w:tc>
          <w:tcPr>
            <w:tcW w:w="972" w:type="dxa"/>
            <w:tcBorders>
              <w:top w:val="single" w:sz="12" w:space="0" w:color="auto"/>
            </w:tcBorders>
          </w:tcPr>
          <w:p w14:paraId="50099907"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CAP</w:t>
            </w:r>
          </w:p>
        </w:tc>
        <w:tc>
          <w:tcPr>
            <w:tcW w:w="1440" w:type="dxa"/>
            <w:tcBorders>
              <w:top w:val="single" w:sz="12" w:space="0" w:color="auto"/>
            </w:tcBorders>
          </w:tcPr>
          <w:p w14:paraId="1B409190"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144</w:t>
            </w:r>
          </w:p>
        </w:tc>
        <w:tc>
          <w:tcPr>
            <w:tcW w:w="1620" w:type="dxa"/>
            <w:tcBorders>
              <w:top w:val="single" w:sz="12" w:space="0" w:color="auto"/>
            </w:tcBorders>
          </w:tcPr>
          <w:p w14:paraId="171D09FF"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$38,596,560</w:t>
            </w:r>
          </w:p>
        </w:tc>
        <w:tc>
          <w:tcPr>
            <w:tcW w:w="2250" w:type="dxa"/>
            <w:tcBorders>
              <w:top w:val="single" w:sz="12" w:space="0" w:color="auto"/>
            </w:tcBorders>
          </w:tcPr>
          <w:p w14:paraId="50153674"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$5,557,905,000</w:t>
            </w:r>
          </w:p>
        </w:tc>
      </w:tr>
      <w:tr w:rsidR="001E29DB" w14:paraId="682EC136" w14:textId="77777777" w:rsidTr="0044252A">
        <w:trPr>
          <w:jc w:val="center"/>
        </w:trPr>
        <w:tc>
          <w:tcPr>
            <w:tcW w:w="972" w:type="dxa"/>
          </w:tcPr>
          <w:p w14:paraId="48D67CEE"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CIP</w:t>
            </w:r>
          </w:p>
        </w:tc>
        <w:tc>
          <w:tcPr>
            <w:tcW w:w="1440" w:type="dxa"/>
          </w:tcPr>
          <w:p w14:paraId="67838309"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1021</w:t>
            </w:r>
          </w:p>
        </w:tc>
        <w:tc>
          <w:tcPr>
            <w:tcW w:w="1620" w:type="dxa"/>
          </w:tcPr>
          <w:p w14:paraId="3B46E289"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$5,574,529</w:t>
            </w:r>
          </w:p>
        </w:tc>
        <w:tc>
          <w:tcPr>
            <w:tcW w:w="2250" w:type="dxa"/>
          </w:tcPr>
          <w:p w14:paraId="296D7BAF" w14:textId="77777777" w:rsidR="001E29DB" w:rsidRPr="000241C7" w:rsidRDefault="001E29DB" w:rsidP="00BB54CE">
            <w:pPr>
              <w:pStyle w:val="body-text"/>
              <w:ind w:firstLine="0"/>
              <w:jc w:val="center"/>
              <w:rPr>
                <w:rFonts w:asciiTheme="minorBidi" w:hAnsiTheme="minorBidi" w:cstheme="minorBidi"/>
                <w:sz w:val="20"/>
                <w:szCs w:val="20"/>
              </w:rPr>
            </w:pPr>
            <w:r w:rsidRPr="000241C7">
              <w:rPr>
                <w:rFonts w:asciiTheme="minorBidi" w:hAnsiTheme="minorBidi" w:cstheme="minorBidi"/>
                <w:sz w:val="20"/>
                <w:szCs w:val="20"/>
              </w:rPr>
              <w:t>$5,691,594,000</w:t>
            </w:r>
          </w:p>
        </w:tc>
      </w:tr>
    </w:tbl>
    <w:p w14:paraId="7880912D" w14:textId="77777777" w:rsidR="00300C2B" w:rsidRPr="00300C2B" w:rsidRDefault="00300C2B" w:rsidP="00300C2B">
      <w:pPr>
        <w:pStyle w:val="Heading2"/>
        <w:numPr>
          <w:ilvl w:val="1"/>
          <w:numId w:val="38"/>
        </w:numPr>
        <w:ind w:left="360" w:hanging="360"/>
        <w:rPr>
          <w:rFonts w:asciiTheme="minorBidi" w:eastAsia="Times New Roman" w:hAnsiTheme="minorBidi" w:cstheme="minorBidi"/>
          <w:b/>
          <w:color w:val="auto"/>
          <w:sz w:val="20"/>
          <w:szCs w:val="20"/>
        </w:rPr>
      </w:pPr>
      <w:r w:rsidRPr="00300C2B">
        <w:rPr>
          <w:rFonts w:asciiTheme="minorBidi" w:eastAsia="Times New Roman" w:hAnsiTheme="minorBidi" w:cstheme="minorBidi"/>
          <w:b/>
          <w:color w:val="auto"/>
          <w:sz w:val="20"/>
          <w:szCs w:val="20"/>
        </w:rPr>
        <w:t>Data Collection &amp; Ethics</w:t>
      </w:r>
    </w:p>
    <w:p w14:paraId="774E5F42" w14:textId="77777777" w:rsidR="00300C2B" w:rsidRPr="00300C2B" w:rsidRDefault="00300C2B" w:rsidP="00300C2B">
      <w:pPr>
        <w:ind w:left="510"/>
        <w:rPr>
          <w:rFonts w:asciiTheme="minorBidi" w:hAnsiTheme="minorBidi" w:cstheme="minorBidi"/>
        </w:rPr>
      </w:pPr>
      <w:r w:rsidRPr="00300C2B">
        <w:rPr>
          <w:rFonts w:asciiTheme="minorBidi" w:hAnsiTheme="minorBidi" w:cstheme="minorBidi"/>
        </w:rPr>
        <w:t>Data were aggregated from 33 construction projects representing the infrastructure, residential, and commercial segments. Each record typically includes:</w:t>
      </w:r>
    </w:p>
    <w:p w14:paraId="14A9672F"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lastRenderedPageBreak/>
        <w:t>Schedule Information</w:t>
      </w:r>
      <w:r w:rsidRPr="00300C2B">
        <w:rPr>
          <w:rFonts w:asciiTheme="minorBidi" w:hAnsiTheme="minorBidi" w:cstheme="minorBidi"/>
        </w:rPr>
        <w:t>: Planned vs. actual start/end dates, lead times, and cost updates.</w:t>
      </w:r>
    </w:p>
    <w:p w14:paraId="41E82175"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t>Resource Tracking</w:t>
      </w:r>
      <w:r w:rsidRPr="00300C2B">
        <w:rPr>
          <w:rFonts w:asciiTheme="minorBidi" w:hAnsiTheme="minorBidi" w:cstheme="minorBidi"/>
        </w:rPr>
        <w:t>: Number of on-site workers, equipment usage, and material logs.</w:t>
      </w:r>
    </w:p>
    <w:p w14:paraId="015865DE" w14:textId="77777777" w:rsidR="00300C2B" w:rsidRPr="00300C2B" w:rsidRDefault="00300C2B" w:rsidP="00300C2B">
      <w:pPr>
        <w:numPr>
          <w:ilvl w:val="0"/>
          <w:numId w:val="40"/>
        </w:numPr>
        <w:tabs>
          <w:tab w:val="num" w:pos="276"/>
        </w:tabs>
        <w:autoSpaceDE w:val="0"/>
        <w:autoSpaceDN w:val="0"/>
        <w:spacing w:before="120"/>
        <w:ind w:left="920"/>
        <w:jc w:val="both"/>
        <w:rPr>
          <w:rFonts w:asciiTheme="minorBidi" w:hAnsiTheme="minorBidi" w:cstheme="minorBidi"/>
        </w:rPr>
      </w:pPr>
      <w:r w:rsidRPr="00300C2B">
        <w:rPr>
          <w:rFonts w:asciiTheme="minorBidi" w:hAnsiTheme="minorBidi" w:cstheme="minorBidi"/>
          <w:b/>
          <w:bCs/>
        </w:rPr>
        <w:t>Sustainability Metrics</w:t>
      </w:r>
      <w:r w:rsidRPr="00300C2B">
        <w:rPr>
          <w:rFonts w:asciiTheme="minorBidi" w:hAnsiTheme="minorBidi" w:cstheme="minorBidi"/>
        </w:rPr>
        <w:t>: Estimates of project average waste percentages and recycled content ratios. Following guidelines on data governance, all proprietary information was anonymized, and researcher access was restricted via role-based permissions.</w:t>
      </w:r>
    </w:p>
    <w:p w14:paraId="37489964" w14:textId="77777777" w:rsidR="00300C2B" w:rsidRPr="00F66DBB" w:rsidRDefault="00300C2B" w:rsidP="00F66DBB">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Feature Engineering</w:t>
      </w:r>
    </w:p>
    <w:p w14:paraId="77315D74" w14:textId="77777777" w:rsidR="00300C2B" w:rsidRPr="0046030B" w:rsidRDefault="00300C2B" w:rsidP="0046030B">
      <w:pPr>
        <w:ind w:left="360"/>
        <w:rPr>
          <w:rFonts w:ascii="Arial" w:hAnsi="Arial" w:cs="Arial"/>
        </w:rPr>
      </w:pPr>
      <w:r w:rsidRPr="0046030B">
        <w:rPr>
          <w:rFonts w:ascii="Arial" w:hAnsi="Arial" w:cs="Arial"/>
        </w:rPr>
        <w:t>Both numeric and categorical features were standardized or encoded to maintain consistency. Examples include:</w:t>
      </w:r>
    </w:p>
    <w:p w14:paraId="3BDB256D"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Project Type Codes</w:t>
      </w:r>
      <w:r w:rsidRPr="00300C2B">
        <w:rPr>
          <w:rFonts w:asciiTheme="minorBidi" w:hAnsiTheme="minorBidi" w:cstheme="minorBidi"/>
        </w:rPr>
        <w:t xml:space="preserve"> (Infrastructure=1, Residential=2, Mixed=3).</w:t>
      </w:r>
    </w:p>
    <w:p w14:paraId="61378ADB"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Seasonal Effects</w:t>
      </w:r>
      <w:r w:rsidRPr="00300C2B">
        <w:rPr>
          <w:rFonts w:asciiTheme="minorBidi" w:hAnsiTheme="minorBidi" w:cstheme="minorBidi"/>
        </w:rPr>
        <w:t xml:space="preserve"> (month, precipitation patterns).</w:t>
      </w:r>
    </w:p>
    <w:p w14:paraId="2AD6DF9B" w14:textId="77777777" w:rsidR="00300C2B" w:rsidRPr="00300C2B" w:rsidRDefault="00300C2B" w:rsidP="00300C2B">
      <w:pPr>
        <w:numPr>
          <w:ilvl w:val="0"/>
          <w:numId w:val="41"/>
        </w:numPr>
        <w:tabs>
          <w:tab w:val="num" w:pos="852"/>
        </w:tabs>
        <w:autoSpaceDE w:val="0"/>
        <w:autoSpaceDN w:val="0"/>
        <w:spacing w:before="120"/>
        <w:ind w:left="1362"/>
        <w:jc w:val="both"/>
        <w:rPr>
          <w:rFonts w:asciiTheme="minorBidi" w:hAnsiTheme="minorBidi" w:cstheme="minorBidi"/>
        </w:rPr>
      </w:pPr>
      <w:r w:rsidRPr="00300C2B">
        <w:rPr>
          <w:rFonts w:asciiTheme="minorBidi" w:hAnsiTheme="minorBidi" w:cstheme="minorBidi"/>
          <w:b/>
          <w:bCs/>
        </w:rPr>
        <w:t>Environmental Metrics</w:t>
      </w:r>
      <w:r w:rsidRPr="00300C2B">
        <w:rPr>
          <w:rFonts w:asciiTheme="minorBidi" w:hAnsiTheme="minorBidi" w:cstheme="minorBidi"/>
        </w:rPr>
        <w:t xml:space="preserve"> scaled to 0–1, reflecting waste reduction potential.</w:t>
      </w:r>
    </w:p>
    <w:p w14:paraId="104D144E" w14:textId="77777777" w:rsidR="00300C2B" w:rsidRPr="00300C2B" w:rsidRDefault="00300C2B" w:rsidP="00F66DBB">
      <w:pPr>
        <w:pStyle w:val="Heading2"/>
        <w:numPr>
          <w:ilvl w:val="1"/>
          <w:numId w:val="38"/>
        </w:numPr>
        <w:ind w:left="360" w:hanging="360"/>
        <w:rPr>
          <w:rFonts w:asciiTheme="minorBidi" w:hAnsiTheme="minorBidi" w:cstheme="minorBidi"/>
          <w:sz w:val="20"/>
          <w:szCs w:val="20"/>
        </w:rPr>
      </w:pPr>
      <w:r w:rsidRPr="00F66DBB">
        <w:rPr>
          <w:rFonts w:asciiTheme="minorBidi" w:eastAsia="Times New Roman" w:hAnsiTheme="minorBidi" w:cstheme="minorBidi"/>
          <w:b/>
          <w:color w:val="auto"/>
          <w:sz w:val="20"/>
          <w:szCs w:val="20"/>
        </w:rPr>
        <w:t>Model Development</w:t>
      </w:r>
    </w:p>
    <w:p w14:paraId="7810A363" w14:textId="77777777" w:rsidR="00300C2B" w:rsidRDefault="00300C2B" w:rsidP="0046030B">
      <w:pPr>
        <w:ind w:left="360"/>
        <w:rPr>
          <w:rFonts w:ascii="Arial" w:hAnsi="Arial" w:cs="Arial"/>
        </w:rPr>
      </w:pPr>
      <w:r w:rsidRPr="0046030B">
        <w:rPr>
          <w:rFonts w:ascii="Arial" w:hAnsi="Arial" w:cs="Arial"/>
        </w:rPr>
        <w:t>A Random Forest Regressor was selected for its robustness against non-linearities and moderate interpretability. We implemented GridSearchCV to tune hyperparameters (max. depth, n-estimators, min. samples split) and used 10-fold cross-validation to confirm generalizability. Meanwhile, we ran parallel experiments with XGBoost for comparison. Although both performed well, Random Forest provided slightly more consistent R² results across multiple folds.</w:t>
      </w:r>
    </w:p>
    <w:p w14:paraId="7C45C5AB" w14:textId="77777777" w:rsidR="0046030B" w:rsidRPr="0046030B" w:rsidRDefault="0046030B" w:rsidP="0046030B">
      <w:pPr>
        <w:ind w:left="360"/>
        <w:rPr>
          <w:rFonts w:ascii="Arial" w:hAnsi="Arial" w:cs="Arial"/>
        </w:rPr>
      </w:pPr>
    </w:p>
    <w:p w14:paraId="31590FDE" w14:textId="77777777" w:rsidR="00300C2B" w:rsidRPr="00F66DBB" w:rsidRDefault="00300C2B" w:rsidP="00F66DBB">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Performance Metrics</w:t>
      </w:r>
    </w:p>
    <w:p w14:paraId="40C277B6"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R² Score:</w:t>
      </w:r>
      <w:r w:rsidRPr="0046030B">
        <w:rPr>
          <w:rFonts w:asciiTheme="minorBidi" w:hAnsiTheme="minorBidi" w:cstheme="minorBidi"/>
        </w:rPr>
        <w:t xml:space="preserve"> Reflects the model’s explanatory power for delays and resource usage.</w:t>
      </w:r>
    </w:p>
    <w:p w14:paraId="7F776691"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Mean Squared Error (MSE):</w:t>
      </w:r>
      <w:r w:rsidRPr="0046030B">
        <w:rPr>
          <w:rFonts w:asciiTheme="minorBidi" w:hAnsiTheme="minorBidi" w:cstheme="minorBidi"/>
        </w:rPr>
        <w:t xml:space="preserve"> Measures the average error magnitude (days or resource units).</w:t>
      </w:r>
    </w:p>
    <w:p w14:paraId="22A6C6A2" w14:textId="77777777" w:rsidR="00300C2B" w:rsidRPr="0046030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Scenario Analysis:</w:t>
      </w:r>
      <w:r w:rsidRPr="0046030B">
        <w:rPr>
          <w:rFonts w:asciiTheme="minorBidi" w:hAnsiTheme="minorBidi" w:cstheme="minorBidi"/>
        </w:rPr>
        <w:t xml:space="preserve"> Tests resilience under different scenarios.</w:t>
      </w:r>
    </w:p>
    <w:p w14:paraId="731EF55D" w14:textId="77777777" w:rsidR="00300C2B" w:rsidRDefault="00300C2B" w:rsidP="0046030B">
      <w:pPr>
        <w:numPr>
          <w:ilvl w:val="0"/>
          <w:numId w:val="42"/>
        </w:numPr>
        <w:tabs>
          <w:tab w:val="num" w:pos="200"/>
        </w:tabs>
        <w:autoSpaceDE w:val="0"/>
        <w:autoSpaceDN w:val="0"/>
        <w:spacing w:before="120"/>
        <w:ind w:left="720"/>
        <w:jc w:val="both"/>
        <w:rPr>
          <w:rFonts w:asciiTheme="minorBidi" w:hAnsiTheme="minorBidi" w:cstheme="minorBidi"/>
        </w:rPr>
      </w:pPr>
      <w:r w:rsidRPr="0046030B">
        <w:rPr>
          <w:rFonts w:asciiTheme="minorBidi" w:hAnsiTheme="minorBidi" w:cstheme="minorBidi"/>
          <w:b/>
          <w:bCs/>
        </w:rPr>
        <w:t>Residual Analysis:</w:t>
      </w:r>
      <w:r w:rsidRPr="0046030B">
        <w:rPr>
          <w:rFonts w:asciiTheme="minorBidi" w:hAnsiTheme="minorBidi" w:cstheme="minorBidi"/>
        </w:rPr>
        <w:t xml:space="preserve"> Ensures that the model does not exhibit systematic bias or autocorrelation in errors.</w:t>
      </w:r>
    </w:p>
    <w:p w14:paraId="38A958AD" w14:textId="77777777" w:rsidR="00D52FB5" w:rsidRDefault="00D52FB5" w:rsidP="00D52FB5">
      <w:pPr>
        <w:autoSpaceDE w:val="0"/>
        <w:autoSpaceDN w:val="0"/>
        <w:spacing w:before="120"/>
        <w:jc w:val="both"/>
        <w:rPr>
          <w:rFonts w:asciiTheme="minorBidi" w:hAnsiTheme="minorBidi" w:cstheme="minorBidi"/>
        </w:rPr>
      </w:pPr>
    </w:p>
    <w:p w14:paraId="0C0C1D65" w14:textId="77777777" w:rsidR="00D52FB5" w:rsidRPr="00D52FB5" w:rsidRDefault="00D52FB5" w:rsidP="00D52FB5">
      <w:pPr>
        <w:pStyle w:val="Heading2"/>
        <w:numPr>
          <w:ilvl w:val="1"/>
          <w:numId w:val="38"/>
        </w:numPr>
        <w:ind w:left="360" w:hanging="360"/>
        <w:rPr>
          <w:rFonts w:asciiTheme="minorBidi" w:eastAsia="Times New Roman" w:hAnsiTheme="minorBidi" w:cstheme="minorBidi"/>
          <w:b/>
          <w:color w:val="auto"/>
          <w:sz w:val="20"/>
          <w:szCs w:val="20"/>
        </w:rPr>
      </w:pPr>
      <w:r w:rsidRPr="00F66DBB">
        <w:rPr>
          <w:rFonts w:asciiTheme="minorBidi" w:eastAsia="Times New Roman" w:hAnsiTheme="minorBidi" w:cstheme="minorBidi"/>
          <w:b/>
          <w:color w:val="auto"/>
          <w:sz w:val="20"/>
          <w:szCs w:val="20"/>
        </w:rPr>
        <w:t>Implementation and Evaluation of the SPMC Tool</w:t>
      </w:r>
    </w:p>
    <w:p w14:paraId="5B152C31" w14:textId="72E28B1D" w:rsidR="00D52FB5" w:rsidRDefault="0082730B" w:rsidP="00D52FB5">
      <w:pPr>
        <w:autoSpaceDE w:val="0"/>
        <w:autoSpaceDN w:val="0"/>
        <w:spacing w:before="120"/>
        <w:jc w:val="both"/>
        <w:rPr>
          <w:rFonts w:asciiTheme="minorBidi" w:hAnsiTheme="minorBidi" w:cstheme="minorBidi"/>
        </w:rPr>
      </w:pPr>
      <w:r w:rsidRPr="001C2085">
        <w:rPr>
          <w:rFonts w:asciiTheme="minorBidi" w:hAnsiTheme="minorBidi" w:cstheme="minorBidi"/>
          <w:noProof/>
        </w:rPr>
        <w:drawing>
          <wp:anchor distT="0" distB="0" distL="114300" distR="114300" simplePos="0" relativeHeight="251689984" behindDoc="0" locked="0" layoutInCell="1" allowOverlap="1" wp14:anchorId="23BD590E" wp14:editId="54D21A3B">
            <wp:simplePos x="0" y="0"/>
            <wp:positionH relativeFrom="margin">
              <wp:posOffset>1729278</wp:posOffset>
            </wp:positionH>
            <wp:positionV relativeFrom="paragraph">
              <wp:posOffset>1824099</wp:posOffset>
            </wp:positionV>
            <wp:extent cx="3405505" cy="2261870"/>
            <wp:effectExtent l="0" t="0" r="0" b="0"/>
            <wp:wrapTopAndBottom/>
            <wp:docPr id="550131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5505"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FB5" w:rsidRPr="0046030B">
        <w:rPr>
          <w:rFonts w:ascii="Arial" w:hAnsi="Arial" w:cs="Arial"/>
        </w:rPr>
        <w:t xml:space="preserve">The Sustainable Project Management Construction (SPMC) tool is implemented through several interactive modules that handle data ingestion, preprocessing, model training, prediction, and reporting, all connected to a centralized database for reliable data handling. The user-friendly GUI built using Python’s Tkinter library enables project managers to upload site-specific data, trigger automated preprocessing routines, and run predictive analyses in real time. Upon submission, the system employs the trained Random Forest Regressor (optimized via </w:t>
      </w:r>
      <w:proofErr w:type="spellStart"/>
      <w:r w:rsidR="00D52FB5" w:rsidRPr="0046030B">
        <w:rPr>
          <w:rFonts w:ascii="Arial" w:hAnsi="Arial" w:cs="Arial"/>
        </w:rPr>
        <w:t>GridSearchCV</w:t>
      </w:r>
      <w:proofErr w:type="spellEnd"/>
      <w:r w:rsidR="00D52FB5" w:rsidRPr="0046030B">
        <w:rPr>
          <w:rFonts w:ascii="Arial" w:hAnsi="Arial" w:cs="Arial"/>
        </w:rPr>
        <w:t xml:space="preserve"> and cross-validation) to forecast project delays and resource utilization. After generating these predictions, it automatically compiles reports illustrating potential scheduling issues and sustainability indicators. The evaluation of SPMC covered 33 construction projects of varying size and scope; each dataset iteration underwent hyperparameter tuning and k-fold cross-validation to confirm performance stability. Through this workflow, the tool not only ensures accurate, data-driven recommendations but also maintains a seamless user experience, ultimately strengthening the efficiency and long-term durability of project management practices.</w:t>
      </w:r>
    </w:p>
    <w:p w14:paraId="4AAB2BD5" w14:textId="3AE15E11" w:rsidR="0082730B" w:rsidRPr="001C2085" w:rsidRDefault="0082730B" w:rsidP="0082730B">
      <w:pPr>
        <w:jc w:val="center"/>
        <w:rPr>
          <w:rFonts w:asciiTheme="minorBidi" w:hAnsiTheme="minorBidi" w:cstheme="minorBidi"/>
        </w:rPr>
      </w:pPr>
      <w:r w:rsidRPr="001C2085">
        <w:rPr>
          <w:rFonts w:asciiTheme="minorBidi" w:hAnsiTheme="minorBidi" w:cstheme="minorBidi"/>
          <w:b/>
          <w:bCs/>
          <w:szCs w:val="16"/>
        </w:rPr>
        <w:t>Figure 3:</w:t>
      </w:r>
      <w:r w:rsidRPr="001C2085">
        <w:rPr>
          <w:rFonts w:asciiTheme="minorBidi" w:hAnsiTheme="minorBidi" w:cstheme="minorBidi"/>
          <w:i/>
        </w:rPr>
        <w:t xml:space="preserve"> Predicted Delays vs Actual Delays</w:t>
      </w:r>
    </w:p>
    <w:p w14:paraId="514F533E" w14:textId="77777777" w:rsidR="0082730B" w:rsidRDefault="0082730B" w:rsidP="0082730B">
      <w:pPr>
        <w:autoSpaceDE w:val="0"/>
        <w:autoSpaceDN w:val="0"/>
        <w:spacing w:before="120"/>
        <w:jc w:val="center"/>
        <w:rPr>
          <w:rFonts w:asciiTheme="minorBidi" w:hAnsiTheme="minorBidi" w:cstheme="minorBidi"/>
        </w:rPr>
      </w:pPr>
    </w:p>
    <w:p w14:paraId="5630661F" w14:textId="77777777" w:rsidR="0082730B" w:rsidRDefault="0082730B" w:rsidP="00D52FB5">
      <w:pPr>
        <w:autoSpaceDE w:val="0"/>
        <w:autoSpaceDN w:val="0"/>
        <w:spacing w:before="120"/>
        <w:jc w:val="both"/>
        <w:rPr>
          <w:rFonts w:asciiTheme="minorBidi" w:hAnsiTheme="minorBidi" w:cstheme="minorBidi"/>
        </w:rPr>
      </w:pPr>
    </w:p>
    <w:tbl>
      <w:tblPr>
        <w:tblStyle w:val="TableGrid2"/>
        <w:tblW w:w="6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8"/>
      </w:tblGrid>
      <w:tr w:rsidR="001C2085" w14:paraId="11D87D74" w14:textId="77777777" w:rsidTr="0029302D">
        <w:trPr>
          <w:trHeight w:val="4394"/>
          <w:jc w:val="center"/>
        </w:trPr>
        <w:tc>
          <w:tcPr>
            <w:tcW w:w="6808" w:type="dxa"/>
          </w:tcPr>
          <w:p w14:paraId="6F510277" w14:textId="77777777" w:rsidR="001C2085" w:rsidRPr="0029302D" w:rsidRDefault="001C2085" w:rsidP="00BB54CE">
            <w:pPr>
              <w:pStyle w:val="Caption1"/>
              <w:spacing w:before="120"/>
              <w:ind w:left="-120"/>
              <w:jc w:val="center"/>
              <w:rPr>
                <w:rFonts w:asciiTheme="minorBidi" w:hAnsiTheme="minorBidi" w:cstheme="minorBidi"/>
                <w:i/>
                <w:sz w:val="20"/>
              </w:rPr>
            </w:pPr>
            <w:r w:rsidRPr="0029302D">
              <w:rPr>
                <w:rFonts w:asciiTheme="minorBidi" w:hAnsiTheme="minorBidi" w:cstheme="minorBidi"/>
                <w:b/>
                <w:bCs/>
                <w:noProof/>
                <w:sz w:val="20"/>
                <w:szCs w:val="16"/>
              </w:rPr>
              <w:drawing>
                <wp:anchor distT="0" distB="0" distL="114300" distR="114300" simplePos="0" relativeHeight="251667456" behindDoc="0" locked="0" layoutInCell="1" allowOverlap="1" wp14:anchorId="22AEF9FF" wp14:editId="1FD6301B">
                  <wp:simplePos x="0" y="0"/>
                  <wp:positionH relativeFrom="margin">
                    <wp:posOffset>415026</wp:posOffset>
                  </wp:positionH>
                  <wp:positionV relativeFrom="paragraph">
                    <wp:posOffset>23396</wp:posOffset>
                  </wp:positionV>
                  <wp:extent cx="3317875" cy="2204085"/>
                  <wp:effectExtent l="0" t="0" r="0" b="0"/>
                  <wp:wrapTopAndBottom/>
                  <wp:docPr id="1172821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7875" cy="220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02D">
              <w:rPr>
                <w:rFonts w:asciiTheme="minorBidi" w:hAnsiTheme="minorBidi" w:cstheme="minorBidi"/>
                <w:b/>
                <w:bCs/>
                <w:sz w:val="20"/>
                <w:szCs w:val="16"/>
                <w:lang w:eastAsia="cs-CZ"/>
              </w:rPr>
              <w:t>Figure 4:</w:t>
            </w:r>
            <w:r w:rsidRPr="0029302D">
              <w:rPr>
                <w:rFonts w:asciiTheme="minorBidi" w:hAnsiTheme="minorBidi" w:cstheme="minorBidi"/>
                <w:i/>
                <w:sz w:val="20"/>
              </w:rPr>
              <w:t xml:space="preserve"> </w:t>
            </w:r>
            <w:r w:rsidRPr="0082730B">
              <w:rPr>
                <w:rFonts w:asciiTheme="minorBidi" w:hAnsiTheme="minorBidi" w:cstheme="minorBidi"/>
                <w:iCs/>
                <w:sz w:val="20"/>
              </w:rPr>
              <w:t>Predicted Resource Utilization vs Actual Resource Utilization</w:t>
            </w:r>
          </w:p>
        </w:tc>
      </w:tr>
    </w:tbl>
    <w:p w14:paraId="08CDEFCF" w14:textId="77777777" w:rsidR="00D52FB5" w:rsidRPr="00D52FB5" w:rsidRDefault="00D52FB5" w:rsidP="00D52FB5"/>
    <w:p w14:paraId="60901F40" w14:textId="77777777" w:rsidR="0020586B" w:rsidRPr="009D6002" w:rsidRDefault="0020586B" w:rsidP="0020586B">
      <w:pPr>
        <w:pStyle w:val="Caption1"/>
        <w:spacing w:before="120"/>
        <w:ind w:left="1020"/>
        <w:jc w:val="center"/>
        <w:rPr>
          <w:i/>
          <w:sz w:val="20"/>
        </w:rPr>
      </w:pPr>
      <w:r w:rsidRPr="0020586B">
        <w:rPr>
          <w:b/>
          <w:bCs/>
          <w:i/>
          <w:sz w:val="20"/>
        </w:rPr>
        <w:t>Table 2:</w:t>
      </w:r>
      <w:r w:rsidRPr="009D6002">
        <w:rPr>
          <w:i/>
          <w:sz w:val="20"/>
        </w:rPr>
        <w:t xml:space="preserve"> </w:t>
      </w:r>
      <w:r w:rsidRPr="000241C7">
        <w:rPr>
          <w:iCs/>
          <w:sz w:val="20"/>
        </w:rPr>
        <w:t>Summary of the predicted and actual results</w:t>
      </w:r>
    </w:p>
    <w:tbl>
      <w:tblPr>
        <w:tblStyle w:val="TableGrid"/>
        <w:tblW w:w="0" w:type="auto"/>
        <w:tblInd w:w="90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070"/>
        <w:gridCol w:w="1800"/>
        <w:gridCol w:w="2340"/>
        <w:gridCol w:w="1602"/>
      </w:tblGrid>
      <w:tr w:rsidR="0020586B" w14:paraId="028A4312" w14:textId="77777777" w:rsidTr="000241C7">
        <w:tc>
          <w:tcPr>
            <w:tcW w:w="1188" w:type="dxa"/>
            <w:tcBorders>
              <w:top w:val="single" w:sz="12" w:space="0" w:color="auto"/>
              <w:bottom w:val="single" w:sz="4" w:space="0" w:color="auto"/>
            </w:tcBorders>
            <w:shd w:val="clear" w:color="auto" w:fill="D9D9D9" w:themeFill="background1" w:themeFillShade="D9"/>
            <w:vAlign w:val="center"/>
          </w:tcPr>
          <w:p w14:paraId="140BC780"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Project</w:t>
            </w:r>
          </w:p>
        </w:tc>
        <w:tc>
          <w:tcPr>
            <w:tcW w:w="2070" w:type="dxa"/>
            <w:tcBorders>
              <w:top w:val="single" w:sz="12" w:space="0" w:color="auto"/>
              <w:bottom w:val="single" w:sz="4" w:space="0" w:color="auto"/>
            </w:tcBorders>
            <w:shd w:val="clear" w:color="auto" w:fill="D9D9D9" w:themeFill="background1" w:themeFillShade="D9"/>
            <w:vAlign w:val="center"/>
          </w:tcPr>
          <w:p w14:paraId="22F12689"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Predicted Delay (days)</w:t>
            </w:r>
          </w:p>
        </w:tc>
        <w:tc>
          <w:tcPr>
            <w:tcW w:w="1800" w:type="dxa"/>
            <w:tcBorders>
              <w:top w:val="single" w:sz="12" w:space="0" w:color="auto"/>
              <w:bottom w:val="single" w:sz="4" w:space="0" w:color="auto"/>
            </w:tcBorders>
            <w:shd w:val="clear" w:color="auto" w:fill="D9D9D9" w:themeFill="background1" w:themeFillShade="D9"/>
            <w:vAlign w:val="center"/>
          </w:tcPr>
          <w:p w14:paraId="18600F9E"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Actual Delay (days)</w:t>
            </w:r>
          </w:p>
        </w:tc>
        <w:tc>
          <w:tcPr>
            <w:tcW w:w="2340" w:type="dxa"/>
            <w:tcBorders>
              <w:top w:val="single" w:sz="12" w:space="0" w:color="auto"/>
              <w:bottom w:val="single" w:sz="4" w:space="0" w:color="auto"/>
            </w:tcBorders>
            <w:shd w:val="clear" w:color="auto" w:fill="D9D9D9" w:themeFill="background1" w:themeFillShade="D9"/>
            <w:vAlign w:val="center"/>
          </w:tcPr>
          <w:p w14:paraId="3843DC91"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Predicted Resource Utilization (%)</w:t>
            </w:r>
          </w:p>
        </w:tc>
        <w:tc>
          <w:tcPr>
            <w:tcW w:w="1602" w:type="dxa"/>
            <w:tcBorders>
              <w:top w:val="single" w:sz="12" w:space="0" w:color="auto"/>
              <w:bottom w:val="single" w:sz="4" w:space="0" w:color="auto"/>
            </w:tcBorders>
            <w:shd w:val="clear" w:color="auto" w:fill="D9D9D9" w:themeFill="background1" w:themeFillShade="D9"/>
            <w:vAlign w:val="center"/>
          </w:tcPr>
          <w:p w14:paraId="1E717B0C" w14:textId="77777777" w:rsidR="0020586B" w:rsidRPr="000241C7" w:rsidRDefault="0020586B" w:rsidP="00BB54CE">
            <w:pPr>
              <w:pStyle w:val="table-text"/>
              <w:spacing w:after="0"/>
              <w:jc w:val="center"/>
              <w:rPr>
                <w:rFonts w:asciiTheme="minorBidi" w:hAnsiTheme="minorBidi" w:cstheme="minorBidi"/>
                <w:b/>
                <w:bCs/>
                <w:sz w:val="20"/>
                <w:szCs w:val="20"/>
              </w:rPr>
            </w:pPr>
            <w:r w:rsidRPr="000241C7">
              <w:rPr>
                <w:rFonts w:asciiTheme="minorBidi" w:hAnsiTheme="minorBidi" w:cstheme="minorBidi"/>
                <w:b/>
                <w:bCs/>
                <w:sz w:val="20"/>
                <w:szCs w:val="20"/>
              </w:rPr>
              <w:t>Actual Resource Utilization (%)</w:t>
            </w:r>
          </w:p>
        </w:tc>
      </w:tr>
      <w:tr w:rsidR="0020586B" w14:paraId="5930615C" w14:textId="77777777" w:rsidTr="000241C7">
        <w:tc>
          <w:tcPr>
            <w:tcW w:w="1188" w:type="dxa"/>
            <w:tcBorders>
              <w:top w:val="single" w:sz="4" w:space="0" w:color="auto"/>
            </w:tcBorders>
          </w:tcPr>
          <w:p w14:paraId="0D3BB680"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A</w:t>
            </w:r>
          </w:p>
        </w:tc>
        <w:tc>
          <w:tcPr>
            <w:tcW w:w="2070" w:type="dxa"/>
            <w:tcBorders>
              <w:top w:val="single" w:sz="4" w:space="0" w:color="auto"/>
            </w:tcBorders>
          </w:tcPr>
          <w:p w14:paraId="46D4FF6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10</w:t>
            </w:r>
          </w:p>
        </w:tc>
        <w:tc>
          <w:tcPr>
            <w:tcW w:w="1800" w:type="dxa"/>
            <w:tcBorders>
              <w:top w:val="single" w:sz="4" w:space="0" w:color="auto"/>
            </w:tcBorders>
          </w:tcPr>
          <w:p w14:paraId="7456038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12</w:t>
            </w:r>
          </w:p>
        </w:tc>
        <w:tc>
          <w:tcPr>
            <w:tcW w:w="2340" w:type="dxa"/>
            <w:tcBorders>
              <w:top w:val="single" w:sz="4" w:space="0" w:color="auto"/>
            </w:tcBorders>
          </w:tcPr>
          <w:p w14:paraId="22D1E753"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c>
          <w:tcPr>
            <w:tcW w:w="1602" w:type="dxa"/>
            <w:tcBorders>
              <w:top w:val="single" w:sz="4" w:space="0" w:color="auto"/>
            </w:tcBorders>
          </w:tcPr>
          <w:p w14:paraId="69A4251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83</w:t>
            </w:r>
          </w:p>
        </w:tc>
      </w:tr>
      <w:tr w:rsidR="0020586B" w14:paraId="34C7B48B" w14:textId="77777777" w:rsidTr="000241C7">
        <w:tc>
          <w:tcPr>
            <w:tcW w:w="1188" w:type="dxa"/>
          </w:tcPr>
          <w:p w14:paraId="3013FD7C"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B</w:t>
            </w:r>
          </w:p>
        </w:tc>
        <w:tc>
          <w:tcPr>
            <w:tcW w:w="2070" w:type="dxa"/>
          </w:tcPr>
          <w:p w14:paraId="09F0499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15</w:t>
            </w:r>
          </w:p>
        </w:tc>
        <w:tc>
          <w:tcPr>
            <w:tcW w:w="1800" w:type="dxa"/>
          </w:tcPr>
          <w:p w14:paraId="624369D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18</w:t>
            </w:r>
          </w:p>
        </w:tc>
        <w:tc>
          <w:tcPr>
            <w:tcW w:w="2340" w:type="dxa"/>
          </w:tcPr>
          <w:p w14:paraId="4F4023F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90</w:t>
            </w:r>
          </w:p>
        </w:tc>
        <w:tc>
          <w:tcPr>
            <w:tcW w:w="1602" w:type="dxa"/>
          </w:tcPr>
          <w:p w14:paraId="6AB1744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92</w:t>
            </w:r>
          </w:p>
        </w:tc>
      </w:tr>
      <w:tr w:rsidR="0020586B" w14:paraId="4EB5082D" w14:textId="77777777" w:rsidTr="000241C7">
        <w:tc>
          <w:tcPr>
            <w:tcW w:w="1188" w:type="dxa"/>
          </w:tcPr>
          <w:p w14:paraId="6C661B0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C</w:t>
            </w:r>
          </w:p>
        </w:tc>
        <w:tc>
          <w:tcPr>
            <w:tcW w:w="2070" w:type="dxa"/>
          </w:tcPr>
          <w:p w14:paraId="2427AFE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5</w:t>
            </w:r>
          </w:p>
        </w:tc>
        <w:tc>
          <w:tcPr>
            <w:tcW w:w="1800" w:type="dxa"/>
          </w:tcPr>
          <w:p w14:paraId="21946BD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3</w:t>
            </w:r>
          </w:p>
        </w:tc>
        <w:tc>
          <w:tcPr>
            <w:tcW w:w="2340" w:type="dxa"/>
          </w:tcPr>
          <w:p w14:paraId="55FADE8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75</w:t>
            </w:r>
          </w:p>
        </w:tc>
        <w:tc>
          <w:tcPr>
            <w:tcW w:w="1602" w:type="dxa"/>
          </w:tcPr>
          <w:p w14:paraId="14384B7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70</w:t>
            </w:r>
          </w:p>
        </w:tc>
      </w:tr>
      <w:tr w:rsidR="0020586B" w14:paraId="3C5BED89" w14:textId="77777777" w:rsidTr="000241C7">
        <w:tc>
          <w:tcPr>
            <w:tcW w:w="1188" w:type="dxa"/>
          </w:tcPr>
          <w:p w14:paraId="1207734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D</w:t>
            </w:r>
          </w:p>
        </w:tc>
        <w:tc>
          <w:tcPr>
            <w:tcW w:w="2070" w:type="dxa"/>
          </w:tcPr>
          <w:p w14:paraId="42DF195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20</w:t>
            </w:r>
          </w:p>
        </w:tc>
        <w:tc>
          <w:tcPr>
            <w:tcW w:w="1800" w:type="dxa"/>
          </w:tcPr>
          <w:p w14:paraId="03DC7D5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22</w:t>
            </w:r>
          </w:p>
        </w:tc>
        <w:tc>
          <w:tcPr>
            <w:tcW w:w="2340" w:type="dxa"/>
          </w:tcPr>
          <w:p w14:paraId="3CC259A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88</w:t>
            </w:r>
          </w:p>
        </w:tc>
        <w:tc>
          <w:tcPr>
            <w:tcW w:w="1602" w:type="dxa"/>
          </w:tcPr>
          <w:p w14:paraId="06F6926C"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r>
      <w:tr w:rsidR="0020586B" w14:paraId="7BD9B19B" w14:textId="77777777" w:rsidTr="000241C7">
        <w:tc>
          <w:tcPr>
            <w:tcW w:w="1188" w:type="dxa"/>
          </w:tcPr>
          <w:p w14:paraId="2DB4725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E</w:t>
            </w:r>
          </w:p>
        </w:tc>
        <w:tc>
          <w:tcPr>
            <w:tcW w:w="2070" w:type="dxa"/>
          </w:tcPr>
          <w:p w14:paraId="7E94529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w:t>
            </w:r>
          </w:p>
        </w:tc>
        <w:tc>
          <w:tcPr>
            <w:tcW w:w="1800" w:type="dxa"/>
          </w:tcPr>
          <w:p w14:paraId="1B307D63"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6</w:t>
            </w:r>
          </w:p>
        </w:tc>
        <w:tc>
          <w:tcPr>
            <w:tcW w:w="2340" w:type="dxa"/>
          </w:tcPr>
          <w:p w14:paraId="2E470A6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80</w:t>
            </w:r>
          </w:p>
        </w:tc>
        <w:tc>
          <w:tcPr>
            <w:tcW w:w="1602" w:type="dxa"/>
          </w:tcPr>
          <w:p w14:paraId="76678156"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78</w:t>
            </w:r>
          </w:p>
        </w:tc>
      </w:tr>
      <w:tr w:rsidR="0020586B" w14:paraId="20A7EF13" w14:textId="77777777" w:rsidTr="000241C7">
        <w:tc>
          <w:tcPr>
            <w:tcW w:w="1188" w:type="dxa"/>
          </w:tcPr>
          <w:p w14:paraId="697F80C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F</w:t>
            </w:r>
          </w:p>
        </w:tc>
        <w:tc>
          <w:tcPr>
            <w:tcW w:w="2070" w:type="dxa"/>
          </w:tcPr>
          <w:p w14:paraId="5B7BC9F9"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12</w:t>
            </w:r>
          </w:p>
        </w:tc>
        <w:tc>
          <w:tcPr>
            <w:tcW w:w="1800" w:type="dxa"/>
          </w:tcPr>
          <w:p w14:paraId="37004F71"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14</w:t>
            </w:r>
          </w:p>
        </w:tc>
        <w:tc>
          <w:tcPr>
            <w:tcW w:w="2340" w:type="dxa"/>
          </w:tcPr>
          <w:p w14:paraId="21F470CD"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82</w:t>
            </w:r>
          </w:p>
        </w:tc>
        <w:tc>
          <w:tcPr>
            <w:tcW w:w="1602" w:type="dxa"/>
          </w:tcPr>
          <w:p w14:paraId="39983EA4"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84</w:t>
            </w:r>
          </w:p>
        </w:tc>
      </w:tr>
      <w:tr w:rsidR="0020586B" w14:paraId="29E434BD" w14:textId="77777777" w:rsidTr="000241C7">
        <w:tc>
          <w:tcPr>
            <w:tcW w:w="1188" w:type="dxa"/>
            <w:tcBorders>
              <w:bottom w:val="single" w:sz="12" w:space="0" w:color="auto"/>
            </w:tcBorders>
          </w:tcPr>
          <w:p w14:paraId="658B690B"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Project G</w:t>
            </w:r>
          </w:p>
        </w:tc>
        <w:tc>
          <w:tcPr>
            <w:tcW w:w="2070" w:type="dxa"/>
            <w:tcBorders>
              <w:bottom w:val="single" w:sz="12" w:space="0" w:color="auto"/>
            </w:tcBorders>
          </w:tcPr>
          <w:p w14:paraId="3049AD3A"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9</w:t>
            </w:r>
          </w:p>
        </w:tc>
        <w:tc>
          <w:tcPr>
            <w:tcW w:w="1800" w:type="dxa"/>
            <w:tcBorders>
              <w:bottom w:val="single" w:sz="12" w:space="0" w:color="auto"/>
            </w:tcBorders>
          </w:tcPr>
          <w:p w14:paraId="158768EF"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10</w:t>
            </w:r>
          </w:p>
        </w:tc>
        <w:tc>
          <w:tcPr>
            <w:tcW w:w="2340" w:type="dxa"/>
            <w:tcBorders>
              <w:bottom w:val="single" w:sz="12" w:space="0" w:color="auto"/>
            </w:tcBorders>
          </w:tcPr>
          <w:p w14:paraId="06D14AA8"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87</w:t>
            </w:r>
          </w:p>
        </w:tc>
        <w:tc>
          <w:tcPr>
            <w:tcW w:w="1602" w:type="dxa"/>
            <w:tcBorders>
              <w:bottom w:val="single" w:sz="12" w:space="0" w:color="auto"/>
            </w:tcBorders>
          </w:tcPr>
          <w:p w14:paraId="2629BA7E" w14:textId="77777777" w:rsidR="0020586B" w:rsidRPr="000241C7" w:rsidRDefault="0020586B" w:rsidP="00BB54CE">
            <w:pPr>
              <w:pStyle w:val="table-text"/>
              <w:spacing w:after="0"/>
              <w:jc w:val="center"/>
              <w:rPr>
                <w:rFonts w:asciiTheme="minorBidi" w:hAnsiTheme="minorBidi" w:cstheme="minorBidi"/>
                <w:sz w:val="20"/>
                <w:szCs w:val="20"/>
              </w:rPr>
            </w:pPr>
            <w:r w:rsidRPr="000241C7">
              <w:rPr>
                <w:rFonts w:asciiTheme="minorBidi" w:hAnsiTheme="minorBidi" w:cstheme="minorBidi"/>
                <w:sz w:val="20"/>
                <w:szCs w:val="20"/>
              </w:rPr>
              <w:t>85</w:t>
            </w:r>
          </w:p>
        </w:tc>
      </w:tr>
    </w:tbl>
    <w:p w14:paraId="32C7FCA5" w14:textId="77777777" w:rsidR="0020586B" w:rsidRDefault="0020586B" w:rsidP="0020586B"/>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20586B" w14:paraId="11B4645A" w14:textId="77777777" w:rsidTr="00BB54CE">
        <w:tc>
          <w:tcPr>
            <w:tcW w:w="9000" w:type="dxa"/>
          </w:tcPr>
          <w:p w14:paraId="3D341272" w14:textId="77777777" w:rsidR="0020586B" w:rsidRPr="0020586B" w:rsidRDefault="0020586B" w:rsidP="00BB54CE">
            <w:pPr>
              <w:jc w:val="center"/>
              <w:rPr>
                <w:rFonts w:asciiTheme="minorBidi" w:hAnsiTheme="minorBidi" w:cstheme="minorBidi"/>
                <w:i/>
                <w:sz w:val="20"/>
              </w:rPr>
            </w:pPr>
            <w:r w:rsidRPr="0020586B">
              <w:rPr>
                <w:rFonts w:asciiTheme="minorBidi" w:hAnsiTheme="minorBidi" w:cstheme="minorBidi"/>
                <w:b/>
                <w:bCs/>
                <w:iCs/>
                <w:noProof/>
              </w:rPr>
              <w:drawing>
                <wp:anchor distT="0" distB="0" distL="114300" distR="114300" simplePos="0" relativeHeight="251670528" behindDoc="0" locked="0" layoutInCell="1" allowOverlap="1" wp14:anchorId="07CE566B" wp14:editId="450CBD0C">
                  <wp:simplePos x="0" y="0"/>
                  <wp:positionH relativeFrom="margin">
                    <wp:posOffset>512445</wp:posOffset>
                  </wp:positionH>
                  <wp:positionV relativeFrom="paragraph">
                    <wp:posOffset>31750</wp:posOffset>
                  </wp:positionV>
                  <wp:extent cx="4559300" cy="3568700"/>
                  <wp:effectExtent l="0" t="0" r="0" b="0"/>
                  <wp:wrapTopAndBottom/>
                  <wp:docPr id="1708029717" name="Picture 6"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29717" name="Picture 6" descr="A screenshot of a graph&#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59300" cy="356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586B">
              <w:rPr>
                <w:rFonts w:asciiTheme="minorBidi" w:hAnsiTheme="minorBidi" w:cstheme="minorBidi"/>
                <w:b/>
                <w:bCs/>
                <w:iCs/>
                <w:sz w:val="20"/>
              </w:rPr>
              <w:t>Figure 5:</w:t>
            </w:r>
            <w:r w:rsidRPr="0020586B">
              <w:rPr>
                <w:rFonts w:asciiTheme="minorBidi" w:hAnsiTheme="minorBidi" w:cstheme="minorBidi"/>
                <w:i/>
                <w:sz w:val="20"/>
              </w:rPr>
              <w:t xml:space="preserve"> </w:t>
            </w:r>
            <w:r w:rsidRPr="0082730B">
              <w:rPr>
                <w:rFonts w:asciiTheme="minorBidi" w:hAnsiTheme="minorBidi" w:cstheme="minorBidi"/>
                <w:iCs/>
                <w:sz w:val="20"/>
              </w:rPr>
              <w:t>Summary of the predicted and actual results</w:t>
            </w:r>
          </w:p>
        </w:tc>
      </w:tr>
    </w:tbl>
    <w:p w14:paraId="507A885E" w14:textId="77777777" w:rsidR="0020586B" w:rsidRDefault="0020586B" w:rsidP="0020586B"/>
    <w:p w14:paraId="38BA24BC" w14:textId="77777777" w:rsidR="0075300E" w:rsidRPr="0075300E" w:rsidRDefault="0075300E" w:rsidP="0075300E">
      <w:pPr>
        <w:pStyle w:val="Heading2"/>
        <w:numPr>
          <w:ilvl w:val="1"/>
          <w:numId w:val="38"/>
        </w:numPr>
        <w:ind w:left="360" w:hanging="360"/>
        <w:rPr>
          <w:rFonts w:asciiTheme="minorBidi" w:eastAsia="Times New Roman" w:hAnsiTheme="minorBidi" w:cstheme="minorBidi"/>
          <w:b/>
          <w:color w:val="auto"/>
          <w:sz w:val="20"/>
          <w:szCs w:val="20"/>
        </w:rPr>
      </w:pPr>
      <w:r w:rsidRPr="0075300E">
        <w:rPr>
          <w:rFonts w:asciiTheme="minorBidi" w:eastAsia="Times New Roman" w:hAnsiTheme="minorBidi" w:cstheme="minorBidi"/>
          <w:b/>
          <w:color w:val="auto"/>
          <w:sz w:val="20"/>
          <w:szCs w:val="20"/>
        </w:rPr>
        <w:lastRenderedPageBreak/>
        <w:t>Model Validation</w:t>
      </w:r>
    </w:p>
    <w:p w14:paraId="5820030F" w14:textId="77777777" w:rsidR="0075300E" w:rsidRDefault="0075300E" w:rsidP="0075300E">
      <w:pPr>
        <w:autoSpaceDE w:val="0"/>
        <w:autoSpaceDN w:val="0"/>
        <w:spacing w:before="120"/>
        <w:jc w:val="both"/>
        <w:rPr>
          <w:rFonts w:ascii="Arial" w:hAnsi="Arial" w:cs="Arial"/>
        </w:rPr>
      </w:pPr>
      <w:r w:rsidRPr="0075300E">
        <w:rPr>
          <w:rFonts w:ascii="Arial" w:hAnsi="Arial" w:cs="Arial"/>
        </w:rPr>
        <w:t>To thoroughly evaluate the SPMC model’s capabilities, we conducted a sequence of rigorous validation procedures, each supported by detailed metrics and visualizations. This multi-step approach enables a comprehensive examination of the tool’s predictive performance under various conditions and ensures that potential shortcomings are identified and addressed. By demonstrating how the model behaves in diverse contexts, these validation steps not only build confidence in its accuracy but also illustrate its applicability to real-world construction management scenarios.</w:t>
      </w:r>
    </w:p>
    <w:p w14:paraId="503EB008" w14:textId="77777777" w:rsidR="0075300E" w:rsidRPr="0075300E" w:rsidRDefault="0075300E" w:rsidP="0075300E">
      <w:pPr>
        <w:autoSpaceDE w:val="0"/>
        <w:autoSpaceDN w:val="0"/>
        <w:spacing w:before="120"/>
        <w:jc w:val="both"/>
        <w:rPr>
          <w:rFonts w:ascii="Arial" w:hAnsi="Arial" w:cs="Arial"/>
        </w:rPr>
      </w:pPr>
    </w:p>
    <w:p w14:paraId="5F222A38" w14:textId="77777777" w:rsidR="0075300E" w:rsidRPr="0075300E" w:rsidRDefault="0075300E" w:rsidP="0075300E">
      <w:pPr>
        <w:pStyle w:val="Heading2"/>
        <w:numPr>
          <w:ilvl w:val="1"/>
          <w:numId w:val="38"/>
        </w:numPr>
        <w:ind w:left="360" w:hanging="360"/>
        <w:rPr>
          <w:rFonts w:asciiTheme="minorBidi" w:eastAsia="Times New Roman" w:hAnsiTheme="minorBidi" w:cstheme="minorBidi"/>
          <w:b/>
          <w:color w:val="auto"/>
          <w:sz w:val="20"/>
          <w:szCs w:val="20"/>
        </w:rPr>
      </w:pPr>
      <w:r w:rsidRPr="0075300E">
        <w:rPr>
          <w:rFonts w:asciiTheme="minorBidi" w:eastAsia="Times New Roman" w:hAnsiTheme="minorBidi" w:cstheme="minorBidi"/>
          <w:b/>
          <w:color w:val="auto"/>
          <w:sz w:val="20"/>
          <w:szCs w:val="20"/>
        </w:rPr>
        <w:t>Cross-validation</w:t>
      </w:r>
    </w:p>
    <w:p w14:paraId="3CBA8308" w14:textId="7854A0FF" w:rsidR="0075300E" w:rsidRPr="0075300E" w:rsidRDefault="007C494A" w:rsidP="0075300E">
      <w:pPr>
        <w:autoSpaceDE w:val="0"/>
        <w:autoSpaceDN w:val="0"/>
        <w:spacing w:before="120"/>
        <w:jc w:val="both"/>
        <w:rPr>
          <w:rFonts w:ascii="Arial" w:hAnsi="Arial" w:cs="Arial"/>
        </w:rPr>
      </w:pPr>
      <w:r w:rsidRPr="00CE2648">
        <w:rPr>
          <w:rFonts w:asciiTheme="minorBidi" w:hAnsiTheme="minorBidi" w:cstheme="minorBidi"/>
          <w:b/>
          <w:bCs/>
          <w:iCs/>
          <w:noProof/>
          <w:sz w:val="24"/>
          <w:szCs w:val="24"/>
        </w:rPr>
        <w:drawing>
          <wp:anchor distT="0" distB="0" distL="114300" distR="114300" simplePos="0" relativeHeight="251676672" behindDoc="0" locked="0" layoutInCell="1" allowOverlap="1" wp14:anchorId="7CD98DF5" wp14:editId="6A75352D">
            <wp:simplePos x="0" y="0"/>
            <wp:positionH relativeFrom="margin">
              <wp:posOffset>1432074</wp:posOffset>
            </wp:positionH>
            <wp:positionV relativeFrom="paragraph">
              <wp:posOffset>976251</wp:posOffset>
            </wp:positionV>
            <wp:extent cx="3998595" cy="2548890"/>
            <wp:effectExtent l="0" t="0" r="0" b="0"/>
            <wp:wrapTopAndBottom/>
            <wp:docPr id="1425991866" name="Picture 8"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91866" name="Picture 8" descr="A graph of a bar graph&#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254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00E" w:rsidRPr="0075300E">
        <w:rPr>
          <w:rFonts w:ascii="Arial" w:hAnsi="Arial" w:cs="Arial"/>
        </w:rPr>
        <w:t>One pivotal element of our validation strategy is k-fold cross-validation, a widely recognized method for assessing model robustness. This process partitions the dataset into k distinct folds, using one fold at a time for testing while training on the remaining folds. Iterating through each fold provides a well-rounded perspective on how the model performs across different segments of the data, thereby reducing the likelihood of overfitting to any single subset. In our case, we tracked R² scores for each fold, visually depicting both the average value and the standard deviation. This granular analysis confirms that the model can generalize reliably across varied subsets of construction projects.</w:t>
      </w:r>
    </w:p>
    <w:p w14:paraId="54272594" w14:textId="1CB21ECF" w:rsidR="00114207" w:rsidRPr="00CE2648" w:rsidRDefault="00114207" w:rsidP="00A37214">
      <w:pPr>
        <w:pStyle w:val="Caption1"/>
        <w:spacing w:before="120"/>
        <w:ind w:left="90"/>
        <w:jc w:val="center"/>
        <w:rPr>
          <w:rFonts w:asciiTheme="minorBidi" w:hAnsiTheme="minorBidi" w:cstheme="minorBidi"/>
          <w:b/>
          <w:i/>
          <w:caps/>
          <w:sz w:val="20"/>
        </w:rPr>
      </w:pPr>
      <w:r w:rsidRPr="00CE2648">
        <w:rPr>
          <w:rFonts w:asciiTheme="minorBidi" w:hAnsiTheme="minorBidi" w:cstheme="minorBidi"/>
          <w:b/>
          <w:bCs/>
          <w:iCs/>
          <w:sz w:val="20"/>
        </w:rPr>
        <w:t>Figure 6:</w:t>
      </w:r>
      <w:r w:rsidRPr="00CE2648">
        <w:rPr>
          <w:rFonts w:asciiTheme="minorBidi" w:hAnsiTheme="minorBidi" w:cstheme="minorBidi"/>
          <w:i/>
          <w:sz w:val="20"/>
        </w:rPr>
        <w:t xml:space="preserve"> </w:t>
      </w:r>
      <w:r w:rsidRPr="007C494A">
        <w:rPr>
          <w:rFonts w:asciiTheme="minorBidi" w:hAnsiTheme="minorBidi" w:cstheme="minorBidi"/>
          <w:iCs/>
          <w:sz w:val="20"/>
        </w:rPr>
        <w:t>Cross Validation</w:t>
      </w:r>
    </w:p>
    <w:p w14:paraId="456E7E2D" w14:textId="77777777" w:rsidR="00604FA3" w:rsidRPr="00604FA3" w:rsidRDefault="00604FA3" w:rsidP="00604FA3">
      <w:pPr>
        <w:pStyle w:val="Heading2"/>
        <w:numPr>
          <w:ilvl w:val="1"/>
          <w:numId w:val="38"/>
        </w:numPr>
        <w:ind w:left="360" w:hanging="360"/>
        <w:rPr>
          <w:rFonts w:asciiTheme="minorBidi" w:eastAsia="Times New Roman" w:hAnsiTheme="minorBidi" w:cstheme="minorBidi"/>
          <w:b/>
          <w:color w:val="auto"/>
          <w:sz w:val="20"/>
          <w:szCs w:val="20"/>
        </w:rPr>
      </w:pPr>
      <w:r w:rsidRPr="00604FA3">
        <w:rPr>
          <w:rFonts w:asciiTheme="minorBidi" w:eastAsia="Times New Roman" w:hAnsiTheme="minorBidi" w:cstheme="minorBidi"/>
          <w:b/>
          <w:color w:val="auto"/>
          <w:sz w:val="20"/>
          <w:szCs w:val="20"/>
        </w:rPr>
        <w:t>Statistical Significance Testing</w:t>
      </w:r>
    </w:p>
    <w:p w14:paraId="3AEB5AAA" w14:textId="77777777" w:rsidR="00604FA3" w:rsidRDefault="00604FA3" w:rsidP="00604FA3">
      <w:pPr>
        <w:autoSpaceDE w:val="0"/>
        <w:autoSpaceDN w:val="0"/>
        <w:spacing w:before="120"/>
        <w:jc w:val="both"/>
        <w:rPr>
          <w:rFonts w:ascii="Arial" w:hAnsi="Arial" w:cs="Arial"/>
        </w:rPr>
      </w:pPr>
      <w:r w:rsidRPr="00604FA3">
        <w:rPr>
          <w:rFonts w:ascii="Arial" w:hAnsi="Arial" w:cs="Arial"/>
        </w:rPr>
        <w:t>To determine whether the SPMC model’s predictions are statistically robust, we performed a paired t-test comparing the predicted values to the actual observed outcomes. By examining the t-statistic and corresponding p-value, we assessed the likelihood that the observed prediction accuracies occurred by chance. We present these findings alongside bar charts depicting the mean and confidence intervals for both projected and actual values, providing a clear visual differentiation. This statistical approach enhances our confidence that the model’s performance is not only consistent but also meaningful from a rigorous analytical standpoint.</w:t>
      </w:r>
    </w:p>
    <w:p w14:paraId="5591EC5B" w14:textId="77777777" w:rsidR="00CE2648" w:rsidRPr="00604FA3" w:rsidRDefault="00CE2648" w:rsidP="00604FA3">
      <w:pPr>
        <w:autoSpaceDE w:val="0"/>
        <w:autoSpaceDN w:val="0"/>
        <w:spacing w:before="120"/>
        <w:jc w:val="both"/>
        <w:rPr>
          <w:rFonts w:ascii="Arial" w:hAnsi="Arial" w:cs="Arial"/>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604FA3" w14:paraId="540D7FB3" w14:textId="77777777" w:rsidTr="00BB54CE">
        <w:tc>
          <w:tcPr>
            <w:tcW w:w="10456" w:type="dxa"/>
          </w:tcPr>
          <w:p w14:paraId="72020F2F" w14:textId="77777777" w:rsidR="00604FA3" w:rsidRPr="00CE2648" w:rsidRDefault="00604FA3" w:rsidP="00BB54CE">
            <w:pPr>
              <w:pStyle w:val="Caption1"/>
              <w:spacing w:before="120"/>
              <w:ind w:left="90"/>
              <w:jc w:val="center"/>
              <w:rPr>
                <w:rFonts w:asciiTheme="minorBidi" w:hAnsiTheme="minorBidi" w:cstheme="minorBidi"/>
                <w:i/>
                <w:sz w:val="20"/>
              </w:rPr>
            </w:pPr>
            <w:r w:rsidRPr="00CE2648">
              <w:rPr>
                <w:rFonts w:asciiTheme="minorBidi" w:hAnsiTheme="minorBidi" w:cstheme="minorBidi"/>
                <w:b/>
                <w:bCs/>
                <w:iCs/>
                <w:noProof/>
                <w:color w:val="C00000"/>
                <w:sz w:val="24"/>
                <w:szCs w:val="24"/>
              </w:rPr>
              <w:lastRenderedPageBreak/>
              <w:drawing>
                <wp:anchor distT="0" distB="0" distL="114300" distR="114300" simplePos="0" relativeHeight="251679744" behindDoc="0" locked="0" layoutInCell="1" allowOverlap="1" wp14:anchorId="07061DFA" wp14:editId="3F025705">
                  <wp:simplePos x="0" y="0"/>
                  <wp:positionH relativeFrom="margin">
                    <wp:posOffset>1015637</wp:posOffset>
                  </wp:positionH>
                  <wp:positionV relativeFrom="paragraph">
                    <wp:posOffset>126720</wp:posOffset>
                  </wp:positionV>
                  <wp:extent cx="3810000" cy="2426970"/>
                  <wp:effectExtent l="0" t="0" r="0" b="0"/>
                  <wp:wrapTopAndBottom/>
                  <wp:docPr id="1717725203" name="Picture 9" descr="A red and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5203" name="Picture 9" descr="A red and blue square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0" cy="242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7:</w:t>
            </w:r>
            <w:r w:rsidRPr="00CE2648">
              <w:rPr>
                <w:rFonts w:asciiTheme="minorBidi" w:hAnsiTheme="minorBidi" w:cstheme="minorBidi"/>
                <w:i/>
                <w:sz w:val="20"/>
              </w:rPr>
              <w:t xml:space="preserve"> </w:t>
            </w:r>
            <w:r w:rsidRPr="007C494A">
              <w:rPr>
                <w:rFonts w:asciiTheme="minorBidi" w:hAnsiTheme="minorBidi" w:cstheme="minorBidi"/>
                <w:iCs/>
                <w:sz w:val="20"/>
              </w:rPr>
              <w:t>Statistical Significance Testing</w:t>
            </w:r>
          </w:p>
        </w:tc>
      </w:tr>
    </w:tbl>
    <w:p w14:paraId="24E8D929" w14:textId="77777777" w:rsidR="00604FA3" w:rsidRPr="00A14827" w:rsidRDefault="00604FA3" w:rsidP="00604FA3">
      <w:pPr>
        <w:ind w:left="1170"/>
        <w:rPr>
          <w:szCs w:val="24"/>
        </w:rPr>
      </w:pPr>
    </w:p>
    <w:p w14:paraId="13DFB949" w14:textId="77777777" w:rsidR="00604FA3" w:rsidRPr="00604FA3" w:rsidRDefault="00604FA3" w:rsidP="00604FA3">
      <w:pPr>
        <w:pStyle w:val="Heading2"/>
        <w:numPr>
          <w:ilvl w:val="1"/>
          <w:numId w:val="38"/>
        </w:numPr>
        <w:ind w:left="360" w:hanging="360"/>
        <w:rPr>
          <w:rFonts w:asciiTheme="minorBidi" w:eastAsia="Times New Roman" w:hAnsiTheme="minorBidi" w:cstheme="minorBidi"/>
          <w:b/>
          <w:color w:val="auto"/>
          <w:sz w:val="20"/>
          <w:szCs w:val="20"/>
        </w:rPr>
      </w:pPr>
      <w:r w:rsidRPr="00604FA3">
        <w:rPr>
          <w:rFonts w:asciiTheme="minorBidi" w:eastAsia="Times New Roman" w:hAnsiTheme="minorBidi" w:cstheme="minorBidi"/>
          <w:b/>
          <w:color w:val="auto"/>
          <w:sz w:val="20"/>
          <w:szCs w:val="20"/>
        </w:rPr>
        <w:t>Scenario and Residual Analysis</w:t>
      </w:r>
    </w:p>
    <w:p w14:paraId="08D3F2A0" w14:textId="77777777" w:rsidR="00604FA3" w:rsidRDefault="00604FA3" w:rsidP="00604FA3">
      <w:pPr>
        <w:autoSpaceDE w:val="0"/>
        <w:autoSpaceDN w:val="0"/>
        <w:spacing w:before="120"/>
        <w:jc w:val="both"/>
        <w:rPr>
          <w:rFonts w:ascii="Arial" w:hAnsi="Arial" w:cs="Arial"/>
        </w:rPr>
      </w:pPr>
      <w:r w:rsidRPr="00604FA3">
        <w:rPr>
          <w:rFonts w:ascii="Arial" w:hAnsi="Arial" w:cs="Arial"/>
        </w:rPr>
        <w:t>Building on our cross-validation and statistical tests, we conducted further scenario analysis to determine how the model responds to a range of potential project variations, such as fluctuating resource allocations or extreme time delays. These scenarios were plotted to reveal average R² scores alongside their standard deviations, illustrating the extent to which performance holds up under different hypothetical conditions.</w:t>
      </w:r>
    </w:p>
    <w:p w14:paraId="68507B61" w14:textId="77777777" w:rsidR="007C28D3" w:rsidRPr="00604FA3" w:rsidRDefault="007C28D3" w:rsidP="00604FA3">
      <w:pPr>
        <w:autoSpaceDE w:val="0"/>
        <w:autoSpaceDN w:val="0"/>
        <w:spacing w:before="120"/>
        <w:jc w:val="both"/>
        <w:rPr>
          <w:rFonts w:ascii="Arial" w:hAnsi="Arial" w:cs="Arial"/>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604FA3" w14:paraId="5EB0A6B2" w14:textId="77777777" w:rsidTr="00BB54CE">
        <w:tc>
          <w:tcPr>
            <w:tcW w:w="10456" w:type="dxa"/>
          </w:tcPr>
          <w:p w14:paraId="460F9414" w14:textId="77777777" w:rsidR="00604FA3" w:rsidRPr="00CE2648" w:rsidRDefault="00604FA3" w:rsidP="00BB54CE">
            <w:pPr>
              <w:jc w:val="center"/>
              <w:rPr>
                <w:rFonts w:asciiTheme="minorBidi" w:hAnsiTheme="minorBidi" w:cstheme="minorBidi"/>
                <w:szCs w:val="24"/>
              </w:rPr>
            </w:pPr>
            <w:r w:rsidRPr="00CE2648">
              <w:rPr>
                <w:rFonts w:asciiTheme="minorBidi" w:hAnsiTheme="minorBidi" w:cstheme="minorBidi"/>
                <w:i/>
                <w:noProof/>
              </w:rPr>
              <w:drawing>
                <wp:anchor distT="0" distB="0" distL="114300" distR="114300" simplePos="0" relativeHeight="251682816" behindDoc="0" locked="0" layoutInCell="1" allowOverlap="1" wp14:anchorId="181F63A8" wp14:editId="07F7F1D0">
                  <wp:simplePos x="0" y="0"/>
                  <wp:positionH relativeFrom="margin">
                    <wp:posOffset>933458</wp:posOffset>
                  </wp:positionH>
                  <wp:positionV relativeFrom="paragraph">
                    <wp:posOffset>29969</wp:posOffset>
                  </wp:positionV>
                  <wp:extent cx="3804920" cy="2447290"/>
                  <wp:effectExtent l="0" t="0" r="0" b="0"/>
                  <wp:wrapTopAndBottom/>
                  <wp:docPr id="309184365" name="Picture 10"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2252" name="Picture 10" descr="A graph with blue squares&#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183"/>
                          <a:stretch>
                            <a:fillRect/>
                          </a:stretch>
                        </pic:blipFill>
                        <pic:spPr bwMode="auto">
                          <a:xfrm>
                            <a:off x="0" y="0"/>
                            <a:ext cx="3804920" cy="2447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8:</w:t>
            </w:r>
            <w:r w:rsidRPr="00CE2648">
              <w:rPr>
                <w:rFonts w:asciiTheme="minorBidi" w:hAnsiTheme="minorBidi" w:cstheme="minorBidi"/>
                <w:i/>
                <w:sz w:val="20"/>
              </w:rPr>
              <w:t xml:space="preserve"> </w:t>
            </w:r>
            <w:r w:rsidRPr="007C494A">
              <w:rPr>
                <w:rFonts w:asciiTheme="minorBidi" w:hAnsiTheme="minorBidi" w:cstheme="minorBidi"/>
                <w:iCs/>
                <w:sz w:val="20"/>
              </w:rPr>
              <w:t>Scenario Analysis</w:t>
            </w:r>
          </w:p>
        </w:tc>
      </w:tr>
    </w:tbl>
    <w:p w14:paraId="39F7D5ED" w14:textId="77777777" w:rsidR="00604FA3" w:rsidRPr="00604FA3" w:rsidRDefault="00604FA3" w:rsidP="00604FA3">
      <w:pPr>
        <w:autoSpaceDE w:val="0"/>
        <w:autoSpaceDN w:val="0"/>
        <w:spacing w:before="120"/>
        <w:jc w:val="both"/>
        <w:rPr>
          <w:rFonts w:ascii="Arial" w:hAnsi="Arial" w:cs="Arial"/>
        </w:rPr>
      </w:pPr>
      <w:r w:rsidRPr="00604FA3">
        <w:rPr>
          <w:rFonts w:ascii="Arial" w:hAnsi="Arial" w:cs="Arial"/>
        </w:rPr>
        <w:t>In addition, we performed a residual analysis plotting the difference between the model’s predictions and the true observed values. By examining residuals against the predicted outputs, we identified whether errors appeared randomly distributed or were clustered in particular regions. This scatter plot approach, with a zero-reference line, allows us to detect any systematic bias or underperformance in specific intervals. Observing a generally random distribution of residuals suggests that the SPMC tool maintains a stable level of accuracy across a wide range of real-world project parameters.</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tblGrid>
      <w:tr w:rsidR="00604FA3" w14:paraId="11C67F16" w14:textId="77777777" w:rsidTr="007C494A">
        <w:trPr>
          <w:trHeight w:val="4320"/>
        </w:trPr>
        <w:tc>
          <w:tcPr>
            <w:tcW w:w="8707" w:type="dxa"/>
          </w:tcPr>
          <w:p w14:paraId="73D6C813" w14:textId="77777777" w:rsidR="00604FA3" w:rsidRPr="00CE2648" w:rsidRDefault="00604FA3" w:rsidP="00BB54CE">
            <w:pPr>
              <w:jc w:val="center"/>
              <w:rPr>
                <w:rFonts w:asciiTheme="minorBidi" w:hAnsiTheme="minorBidi" w:cstheme="minorBidi"/>
              </w:rPr>
            </w:pPr>
            <w:r w:rsidRPr="00CE2648">
              <w:rPr>
                <w:rFonts w:asciiTheme="minorBidi" w:hAnsiTheme="minorBidi" w:cstheme="minorBidi"/>
                <w:i/>
                <w:noProof/>
              </w:rPr>
              <w:lastRenderedPageBreak/>
              <w:drawing>
                <wp:anchor distT="0" distB="0" distL="114300" distR="114300" simplePos="0" relativeHeight="251687936" behindDoc="0" locked="0" layoutInCell="1" allowOverlap="1" wp14:anchorId="11824088" wp14:editId="43AAAFB1">
                  <wp:simplePos x="0" y="0"/>
                  <wp:positionH relativeFrom="margin">
                    <wp:posOffset>610243</wp:posOffset>
                  </wp:positionH>
                  <wp:positionV relativeFrom="paragraph">
                    <wp:posOffset>72101</wp:posOffset>
                  </wp:positionV>
                  <wp:extent cx="4239260" cy="2597785"/>
                  <wp:effectExtent l="0" t="0" r="0" b="0"/>
                  <wp:wrapTopAndBottom/>
                  <wp:docPr id="572192276" name="Picture 11" descr="A graph with blue dots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92276" name="Picture 11" descr="A graph with blue dots and red lines&#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t="5054"/>
                          <a:stretch>
                            <a:fillRect/>
                          </a:stretch>
                        </pic:blipFill>
                        <pic:spPr bwMode="auto">
                          <a:xfrm>
                            <a:off x="0" y="0"/>
                            <a:ext cx="4239260" cy="259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48">
              <w:rPr>
                <w:rFonts w:asciiTheme="minorBidi" w:hAnsiTheme="minorBidi" w:cstheme="minorBidi"/>
                <w:b/>
                <w:bCs/>
                <w:iCs/>
                <w:sz w:val="20"/>
              </w:rPr>
              <w:t>Figure 9:</w:t>
            </w:r>
            <w:r w:rsidRPr="00CE2648">
              <w:rPr>
                <w:rFonts w:asciiTheme="minorBidi" w:hAnsiTheme="minorBidi" w:cstheme="minorBidi"/>
                <w:i/>
                <w:sz w:val="20"/>
              </w:rPr>
              <w:t xml:space="preserve"> </w:t>
            </w:r>
            <w:r w:rsidRPr="007C494A">
              <w:rPr>
                <w:rFonts w:asciiTheme="minorBidi" w:hAnsiTheme="minorBidi" w:cstheme="minorBidi"/>
                <w:iCs/>
                <w:sz w:val="20"/>
              </w:rPr>
              <w:t>Residual Analysis</w:t>
            </w:r>
          </w:p>
        </w:tc>
      </w:tr>
    </w:tbl>
    <w:p w14:paraId="5B477101" w14:textId="77777777" w:rsidR="00B32510" w:rsidRPr="00B32510" w:rsidRDefault="00B32510" w:rsidP="00B32510">
      <w:pPr>
        <w:pStyle w:val="AbstHead"/>
        <w:numPr>
          <w:ilvl w:val="0"/>
          <w:numId w:val="38"/>
        </w:numPr>
        <w:spacing w:after="0"/>
        <w:jc w:val="both"/>
        <w:rPr>
          <w:rFonts w:ascii="Arial" w:hAnsi="Arial" w:cs="Arial"/>
        </w:rPr>
      </w:pPr>
      <w:r w:rsidRPr="00B32510">
        <w:rPr>
          <w:rFonts w:ascii="Arial" w:hAnsi="Arial" w:cs="Arial"/>
        </w:rPr>
        <w:t>Results</w:t>
      </w:r>
    </w:p>
    <w:p w14:paraId="5EC7294D" w14:textId="77777777" w:rsidR="00B32510" w:rsidRPr="00B32510" w:rsidRDefault="00B32510" w:rsidP="00B32510">
      <w:pPr>
        <w:pStyle w:val="Heading2"/>
        <w:numPr>
          <w:ilvl w:val="1"/>
          <w:numId w:val="38"/>
        </w:numPr>
        <w:ind w:left="360" w:hanging="360"/>
        <w:rPr>
          <w:rFonts w:asciiTheme="minorBidi" w:eastAsia="Times New Roman" w:hAnsiTheme="minorBidi" w:cstheme="minorBidi"/>
          <w:b/>
          <w:color w:val="auto"/>
          <w:sz w:val="20"/>
          <w:szCs w:val="20"/>
        </w:rPr>
      </w:pPr>
      <w:r w:rsidRPr="00B32510">
        <w:rPr>
          <w:rFonts w:asciiTheme="minorBidi" w:eastAsia="Times New Roman" w:hAnsiTheme="minorBidi" w:cstheme="minorBidi"/>
          <w:b/>
          <w:color w:val="auto"/>
          <w:sz w:val="20"/>
          <w:szCs w:val="20"/>
        </w:rPr>
        <w:t>Predictive Accuracy</w:t>
      </w:r>
    </w:p>
    <w:p w14:paraId="16C75FD3" w14:textId="792504E4" w:rsidR="001E0CDC" w:rsidRDefault="001E0CDC" w:rsidP="001E0CDC">
      <w:pPr>
        <w:pStyle w:val="ListParagraph"/>
        <w:numPr>
          <w:ilvl w:val="0"/>
          <w:numId w:val="43"/>
        </w:numPr>
        <w:spacing w:before="100" w:beforeAutospacing="1" w:after="100" w:afterAutospacing="1"/>
        <w:rPr>
          <w:rFonts w:asciiTheme="minorBidi" w:hAnsiTheme="minorBidi" w:cstheme="minorBidi"/>
          <w:szCs w:val="24"/>
        </w:rPr>
      </w:pPr>
      <w:r w:rsidRPr="001E0CDC">
        <w:rPr>
          <w:rFonts w:asciiTheme="minorBidi" w:hAnsiTheme="minorBidi" w:cstheme="minorBidi"/>
          <w:b/>
          <w:bCs/>
          <w:szCs w:val="24"/>
        </w:rPr>
        <w:t>Delay Prediction</w:t>
      </w:r>
      <w:r w:rsidRPr="001E0CDC">
        <w:rPr>
          <w:rFonts w:asciiTheme="minorBidi" w:hAnsiTheme="minorBidi" w:cstheme="minorBidi"/>
          <w:szCs w:val="24"/>
        </w:rPr>
        <w:t xml:space="preserve">: </w:t>
      </w:r>
      <w:r w:rsidRPr="00896423">
        <w:rPr>
          <w:rFonts w:asciiTheme="minorBidi" w:hAnsiTheme="minorBidi" w:cstheme="minorBidi"/>
          <w:szCs w:val="24"/>
        </w:rPr>
        <w:t>Achieved an R² of 0.87, with an MSE of 11.8 days. This result indicates the model’s strong ability to identify and quantify schedule overruns before they manifest.</w:t>
      </w:r>
    </w:p>
    <w:p w14:paraId="241D03D9" w14:textId="77777777" w:rsidR="001E0CDC" w:rsidRPr="001E0CDC" w:rsidRDefault="001E0CDC" w:rsidP="001E0CDC">
      <w:pPr>
        <w:pStyle w:val="ListParagraph"/>
        <w:spacing w:before="100" w:beforeAutospacing="1" w:after="100" w:afterAutospacing="1"/>
        <w:ind w:left="360"/>
        <w:rPr>
          <w:rFonts w:asciiTheme="minorBidi" w:hAnsiTheme="minorBidi" w:cstheme="minorBidi"/>
          <w:szCs w:val="24"/>
        </w:rPr>
      </w:pPr>
    </w:p>
    <w:p w14:paraId="79B3F113" w14:textId="05E9138F" w:rsidR="001E0CDC" w:rsidRPr="001E0CDC" w:rsidRDefault="001E0CDC" w:rsidP="001E0CDC">
      <w:pPr>
        <w:pStyle w:val="ListParagraph"/>
        <w:numPr>
          <w:ilvl w:val="0"/>
          <w:numId w:val="43"/>
        </w:numPr>
        <w:spacing w:before="100" w:beforeAutospacing="1" w:after="100" w:afterAutospacing="1"/>
        <w:rPr>
          <w:rFonts w:asciiTheme="minorBidi" w:hAnsiTheme="minorBidi" w:cstheme="minorBidi"/>
          <w:szCs w:val="24"/>
        </w:rPr>
      </w:pPr>
      <w:r w:rsidRPr="001E0CDC">
        <w:rPr>
          <w:rFonts w:asciiTheme="minorBidi" w:hAnsiTheme="minorBidi" w:cstheme="minorBidi"/>
          <w:szCs w:val="24"/>
        </w:rPr>
        <w:t xml:space="preserve"> </w:t>
      </w:r>
      <w:r w:rsidRPr="001E0CDC">
        <w:rPr>
          <w:rFonts w:asciiTheme="minorBidi" w:hAnsiTheme="minorBidi" w:cstheme="minorBidi"/>
          <w:b/>
          <w:bCs/>
          <w:szCs w:val="24"/>
        </w:rPr>
        <w:t>Resource Utilization</w:t>
      </w:r>
      <w:r w:rsidRPr="001E0CDC">
        <w:rPr>
          <w:rFonts w:asciiTheme="minorBidi" w:hAnsiTheme="minorBidi" w:cstheme="minorBidi"/>
          <w:szCs w:val="24"/>
        </w:rPr>
        <w:t xml:space="preserve">: </w:t>
      </w:r>
      <w:r w:rsidRPr="00896423">
        <w:rPr>
          <w:rFonts w:asciiTheme="minorBidi" w:hAnsiTheme="minorBidi" w:cstheme="minorBidi"/>
          <w:szCs w:val="24"/>
        </w:rPr>
        <w:t>Reached an R² of 0.82 across various folds, reflecting reliable forecasts of required labor and materials. Integrating sustainability factors did not degrade performance.</w:t>
      </w:r>
    </w:p>
    <w:p w14:paraId="0E332B8E" w14:textId="77777777" w:rsidR="00A74D4D" w:rsidRPr="00A74D4D" w:rsidRDefault="00A74D4D" w:rsidP="00A74D4D">
      <w:pPr>
        <w:pStyle w:val="Heading2"/>
        <w:numPr>
          <w:ilvl w:val="1"/>
          <w:numId w:val="38"/>
        </w:numPr>
        <w:ind w:left="360" w:hanging="360"/>
        <w:rPr>
          <w:rFonts w:asciiTheme="minorBidi" w:eastAsia="Times New Roman" w:hAnsiTheme="minorBidi" w:cstheme="minorBidi"/>
          <w:b/>
          <w:color w:val="auto"/>
          <w:sz w:val="20"/>
          <w:szCs w:val="20"/>
        </w:rPr>
      </w:pPr>
      <w:r w:rsidRPr="00A74D4D">
        <w:rPr>
          <w:rFonts w:asciiTheme="minorBidi" w:eastAsia="Times New Roman" w:hAnsiTheme="minorBidi" w:cstheme="minorBidi"/>
          <w:b/>
          <w:color w:val="auto"/>
          <w:sz w:val="20"/>
          <w:szCs w:val="20"/>
        </w:rPr>
        <w:t>Model Robustness</w:t>
      </w:r>
    </w:p>
    <w:p w14:paraId="5C1A9A0F" w14:textId="77777777" w:rsidR="00A74D4D" w:rsidRDefault="00A74D4D" w:rsidP="00A74D4D">
      <w:pPr>
        <w:autoSpaceDE w:val="0"/>
        <w:autoSpaceDN w:val="0"/>
        <w:spacing w:before="120"/>
        <w:jc w:val="both"/>
        <w:rPr>
          <w:rFonts w:ascii="Arial" w:hAnsi="Arial" w:cs="Arial"/>
        </w:rPr>
      </w:pPr>
      <w:r w:rsidRPr="00A74D4D">
        <w:rPr>
          <w:rFonts w:ascii="Arial" w:hAnsi="Arial" w:cs="Arial"/>
        </w:rPr>
        <w:t>A 10-fold cross-validation design showed stable performance, with standard deviations typically under 0.03 for R². Introducing hypothetical disruptions (e.g., a 15% spike in material costs) caused moderate accuracy reductions but did not invalidate the overall predictive framework.</w:t>
      </w:r>
    </w:p>
    <w:p w14:paraId="67A5F883" w14:textId="77777777" w:rsidR="00A74D4D" w:rsidRPr="00A74D4D" w:rsidRDefault="00A74D4D" w:rsidP="00A74D4D">
      <w:pPr>
        <w:autoSpaceDE w:val="0"/>
        <w:autoSpaceDN w:val="0"/>
        <w:spacing w:before="120"/>
        <w:jc w:val="both"/>
        <w:rPr>
          <w:rFonts w:ascii="Arial" w:hAnsi="Arial" w:cs="Arial"/>
        </w:rPr>
      </w:pPr>
    </w:p>
    <w:p w14:paraId="0395297D" w14:textId="77777777" w:rsidR="00A74D4D" w:rsidRPr="00A74D4D" w:rsidRDefault="00A74D4D" w:rsidP="00A74D4D">
      <w:pPr>
        <w:pStyle w:val="Heading2"/>
        <w:numPr>
          <w:ilvl w:val="1"/>
          <w:numId w:val="38"/>
        </w:numPr>
        <w:ind w:left="360" w:hanging="360"/>
        <w:rPr>
          <w:rFonts w:asciiTheme="minorBidi" w:eastAsia="Times New Roman" w:hAnsiTheme="minorBidi" w:cstheme="minorBidi"/>
          <w:b/>
          <w:color w:val="auto"/>
          <w:sz w:val="20"/>
          <w:szCs w:val="20"/>
        </w:rPr>
      </w:pPr>
      <w:r w:rsidRPr="00A74D4D">
        <w:rPr>
          <w:rFonts w:asciiTheme="minorBidi" w:eastAsia="Times New Roman" w:hAnsiTheme="minorBidi" w:cstheme="minorBidi"/>
          <w:b/>
          <w:color w:val="auto"/>
          <w:sz w:val="20"/>
          <w:szCs w:val="20"/>
        </w:rPr>
        <w:t>Practical Interface</w:t>
      </w:r>
    </w:p>
    <w:p w14:paraId="0C655371" w14:textId="77777777" w:rsidR="00A74D4D" w:rsidRPr="00A74D4D" w:rsidRDefault="00A74D4D" w:rsidP="00A74D4D">
      <w:pPr>
        <w:autoSpaceDE w:val="0"/>
        <w:autoSpaceDN w:val="0"/>
        <w:spacing w:before="120"/>
        <w:jc w:val="both"/>
        <w:rPr>
          <w:rFonts w:ascii="Arial" w:hAnsi="Arial" w:cs="Arial"/>
        </w:rPr>
      </w:pPr>
      <w:r w:rsidRPr="00A74D4D">
        <w:rPr>
          <w:rFonts w:ascii="Arial" w:hAnsi="Arial" w:cs="Arial"/>
        </w:rPr>
        <w:t>A Python-based GUI allows site managers to upload new data (like daily labor or materials receipts). The system immediately returns updated predictions, accompanied by reflecting waste metrics. These data-driven encourage adjustments that balance efficiency and eco-responsibility.</w:t>
      </w:r>
    </w:p>
    <w:p w14:paraId="0019C363" w14:textId="77777777" w:rsidR="001E29DB" w:rsidRDefault="001E29DB" w:rsidP="0044252A">
      <w:pPr>
        <w:pStyle w:val="Caption1"/>
        <w:spacing w:before="120"/>
        <w:rPr>
          <w:rFonts w:asciiTheme="minorBidi" w:hAnsiTheme="minorBidi" w:cstheme="minorBidi"/>
          <w:i/>
          <w:sz w:val="20"/>
        </w:rPr>
      </w:pPr>
    </w:p>
    <w:p w14:paraId="4460E91C" w14:textId="77777777" w:rsidR="003A35C8" w:rsidRPr="003A35C8" w:rsidRDefault="003A35C8" w:rsidP="003A35C8">
      <w:pPr>
        <w:pStyle w:val="AbstHead"/>
        <w:numPr>
          <w:ilvl w:val="0"/>
          <w:numId w:val="38"/>
        </w:numPr>
        <w:spacing w:after="0"/>
        <w:jc w:val="both"/>
        <w:rPr>
          <w:rFonts w:ascii="Arial" w:hAnsi="Arial" w:cs="Arial"/>
        </w:rPr>
      </w:pPr>
      <w:r w:rsidRPr="003A35C8">
        <w:rPr>
          <w:rFonts w:ascii="Arial" w:hAnsi="Arial" w:cs="Arial"/>
        </w:rPr>
        <w:t>Discussion</w:t>
      </w:r>
    </w:p>
    <w:p w14:paraId="54DBB475" w14:textId="77777777" w:rsidR="003A35C8" w:rsidRPr="003A35C8" w:rsidRDefault="003A35C8" w:rsidP="003A35C8">
      <w:pPr>
        <w:pStyle w:val="Heading2"/>
        <w:numPr>
          <w:ilvl w:val="1"/>
          <w:numId w:val="38"/>
        </w:numPr>
        <w:ind w:left="360" w:hanging="360"/>
        <w:rPr>
          <w:rFonts w:asciiTheme="minorBidi" w:eastAsia="Times New Roman" w:hAnsiTheme="minorBidi" w:cstheme="minorBidi"/>
          <w:b/>
          <w:color w:val="auto"/>
          <w:sz w:val="20"/>
          <w:szCs w:val="20"/>
        </w:rPr>
      </w:pPr>
      <w:r w:rsidRPr="003A35C8">
        <w:rPr>
          <w:rFonts w:asciiTheme="minorBidi" w:eastAsia="Times New Roman" w:hAnsiTheme="minorBidi" w:cstheme="minorBidi"/>
          <w:b/>
          <w:color w:val="auto"/>
          <w:sz w:val="20"/>
          <w:szCs w:val="20"/>
        </w:rPr>
        <w:t>AI-Enabled Sustainability</w:t>
      </w:r>
    </w:p>
    <w:p w14:paraId="02603879" w14:textId="77777777" w:rsidR="00CE2F6C" w:rsidRDefault="00CE2F6C" w:rsidP="00CE2F6C">
      <w:pPr>
        <w:autoSpaceDE w:val="0"/>
        <w:autoSpaceDN w:val="0"/>
        <w:spacing w:before="120"/>
        <w:jc w:val="both"/>
        <w:rPr>
          <w:rFonts w:ascii="Arial" w:hAnsi="Arial" w:cs="Arial"/>
        </w:rPr>
      </w:pPr>
      <w:r w:rsidRPr="00CE2F6C">
        <w:rPr>
          <w:rFonts w:ascii="Arial" w:hAnsi="Arial" w:cs="Arial"/>
        </w:rPr>
        <w:t>By embedding sustainability directly into the predictive workflow, SPMC aligns operational goals (cost/time) with ecological considerations (emissions/waste). This dual focus helps decision-makers see how a scheduling tweak or resource reallocation could improve not only productivity but also environmental performance.</w:t>
      </w:r>
    </w:p>
    <w:p w14:paraId="7EB4C946" w14:textId="77777777" w:rsidR="00CE2F6C" w:rsidRPr="00CE2F6C" w:rsidRDefault="00CE2F6C" w:rsidP="00CE2F6C">
      <w:pPr>
        <w:autoSpaceDE w:val="0"/>
        <w:autoSpaceDN w:val="0"/>
        <w:spacing w:before="120"/>
        <w:jc w:val="both"/>
        <w:rPr>
          <w:rFonts w:ascii="Arial" w:hAnsi="Arial" w:cs="Arial"/>
        </w:rPr>
      </w:pPr>
    </w:p>
    <w:p w14:paraId="40633932"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t>Comparison with Other Approaches</w:t>
      </w:r>
    </w:p>
    <w:p w14:paraId="399618B2" w14:textId="77777777" w:rsidR="00CE2F6C" w:rsidRDefault="00CE2F6C" w:rsidP="00CE2F6C">
      <w:pPr>
        <w:autoSpaceDE w:val="0"/>
        <w:autoSpaceDN w:val="0"/>
        <w:spacing w:before="120"/>
        <w:jc w:val="both"/>
        <w:rPr>
          <w:rFonts w:ascii="Arial" w:hAnsi="Arial" w:cs="Arial"/>
        </w:rPr>
      </w:pPr>
      <w:r w:rsidRPr="00CE2F6C">
        <w:rPr>
          <w:rFonts w:ascii="Arial" w:hAnsi="Arial" w:cs="Arial"/>
        </w:rPr>
        <w:t xml:space="preserve">While existing platforms provide robust scheduling functionalities, they often treat sustainability as an optional module. In contrast, </w:t>
      </w:r>
      <w:r w:rsidRPr="00B359B4">
        <w:rPr>
          <w:rFonts w:ascii="Arial" w:hAnsi="Arial" w:cs="Arial"/>
        </w:rPr>
        <w:t>SPMC</w:t>
      </w:r>
      <w:r w:rsidRPr="00CE2F6C">
        <w:rPr>
          <w:rFonts w:ascii="Arial" w:hAnsi="Arial" w:cs="Arial"/>
        </w:rPr>
        <w:t xml:space="preserve"> integrates carbon footprints, recycled content ratios, and resource-efficiency metrics at the very core of its machine learning predictions. This approach elevates </w:t>
      </w:r>
      <w:r w:rsidRPr="00B359B4">
        <w:rPr>
          <w:rFonts w:ascii="Arial" w:hAnsi="Arial" w:cs="Arial"/>
        </w:rPr>
        <w:t>eco-efficiency</w:t>
      </w:r>
      <w:r w:rsidRPr="00CE2F6C">
        <w:rPr>
          <w:rFonts w:ascii="Arial" w:hAnsi="Arial" w:cs="Arial"/>
        </w:rPr>
        <w:t xml:space="preserve"> from an afterthought to a key project-management driver.</w:t>
      </w:r>
    </w:p>
    <w:p w14:paraId="4FC5C1D7" w14:textId="77777777" w:rsidR="00CE2F6C" w:rsidRPr="00CE2F6C" w:rsidRDefault="00CE2F6C" w:rsidP="00CE2F6C">
      <w:pPr>
        <w:autoSpaceDE w:val="0"/>
        <w:autoSpaceDN w:val="0"/>
        <w:spacing w:before="120"/>
        <w:jc w:val="both"/>
        <w:rPr>
          <w:rFonts w:ascii="Arial" w:hAnsi="Arial" w:cs="Arial"/>
        </w:rPr>
      </w:pPr>
    </w:p>
    <w:p w14:paraId="4E3E33DD"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lastRenderedPageBreak/>
        <w:t>Ethical and Data Governance</w:t>
      </w:r>
    </w:p>
    <w:p w14:paraId="43587EE6" w14:textId="66D155AA" w:rsidR="00CE2F6C" w:rsidRDefault="00CE2F6C" w:rsidP="00CE2F6C">
      <w:pPr>
        <w:autoSpaceDE w:val="0"/>
        <w:autoSpaceDN w:val="0"/>
        <w:spacing w:before="120"/>
        <w:jc w:val="both"/>
        <w:rPr>
          <w:rFonts w:ascii="Arial" w:hAnsi="Arial" w:cs="Arial"/>
        </w:rPr>
      </w:pPr>
      <w:r w:rsidRPr="00CE2F6C">
        <w:rPr>
          <w:rFonts w:ascii="Arial" w:hAnsi="Arial" w:cs="Arial"/>
        </w:rPr>
        <w:t>Strict anonymization practices and adherence to institutional review protocols are essential when multiple parties (owners, contractors, suppliers) share project data. These fosters trust in the tool’s outputs and ensures that proprietary information remains safeguarded.</w:t>
      </w:r>
    </w:p>
    <w:p w14:paraId="343ADC41" w14:textId="77777777" w:rsidR="00CE2F6C" w:rsidRPr="00CE2F6C" w:rsidRDefault="00CE2F6C" w:rsidP="00CE2F6C">
      <w:pPr>
        <w:autoSpaceDE w:val="0"/>
        <w:autoSpaceDN w:val="0"/>
        <w:spacing w:before="120"/>
        <w:jc w:val="both"/>
        <w:rPr>
          <w:rFonts w:ascii="Arial" w:hAnsi="Arial" w:cs="Arial"/>
        </w:rPr>
      </w:pPr>
    </w:p>
    <w:p w14:paraId="350920B0" w14:textId="77777777" w:rsidR="00CE2F6C" w:rsidRPr="00CE2F6C" w:rsidRDefault="00CE2F6C" w:rsidP="00CE2F6C">
      <w:pPr>
        <w:pStyle w:val="Heading2"/>
        <w:numPr>
          <w:ilvl w:val="1"/>
          <w:numId w:val="38"/>
        </w:numPr>
        <w:ind w:left="360" w:hanging="360"/>
        <w:rPr>
          <w:rFonts w:asciiTheme="minorBidi" w:eastAsia="Times New Roman" w:hAnsiTheme="minorBidi" w:cstheme="minorBidi"/>
          <w:b/>
          <w:color w:val="auto"/>
          <w:sz w:val="20"/>
          <w:szCs w:val="20"/>
        </w:rPr>
      </w:pPr>
      <w:r w:rsidRPr="00CE2F6C">
        <w:rPr>
          <w:rFonts w:asciiTheme="minorBidi" w:eastAsia="Times New Roman" w:hAnsiTheme="minorBidi" w:cstheme="minorBidi"/>
          <w:b/>
          <w:color w:val="auto"/>
          <w:sz w:val="20"/>
          <w:szCs w:val="20"/>
        </w:rPr>
        <w:t>Limitations</w:t>
      </w:r>
    </w:p>
    <w:p w14:paraId="3A37BF54" w14:textId="77777777" w:rsidR="00CE2F6C" w:rsidRPr="00CE2F6C" w:rsidRDefault="00CE2F6C" w:rsidP="00CE2F6C">
      <w:pPr>
        <w:autoSpaceDE w:val="0"/>
        <w:autoSpaceDN w:val="0"/>
        <w:spacing w:before="120"/>
        <w:jc w:val="both"/>
        <w:rPr>
          <w:rFonts w:ascii="Arial" w:hAnsi="Arial" w:cs="Arial"/>
        </w:rPr>
      </w:pPr>
      <w:r w:rsidRPr="00CE2F6C">
        <w:rPr>
          <w:rFonts w:ascii="Arial" w:hAnsi="Arial" w:cs="Arial"/>
        </w:rPr>
        <w:t>Although validated across 33 projects, additional sample diversity would further strengthen the model’s adaptability. Real-time data from IoT devices (e.g., site sensors or weather trackers) could also refine short-term forecasts. Presently, the system’s carbon metrics rely on formula-based estimates; future expansions might integrate life-cycle assessment data to provide more holistic ecological insights.</w:t>
      </w:r>
    </w:p>
    <w:p w14:paraId="33D659A2" w14:textId="77777777" w:rsidR="003A35C8" w:rsidRDefault="003A35C8" w:rsidP="0044252A">
      <w:pPr>
        <w:pStyle w:val="Caption1"/>
        <w:spacing w:before="120"/>
        <w:rPr>
          <w:rFonts w:asciiTheme="minorBidi" w:hAnsiTheme="minorBidi" w:cstheme="minorBidi"/>
          <w:i/>
          <w:sz w:val="20"/>
        </w:rPr>
      </w:pPr>
    </w:p>
    <w:p w14:paraId="0640524B" w14:textId="77777777" w:rsidR="00B359B4" w:rsidRPr="00B359B4" w:rsidRDefault="00B359B4" w:rsidP="00B359B4">
      <w:pPr>
        <w:pStyle w:val="AbstHead"/>
        <w:numPr>
          <w:ilvl w:val="0"/>
          <w:numId w:val="38"/>
        </w:numPr>
        <w:spacing w:after="0"/>
        <w:jc w:val="both"/>
        <w:rPr>
          <w:rFonts w:ascii="Arial" w:hAnsi="Arial" w:cs="Arial"/>
        </w:rPr>
      </w:pPr>
      <w:r w:rsidRPr="00B359B4">
        <w:rPr>
          <w:rFonts w:ascii="Arial" w:hAnsi="Arial" w:cs="Arial"/>
        </w:rPr>
        <w:t>Conclusion</w:t>
      </w:r>
    </w:p>
    <w:p w14:paraId="6CA1B5D7" w14:textId="77777777" w:rsidR="00B359B4" w:rsidRDefault="00B359B4" w:rsidP="00B359B4">
      <w:pPr>
        <w:autoSpaceDE w:val="0"/>
        <w:autoSpaceDN w:val="0"/>
        <w:spacing w:before="120"/>
        <w:jc w:val="both"/>
        <w:rPr>
          <w:rFonts w:ascii="Arial" w:hAnsi="Arial" w:cs="Arial"/>
        </w:rPr>
      </w:pPr>
      <w:r w:rsidRPr="00B359B4">
        <w:rPr>
          <w:rFonts w:ascii="Arial" w:hAnsi="Arial" w:cs="Arial"/>
        </w:rPr>
        <w:t>The Sustainable Project Management Construction (SPMC) tool addresses the growing demand for AI-driven construction management systems that incorporate explicit sustainability objectives. Its Random Forest–based prediction model demonstrates strong performance (R² consistently above 0.80 for delay and resource allocation tasks). By coupling these insights with a user-friendly interface, SPMC offers practical strategies to minimize overruns, improve resource usage, and reduce environmental impacts. Although additional real-time data streams and expanded modeling techniques could further enhance precision and ecological coverage, this paper affirms that integrated AI approaches can meaningfully accelerate the shift toward sustainable construction.</w:t>
      </w:r>
    </w:p>
    <w:p w14:paraId="0EE82C3E" w14:textId="77777777" w:rsidR="00332DBC" w:rsidRPr="00700607" w:rsidRDefault="00332DBC" w:rsidP="00817E1E">
      <w:pPr>
        <w:autoSpaceDE w:val="0"/>
        <w:autoSpaceDN w:val="0"/>
        <w:spacing w:before="100" w:beforeAutospacing="1" w:after="100" w:afterAutospacing="1"/>
        <w:ind w:left="432"/>
        <w:rPr>
          <w:rFonts w:asciiTheme="minorBidi" w:hAnsiTheme="minorBidi" w:cstheme="minorBidi"/>
        </w:rPr>
      </w:pPr>
      <w:r w:rsidRPr="00700607">
        <w:rPr>
          <w:rFonts w:asciiTheme="minorBidi" w:hAnsiTheme="minorBidi" w:cstheme="minorBidi"/>
          <w:b/>
          <w:bCs/>
        </w:rPr>
        <w:t>CONSENT</w:t>
      </w:r>
      <w:r w:rsidRPr="00700607">
        <w:rPr>
          <w:rFonts w:asciiTheme="minorBidi" w:hAnsiTheme="minorBidi" w:cstheme="minorBidi"/>
        </w:rPr>
        <w:br/>
        <w:t>Not applicable.</w:t>
      </w:r>
    </w:p>
    <w:p w14:paraId="7BF60430" w14:textId="56598F89" w:rsidR="00332DBC" w:rsidRDefault="00332DBC" w:rsidP="00817E1E">
      <w:pPr>
        <w:autoSpaceDE w:val="0"/>
        <w:autoSpaceDN w:val="0"/>
        <w:spacing w:before="100" w:beforeAutospacing="1" w:after="100" w:afterAutospacing="1"/>
        <w:ind w:left="432"/>
      </w:pPr>
      <w:r w:rsidRPr="00700607">
        <w:rPr>
          <w:rFonts w:asciiTheme="minorBidi" w:hAnsiTheme="minorBidi" w:cstheme="minorBidi"/>
          <w:b/>
          <w:bCs/>
        </w:rPr>
        <w:t>ETHICAL APPROVAL</w:t>
      </w:r>
      <w:r w:rsidRPr="00700607">
        <w:rPr>
          <w:rFonts w:asciiTheme="minorBidi" w:hAnsiTheme="minorBidi" w:cstheme="minorBidi"/>
        </w:rPr>
        <w:br/>
        <w:t>All authors hereby declare that the data used in this study were anonymized, obtained with organizational consent, and used</w:t>
      </w:r>
      <w:r w:rsidRPr="00700607">
        <w:t xml:space="preserve"> in accordance with ethical research standards. No human or animal subjects were involved in the research. The study complied with institutional guidelines for responsible data usage and stakeholder confidentiality.</w:t>
      </w:r>
    </w:p>
    <w:p w14:paraId="44E46637" w14:textId="093237F5" w:rsidR="00C0228B" w:rsidRDefault="00C0228B" w:rsidP="00817E1E">
      <w:pPr>
        <w:autoSpaceDE w:val="0"/>
        <w:autoSpaceDN w:val="0"/>
        <w:spacing w:before="100" w:beforeAutospacing="1" w:after="100" w:afterAutospacing="1"/>
        <w:ind w:left="432"/>
      </w:pPr>
    </w:p>
    <w:p w14:paraId="245E624D" w14:textId="77777777" w:rsidR="00C0228B" w:rsidRPr="00FF60D1" w:rsidRDefault="00C0228B" w:rsidP="00C0228B">
      <w:r w:rsidRPr="00FF60D1">
        <w:t>Disclaimer (Artificial intelligence)</w:t>
      </w:r>
    </w:p>
    <w:p w14:paraId="41E627C5" w14:textId="77777777" w:rsidR="00FF60D1" w:rsidRPr="00FF60D1" w:rsidRDefault="00FF60D1" w:rsidP="00C0228B"/>
    <w:p w14:paraId="03F1F63A" w14:textId="77777777" w:rsidR="00FF60D1" w:rsidRDefault="00FF60D1" w:rsidP="00FF60D1">
      <w:r w:rsidRPr="00FF60D1">
        <w:t xml:space="preserve">Author(s) hereby declare that generative AI technologies were used during the writing or editing of this manuscript. </w:t>
      </w:r>
    </w:p>
    <w:p w14:paraId="60118FE2" w14:textId="2C95A544" w:rsidR="00FF60D1" w:rsidRPr="00FF60D1" w:rsidRDefault="00FF60D1" w:rsidP="00FF60D1">
      <w:r w:rsidRPr="00FF60D1">
        <w:t>Details of the AI usage are given below:</w:t>
      </w:r>
    </w:p>
    <w:p w14:paraId="1CC9CACA" w14:textId="77777777" w:rsidR="00FF60D1" w:rsidRPr="00FF60D1" w:rsidRDefault="00FF60D1" w:rsidP="00FF60D1">
      <w:pPr>
        <w:numPr>
          <w:ilvl w:val="0"/>
          <w:numId w:val="47"/>
        </w:numPr>
      </w:pPr>
      <w:r w:rsidRPr="00FF60D1">
        <w:rPr>
          <w:b/>
          <w:bCs/>
        </w:rPr>
        <w:t>Tool &amp; Model:</w:t>
      </w:r>
      <w:r w:rsidRPr="00FF60D1">
        <w:t xml:space="preserve"> </w:t>
      </w:r>
      <w:proofErr w:type="spellStart"/>
      <w:r w:rsidRPr="00FF60D1">
        <w:t>QuillBot</w:t>
      </w:r>
      <w:proofErr w:type="spellEnd"/>
      <w:r w:rsidRPr="00FF60D1">
        <w:t xml:space="preserve"> Paraphraser (grammar &amp; readability check)</w:t>
      </w:r>
    </w:p>
    <w:p w14:paraId="04755A43" w14:textId="77777777" w:rsidR="00FF60D1" w:rsidRPr="00FF60D1" w:rsidRDefault="00FF60D1" w:rsidP="00FF60D1">
      <w:pPr>
        <w:numPr>
          <w:ilvl w:val="1"/>
          <w:numId w:val="47"/>
        </w:numPr>
      </w:pPr>
      <w:r w:rsidRPr="00FF60D1">
        <w:rPr>
          <w:b/>
          <w:bCs/>
        </w:rPr>
        <w:t>Source:</w:t>
      </w:r>
      <w:r w:rsidRPr="00FF60D1">
        <w:t xml:space="preserve"> </w:t>
      </w:r>
      <w:hyperlink r:id="rId23" w:tgtFrame="_new" w:history="1">
        <w:r w:rsidRPr="00FF60D1">
          <w:rPr>
            <w:rStyle w:val="Hyperlink"/>
          </w:rPr>
          <w:t>https://quillbot.com</w:t>
        </w:r>
      </w:hyperlink>
    </w:p>
    <w:p w14:paraId="53EDD9C5" w14:textId="77777777" w:rsidR="00C0228B" w:rsidRPr="00394842" w:rsidRDefault="00C0228B" w:rsidP="00C0228B">
      <w:pPr>
        <w:rPr>
          <w:highlight w:val="yellow"/>
        </w:rPr>
      </w:pPr>
    </w:p>
    <w:p w14:paraId="02D74213" w14:textId="77777777" w:rsidR="00F022EE" w:rsidRPr="00542AFF" w:rsidRDefault="00F022EE" w:rsidP="00F022EE">
      <w:pPr>
        <w:spacing w:before="100" w:beforeAutospacing="1" w:after="100" w:afterAutospacing="1"/>
        <w:rPr>
          <w:b/>
          <w:bCs/>
          <w:szCs w:val="24"/>
        </w:rPr>
      </w:pPr>
      <w:r w:rsidRPr="00542AFF">
        <w:rPr>
          <w:b/>
          <w:bCs/>
          <w:szCs w:val="24"/>
        </w:rPr>
        <w:t>REFERENCES</w:t>
      </w:r>
    </w:p>
    <w:p w14:paraId="170E8675"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Abu Dabous, S., Rashidi, M., Zhu, Z., Alzraiee, H., Mantha, B. R. K., &amp; </w:t>
      </w:r>
      <w:proofErr w:type="spellStart"/>
      <w:r w:rsidRPr="00084D19">
        <w:rPr>
          <w:szCs w:val="24"/>
        </w:rPr>
        <w:t>Alsharqawi</w:t>
      </w:r>
      <w:proofErr w:type="spellEnd"/>
      <w:r w:rsidRPr="00084D19">
        <w:rPr>
          <w:szCs w:val="24"/>
        </w:rPr>
        <w:t xml:space="preserve">, M. (2023). Editorial: Automation and artificial intelligence in construction and management of civil infrastructure. </w:t>
      </w:r>
      <w:r w:rsidRPr="00084D19">
        <w:rPr>
          <w:i/>
          <w:iCs/>
          <w:szCs w:val="24"/>
        </w:rPr>
        <w:t>Frontiers in Built Environment, 9</w:t>
      </w:r>
      <w:r w:rsidRPr="00084D19">
        <w:rPr>
          <w:szCs w:val="24"/>
        </w:rPr>
        <w:t xml:space="preserve">, 1155240. </w:t>
      </w:r>
      <w:hyperlink r:id="rId24" w:history="1">
        <w:r w:rsidRPr="00084D19">
          <w:rPr>
            <w:rStyle w:val="Hyperlink"/>
            <w:szCs w:val="24"/>
          </w:rPr>
          <w:t>https://doi.org/10.3389/fbuil.2023.1155240</w:t>
        </w:r>
      </w:hyperlink>
      <w:r>
        <w:rPr>
          <w:szCs w:val="24"/>
        </w:rPr>
        <w:t xml:space="preserve"> </w:t>
      </w:r>
    </w:p>
    <w:p w14:paraId="2348E8C9"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Datta, S. D., Islam, M., Sobuz, M. H. R., Ahmed, S., &amp; Kar, M. (2023). </w:t>
      </w:r>
      <w:r w:rsidRPr="00084D19">
        <w:rPr>
          <w:szCs w:val="24"/>
        </w:rPr>
        <w:t xml:space="preserve">Artificial intelligence and machine learning applications in the project lifecycle of the construction industry: A comprehensive review. </w:t>
      </w:r>
      <w:proofErr w:type="spellStart"/>
      <w:r w:rsidRPr="00084D19">
        <w:rPr>
          <w:i/>
          <w:iCs/>
          <w:szCs w:val="24"/>
        </w:rPr>
        <w:t>Heliyon</w:t>
      </w:r>
      <w:proofErr w:type="spellEnd"/>
      <w:r w:rsidRPr="00084D19">
        <w:rPr>
          <w:i/>
          <w:iCs/>
          <w:szCs w:val="24"/>
        </w:rPr>
        <w:t>, 9</w:t>
      </w:r>
      <w:r w:rsidRPr="00084D19">
        <w:rPr>
          <w:szCs w:val="24"/>
        </w:rPr>
        <w:t xml:space="preserve">(6), e16888. </w:t>
      </w:r>
      <w:hyperlink r:id="rId25" w:history="1">
        <w:r w:rsidRPr="00084D19">
          <w:rPr>
            <w:rStyle w:val="Hyperlink"/>
            <w:szCs w:val="24"/>
          </w:rPr>
          <w:t>https://doi.org/10.1016/j.heliyon.2023.e16888</w:t>
        </w:r>
      </w:hyperlink>
      <w:r>
        <w:rPr>
          <w:szCs w:val="24"/>
        </w:rPr>
        <w:t xml:space="preserve"> </w:t>
      </w:r>
    </w:p>
    <w:p w14:paraId="3F172CEE"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Abioye, S. O., Li, H., Chan, D. W. M., Wu, Z., Wang, X., &amp; Liu, C. et al. </w:t>
      </w:r>
      <w:r w:rsidRPr="00084D19">
        <w:rPr>
          <w:szCs w:val="24"/>
        </w:rPr>
        <w:t xml:space="preserve">(2021). Artificial intelligence in the construction industry: A review of present status, opportunities and future challenges. </w:t>
      </w:r>
      <w:r w:rsidRPr="00084D19">
        <w:rPr>
          <w:i/>
          <w:iCs/>
          <w:szCs w:val="24"/>
        </w:rPr>
        <w:t>Journal of Building Engineering, 44</w:t>
      </w:r>
      <w:r w:rsidRPr="00084D19">
        <w:rPr>
          <w:szCs w:val="24"/>
        </w:rPr>
        <w:t xml:space="preserve">, 103299. </w:t>
      </w:r>
      <w:hyperlink r:id="rId26" w:history="1">
        <w:r w:rsidRPr="00084D19">
          <w:rPr>
            <w:rStyle w:val="Hyperlink"/>
            <w:szCs w:val="24"/>
          </w:rPr>
          <w:t>https://doi.org/10.1016/j.jobe.2021.103299</w:t>
        </w:r>
      </w:hyperlink>
      <w:r>
        <w:rPr>
          <w:szCs w:val="24"/>
        </w:rPr>
        <w:t xml:space="preserve"> </w:t>
      </w:r>
    </w:p>
    <w:p w14:paraId="77236BFE" w14:textId="77777777" w:rsidR="00F022EE" w:rsidRPr="00084D19" w:rsidRDefault="00F022EE" w:rsidP="00F022EE">
      <w:pPr>
        <w:numPr>
          <w:ilvl w:val="0"/>
          <w:numId w:val="45"/>
        </w:numPr>
        <w:spacing w:before="100" w:beforeAutospacing="1" w:after="100" w:afterAutospacing="1"/>
        <w:rPr>
          <w:szCs w:val="24"/>
        </w:rPr>
      </w:pPr>
      <w:r w:rsidRPr="00084D19">
        <w:rPr>
          <w:szCs w:val="24"/>
          <w:lang w:val="pt-BR"/>
        </w:rPr>
        <w:t xml:space="preserve">Regona, M., Yigitcanlar, T., Xia, B., &amp; Li, R. Y. M. (2022). </w:t>
      </w:r>
      <w:r w:rsidRPr="00084D19">
        <w:rPr>
          <w:szCs w:val="24"/>
        </w:rPr>
        <w:t xml:space="preserve">Opportunities and adoption challenges of AI in the construction industry: A PRISMA review. </w:t>
      </w:r>
      <w:r w:rsidRPr="00084D19">
        <w:rPr>
          <w:i/>
          <w:iCs/>
          <w:szCs w:val="24"/>
        </w:rPr>
        <w:t>Journal of Open Innovation: Technology, Market, and Complexity, 8</w:t>
      </w:r>
      <w:r w:rsidRPr="00084D19">
        <w:rPr>
          <w:szCs w:val="24"/>
        </w:rPr>
        <w:t xml:space="preserve">(1), 45. </w:t>
      </w:r>
      <w:hyperlink r:id="rId27" w:history="1">
        <w:r w:rsidRPr="00084D19">
          <w:rPr>
            <w:rStyle w:val="Hyperlink"/>
            <w:szCs w:val="24"/>
          </w:rPr>
          <w:t>https://doi.org/10.3390/joitmc8010045</w:t>
        </w:r>
      </w:hyperlink>
      <w:r>
        <w:rPr>
          <w:szCs w:val="24"/>
        </w:rPr>
        <w:t xml:space="preserve"> </w:t>
      </w:r>
    </w:p>
    <w:p w14:paraId="24F2DEB2"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Klosova, D., &amp; </w:t>
      </w:r>
      <w:proofErr w:type="spellStart"/>
      <w:r w:rsidRPr="00084D19">
        <w:rPr>
          <w:szCs w:val="24"/>
        </w:rPr>
        <w:t>Kozlovská</w:t>
      </w:r>
      <w:proofErr w:type="spellEnd"/>
      <w:r w:rsidRPr="00084D19">
        <w:rPr>
          <w:szCs w:val="24"/>
        </w:rPr>
        <w:t xml:space="preserve">, M. (2020). Innovation in construction: Trends and obstructions of adoption and implementation. </w:t>
      </w:r>
      <w:r w:rsidRPr="00084D19">
        <w:rPr>
          <w:i/>
          <w:iCs/>
          <w:szCs w:val="24"/>
        </w:rPr>
        <w:t>IOP Conference Series: Materials Science and Engineering, 867</w:t>
      </w:r>
      <w:r w:rsidRPr="00084D19">
        <w:rPr>
          <w:szCs w:val="24"/>
        </w:rPr>
        <w:t xml:space="preserve">(1), 012019. </w:t>
      </w:r>
      <w:hyperlink r:id="rId28" w:history="1">
        <w:r w:rsidRPr="00084D19">
          <w:rPr>
            <w:rStyle w:val="Hyperlink"/>
            <w:szCs w:val="24"/>
          </w:rPr>
          <w:t>https://doi.org/10.1088/1757-899X/867/1/012019</w:t>
        </w:r>
      </w:hyperlink>
      <w:r>
        <w:rPr>
          <w:szCs w:val="24"/>
        </w:rPr>
        <w:t xml:space="preserve"> </w:t>
      </w:r>
    </w:p>
    <w:p w14:paraId="14560A0A" w14:textId="77777777" w:rsidR="00F022EE" w:rsidRPr="00084D19" w:rsidRDefault="00F022EE" w:rsidP="00F022EE">
      <w:pPr>
        <w:numPr>
          <w:ilvl w:val="0"/>
          <w:numId w:val="45"/>
        </w:numPr>
        <w:spacing w:before="100" w:beforeAutospacing="1" w:after="100" w:afterAutospacing="1"/>
        <w:rPr>
          <w:szCs w:val="24"/>
        </w:rPr>
      </w:pPr>
      <w:r w:rsidRPr="00084D19">
        <w:rPr>
          <w:szCs w:val="24"/>
        </w:rPr>
        <w:lastRenderedPageBreak/>
        <w:t xml:space="preserve">Shurrab, J., Hussain, M., &amp; Khan, M. (2019). Green and sustainable practices in the construction industry: A confirmatory factor analysis approach. </w:t>
      </w:r>
      <w:r w:rsidRPr="00084D19">
        <w:rPr>
          <w:i/>
          <w:iCs/>
          <w:szCs w:val="24"/>
        </w:rPr>
        <w:t>Engineering, Construction and Architectural Management, 26</w:t>
      </w:r>
      <w:r w:rsidRPr="00084D19">
        <w:rPr>
          <w:szCs w:val="24"/>
        </w:rPr>
        <w:t xml:space="preserve">(6), 1063–1086. </w:t>
      </w:r>
      <w:hyperlink r:id="rId29" w:history="1">
        <w:r w:rsidRPr="00084D19">
          <w:rPr>
            <w:rStyle w:val="Hyperlink"/>
            <w:szCs w:val="24"/>
          </w:rPr>
          <w:t>https://doi.org/10.1108/ECAM-02-2018-0056</w:t>
        </w:r>
      </w:hyperlink>
      <w:r>
        <w:rPr>
          <w:szCs w:val="24"/>
        </w:rPr>
        <w:t xml:space="preserve"> </w:t>
      </w:r>
    </w:p>
    <w:p w14:paraId="43CBDE06"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Sev, A. (2009). How can the construction industry contribute to sustainable development? A conceptual framework. </w:t>
      </w:r>
      <w:r w:rsidRPr="00084D19">
        <w:rPr>
          <w:i/>
          <w:iCs/>
          <w:szCs w:val="24"/>
        </w:rPr>
        <w:t>Sustainable Development, 17</w:t>
      </w:r>
      <w:r w:rsidRPr="00084D19">
        <w:rPr>
          <w:szCs w:val="24"/>
        </w:rPr>
        <w:t xml:space="preserve">(3), 161–173. </w:t>
      </w:r>
      <w:hyperlink r:id="rId30" w:history="1">
        <w:r w:rsidRPr="00084D19">
          <w:rPr>
            <w:rStyle w:val="Hyperlink"/>
            <w:szCs w:val="24"/>
          </w:rPr>
          <w:t>https://doi.org/10.1002/sd.373</w:t>
        </w:r>
      </w:hyperlink>
      <w:r>
        <w:rPr>
          <w:szCs w:val="24"/>
        </w:rPr>
        <w:t xml:space="preserve"> </w:t>
      </w:r>
    </w:p>
    <w:p w14:paraId="7F117573"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Naik, T. R. (2008). Sustainability of concrete construction. </w:t>
      </w:r>
      <w:r w:rsidRPr="00084D19">
        <w:rPr>
          <w:i/>
          <w:iCs/>
          <w:szCs w:val="24"/>
        </w:rPr>
        <w:t>Practice Periodical on Structural Design and Construction, 13</w:t>
      </w:r>
      <w:r w:rsidRPr="00084D19">
        <w:rPr>
          <w:szCs w:val="24"/>
        </w:rPr>
        <w:t xml:space="preserve">(2), 98–103. </w:t>
      </w:r>
      <w:hyperlink r:id="rId31" w:history="1">
        <w:r w:rsidRPr="00084D19">
          <w:rPr>
            <w:rStyle w:val="Hyperlink"/>
            <w:szCs w:val="24"/>
          </w:rPr>
          <w:t>https://doi.org/10.1061/(ASCE)1084-0680(2008)13:2(98)</w:t>
        </w:r>
      </w:hyperlink>
      <w:r>
        <w:rPr>
          <w:szCs w:val="24"/>
        </w:rPr>
        <w:t xml:space="preserve"> </w:t>
      </w:r>
    </w:p>
    <w:p w14:paraId="5BD3C4D9"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Kang, H., Lee, Y., &amp; Kim, S. (2016). </w:t>
      </w:r>
      <w:r w:rsidRPr="00084D19">
        <w:rPr>
          <w:szCs w:val="24"/>
        </w:rPr>
        <w:t xml:space="preserve">Sustainable building assessment tool for project decision makers and its development process. </w:t>
      </w:r>
      <w:r w:rsidRPr="00084D19">
        <w:rPr>
          <w:i/>
          <w:iCs/>
          <w:szCs w:val="24"/>
        </w:rPr>
        <w:t>Environmental Impact Assessment Review, 58</w:t>
      </w:r>
      <w:r w:rsidRPr="00084D19">
        <w:rPr>
          <w:szCs w:val="24"/>
        </w:rPr>
        <w:t xml:space="preserve">, 34–47. </w:t>
      </w:r>
      <w:hyperlink r:id="rId32" w:history="1">
        <w:r w:rsidRPr="00084D19">
          <w:rPr>
            <w:rStyle w:val="Hyperlink"/>
            <w:szCs w:val="24"/>
          </w:rPr>
          <w:t>https://doi.org/10.1016/j.eiar.2016.02.003</w:t>
        </w:r>
      </w:hyperlink>
      <w:r>
        <w:rPr>
          <w:szCs w:val="24"/>
        </w:rPr>
        <w:t xml:space="preserve"> </w:t>
      </w:r>
    </w:p>
    <w:p w14:paraId="66338D46" w14:textId="77777777" w:rsidR="00F022EE" w:rsidRPr="00084D19" w:rsidRDefault="00F022EE" w:rsidP="00F022EE">
      <w:pPr>
        <w:numPr>
          <w:ilvl w:val="0"/>
          <w:numId w:val="45"/>
        </w:numPr>
        <w:spacing w:before="100" w:beforeAutospacing="1" w:after="100" w:afterAutospacing="1"/>
        <w:rPr>
          <w:szCs w:val="24"/>
        </w:rPr>
      </w:pPr>
      <w:r w:rsidRPr="00084D19">
        <w:rPr>
          <w:szCs w:val="24"/>
        </w:rPr>
        <w:t xml:space="preserve">Raouf, A. M., &amp; Al-Ghamdi, S. G. (2019). Effectiveness of project delivery systems in executing green buildings. </w:t>
      </w:r>
      <w:r w:rsidRPr="00084D19">
        <w:rPr>
          <w:i/>
          <w:iCs/>
          <w:szCs w:val="24"/>
        </w:rPr>
        <w:t>Journal of Construction Engineering and Management, 145</w:t>
      </w:r>
      <w:r w:rsidRPr="00084D19">
        <w:rPr>
          <w:szCs w:val="24"/>
        </w:rPr>
        <w:t xml:space="preserve">(10), 03119005. </w:t>
      </w:r>
      <w:hyperlink r:id="rId33" w:history="1">
        <w:r w:rsidRPr="00084D19">
          <w:rPr>
            <w:rStyle w:val="Hyperlink"/>
            <w:szCs w:val="24"/>
          </w:rPr>
          <w:t>https://doi.org/10.1061/(ASCE)CO.1943-7862.0001688</w:t>
        </w:r>
      </w:hyperlink>
      <w:r>
        <w:rPr>
          <w:szCs w:val="24"/>
        </w:rPr>
        <w:t xml:space="preserve"> </w:t>
      </w:r>
    </w:p>
    <w:p w14:paraId="62BFAB77"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Chau, T. T., Nguyen, M. T., &amp; Do, T. T. (2023). </w:t>
      </w:r>
      <w:r w:rsidRPr="00084D19">
        <w:rPr>
          <w:szCs w:val="24"/>
        </w:rPr>
        <w:t xml:space="preserve">Artificial intelligence-based solutions for sustainable building design: A comprehensive review. </w:t>
      </w:r>
      <w:r w:rsidRPr="00084D19">
        <w:rPr>
          <w:i/>
          <w:iCs/>
          <w:szCs w:val="24"/>
        </w:rPr>
        <w:t>Journal of Building Engineering, 67</w:t>
      </w:r>
      <w:r w:rsidRPr="00084D19">
        <w:rPr>
          <w:szCs w:val="24"/>
        </w:rPr>
        <w:t xml:space="preserve">, 105901. </w:t>
      </w:r>
      <w:hyperlink r:id="rId34" w:history="1">
        <w:r w:rsidRPr="00084D19">
          <w:rPr>
            <w:rStyle w:val="Hyperlink"/>
            <w:szCs w:val="24"/>
          </w:rPr>
          <w:t>https://doi.org/10.1016/j.jobe.2023.105901</w:t>
        </w:r>
      </w:hyperlink>
      <w:r>
        <w:rPr>
          <w:szCs w:val="24"/>
        </w:rPr>
        <w:t xml:space="preserve"> </w:t>
      </w:r>
    </w:p>
    <w:p w14:paraId="6E21E9CA"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Kim, M., Ham, S. K., &amp; Jang, H. J. (2023). </w:t>
      </w:r>
      <w:r w:rsidRPr="00084D19">
        <w:rPr>
          <w:szCs w:val="24"/>
        </w:rPr>
        <w:t xml:space="preserve">Potential of using machine learning for real-time project scheduling in the construction domain. </w:t>
      </w:r>
      <w:r w:rsidRPr="00084D19">
        <w:rPr>
          <w:i/>
          <w:iCs/>
          <w:szCs w:val="24"/>
        </w:rPr>
        <w:t>Automation in Construction, 144</w:t>
      </w:r>
      <w:r w:rsidRPr="00084D19">
        <w:rPr>
          <w:szCs w:val="24"/>
        </w:rPr>
        <w:t xml:space="preserve">, 104650. </w:t>
      </w:r>
      <w:hyperlink r:id="rId35" w:history="1">
        <w:r w:rsidRPr="00084D19">
          <w:rPr>
            <w:rStyle w:val="Hyperlink"/>
            <w:szCs w:val="24"/>
          </w:rPr>
          <w:t>https://doi.org/10.1016/j.autcon.2023.104650</w:t>
        </w:r>
      </w:hyperlink>
      <w:r>
        <w:rPr>
          <w:szCs w:val="24"/>
        </w:rPr>
        <w:t xml:space="preserve"> </w:t>
      </w:r>
    </w:p>
    <w:p w14:paraId="2612EA5D" w14:textId="77777777" w:rsidR="00F022EE" w:rsidRPr="00084D19" w:rsidRDefault="00F022EE" w:rsidP="00F022EE">
      <w:pPr>
        <w:numPr>
          <w:ilvl w:val="0"/>
          <w:numId w:val="45"/>
        </w:numPr>
        <w:spacing w:before="100" w:beforeAutospacing="1" w:after="100" w:afterAutospacing="1"/>
        <w:rPr>
          <w:szCs w:val="24"/>
        </w:rPr>
      </w:pPr>
      <w:r w:rsidRPr="00084D19">
        <w:rPr>
          <w:szCs w:val="24"/>
          <w:lang w:val="de-DE"/>
        </w:rPr>
        <w:t xml:space="preserve">Li, X., Yang, R. J., &amp; Wen, D. (2023). </w:t>
      </w:r>
      <w:r w:rsidRPr="00084D19">
        <w:rPr>
          <w:szCs w:val="24"/>
        </w:rPr>
        <w:t xml:space="preserve">Embedding eco-efficiency in AI-based construction management. </w:t>
      </w:r>
      <w:r w:rsidRPr="00084D19">
        <w:rPr>
          <w:i/>
          <w:iCs/>
          <w:szCs w:val="24"/>
        </w:rPr>
        <w:t>Automation in Construction, 150</w:t>
      </w:r>
      <w:r w:rsidRPr="00084D19">
        <w:rPr>
          <w:szCs w:val="24"/>
        </w:rPr>
        <w:t xml:space="preserve">, 104732. </w:t>
      </w:r>
      <w:hyperlink r:id="rId36" w:history="1">
        <w:r w:rsidRPr="00084D19">
          <w:rPr>
            <w:rStyle w:val="Hyperlink"/>
            <w:szCs w:val="24"/>
          </w:rPr>
          <w:t>https://doi.org/10.1016/j.autcon.2023.104732</w:t>
        </w:r>
      </w:hyperlink>
      <w:r>
        <w:rPr>
          <w:szCs w:val="24"/>
        </w:rPr>
        <w:t xml:space="preserve"> </w:t>
      </w:r>
    </w:p>
    <w:p w14:paraId="3EB5AE8D" w14:textId="77777777" w:rsidR="00F022EE" w:rsidRPr="00084D19" w:rsidRDefault="00F022EE" w:rsidP="00F022EE">
      <w:pPr>
        <w:numPr>
          <w:ilvl w:val="0"/>
          <w:numId w:val="45"/>
        </w:numPr>
        <w:spacing w:before="100" w:beforeAutospacing="1" w:after="100" w:afterAutospacing="1"/>
        <w:rPr>
          <w:szCs w:val="24"/>
        </w:rPr>
      </w:pPr>
      <w:proofErr w:type="spellStart"/>
      <w:r w:rsidRPr="00084D19">
        <w:rPr>
          <w:szCs w:val="24"/>
        </w:rPr>
        <w:t>Khoshnevisan</w:t>
      </w:r>
      <w:proofErr w:type="spellEnd"/>
      <w:r w:rsidRPr="00084D19">
        <w:rPr>
          <w:szCs w:val="24"/>
        </w:rPr>
        <w:t xml:space="preserve">, M. B., Tabesh, N. H., &amp; </w:t>
      </w:r>
      <w:proofErr w:type="spellStart"/>
      <w:r w:rsidRPr="00084D19">
        <w:rPr>
          <w:szCs w:val="24"/>
        </w:rPr>
        <w:t>Javadian</w:t>
      </w:r>
      <w:proofErr w:type="spellEnd"/>
      <w:r w:rsidRPr="00084D19">
        <w:rPr>
          <w:szCs w:val="24"/>
        </w:rPr>
        <w:t xml:space="preserve">, S. (2023). Exploring the potential of AI-driven methods for sustainable building design: A systematic review. </w:t>
      </w:r>
      <w:r w:rsidRPr="00084D19">
        <w:rPr>
          <w:i/>
          <w:iCs/>
          <w:szCs w:val="24"/>
        </w:rPr>
        <w:t>Journal of Building Engineering, 74</w:t>
      </w:r>
      <w:r w:rsidRPr="00084D19">
        <w:rPr>
          <w:szCs w:val="24"/>
        </w:rPr>
        <w:t xml:space="preserve">, 106724. </w:t>
      </w:r>
      <w:hyperlink r:id="rId37" w:history="1">
        <w:r w:rsidRPr="00084D19">
          <w:rPr>
            <w:rStyle w:val="Hyperlink"/>
            <w:szCs w:val="24"/>
          </w:rPr>
          <w:t>https://doi.org/10.1016/j.jobe.2023.106724</w:t>
        </w:r>
      </w:hyperlink>
      <w:r>
        <w:rPr>
          <w:szCs w:val="24"/>
        </w:rPr>
        <w:t xml:space="preserve"> </w:t>
      </w:r>
    </w:p>
    <w:p w14:paraId="252208BC" w14:textId="77777777" w:rsidR="006452C4" w:rsidRPr="006452C4" w:rsidRDefault="00F022EE" w:rsidP="00423FAA">
      <w:pPr>
        <w:numPr>
          <w:ilvl w:val="0"/>
          <w:numId w:val="45"/>
        </w:numPr>
        <w:spacing w:before="100" w:beforeAutospacing="1" w:after="100" w:afterAutospacing="1"/>
        <w:rPr>
          <w:szCs w:val="24"/>
        </w:rPr>
      </w:pPr>
      <w:r w:rsidRPr="006452C4">
        <w:rPr>
          <w:szCs w:val="24"/>
          <w:lang w:val="pt-BR"/>
        </w:rPr>
        <w:t xml:space="preserve">García, L., Suárez, J., &amp; Sanz, I. (2023). </w:t>
      </w:r>
      <w:r w:rsidRPr="006452C4">
        <w:rPr>
          <w:szCs w:val="24"/>
        </w:rPr>
        <w:t xml:space="preserve">Prospects of AI-driven construction for sustainable infrastructure: A global perspective. </w:t>
      </w:r>
      <w:r w:rsidRPr="006452C4">
        <w:rPr>
          <w:i/>
          <w:iCs/>
          <w:szCs w:val="24"/>
        </w:rPr>
        <w:t>Journal of Building Engineering, 65</w:t>
      </w:r>
      <w:r w:rsidRPr="006452C4">
        <w:rPr>
          <w:szCs w:val="24"/>
        </w:rPr>
        <w:t xml:space="preserve">, 105764. </w:t>
      </w:r>
      <w:hyperlink r:id="rId38" w:history="1">
        <w:r w:rsidRPr="006452C4">
          <w:rPr>
            <w:rStyle w:val="Hyperlink"/>
            <w:szCs w:val="24"/>
          </w:rPr>
          <w:t>https://doi.org/10.1016/j.jobe.2023.105764</w:t>
        </w:r>
      </w:hyperlink>
    </w:p>
    <w:p w14:paraId="4C86A887" w14:textId="35842BE4" w:rsidR="006452C4" w:rsidRPr="006452C4" w:rsidRDefault="006452C4" w:rsidP="00423FAA">
      <w:pPr>
        <w:numPr>
          <w:ilvl w:val="0"/>
          <w:numId w:val="45"/>
        </w:numPr>
        <w:spacing w:before="100" w:beforeAutospacing="1" w:after="100" w:afterAutospacing="1"/>
        <w:rPr>
          <w:szCs w:val="24"/>
        </w:rPr>
      </w:pPr>
      <w:r w:rsidRPr="006452C4">
        <w:rPr>
          <w:lang w:val="de-DE" w:eastAsia="hr-HR"/>
        </w:rPr>
        <w:t xml:space="preserve">Zhang, X., Wang, L., &amp; Chen, Y. (2022). </w:t>
      </w:r>
      <w:r w:rsidRPr="006452C4">
        <w:rPr>
          <w:lang w:eastAsia="hr-HR"/>
        </w:rPr>
        <w:t>IoT</w:t>
      </w:r>
      <w:r w:rsidRPr="006452C4">
        <w:rPr>
          <w:lang w:eastAsia="hr-HR"/>
        </w:rPr>
        <w:noBreakHyphen/>
        <w:t xml:space="preserve">enabled predictive analytics for construction sites. </w:t>
      </w:r>
      <w:r w:rsidRPr="006452C4">
        <w:rPr>
          <w:i/>
          <w:iCs/>
          <w:lang w:eastAsia="hr-HR"/>
        </w:rPr>
        <w:t>Automation in Construction</w:t>
      </w:r>
      <w:r w:rsidRPr="006452C4">
        <w:rPr>
          <w:lang w:eastAsia="hr-HR"/>
        </w:rPr>
        <w:t xml:space="preserve">, 138, 105470. </w:t>
      </w:r>
      <w:hyperlink r:id="rId39" w:history="1">
        <w:r w:rsidR="00125A90" w:rsidRPr="00A749AE">
          <w:rPr>
            <w:rStyle w:val="Hyperlink"/>
            <w:lang w:eastAsia="hr-HR"/>
          </w:rPr>
          <w:t>http://dx.doi.org/10.1016/j.autcon.2021.104099</w:t>
        </w:r>
      </w:hyperlink>
      <w:r w:rsidR="00125A90">
        <w:rPr>
          <w:lang w:eastAsia="hr-HR"/>
        </w:rPr>
        <w:t xml:space="preserve"> </w:t>
      </w:r>
    </w:p>
    <w:p w14:paraId="76DD8CE1" w14:textId="28344E11" w:rsidR="000B2D6C" w:rsidRPr="002671AD" w:rsidRDefault="006452C4" w:rsidP="00423FAA">
      <w:pPr>
        <w:numPr>
          <w:ilvl w:val="0"/>
          <w:numId w:val="45"/>
        </w:numPr>
        <w:spacing w:before="100" w:beforeAutospacing="1" w:after="100" w:afterAutospacing="1"/>
        <w:rPr>
          <w:szCs w:val="24"/>
        </w:rPr>
      </w:pPr>
      <w:r w:rsidRPr="006452C4">
        <w:rPr>
          <w:lang w:eastAsia="hr-HR"/>
        </w:rPr>
        <w:t>Li, Y., Gupta, R., &amp; Singh, A. (2022). Real</w:t>
      </w:r>
      <w:r w:rsidRPr="006452C4">
        <w:rPr>
          <w:lang w:eastAsia="hr-HR"/>
        </w:rPr>
        <w:noBreakHyphen/>
        <w:t>time AI</w:t>
      </w:r>
      <w:r w:rsidRPr="006452C4">
        <w:rPr>
          <w:lang w:eastAsia="hr-HR"/>
        </w:rPr>
        <w:noBreakHyphen/>
        <w:t xml:space="preserve">based construction monitoring. </w:t>
      </w:r>
      <w:r w:rsidRPr="006452C4">
        <w:rPr>
          <w:i/>
          <w:iCs/>
          <w:lang w:eastAsia="hr-HR"/>
        </w:rPr>
        <w:t>Journal of Construction Engineering and Management</w:t>
      </w:r>
      <w:r w:rsidRPr="006452C4">
        <w:rPr>
          <w:lang w:eastAsia="hr-HR"/>
        </w:rPr>
        <w:t>, 148(7), 04022076.</w:t>
      </w:r>
    </w:p>
    <w:p w14:paraId="17DA5EF0" w14:textId="3F39FCF2" w:rsidR="002671AD" w:rsidRDefault="002671AD" w:rsidP="00427F1F">
      <w:pPr>
        <w:numPr>
          <w:ilvl w:val="0"/>
          <w:numId w:val="45"/>
        </w:numPr>
        <w:spacing w:before="100" w:beforeAutospacing="1" w:after="100" w:afterAutospacing="1"/>
        <w:rPr>
          <w:szCs w:val="24"/>
        </w:rPr>
      </w:pPr>
      <w:r w:rsidRPr="002671AD">
        <w:rPr>
          <w:szCs w:val="24"/>
        </w:rPr>
        <w:t>Comprehensive reviews of sensor technologies and methodologies for on</w:t>
      </w:r>
      <w:r w:rsidRPr="002671AD">
        <w:rPr>
          <w:szCs w:val="24"/>
        </w:rPr>
        <w:noBreakHyphen/>
        <w:t>site real</w:t>
      </w:r>
      <w:r w:rsidRPr="002671AD">
        <w:rPr>
          <w:szCs w:val="24"/>
        </w:rPr>
        <w:noBreakHyphen/>
        <w:t>time monitoring highlight their importance for hazard identification, worker safety, and resource tracking (Rao et al., 2022)</w:t>
      </w:r>
      <w:r w:rsidR="00427F1F">
        <w:rPr>
          <w:szCs w:val="24"/>
        </w:rPr>
        <w:t xml:space="preserve">, </w:t>
      </w:r>
      <w:hyperlink r:id="rId40" w:tgtFrame="_blank" w:tooltip="Persistent link using digital object identifier" w:history="1">
        <w:r w:rsidR="00427F1F" w:rsidRPr="00427F1F">
          <w:rPr>
            <w:rStyle w:val="Hyperlink"/>
            <w:szCs w:val="24"/>
          </w:rPr>
          <w:t>https://doi.org/10.1016/j.autcon.2021.104099</w:t>
        </w:r>
      </w:hyperlink>
      <w:r w:rsidR="00427F1F">
        <w:rPr>
          <w:szCs w:val="24"/>
        </w:rPr>
        <w:t>.</w:t>
      </w:r>
    </w:p>
    <w:p w14:paraId="73F63807" w14:textId="31155B8A" w:rsidR="003466E4" w:rsidRPr="003466E4" w:rsidRDefault="003466E4" w:rsidP="003466E4">
      <w:pPr>
        <w:numPr>
          <w:ilvl w:val="0"/>
          <w:numId w:val="45"/>
        </w:numPr>
        <w:spacing w:before="100" w:beforeAutospacing="1" w:after="100" w:afterAutospacing="1"/>
        <w:rPr>
          <w:szCs w:val="24"/>
        </w:rPr>
      </w:pPr>
      <w:r w:rsidRPr="003466E4">
        <w:rPr>
          <w:szCs w:val="24"/>
        </w:rPr>
        <w:t xml:space="preserve">Bai, Y., &amp; Chen, Y. (2020). Machine Learning Applications in Construction: A Comprehensive Review. Automation in Construction, 113, 103115. </w:t>
      </w:r>
      <w:hyperlink r:id="rId41" w:history="1">
        <w:r w:rsidRPr="001C77A2">
          <w:rPr>
            <w:rStyle w:val="Hyperlink"/>
            <w:szCs w:val="24"/>
          </w:rPr>
          <w:t>https://doi.org/10.1016/j.autcon.2020.103115</w:t>
        </w:r>
      </w:hyperlink>
      <w:r>
        <w:rPr>
          <w:szCs w:val="24"/>
        </w:rPr>
        <w:t xml:space="preserve"> </w:t>
      </w:r>
    </w:p>
    <w:p w14:paraId="3FCD901B" w14:textId="131A4171" w:rsidR="003466E4" w:rsidRPr="006452C4" w:rsidRDefault="003466E4" w:rsidP="003466E4">
      <w:pPr>
        <w:numPr>
          <w:ilvl w:val="0"/>
          <w:numId w:val="45"/>
        </w:numPr>
        <w:spacing w:before="100" w:beforeAutospacing="1" w:after="100" w:afterAutospacing="1"/>
        <w:rPr>
          <w:szCs w:val="24"/>
        </w:rPr>
      </w:pPr>
      <w:proofErr w:type="spellStart"/>
      <w:r w:rsidRPr="003466E4">
        <w:rPr>
          <w:szCs w:val="24"/>
        </w:rPr>
        <w:t>Regona</w:t>
      </w:r>
      <w:proofErr w:type="spellEnd"/>
      <w:r w:rsidRPr="003466E4">
        <w:rPr>
          <w:szCs w:val="24"/>
        </w:rPr>
        <w:t xml:space="preserve">, M., </w:t>
      </w:r>
      <w:proofErr w:type="spellStart"/>
      <w:r w:rsidRPr="003466E4">
        <w:rPr>
          <w:szCs w:val="24"/>
        </w:rPr>
        <w:t>Yigitcanlar</w:t>
      </w:r>
      <w:proofErr w:type="spellEnd"/>
      <w:r w:rsidRPr="003466E4">
        <w:rPr>
          <w:szCs w:val="24"/>
        </w:rPr>
        <w:t xml:space="preserve">, T., Hon, C. H., &amp; Teo, M. (2024). Artificial Intelligence and Sustainable Development Goals: Systematic Literature Review of the Construction Industry. Sustainable Cities and Society, 108, 105499. </w:t>
      </w:r>
      <w:hyperlink r:id="rId42" w:history="1">
        <w:r w:rsidR="004B379A" w:rsidRPr="001C77A2">
          <w:rPr>
            <w:rStyle w:val="Hyperlink"/>
            <w:szCs w:val="24"/>
          </w:rPr>
          <w:t>https://doi.org/10.1016/j.scs.2024.105499</w:t>
        </w:r>
      </w:hyperlink>
      <w:r w:rsidR="004B379A">
        <w:rPr>
          <w:szCs w:val="24"/>
        </w:rPr>
        <w:t xml:space="preserve"> </w:t>
      </w:r>
    </w:p>
    <w:sectPr w:rsidR="003466E4" w:rsidRPr="006452C4" w:rsidSect="00982B20">
      <w:headerReference w:type="even" r:id="rId43"/>
      <w:headerReference w:type="default" r:id="rId44"/>
      <w:footerReference w:type="default" r:id="rId45"/>
      <w:headerReference w:type="first" r:id="rId4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2173" w14:textId="77777777" w:rsidR="000C1453" w:rsidRDefault="000C1453" w:rsidP="00C37E61">
      <w:r>
        <w:separator/>
      </w:r>
    </w:p>
  </w:endnote>
  <w:endnote w:type="continuationSeparator" w:id="0">
    <w:p w14:paraId="2E41FC9A" w14:textId="77777777" w:rsidR="000C1453" w:rsidRDefault="000C14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8ACB" w14:textId="77777777" w:rsidR="00982B20" w:rsidRDefault="00982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50B4" w14:textId="77777777" w:rsidR="00982B20" w:rsidRDefault="00982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547E" w14:textId="6A0A776A" w:rsidR="00754C9A" w:rsidRPr="00982B20" w:rsidRDefault="00754C9A" w:rsidP="00982B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9E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2E41" w14:textId="77777777" w:rsidR="000C1453" w:rsidRDefault="000C1453" w:rsidP="00C37E61">
      <w:r>
        <w:separator/>
      </w:r>
    </w:p>
  </w:footnote>
  <w:footnote w:type="continuationSeparator" w:id="0">
    <w:p w14:paraId="6DA00264" w14:textId="77777777" w:rsidR="000C1453" w:rsidRDefault="000C145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B9B0" w14:textId="3305DF23" w:rsidR="00982B20" w:rsidRDefault="00000000">
    <w:pPr>
      <w:pStyle w:val="Header"/>
    </w:pPr>
    <w:r>
      <w:rPr>
        <w:noProof/>
      </w:rPr>
      <w:pict w14:anchorId="52CD8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FA4C" w14:textId="2520F5D9" w:rsidR="00982B20" w:rsidRDefault="00000000">
    <w:pPr>
      <w:pStyle w:val="Header"/>
    </w:pPr>
    <w:r>
      <w:rPr>
        <w:noProof/>
      </w:rPr>
      <w:pict w14:anchorId="6007C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626D" w14:textId="2D50EF74" w:rsidR="00296529" w:rsidRPr="00296529" w:rsidRDefault="00000000" w:rsidP="00296529">
    <w:pPr>
      <w:ind w:left="2160"/>
      <w:jc w:val="center"/>
      <w:rPr>
        <w:rFonts w:ascii="Times New Roman" w:eastAsia="Calibri" w:hAnsi="Times New Roman"/>
        <w:i/>
        <w:sz w:val="18"/>
        <w:szCs w:val="22"/>
      </w:rPr>
    </w:pPr>
    <w:r>
      <w:rPr>
        <w:noProof/>
      </w:rPr>
      <w:pict w14:anchorId="2D519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4CC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7B959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BBC5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89D34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7C28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A356B8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6092" w14:textId="3141AFF3" w:rsidR="00982B20" w:rsidRDefault="00000000">
    <w:pPr>
      <w:pStyle w:val="Header"/>
    </w:pPr>
    <w:r>
      <w:rPr>
        <w:noProof/>
      </w:rPr>
      <w:pict w14:anchorId="63CFA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6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7E24" w14:textId="0BE1A1D7" w:rsidR="00982B20" w:rsidRDefault="00000000">
    <w:pPr>
      <w:pStyle w:val="Header"/>
    </w:pPr>
    <w:r>
      <w:rPr>
        <w:noProof/>
      </w:rPr>
      <w:pict w14:anchorId="4BB57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6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3928" w14:textId="509C785A" w:rsidR="00982B20" w:rsidRDefault="00000000">
    <w:pPr>
      <w:pStyle w:val="Header"/>
    </w:pPr>
    <w:r>
      <w:rPr>
        <w:noProof/>
      </w:rPr>
      <w:pict w14:anchorId="4D1F9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65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455E07"/>
    <w:multiLevelType w:val="hybridMultilevel"/>
    <w:tmpl w:val="E16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5856ED"/>
    <w:multiLevelType w:val="multilevel"/>
    <w:tmpl w:val="1B20EC9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148F6735"/>
    <w:multiLevelType w:val="multilevel"/>
    <w:tmpl w:val="787CC166"/>
    <w:lvl w:ilvl="0">
      <w:start w:val="3"/>
      <w:numFmt w:val="decimal"/>
      <w:lvlText w:val="%1"/>
      <w:lvlJc w:val="left"/>
      <w:pPr>
        <w:ind w:left="360" w:hanging="360"/>
      </w:pPr>
      <w:rPr>
        <w:rFonts w:ascii="Arial" w:eastAsia="Times New Roman" w:hAnsi="Arial" w:cs="Aria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D11449"/>
    <w:multiLevelType w:val="multilevel"/>
    <w:tmpl w:val="DF4E73DA"/>
    <w:lvl w:ilvl="0">
      <w:start w:val="1"/>
      <w:numFmt w:val="bullet"/>
      <w:lvlText w:val=""/>
      <w:lvlJc w:val="left"/>
      <w:pPr>
        <w:tabs>
          <w:tab w:val="num" w:pos="1364"/>
        </w:tabs>
        <w:ind w:left="1364" w:hanging="360"/>
      </w:pPr>
      <w:rPr>
        <w:rFonts w:ascii="Symbol" w:hAnsi="Symbol" w:hint="default"/>
        <w:sz w:val="20"/>
      </w:rPr>
    </w:lvl>
    <w:lvl w:ilvl="1" w:tentative="1">
      <w:start w:val="1"/>
      <w:numFmt w:val="bullet"/>
      <w:lvlText w:val="o"/>
      <w:lvlJc w:val="left"/>
      <w:pPr>
        <w:tabs>
          <w:tab w:val="num" w:pos="2084"/>
        </w:tabs>
        <w:ind w:left="2084" w:hanging="360"/>
      </w:pPr>
      <w:rPr>
        <w:rFonts w:ascii="Courier New" w:hAnsi="Courier New" w:hint="default"/>
        <w:sz w:val="20"/>
      </w:rPr>
    </w:lvl>
    <w:lvl w:ilvl="2" w:tentative="1">
      <w:start w:val="1"/>
      <w:numFmt w:val="bullet"/>
      <w:lvlText w:val=""/>
      <w:lvlJc w:val="left"/>
      <w:pPr>
        <w:tabs>
          <w:tab w:val="num" w:pos="2804"/>
        </w:tabs>
        <w:ind w:left="2804" w:hanging="360"/>
      </w:pPr>
      <w:rPr>
        <w:rFonts w:ascii="Wingdings" w:hAnsi="Wingdings" w:hint="default"/>
        <w:sz w:val="20"/>
      </w:rPr>
    </w:lvl>
    <w:lvl w:ilvl="3" w:tentative="1">
      <w:start w:val="1"/>
      <w:numFmt w:val="bullet"/>
      <w:lvlText w:val=""/>
      <w:lvlJc w:val="left"/>
      <w:pPr>
        <w:tabs>
          <w:tab w:val="num" w:pos="3524"/>
        </w:tabs>
        <w:ind w:left="3524" w:hanging="360"/>
      </w:pPr>
      <w:rPr>
        <w:rFonts w:ascii="Wingdings" w:hAnsi="Wingdings" w:hint="default"/>
        <w:sz w:val="20"/>
      </w:rPr>
    </w:lvl>
    <w:lvl w:ilvl="4" w:tentative="1">
      <w:start w:val="1"/>
      <w:numFmt w:val="bullet"/>
      <w:lvlText w:val=""/>
      <w:lvlJc w:val="left"/>
      <w:pPr>
        <w:tabs>
          <w:tab w:val="num" w:pos="4244"/>
        </w:tabs>
        <w:ind w:left="4244" w:hanging="360"/>
      </w:pPr>
      <w:rPr>
        <w:rFonts w:ascii="Wingdings" w:hAnsi="Wingdings" w:hint="default"/>
        <w:sz w:val="20"/>
      </w:rPr>
    </w:lvl>
    <w:lvl w:ilvl="5" w:tentative="1">
      <w:start w:val="1"/>
      <w:numFmt w:val="bullet"/>
      <w:lvlText w:val=""/>
      <w:lvlJc w:val="left"/>
      <w:pPr>
        <w:tabs>
          <w:tab w:val="num" w:pos="4964"/>
        </w:tabs>
        <w:ind w:left="4964" w:hanging="360"/>
      </w:pPr>
      <w:rPr>
        <w:rFonts w:ascii="Wingdings" w:hAnsi="Wingdings" w:hint="default"/>
        <w:sz w:val="20"/>
      </w:rPr>
    </w:lvl>
    <w:lvl w:ilvl="6" w:tentative="1">
      <w:start w:val="1"/>
      <w:numFmt w:val="bullet"/>
      <w:lvlText w:val=""/>
      <w:lvlJc w:val="left"/>
      <w:pPr>
        <w:tabs>
          <w:tab w:val="num" w:pos="5684"/>
        </w:tabs>
        <w:ind w:left="5684" w:hanging="360"/>
      </w:pPr>
      <w:rPr>
        <w:rFonts w:ascii="Wingdings" w:hAnsi="Wingdings" w:hint="default"/>
        <w:sz w:val="20"/>
      </w:rPr>
    </w:lvl>
    <w:lvl w:ilvl="7" w:tentative="1">
      <w:start w:val="1"/>
      <w:numFmt w:val="bullet"/>
      <w:lvlText w:val=""/>
      <w:lvlJc w:val="left"/>
      <w:pPr>
        <w:tabs>
          <w:tab w:val="num" w:pos="6404"/>
        </w:tabs>
        <w:ind w:left="6404" w:hanging="360"/>
      </w:pPr>
      <w:rPr>
        <w:rFonts w:ascii="Wingdings" w:hAnsi="Wingdings" w:hint="default"/>
        <w:sz w:val="20"/>
      </w:rPr>
    </w:lvl>
    <w:lvl w:ilvl="8" w:tentative="1">
      <w:start w:val="1"/>
      <w:numFmt w:val="bullet"/>
      <w:lvlText w:val=""/>
      <w:lvlJc w:val="left"/>
      <w:pPr>
        <w:tabs>
          <w:tab w:val="num" w:pos="7124"/>
        </w:tabs>
        <w:ind w:left="7124" w:hanging="360"/>
      </w:pPr>
      <w:rPr>
        <w:rFonts w:ascii="Wingdings" w:hAnsi="Wingdings" w:hint="default"/>
        <w:sz w:val="20"/>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EBD7727"/>
    <w:multiLevelType w:val="multilevel"/>
    <w:tmpl w:val="BC3490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C31A8F"/>
    <w:multiLevelType w:val="hybridMultilevel"/>
    <w:tmpl w:val="5284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F0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8B728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961359"/>
    <w:multiLevelType w:val="multilevel"/>
    <w:tmpl w:val="787CC166"/>
    <w:lvl w:ilvl="0">
      <w:start w:val="3"/>
      <w:numFmt w:val="decimal"/>
      <w:lvlText w:val="%1"/>
      <w:lvlJc w:val="left"/>
      <w:pPr>
        <w:ind w:left="360" w:hanging="360"/>
      </w:pPr>
      <w:rPr>
        <w:rFonts w:ascii="Arial" w:eastAsia="Times New Roman" w:hAnsi="Arial" w:cs="Aria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24" w15:restartNumberingAfterBreak="0">
    <w:nsid w:val="31F4158D"/>
    <w:multiLevelType w:val="multilevel"/>
    <w:tmpl w:val="D3784D98"/>
    <w:lvl w:ilvl="0">
      <w:start w:val="1"/>
      <w:numFmt w:val="decimal"/>
      <w:lvlText w:val="%1."/>
      <w:lvlJc w:val="left"/>
      <w:pPr>
        <w:tabs>
          <w:tab w:val="num" w:pos="1740"/>
        </w:tabs>
        <w:ind w:left="1740" w:hanging="360"/>
      </w:pPr>
    </w:lvl>
    <w:lvl w:ilvl="1" w:tentative="1">
      <w:start w:val="1"/>
      <w:numFmt w:val="decimal"/>
      <w:lvlText w:val="%2."/>
      <w:lvlJc w:val="left"/>
      <w:pPr>
        <w:tabs>
          <w:tab w:val="num" w:pos="2460"/>
        </w:tabs>
        <w:ind w:left="2460" w:hanging="360"/>
      </w:pPr>
    </w:lvl>
    <w:lvl w:ilvl="2" w:tentative="1">
      <w:start w:val="1"/>
      <w:numFmt w:val="decimal"/>
      <w:lvlText w:val="%3."/>
      <w:lvlJc w:val="left"/>
      <w:pPr>
        <w:tabs>
          <w:tab w:val="num" w:pos="3180"/>
        </w:tabs>
        <w:ind w:left="3180" w:hanging="360"/>
      </w:pPr>
    </w:lvl>
    <w:lvl w:ilvl="3" w:tentative="1">
      <w:start w:val="1"/>
      <w:numFmt w:val="decimal"/>
      <w:lvlText w:val="%4."/>
      <w:lvlJc w:val="left"/>
      <w:pPr>
        <w:tabs>
          <w:tab w:val="num" w:pos="3900"/>
        </w:tabs>
        <w:ind w:left="3900" w:hanging="360"/>
      </w:pPr>
    </w:lvl>
    <w:lvl w:ilvl="4" w:tentative="1">
      <w:start w:val="1"/>
      <w:numFmt w:val="decimal"/>
      <w:lvlText w:val="%5."/>
      <w:lvlJc w:val="left"/>
      <w:pPr>
        <w:tabs>
          <w:tab w:val="num" w:pos="4620"/>
        </w:tabs>
        <w:ind w:left="4620" w:hanging="360"/>
      </w:pPr>
    </w:lvl>
    <w:lvl w:ilvl="5" w:tentative="1">
      <w:start w:val="1"/>
      <w:numFmt w:val="decimal"/>
      <w:lvlText w:val="%6."/>
      <w:lvlJc w:val="left"/>
      <w:pPr>
        <w:tabs>
          <w:tab w:val="num" w:pos="5340"/>
        </w:tabs>
        <w:ind w:left="5340" w:hanging="360"/>
      </w:pPr>
    </w:lvl>
    <w:lvl w:ilvl="6" w:tentative="1">
      <w:start w:val="1"/>
      <w:numFmt w:val="decimal"/>
      <w:lvlText w:val="%7."/>
      <w:lvlJc w:val="left"/>
      <w:pPr>
        <w:tabs>
          <w:tab w:val="num" w:pos="6060"/>
        </w:tabs>
        <w:ind w:left="6060" w:hanging="360"/>
      </w:pPr>
    </w:lvl>
    <w:lvl w:ilvl="7" w:tentative="1">
      <w:start w:val="1"/>
      <w:numFmt w:val="decimal"/>
      <w:lvlText w:val="%8."/>
      <w:lvlJc w:val="left"/>
      <w:pPr>
        <w:tabs>
          <w:tab w:val="num" w:pos="6780"/>
        </w:tabs>
        <w:ind w:left="6780" w:hanging="360"/>
      </w:pPr>
    </w:lvl>
    <w:lvl w:ilvl="8" w:tentative="1">
      <w:start w:val="1"/>
      <w:numFmt w:val="decimal"/>
      <w:lvlText w:val="%9."/>
      <w:lvlJc w:val="left"/>
      <w:pPr>
        <w:tabs>
          <w:tab w:val="num" w:pos="7500"/>
        </w:tabs>
        <w:ind w:left="7500" w:hanging="360"/>
      </w:pPr>
    </w:lvl>
  </w:abstractNum>
  <w:abstractNum w:abstractNumId="25" w15:restartNumberingAfterBreak="0">
    <w:nsid w:val="3EAB584C"/>
    <w:multiLevelType w:val="multilevel"/>
    <w:tmpl w:val="4F443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177C0A"/>
    <w:multiLevelType w:val="multilevel"/>
    <w:tmpl w:val="9D3A4890"/>
    <w:lvl w:ilvl="0">
      <w:start w:val="1"/>
      <w:numFmt w:val="bullet"/>
      <w:lvlText w:val=""/>
      <w:lvlJc w:val="left"/>
      <w:pPr>
        <w:ind w:left="360" w:hanging="360"/>
      </w:pPr>
      <w:rPr>
        <w:rFonts w:ascii="Symbol" w:hAnsi="Symbol" w:hint="default"/>
        <w:b/>
        <w:color w:val="auto"/>
        <w:sz w:val="22"/>
      </w:rPr>
    </w:lvl>
    <w:lvl w:ilvl="1">
      <w:start w:val="1"/>
      <w:numFmt w:val="decimal"/>
      <w:lvlText w:val="%1.%2"/>
      <w:lvlJc w:val="left"/>
      <w:pPr>
        <w:ind w:left="720" w:hanging="720"/>
      </w:pPr>
      <w:rPr>
        <w:rFonts w:ascii="Arial" w:eastAsia="Times New Roman" w:hAnsi="Arial" w:cs="Arial" w:hint="default"/>
        <w:b/>
        <w:color w:val="auto"/>
        <w:sz w:val="22"/>
      </w:rPr>
    </w:lvl>
    <w:lvl w:ilvl="2">
      <w:start w:val="1"/>
      <w:numFmt w:val="decimal"/>
      <w:lvlText w:val="%1.%2.%3"/>
      <w:lvlJc w:val="left"/>
      <w:pPr>
        <w:ind w:left="720" w:hanging="720"/>
      </w:pPr>
      <w:rPr>
        <w:rFonts w:ascii="Arial" w:eastAsia="Times New Roman" w:hAnsi="Arial" w:cs="Arial" w:hint="default"/>
        <w:b/>
        <w:color w:val="auto"/>
        <w:sz w:val="22"/>
      </w:rPr>
    </w:lvl>
    <w:lvl w:ilvl="3">
      <w:start w:val="1"/>
      <w:numFmt w:val="decimal"/>
      <w:lvlText w:val="%1.%2.%3.%4"/>
      <w:lvlJc w:val="left"/>
      <w:pPr>
        <w:ind w:left="1080" w:hanging="1080"/>
      </w:pPr>
      <w:rPr>
        <w:rFonts w:ascii="Arial" w:eastAsia="Times New Roman" w:hAnsi="Arial" w:cs="Arial" w:hint="default"/>
        <w:b/>
        <w:color w:val="auto"/>
        <w:sz w:val="22"/>
      </w:rPr>
    </w:lvl>
    <w:lvl w:ilvl="4">
      <w:start w:val="1"/>
      <w:numFmt w:val="decimal"/>
      <w:lvlText w:val="%1.%2.%3.%4.%5"/>
      <w:lvlJc w:val="left"/>
      <w:pPr>
        <w:ind w:left="1080" w:hanging="1080"/>
      </w:pPr>
      <w:rPr>
        <w:rFonts w:ascii="Arial" w:eastAsia="Times New Roman" w:hAnsi="Arial" w:cs="Arial" w:hint="default"/>
        <w:b/>
        <w:color w:val="auto"/>
        <w:sz w:val="22"/>
      </w:rPr>
    </w:lvl>
    <w:lvl w:ilvl="5">
      <w:start w:val="1"/>
      <w:numFmt w:val="decimal"/>
      <w:lvlText w:val="%1.%2.%3.%4.%5.%6"/>
      <w:lvlJc w:val="left"/>
      <w:pPr>
        <w:ind w:left="1440" w:hanging="1440"/>
      </w:pPr>
      <w:rPr>
        <w:rFonts w:ascii="Arial" w:eastAsia="Times New Roman" w:hAnsi="Arial" w:cs="Arial" w:hint="default"/>
        <w:b/>
        <w:color w:val="auto"/>
        <w:sz w:val="22"/>
      </w:rPr>
    </w:lvl>
    <w:lvl w:ilvl="6">
      <w:start w:val="1"/>
      <w:numFmt w:val="decimal"/>
      <w:lvlText w:val="%1.%2.%3.%4.%5.%6.%7"/>
      <w:lvlJc w:val="left"/>
      <w:pPr>
        <w:ind w:left="1800" w:hanging="1800"/>
      </w:pPr>
      <w:rPr>
        <w:rFonts w:ascii="Arial" w:eastAsia="Times New Roman" w:hAnsi="Arial" w:cs="Arial" w:hint="default"/>
        <w:b/>
        <w:color w:val="auto"/>
        <w:sz w:val="22"/>
      </w:rPr>
    </w:lvl>
    <w:lvl w:ilvl="7">
      <w:start w:val="1"/>
      <w:numFmt w:val="decimal"/>
      <w:lvlText w:val="%1.%2.%3.%4.%5.%6.%7.%8"/>
      <w:lvlJc w:val="left"/>
      <w:pPr>
        <w:ind w:left="1800" w:hanging="1800"/>
      </w:pPr>
      <w:rPr>
        <w:rFonts w:ascii="Arial" w:eastAsia="Times New Roman" w:hAnsi="Arial" w:cs="Arial" w:hint="default"/>
        <w:b/>
        <w:color w:val="auto"/>
        <w:sz w:val="22"/>
      </w:rPr>
    </w:lvl>
    <w:lvl w:ilvl="8">
      <w:start w:val="1"/>
      <w:numFmt w:val="decimal"/>
      <w:lvlText w:val="%1.%2.%3.%4.%5.%6.%7.%8.%9"/>
      <w:lvlJc w:val="left"/>
      <w:pPr>
        <w:ind w:left="2160" w:hanging="2160"/>
      </w:pPr>
      <w:rPr>
        <w:rFonts w:ascii="Arial" w:eastAsia="Times New Roman" w:hAnsi="Arial" w:cs="Arial" w:hint="default"/>
        <w:b/>
        <w:color w:val="auto"/>
        <w:sz w:val="22"/>
      </w:r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4D185AD6"/>
    <w:multiLevelType w:val="multilevel"/>
    <w:tmpl w:val="09BA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D29F0"/>
    <w:multiLevelType w:val="multilevel"/>
    <w:tmpl w:val="2A6E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F3B775F"/>
    <w:multiLevelType w:val="hybridMultilevel"/>
    <w:tmpl w:val="1A8C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8671C"/>
    <w:multiLevelType w:val="hybridMultilevel"/>
    <w:tmpl w:val="E4AC5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85500"/>
    <w:multiLevelType w:val="multilevel"/>
    <w:tmpl w:val="528C3BF4"/>
    <w:lvl w:ilvl="0">
      <w:start w:val="1"/>
      <w:numFmt w:val="bullet"/>
      <w:lvlText w:val=""/>
      <w:lvlJc w:val="left"/>
      <w:pPr>
        <w:tabs>
          <w:tab w:val="num" w:pos="1230"/>
        </w:tabs>
        <w:ind w:left="1230" w:hanging="360"/>
      </w:pPr>
      <w:rPr>
        <w:rFonts w:ascii="Symbol" w:hAnsi="Symbol" w:hint="default"/>
        <w:sz w:val="20"/>
      </w:rPr>
    </w:lvl>
    <w:lvl w:ilvl="1">
      <w:start w:val="1"/>
      <w:numFmt w:val="bullet"/>
      <w:lvlText w:val="o"/>
      <w:lvlJc w:val="left"/>
      <w:pPr>
        <w:tabs>
          <w:tab w:val="num" w:pos="1950"/>
        </w:tabs>
        <w:ind w:left="1950" w:hanging="360"/>
      </w:pPr>
      <w:rPr>
        <w:rFonts w:ascii="Courier New" w:hAnsi="Courier New" w:hint="default"/>
        <w:sz w:val="20"/>
      </w:rPr>
    </w:lvl>
    <w:lvl w:ilvl="2" w:tentative="1">
      <w:start w:val="1"/>
      <w:numFmt w:val="bullet"/>
      <w:lvlText w:val=""/>
      <w:lvlJc w:val="left"/>
      <w:pPr>
        <w:tabs>
          <w:tab w:val="num" w:pos="2670"/>
        </w:tabs>
        <w:ind w:left="2670" w:hanging="360"/>
      </w:pPr>
      <w:rPr>
        <w:rFonts w:ascii="Wingdings" w:hAnsi="Wingdings" w:hint="default"/>
        <w:sz w:val="20"/>
      </w:rPr>
    </w:lvl>
    <w:lvl w:ilvl="3" w:tentative="1">
      <w:start w:val="1"/>
      <w:numFmt w:val="bullet"/>
      <w:lvlText w:val=""/>
      <w:lvlJc w:val="left"/>
      <w:pPr>
        <w:tabs>
          <w:tab w:val="num" w:pos="3390"/>
        </w:tabs>
        <w:ind w:left="3390" w:hanging="360"/>
      </w:pPr>
      <w:rPr>
        <w:rFonts w:ascii="Wingdings" w:hAnsi="Wingdings" w:hint="default"/>
        <w:sz w:val="20"/>
      </w:rPr>
    </w:lvl>
    <w:lvl w:ilvl="4" w:tentative="1">
      <w:start w:val="1"/>
      <w:numFmt w:val="bullet"/>
      <w:lvlText w:val=""/>
      <w:lvlJc w:val="left"/>
      <w:pPr>
        <w:tabs>
          <w:tab w:val="num" w:pos="4110"/>
        </w:tabs>
        <w:ind w:left="4110" w:hanging="360"/>
      </w:pPr>
      <w:rPr>
        <w:rFonts w:ascii="Wingdings" w:hAnsi="Wingdings" w:hint="default"/>
        <w:sz w:val="20"/>
      </w:rPr>
    </w:lvl>
    <w:lvl w:ilvl="5" w:tentative="1">
      <w:start w:val="1"/>
      <w:numFmt w:val="bullet"/>
      <w:lvlText w:val=""/>
      <w:lvlJc w:val="left"/>
      <w:pPr>
        <w:tabs>
          <w:tab w:val="num" w:pos="4830"/>
        </w:tabs>
        <w:ind w:left="4830" w:hanging="360"/>
      </w:pPr>
      <w:rPr>
        <w:rFonts w:ascii="Wingdings" w:hAnsi="Wingdings" w:hint="default"/>
        <w:sz w:val="20"/>
      </w:rPr>
    </w:lvl>
    <w:lvl w:ilvl="6" w:tentative="1">
      <w:start w:val="1"/>
      <w:numFmt w:val="bullet"/>
      <w:lvlText w:val=""/>
      <w:lvlJc w:val="left"/>
      <w:pPr>
        <w:tabs>
          <w:tab w:val="num" w:pos="5550"/>
        </w:tabs>
        <w:ind w:left="5550" w:hanging="360"/>
      </w:pPr>
      <w:rPr>
        <w:rFonts w:ascii="Wingdings" w:hAnsi="Wingdings" w:hint="default"/>
        <w:sz w:val="20"/>
      </w:rPr>
    </w:lvl>
    <w:lvl w:ilvl="7" w:tentative="1">
      <w:start w:val="1"/>
      <w:numFmt w:val="bullet"/>
      <w:lvlText w:val=""/>
      <w:lvlJc w:val="left"/>
      <w:pPr>
        <w:tabs>
          <w:tab w:val="num" w:pos="6270"/>
        </w:tabs>
        <w:ind w:left="6270" w:hanging="360"/>
      </w:pPr>
      <w:rPr>
        <w:rFonts w:ascii="Wingdings" w:hAnsi="Wingdings" w:hint="default"/>
        <w:sz w:val="20"/>
      </w:rPr>
    </w:lvl>
    <w:lvl w:ilvl="8" w:tentative="1">
      <w:start w:val="1"/>
      <w:numFmt w:val="bullet"/>
      <w:lvlText w:val=""/>
      <w:lvlJc w:val="left"/>
      <w:pPr>
        <w:tabs>
          <w:tab w:val="num" w:pos="6990"/>
        </w:tabs>
        <w:ind w:left="6990" w:hanging="360"/>
      </w:pPr>
      <w:rPr>
        <w:rFonts w:ascii="Wingdings" w:hAnsi="Wingdings" w:hint="default"/>
        <w:sz w:val="20"/>
      </w:r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034107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6971479">
    <w:abstractNumId w:val="27"/>
  </w:num>
  <w:num w:numId="3" w16cid:durableId="1197625397">
    <w:abstractNumId w:val="38"/>
  </w:num>
  <w:num w:numId="4" w16cid:durableId="18922309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0529608">
    <w:abstractNumId w:val="10"/>
  </w:num>
  <w:num w:numId="6" w16cid:durableId="229317184">
    <w:abstractNumId w:val="7"/>
  </w:num>
  <w:num w:numId="7" w16cid:durableId="1092241164">
    <w:abstractNumId w:val="1"/>
  </w:num>
  <w:num w:numId="8" w16cid:durableId="1519857179">
    <w:abstractNumId w:val="20"/>
  </w:num>
  <w:num w:numId="9" w16cid:durableId="22439230">
    <w:abstractNumId w:val="41"/>
  </w:num>
  <w:num w:numId="10" w16cid:durableId="2039964008">
    <w:abstractNumId w:val="2"/>
  </w:num>
  <w:num w:numId="11" w16cid:durableId="761952638">
    <w:abstractNumId w:val="32"/>
  </w:num>
  <w:num w:numId="12" w16cid:durableId="1935868054">
    <w:abstractNumId w:val="3"/>
  </w:num>
  <w:num w:numId="13" w16cid:durableId="768542678">
    <w:abstractNumId w:val="31"/>
  </w:num>
  <w:num w:numId="14" w16cid:durableId="1657222741">
    <w:abstractNumId w:val="12"/>
  </w:num>
  <w:num w:numId="15" w16cid:durableId="176309392">
    <w:abstractNumId w:val="36"/>
  </w:num>
  <w:num w:numId="16" w16cid:durableId="1504082492">
    <w:abstractNumId w:val="5"/>
  </w:num>
  <w:num w:numId="17" w16cid:durableId="143006316">
    <w:abstractNumId w:val="37"/>
  </w:num>
  <w:num w:numId="18" w16cid:durableId="1334256931">
    <w:abstractNumId w:val="22"/>
  </w:num>
  <w:num w:numId="19" w16cid:durableId="370688731">
    <w:abstractNumId w:val="45"/>
  </w:num>
  <w:num w:numId="20" w16cid:durableId="435952610">
    <w:abstractNumId w:val="18"/>
  </w:num>
  <w:num w:numId="21" w16cid:durableId="173421758">
    <w:abstractNumId w:val="15"/>
  </w:num>
  <w:num w:numId="22" w16cid:durableId="2145653759">
    <w:abstractNumId w:val="21"/>
  </w:num>
  <w:num w:numId="23" w16cid:durableId="2082631811">
    <w:abstractNumId w:val="34"/>
  </w:num>
  <w:num w:numId="24" w16cid:durableId="705955504">
    <w:abstractNumId w:val="42"/>
  </w:num>
  <w:num w:numId="25" w16cid:durableId="1766417875">
    <w:abstractNumId w:val="4"/>
  </w:num>
  <w:num w:numId="26" w16cid:durableId="712734263">
    <w:abstractNumId w:val="30"/>
  </w:num>
  <w:num w:numId="27" w16cid:durableId="1463961385">
    <w:abstractNumId w:val="35"/>
  </w:num>
  <w:num w:numId="28" w16cid:durableId="595476171">
    <w:abstractNumId w:val="44"/>
  </w:num>
  <w:num w:numId="29" w16cid:durableId="452330497">
    <w:abstractNumId w:val="39"/>
  </w:num>
  <w:num w:numId="30" w16cid:durableId="325089852">
    <w:abstractNumId w:val="16"/>
  </w:num>
  <w:num w:numId="31" w16cid:durableId="997342729">
    <w:abstractNumId w:val="14"/>
  </w:num>
  <w:num w:numId="32" w16cid:durableId="733503127">
    <w:abstractNumId w:val="6"/>
  </w:num>
  <w:num w:numId="33" w16cid:durableId="96490895">
    <w:abstractNumId w:val="17"/>
  </w:num>
  <w:num w:numId="34" w16cid:durableId="136844213">
    <w:abstractNumId w:val="19"/>
  </w:num>
  <w:num w:numId="35" w16cid:durableId="1926718685">
    <w:abstractNumId w:val="13"/>
  </w:num>
  <w:num w:numId="36" w16cid:durableId="1118522017">
    <w:abstractNumId w:val="33"/>
  </w:num>
  <w:num w:numId="37" w16cid:durableId="73162407">
    <w:abstractNumId w:val="9"/>
  </w:num>
  <w:num w:numId="38" w16cid:durableId="84428089">
    <w:abstractNumId w:val="23"/>
  </w:num>
  <w:num w:numId="39" w16cid:durableId="534581210">
    <w:abstractNumId w:val="24"/>
  </w:num>
  <w:num w:numId="40" w16cid:durableId="918055287">
    <w:abstractNumId w:val="11"/>
  </w:num>
  <w:num w:numId="41" w16cid:durableId="645202113">
    <w:abstractNumId w:val="43"/>
  </w:num>
  <w:num w:numId="42" w16cid:durableId="1373113312">
    <w:abstractNumId w:val="8"/>
  </w:num>
  <w:num w:numId="43" w16cid:durableId="1259026318">
    <w:abstractNumId w:val="26"/>
  </w:num>
  <w:num w:numId="44" w16cid:durableId="1794205621">
    <w:abstractNumId w:val="28"/>
  </w:num>
  <w:num w:numId="45" w16cid:durableId="983198297">
    <w:abstractNumId w:val="29"/>
  </w:num>
  <w:num w:numId="46" w16cid:durableId="1866362648">
    <w:abstractNumId w:val="40"/>
  </w:num>
  <w:num w:numId="47" w16cid:durableId="1500079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45E"/>
    <w:rsid w:val="000241C7"/>
    <w:rsid w:val="00030174"/>
    <w:rsid w:val="00040E29"/>
    <w:rsid w:val="0004579C"/>
    <w:rsid w:val="00065FD5"/>
    <w:rsid w:val="00082665"/>
    <w:rsid w:val="00097FAC"/>
    <w:rsid w:val="000A47FA"/>
    <w:rsid w:val="000A65D3"/>
    <w:rsid w:val="000B1DC1"/>
    <w:rsid w:val="000B1E33"/>
    <w:rsid w:val="000B2D6C"/>
    <w:rsid w:val="000B466A"/>
    <w:rsid w:val="000C037F"/>
    <w:rsid w:val="000C1453"/>
    <w:rsid w:val="000C766C"/>
    <w:rsid w:val="000D689F"/>
    <w:rsid w:val="000E58AB"/>
    <w:rsid w:val="000E7B7B"/>
    <w:rsid w:val="000E7D62"/>
    <w:rsid w:val="00103357"/>
    <w:rsid w:val="00114207"/>
    <w:rsid w:val="00123C9F"/>
    <w:rsid w:val="00125A90"/>
    <w:rsid w:val="00126190"/>
    <w:rsid w:val="0013065A"/>
    <w:rsid w:val="00130F17"/>
    <w:rsid w:val="001320BF"/>
    <w:rsid w:val="00162AE2"/>
    <w:rsid w:val="00163BC4"/>
    <w:rsid w:val="00191062"/>
    <w:rsid w:val="00192B72"/>
    <w:rsid w:val="00195F7A"/>
    <w:rsid w:val="001A29D8"/>
    <w:rsid w:val="001A5CAA"/>
    <w:rsid w:val="001B0427"/>
    <w:rsid w:val="001C2085"/>
    <w:rsid w:val="001D3A51"/>
    <w:rsid w:val="001E0CDC"/>
    <w:rsid w:val="001E10D2"/>
    <w:rsid w:val="001E2044"/>
    <w:rsid w:val="001E25B4"/>
    <w:rsid w:val="001E29DB"/>
    <w:rsid w:val="001E44FE"/>
    <w:rsid w:val="00200595"/>
    <w:rsid w:val="00204835"/>
    <w:rsid w:val="0020586B"/>
    <w:rsid w:val="00231920"/>
    <w:rsid w:val="0023195C"/>
    <w:rsid w:val="0024282C"/>
    <w:rsid w:val="002434BB"/>
    <w:rsid w:val="002460DC"/>
    <w:rsid w:val="00250985"/>
    <w:rsid w:val="002556F6"/>
    <w:rsid w:val="002671AD"/>
    <w:rsid w:val="00271305"/>
    <w:rsid w:val="002819C1"/>
    <w:rsid w:val="00283105"/>
    <w:rsid w:val="00284C4C"/>
    <w:rsid w:val="00287E68"/>
    <w:rsid w:val="0029302D"/>
    <w:rsid w:val="00296529"/>
    <w:rsid w:val="002B27FB"/>
    <w:rsid w:val="002B685A"/>
    <w:rsid w:val="002C57D2"/>
    <w:rsid w:val="002E0D56"/>
    <w:rsid w:val="00300C2B"/>
    <w:rsid w:val="0031066C"/>
    <w:rsid w:val="00315186"/>
    <w:rsid w:val="0032515E"/>
    <w:rsid w:val="00332DBC"/>
    <w:rsid w:val="0033343E"/>
    <w:rsid w:val="003466E4"/>
    <w:rsid w:val="003512C2"/>
    <w:rsid w:val="00371FB6"/>
    <w:rsid w:val="003763C1"/>
    <w:rsid w:val="00376BBE"/>
    <w:rsid w:val="0039224F"/>
    <w:rsid w:val="003A35C8"/>
    <w:rsid w:val="003A43A4"/>
    <w:rsid w:val="003A7E18"/>
    <w:rsid w:val="003C4C86"/>
    <w:rsid w:val="003C6258"/>
    <w:rsid w:val="003E2904"/>
    <w:rsid w:val="00401927"/>
    <w:rsid w:val="0041027F"/>
    <w:rsid w:val="00412475"/>
    <w:rsid w:val="00423789"/>
    <w:rsid w:val="004265C3"/>
    <w:rsid w:val="00427F1F"/>
    <w:rsid w:val="00440F43"/>
    <w:rsid w:val="00441B6F"/>
    <w:rsid w:val="0044252A"/>
    <w:rsid w:val="00446221"/>
    <w:rsid w:val="00450E62"/>
    <w:rsid w:val="004539DB"/>
    <w:rsid w:val="0046030B"/>
    <w:rsid w:val="00460354"/>
    <w:rsid w:val="004629B6"/>
    <w:rsid w:val="00467D80"/>
    <w:rsid w:val="00471A80"/>
    <w:rsid w:val="00480B50"/>
    <w:rsid w:val="0048181D"/>
    <w:rsid w:val="004A0E51"/>
    <w:rsid w:val="004B379A"/>
    <w:rsid w:val="004D255D"/>
    <w:rsid w:val="004D305E"/>
    <w:rsid w:val="004D4277"/>
    <w:rsid w:val="004F3EF8"/>
    <w:rsid w:val="00502516"/>
    <w:rsid w:val="00505F06"/>
    <w:rsid w:val="00506828"/>
    <w:rsid w:val="0053056E"/>
    <w:rsid w:val="00552520"/>
    <w:rsid w:val="00554FDA"/>
    <w:rsid w:val="0057620A"/>
    <w:rsid w:val="00584A21"/>
    <w:rsid w:val="005C784C"/>
    <w:rsid w:val="005D17F6"/>
    <w:rsid w:val="005E5539"/>
    <w:rsid w:val="00602BF5"/>
    <w:rsid w:val="00604FA3"/>
    <w:rsid w:val="00617FDD"/>
    <w:rsid w:val="00633614"/>
    <w:rsid w:val="00633F68"/>
    <w:rsid w:val="00636EB2"/>
    <w:rsid w:val="006375B8"/>
    <w:rsid w:val="006452C4"/>
    <w:rsid w:val="0065098E"/>
    <w:rsid w:val="0066510A"/>
    <w:rsid w:val="00673F9F"/>
    <w:rsid w:val="00686953"/>
    <w:rsid w:val="00687DEA"/>
    <w:rsid w:val="00687E67"/>
    <w:rsid w:val="006967F7"/>
    <w:rsid w:val="006A250C"/>
    <w:rsid w:val="006B21D3"/>
    <w:rsid w:val="006B57D0"/>
    <w:rsid w:val="006D30FF"/>
    <w:rsid w:val="006D6940"/>
    <w:rsid w:val="006E6CB9"/>
    <w:rsid w:val="006F11EC"/>
    <w:rsid w:val="0070082C"/>
    <w:rsid w:val="007331CE"/>
    <w:rsid w:val="007369E6"/>
    <w:rsid w:val="007442F6"/>
    <w:rsid w:val="00746E59"/>
    <w:rsid w:val="0075300E"/>
    <w:rsid w:val="00754C9A"/>
    <w:rsid w:val="0075599A"/>
    <w:rsid w:val="00761D52"/>
    <w:rsid w:val="00775C7B"/>
    <w:rsid w:val="0077749E"/>
    <w:rsid w:val="00790ADA"/>
    <w:rsid w:val="007C0BAE"/>
    <w:rsid w:val="007C28D3"/>
    <w:rsid w:val="007C494A"/>
    <w:rsid w:val="007D2288"/>
    <w:rsid w:val="007D70D0"/>
    <w:rsid w:val="007E088F"/>
    <w:rsid w:val="007E1E9E"/>
    <w:rsid w:val="007F7B32"/>
    <w:rsid w:val="00804BC2"/>
    <w:rsid w:val="008135A8"/>
    <w:rsid w:val="0081431A"/>
    <w:rsid w:val="00817E1E"/>
    <w:rsid w:val="0082083B"/>
    <w:rsid w:val="0082730B"/>
    <w:rsid w:val="0083216F"/>
    <w:rsid w:val="00840D8D"/>
    <w:rsid w:val="00856694"/>
    <w:rsid w:val="00860000"/>
    <w:rsid w:val="00863BD3"/>
    <w:rsid w:val="008641ED"/>
    <w:rsid w:val="00866D66"/>
    <w:rsid w:val="008671C6"/>
    <w:rsid w:val="00875803"/>
    <w:rsid w:val="00876CC7"/>
    <w:rsid w:val="008812D6"/>
    <w:rsid w:val="00896423"/>
    <w:rsid w:val="008A7C70"/>
    <w:rsid w:val="008B459E"/>
    <w:rsid w:val="008D1AB5"/>
    <w:rsid w:val="008E11A6"/>
    <w:rsid w:val="008E13AE"/>
    <w:rsid w:val="008E1506"/>
    <w:rsid w:val="008E710C"/>
    <w:rsid w:val="008F69D6"/>
    <w:rsid w:val="00902823"/>
    <w:rsid w:val="00907CD3"/>
    <w:rsid w:val="00915CA6"/>
    <w:rsid w:val="00927834"/>
    <w:rsid w:val="009500A6"/>
    <w:rsid w:val="00950F64"/>
    <w:rsid w:val="00957C18"/>
    <w:rsid w:val="009601E0"/>
    <w:rsid w:val="009659BA"/>
    <w:rsid w:val="0096636F"/>
    <w:rsid w:val="00982B20"/>
    <w:rsid w:val="00983040"/>
    <w:rsid w:val="009A488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7214"/>
    <w:rsid w:val="00A51431"/>
    <w:rsid w:val="00A539AD"/>
    <w:rsid w:val="00A61FEE"/>
    <w:rsid w:val="00A74D4D"/>
    <w:rsid w:val="00A94063"/>
    <w:rsid w:val="00AA6219"/>
    <w:rsid w:val="00AA74E0"/>
    <w:rsid w:val="00AB703F"/>
    <w:rsid w:val="00AC5C85"/>
    <w:rsid w:val="00AC6BB8"/>
    <w:rsid w:val="00AD44BE"/>
    <w:rsid w:val="00AE008F"/>
    <w:rsid w:val="00AE40C1"/>
    <w:rsid w:val="00AF2D4E"/>
    <w:rsid w:val="00B01FCD"/>
    <w:rsid w:val="00B0765E"/>
    <w:rsid w:val="00B1776C"/>
    <w:rsid w:val="00B32510"/>
    <w:rsid w:val="00B359B4"/>
    <w:rsid w:val="00B52583"/>
    <w:rsid w:val="00B52896"/>
    <w:rsid w:val="00B95236"/>
    <w:rsid w:val="00B96BD9"/>
    <w:rsid w:val="00BA1B01"/>
    <w:rsid w:val="00BA2641"/>
    <w:rsid w:val="00BA2F01"/>
    <w:rsid w:val="00BB37AA"/>
    <w:rsid w:val="00BB5E7E"/>
    <w:rsid w:val="00BC53A0"/>
    <w:rsid w:val="00BE62AD"/>
    <w:rsid w:val="00BE6A53"/>
    <w:rsid w:val="00BF121F"/>
    <w:rsid w:val="00BF1F80"/>
    <w:rsid w:val="00C0228B"/>
    <w:rsid w:val="00C05338"/>
    <w:rsid w:val="00C1554A"/>
    <w:rsid w:val="00C166EF"/>
    <w:rsid w:val="00C17EB0"/>
    <w:rsid w:val="00C253BE"/>
    <w:rsid w:val="00C27F5F"/>
    <w:rsid w:val="00C30A0F"/>
    <w:rsid w:val="00C377A9"/>
    <w:rsid w:val="00C37E61"/>
    <w:rsid w:val="00C70F1B"/>
    <w:rsid w:val="00C71A47"/>
    <w:rsid w:val="00C7464C"/>
    <w:rsid w:val="00C85588"/>
    <w:rsid w:val="00CD3E7D"/>
    <w:rsid w:val="00CD6755"/>
    <w:rsid w:val="00CD6856"/>
    <w:rsid w:val="00CE0089"/>
    <w:rsid w:val="00CE2648"/>
    <w:rsid w:val="00CE2F6C"/>
    <w:rsid w:val="00CE5E60"/>
    <w:rsid w:val="00CE793C"/>
    <w:rsid w:val="00CF193C"/>
    <w:rsid w:val="00D0274F"/>
    <w:rsid w:val="00D173F1"/>
    <w:rsid w:val="00D214B1"/>
    <w:rsid w:val="00D31E98"/>
    <w:rsid w:val="00D416AE"/>
    <w:rsid w:val="00D44B7D"/>
    <w:rsid w:val="00D52FB5"/>
    <w:rsid w:val="00D65C22"/>
    <w:rsid w:val="00D74CB0"/>
    <w:rsid w:val="00D8295D"/>
    <w:rsid w:val="00D91F43"/>
    <w:rsid w:val="00DC2A65"/>
    <w:rsid w:val="00DE15F0"/>
    <w:rsid w:val="00DE5663"/>
    <w:rsid w:val="00DE78AA"/>
    <w:rsid w:val="00E0265B"/>
    <w:rsid w:val="00E053D0"/>
    <w:rsid w:val="00E15994"/>
    <w:rsid w:val="00E3114E"/>
    <w:rsid w:val="00E31A70"/>
    <w:rsid w:val="00E35B02"/>
    <w:rsid w:val="00E5684C"/>
    <w:rsid w:val="00E66496"/>
    <w:rsid w:val="00E66B35"/>
    <w:rsid w:val="00E66E10"/>
    <w:rsid w:val="00E769F6"/>
    <w:rsid w:val="00E8407C"/>
    <w:rsid w:val="00E84F3C"/>
    <w:rsid w:val="00EA012C"/>
    <w:rsid w:val="00EC00B3"/>
    <w:rsid w:val="00EC6A55"/>
    <w:rsid w:val="00ED0288"/>
    <w:rsid w:val="00EE52CB"/>
    <w:rsid w:val="00EF581D"/>
    <w:rsid w:val="00EF7FD8"/>
    <w:rsid w:val="00F022EE"/>
    <w:rsid w:val="00F06F59"/>
    <w:rsid w:val="00F12D08"/>
    <w:rsid w:val="00F17988"/>
    <w:rsid w:val="00F3185E"/>
    <w:rsid w:val="00F37B4D"/>
    <w:rsid w:val="00F402F4"/>
    <w:rsid w:val="00F469F0"/>
    <w:rsid w:val="00F53273"/>
    <w:rsid w:val="00F6490E"/>
    <w:rsid w:val="00F65749"/>
    <w:rsid w:val="00F66DBB"/>
    <w:rsid w:val="00F755E4"/>
    <w:rsid w:val="00F77D02"/>
    <w:rsid w:val="00F913FC"/>
    <w:rsid w:val="00FB3A86"/>
    <w:rsid w:val="00FD36C8"/>
    <w:rsid w:val="00FF6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61F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5E60"/>
    <w:pPr>
      <w:keepNext/>
      <w:tabs>
        <w:tab w:val="num" w:pos="2160"/>
      </w:tabs>
      <w:autoSpaceDE w:val="0"/>
      <w:autoSpaceDN w:val="0"/>
      <w:spacing w:before="120" w:after="60"/>
      <w:ind w:left="2160" w:hanging="720"/>
      <w:jc w:val="both"/>
      <w:outlineLvl w:val="2"/>
    </w:pPr>
    <w:rPr>
      <w:rFonts w:ascii="Times New Roman" w:hAnsi="Times New Roman"/>
      <w:b/>
      <w:bCs/>
      <w:sz w:val="24"/>
      <w:szCs w:val="22"/>
      <w:lang w:eastAsia="cs-CZ"/>
    </w:rPr>
  </w:style>
  <w:style w:type="paragraph" w:styleId="Heading4">
    <w:name w:val="heading 4"/>
    <w:basedOn w:val="Normal"/>
    <w:next w:val="Normal"/>
    <w:link w:val="Heading4Char"/>
    <w:qFormat/>
    <w:rsid w:val="00CE5E60"/>
    <w:pPr>
      <w:keepNext/>
      <w:tabs>
        <w:tab w:val="num" w:pos="864"/>
      </w:tabs>
      <w:autoSpaceDE w:val="0"/>
      <w:autoSpaceDN w:val="0"/>
      <w:spacing w:before="240" w:after="60"/>
      <w:ind w:left="864" w:hanging="864"/>
      <w:jc w:val="both"/>
      <w:outlineLvl w:val="3"/>
    </w:pPr>
    <w:rPr>
      <w:rFonts w:ascii="Arial" w:hAnsi="Arial" w:cs="Arial"/>
      <w:b/>
      <w:bCs/>
      <w:sz w:val="24"/>
      <w:szCs w:val="24"/>
      <w:lang w:eastAsia="cs-CZ"/>
    </w:rPr>
  </w:style>
  <w:style w:type="paragraph" w:styleId="Heading5">
    <w:name w:val="heading 5"/>
    <w:basedOn w:val="Normal"/>
    <w:next w:val="Normal"/>
    <w:link w:val="Heading5Char"/>
    <w:qFormat/>
    <w:rsid w:val="00CE5E60"/>
    <w:pPr>
      <w:tabs>
        <w:tab w:val="num" w:pos="1008"/>
      </w:tabs>
      <w:autoSpaceDE w:val="0"/>
      <w:autoSpaceDN w:val="0"/>
      <w:spacing w:before="240" w:after="60"/>
      <w:ind w:left="1008" w:hanging="1008"/>
      <w:jc w:val="both"/>
      <w:outlineLvl w:val="4"/>
    </w:pPr>
    <w:rPr>
      <w:rFonts w:ascii="Arial" w:hAnsi="Arial" w:cs="Arial"/>
      <w:sz w:val="22"/>
      <w:szCs w:val="22"/>
      <w:lang w:eastAsia="cs-CZ"/>
    </w:rPr>
  </w:style>
  <w:style w:type="paragraph" w:styleId="Heading6">
    <w:name w:val="heading 6"/>
    <w:basedOn w:val="Normal"/>
    <w:next w:val="Normal"/>
    <w:link w:val="Heading6Char"/>
    <w:qFormat/>
    <w:rsid w:val="00CE5E60"/>
    <w:pPr>
      <w:tabs>
        <w:tab w:val="num" w:pos="1152"/>
      </w:tabs>
      <w:autoSpaceDE w:val="0"/>
      <w:autoSpaceDN w:val="0"/>
      <w:spacing w:before="240" w:after="60"/>
      <w:ind w:left="1152" w:hanging="1152"/>
      <w:jc w:val="both"/>
      <w:outlineLvl w:val="5"/>
    </w:pPr>
    <w:rPr>
      <w:rFonts w:ascii="Times New Roman" w:hAnsi="Times New Roman"/>
      <w:i/>
      <w:iCs/>
      <w:sz w:val="22"/>
      <w:szCs w:val="22"/>
      <w:lang w:eastAsia="cs-CZ"/>
    </w:rPr>
  </w:style>
  <w:style w:type="paragraph" w:styleId="Heading7">
    <w:name w:val="heading 7"/>
    <w:basedOn w:val="Normal"/>
    <w:next w:val="Normal"/>
    <w:link w:val="Heading7Char"/>
    <w:qFormat/>
    <w:rsid w:val="00CE5E60"/>
    <w:pPr>
      <w:tabs>
        <w:tab w:val="num" w:pos="1296"/>
      </w:tabs>
      <w:autoSpaceDE w:val="0"/>
      <w:autoSpaceDN w:val="0"/>
      <w:spacing w:before="240" w:after="60"/>
      <w:ind w:left="1296" w:hanging="1296"/>
      <w:jc w:val="both"/>
      <w:outlineLvl w:val="6"/>
    </w:pPr>
    <w:rPr>
      <w:rFonts w:ascii="Arial" w:hAnsi="Arial" w:cs="Arial"/>
      <w:sz w:val="22"/>
      <w:szCs w:val="22"/>
      <w:lang w:eastAsia="cs-CZ"/>
    </w:rPr>
  </w:style>
  <w:style w:type="paragraph" w:styleId="Heading8">
    <w:name w:val="heading 8"/>
    <w:basedOn w:val="Normal"/>
    <w:next w:val="Normal"/>
    <w:link w:val="Heading8Char"/>
    <w:qFormat/>
    <w:rsid w:val="00CE5E60"/>
    <w:pPr>
      <w:tabs>
        <w:tab w:val="num" w:pos="1440"/>
      </w:tabs>
      <w:autoSpaceDE w:val="0"/>
      <w:autoSpaceDN w:val="0"/>
      <w:spacing w:before="240" w:after="60"/>
      <w:ind w:left="1440" w:hanging="1440"/>
      <w:jc w:val="both"/>
      <w:outlineLvl w:val="7"/>
    </w:pPr>
    <w:rPr>
      <w:rFonts w:ascii="Arial" w:hAnsi="Arial" w:cs="Arial"/>
      <w:i/>
      <w:iCs/>
      <w:sz w:val="22"/>
      <w:szCs w:val="22"/>
      <w:lang w:eastAsia="cs-CZ"/>
    </w:rPr>
  </w:style>
  <w:style w:type="paragraph" w:styleId="Heading9">
    <w:name w:val="heading 9"/>
    <w:basedOn w:val="Normal"/>
    <w:next w:val="Normal"/>
    <w:link w:val="Heading9Char"/>
    <w:qFormat/>
    <w:rsid w:val="00CE5E60"/>
    <w:pPr>
      <w:tabs>
        <w:tab w:val="num" w:pos="1584"/>
      </w:tabs>
      <w:autoSpaceDE w:val="0"/>
      <w:autoSpaceDN w:val="0"/>
      <w:spacing w:before="240" w:after="60"/>
      <w:ind w:left="1584" w:hanging="1584"/>
      <w:jc w:val="both"/>
      <w:outlineLvl w:val="8"/>
    </w:pPr>
    <w:rPr>
      <w:rFonts w:ascii="Arial" w:hAnsi="Arial" w:cs="Arial"/>
      <w:b/>
      <w:bCs/>
      <w:i/>
      <w:iCs/>
      <w:sz w:val="18"/>
      <w:szCs w:val="1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TPKeywords">
    <w:name w:val="TTP Keywords"/>
    <w:basedOn w:val="Normal"/>
    <w:next w:val="Normal"/>
    <w:uiPriority w:val="99"/>
    <w:rsid w:val="00D214B1"/>
    <w:pPr>
      <w:autoSpaceDE w:val="0"/>
      <w:autoSpaceDN w:val="0"/>
      <w:spacing w:before="360"/>
      <w:ind w:firstLine="284"/>
      <w:jc w:val="both"/>
    </w:pPr>
    <w:rPr>
      <w:rFonts w:ascii="Arial" w:eastAsia="SimSun" w:hAnsi="Arial"/>
      <w:sz w:val="22"/>
    </w:rPr>
  </w:style>
  <w:style w:type="paragraph" w:customStyle="1" w:styleId="TTPAbstract">
    <w:name w:val="TTP Abstract"/>
    <w:basedOn w:val="Normal"/>
    <w:next w:val="Normal"/>
    <w:uiPriority w:val="99"/>
    <w:rsid w:val="008A7C70"/>
    <w:pPr>
      <w:autoSpaceDE w:val="0"/>
      <w:autoSpaceDN w:val="0"/>
      <w:spacing w:before="360"/>
      <w:ind w:firstLine="284"/>
      <w:jc w:val="both"/>
    </w:pPr>
    <w:rPr>
      <w:rFonts w:ascii="Times New Roman" w:eastAsia="SimSun" w:hAnsi="Times New Roman"/>
      <w:sz w:val="24"/>
    </w:rPr>
  </w:style>
  <w:style w:type="character" w:customStyle="1" w:styleId="Heading2Char">
    <w:name w:val="Heading 2 Char"/>
    <w:basedOn w:val="DefaultParagraphFont"/>
    <w:link w:val="Heading2"/>
    <w:semiHidden/>
    <w:rsid w:val="00A61FE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rsid w:val="0004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rsid w:val="001E29DB"/>
    <w:pPr>
      <w:spacing w:line="240" w:lineRule="exact"/>
      <w:ind w:firstLine="238"/>
      <w:jc w:val="both"/>
    </w:pPr>
    <w:rPr>
      <w:rFonts w:eastAsia="SimSun"/>
    </w:rPr>
  </w:style>
  <w:style w:type="paragraph" w:customStyle="1" w:styleId="Caption1">
    <w:name w:val="Caption1"/>
    <w:rsid w:val="001E29DB"/>
    <w:pPr>
      <w:keepLines/>
      <w:spacing w:before="200" w:after="240" w:line="200" w:lineRule="exact"/>
    </w:pPr>
    <w:rPr>
      <w:rFonts w:eastAsia="SimSun"/>
      <w:sz w:val="16"/>
    </w:rPr>
  </w:style>
  <w:style w:type="table" w:customStyle="1" w:styleId="TableGrid2">
    <w:name w:val="Table Grid2"/>
    <w:basedOn w:val="TableNormal"/>
    <w:next w:val="TableGrid"/>
    <w:rsid w:val="001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rsid w:val="0020586B"/>
    <w:pPr>
      <w:spacing w:after="80" w:line="200" w:lineRule="exact"/>
    </w:pPr>
    <w:rPr>
      <w:rFonts w:eastAsia="SimSun"/>
      <w:sz w:val="16"/>
    </w:rPr>
  </w:style>
  <w:style w:type="paragraph" w:styleId="ListParagraph">
    <w:name w:val="List Paragraph"/>
    <w:basedOn w:val="Normal"/>
    <w:uiPriority w:val="34"/>
    <w:qFormat/>
    <w:rsid w:val="001E0CDC"/>
    <w:pPr>
      <w:ind w:left="720"/>
      <w:contextualSpacing/>
    </w:pPr>
  </w:style>
  <w:style w:type="character" w:styleId="Strong">
    <w:name w:val="Strong"/>
    <w:uiPriority w:val="22"/>
    <w:qFormat/>
    <w:rsid w:val="00CE2F6C"/>
    <w:rPr>
      <w:b/>
      <w:bCs/>
    </w:rPr>
  </w:style>
  <w:style w:type="character" w:customStyle="1" w:styleId="Heading3Char">
    <w:name w:val="Heading 3 Char"/>
    <w:basedOn w:val="DefaultParagraphFont"/>
    <w:link w:val="Heading3"/>
    <w:rsid w:val="00CE5E60"/>
    <w:rPr>
      <w:b/>
      <w:bCs/>
      <w:sz w:val="24"/>
      <w:szCs w:val="22"/>
      <w:lang w:eastAsia="cs-CZ"/>
    </w:rPr>
  </w:style>
  <w:style w:type="character" w:customStyle="1" w:styleId="Heading4Char">
    <w:name w:val="Heading 4 Char"/>
    <w:basedOn w:val="DefaultParagraphFont"/>
    <w:link w:val="Heading4"/>
    <w:rsid w:val="00CE5E60"/>
    <w:rPr>
      <w:rFonts w:ascii="Arial" w:hAnsi="Arial" w:cs="Arial"/>
      <w:b/>
      <w:bCs/>
      <w:sz w:val="24"/>
      <w:szCs w:val="24"/>
      <w:lang w:eastAsia="cs-CZ"/>
    </w:rPr>
  </w:style>
  <w:style w:type="character" w:customStyle="1" w:styleId="Heading5Char">
    <w:name w:val="Heading 5 Char"/>
    <w:basedOn w:val="DefaultParagraphFont"/>
    <w:link w:val="Heading5"/>
    <w:rsid w:val="00CE5E60"/>
    <w:rPr>
      <w:rFonts w:ascii="Arial" w:hAnsi="Arial" w:cs="Arial"/>
      <w:sz w:val="22"/>
      <w:szCs w:val="22"/>
      <w:lang w:eastAsia="cs-CZ"/>
    </w:rPr>
  </w:style>
  <w:style w:type="character" w:customStyle="1" w:styleId="Heading6Char">
    <w:name w:val="Heading 6 Char"/>
    <w:basedOn w:val="DefaultParagraphFont"/>
    <w:link w:val="Heading6"/>
    <w:rsid w:val="00CE5E60"/>
    <w:rPr>
      <w:i/>
      <w:iCs/>
      <w:sz w:val="22"/>
      <w:szCs w:val="22"/>
      <w:lang w:eastAsia="cs-CZ"/>
    </w:rPr>
  </w:style>
  <w:style w:type="character" w:customStyle="1" w:styleId="Heading7Char">
    <w:name w:val="Heading 7 Char"/>
    <w:basedOn w:val="DefaultParagraphFont"/>
    <w:link w:val="Heading7"/>
    <w:rsid w:val="00CE5E60"/>
    <w:rPr>
      <w:rFonts w:ascii="Arial" w:hAnsi="Arial" w:cs="Arial"/>
      <w:sz w:val="22"/>
      <w:szCs w:val="22"/>
      <w:lang w:eastAsia="cs-CZ"/>
    </w:rPr>
  </w:style>
  <w:style w:type="character" w:customStyle="1" w:styleId="Heading8Char">
    <w:name w:val="Heading 8 Char"/>
    <w:basedOn w:val="DefaultParagraphFont"/>
    <w:link w:val="Heading8"/>
    <w:rsid w:val="00CE5E60"/>
    <w:rPr>
      <w:rFonts w:ascii="Arial" w:hAnsi="Arial" w:cs="Arial"/>
      <w:i/>
      <w:iCs/>
      <w:sz w:val="22"/>
      <w:szCs w:val="22"/>
      <w:lang w:eastAsia="cs-CZ"/>
    </w:rPr>
  </w:style>
  <w:style w:type="character" w:customStyle="1" w:styleId="Heading9Char">
    <w:name w:val="Heading 9 Char"/>
    <w:basedOn w:val="DefaultParagraphFont"/>
    <w:link w:val="Heading9"/>
    <w:rsid w:val="00CE5E60"/>
    <w:rPr>
      <w:rFonts w:ascii="Arial" w:hAnsi="Arial" w:cs="Arial"/>
      <w:b/>
      <w:bCs/>
      <w:i/>
      <w:iCs/>
      <w:sz w:val="18"/>
      <w:szCs w:val="18"/>
      <w:lang w:eastAsia="cs-CZ"/>
    </w:rPr>
  </w:style>
  <w:style w:type="character" w:styleId="UnresolvedMention">
    <w:name w:val="Unresolved Mention"/>
    <w:basedOn w:val="DefaultParagraphFont"/>
    <w:uiPriority w:val="99"/>
    <w:semiHidden/>
    <w:unhideWhenUsed/>
    <w:rsid w:val="0064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910459">
      <w:bodyDiv w:val="1"/>
      <w:marLeft w:val="0"/>
      <w:marRight w:val="0"/>
      <w:marTop w:val="0"/>
      <w:marBottom w:val="0"/>
      <w:divBdr>
        <w:top w:val="none" w:sz="0" w:space="0" w:color="auto"/>
        <w:left w:val="none" w:sz="0" w:space="0" w:color="auto"/>
        <w:bottom w:val="none" w:sz="0" w:space="0" w:color="auto"/>
        <w:right w:val="none" w:sz="0" w:space="0" w:color="auto"/>
      </w:divBdr>
    </w:div>
    <w:div w:id="1228170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71369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6198966">
      <w:bodyDiv w:val="1"/>
      <w:marLeft w:val="0"/>
      <w:marRight w:val="0"/>
      <w:marTop w:val="0"/>
      <w:marBottom w:val="0"/>
      <w:divBdr>
        <w:top w:val="none" w:sz="0" w:space="0" w:color="auto"/>
        <w:left w:val="none" w:sz="0" w:space="0" w:color="auto"/>
        <w:bottom w:val="none" w:sz="0" w:space="0" w:color="auto"/>
        <w:right w:val="none" w:sz="0" w:space="0" w:color="auto"/>
      </w:divBdr>
    </w:div>
    <w:div w:id="1512183736">
      <w:bodyDiv w:val="1"/>
      <w:marLeft w:val="0"/>
      <w:marRight w:val="0"/>
      <w:marTop w:val="0"/>
      <w:marBottom w:val="0"/>
      <w:divBdr>
        <w:top w:val="none" w:sz="0" w:space="0" w:color="auto"/>
        <w:left w:val="none" w:sz="0" w:space="0" w:color="auto"/>
        <w:bottom w:val="none" w:sz="0" w:space="0" w:color="auto"/>
        <w:right w:val="none" w:sz="0" w:space="0" w:color="auto"/>
      </w:divBdr>
    </w:div>
    <w:div w:id="16169068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87936">
      <w:bodyDiv w:val="1"/>
      <w:marLeft w:val="0"/>
      <w:marRight w:val="0"/>
      <w:marTop w:val="0"/>
      <w:marBottom w:val="0"/>
      <w:divBdr>
        <w:top w:val="none" w:sz="0" w:space="0" w:color="auto"/>
        <w:left w:val="none" w:sz="0" w:space="0" w:color="auto"/>
        <w:bottom w:val="none" w:sz="0" w:space="0" w:color="auto"/>
        <w:right w:val="none" w:sz="0" w:space="0" w:color="auto"/>
      </w:divBdr>
    </w:div>
    <w:div w:id="193104348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16/j.jobe.2021.103299" TargetMode="External"/><Relationship Id="rId39" Type="http://schemas.openxmlformats.org/officeDocument/2006/relationships/hyperlink" Target="http://dx.doi.org/10.1016/j.autcon.2021.104099" TargetMode="External"/><Relationship Id="rId21" Type="http://schemas.openxmlformats.org/officeDocument/2006/relationships/image" Target="media/image8.png"/><Relationship Id="rId34" Type="http://schemas.openxmlformats.org/officeDocument/2006/relationships/hyperlink" Target="https://doi.org/10.1016/j.jobe.2023.105901" TargetMode="External"/><Relationship Id="rId42" Type="http://schemas.openxmlformats.org/officeDocument/2006/relationships/hyperlink" Target="https://doi.org/10.1016/j.scs.2024.105499"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108/ECAM-02-2018-00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buil.2023.1155240" TargetMode="External"/><Relationship Id="rId32" Type="http://schemas.openxmlformats.org/officeDocument/2006/relationships/hyperlink" Target="https://doi.org/10.1016/j.eiar.2016.02.003" TargetMode="External"/><Relationship Id="rId37" Type="http://schemas.openxmlformats.org/officeDocument/2006/relationships/hyperlink" Target="https://doi.org/10.1016/j.jobe.2023.106724" TargetMode="External"/><Relationship Id="rId40" Type="http://schemas.openxmlformats.org/officeDocument/2006/relationships/hyperlink" Target="https://doi.org/10.1016/j.autcon.2021.104099"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quillbot.com" TargetMode="External"/><Relationship Id="rId28" Type="http://schemas.openxmlformats.org/officeDocument/2006/relationships/hyperlink" Target="https://doi.org/10.1088/1757-899X/867/1/012019" TargetMode="External"/><Relationship Id="rId36" Type="http://schemas.openxmlformats.org/officeDocument/2006/relationships/hyperlink" Target="https://doi.org/10.1016/j.autcon.2023.104732"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61/(ASCE)1084-0680(2008)13:2(98)"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https://doi.org/10.3390/joitmc8010045" TargetMode="External"/><Relationship Id="rId30" Type="http://schemas.openxmlformats.org/officeDocument/2006/relationships/hyperlink" Target="https://doi.org/10.1002/sd.373" TargetMode="External"/><Relationship Id="rId35" Type="http://schemas.openxmlformats.org/officeDocument/2006/relationships/hyperlink" Target="https://doi.org/10.1016/j.autcon.2023.104650"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heliyon.2023.e16888" TargetMode="External"/><Relationship Id="rId33" Type="http://schemas.openxmlformats.org/officeDocument/2006/relationships/hyperlink" Target="https://doi.org/10.1061/(ASCE)CO.1943-7862.0001688" TargetMode="External"/><Relationship Id="rId38" Type="http://schemas.openxmlformats.org/officeDocument/2006/relationships/hyperlink" Target="https://doi.org/10.1016/j.jobe.2023.105764" TargetMode="External"/><Relationship Id="rId46" Type="http://schemas.openxmlformats.org/officeDocument/2006/relationships/header" Target="header6.xml"/><Relationship Id="rId20" Type="http://schemas.openxmlformats.org/officeDocument/2006/relationships/image" Target="media/image7.png"/><Relationship Id="rId41" Type="http://schemas.openxmlformats.org/officeDocument/2006/relationships/hyperlink" Target="https://doi.org/10.1016/j.autcon.2020.103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F7DF-A4DD-4E6B-8BBF-06F9CF21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146</TotalTime>
  <Pages>10</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Mohamed Laissy</cp:lastModifiedBy>
  <cp:revision>118</cp:revision>
  <cp:lastPrinted>1999-07-06T11:00:00Z</cp:lastPrinted>
  <dcterms:created xsi:type="dcterms:W3CDTF">2014-10-25T14:34:00Z</dcterms:created>
  <dcterms:modified xsi:type="dcterms:W3CDTF">2025-07-01T08:48:00Z</dcterms:modified>
</cp:coreProperties>
</file>