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5DA66" w14:textId="77777777" w:rsidR="00015978" w:rsidRPr="008510AE" w:rsidRDefault="003903D0">
      <w:pPr>
        <w:jc w:val="center"/>
        <w:rPr>
          <w:b/>
          <w:sz w:val="36"/>
          <w:szCs w:val="24"/>
        </w:rPr>
      </w:pPr>
      <w:r w:rsidRPr="008510AE">
        <w:rPr>
          <w:b/>
          <w:sz w:val="36"/>
          <w:szCs w:val="24"/>
        </w:rPr>
        <w:t>Development and Implementation of a Quantum-Resistant Cryptographic Agility Framework Using CRYSTALS-Kyber and Blockchain-Based Key Exchange for Financial Infrastructure Security</w:t>
      </w:r>
    </w:p>
    <w:p w14:paraId="14B83B1F" w14:textId="77777777" w:rsidR="00015978" w:rsidRPr="008510AE" w:rsidRDefault="00015978">
      <w:pPr>
        <w:rPr>
          <w:b/>
          <w:sz w:val="24"/>
          <w:szCs w:val="24"/>
        </w:rPr>
      </w:pPr>
    </w:p>
    <w:p w14:paraId="49904E28" w14:textId="77777777" w:rsidR="00DA20F1" w:rsidRDefault="00DA20F1">
      <w:pPr>
        <w:rPr>
          <w:b/>
          <w:sz w:val="24"/>
          <w:szCs w:val="24"/>
        </w:rPr>
      </w:pPr>
    </w:p>
    <w:p w14:paraId="38AD9DCA" w14:textId="77777777" w:rsidR="00DA20F1" w:rsidRDefault="00DA20F1">
      <w:pPr>
        <w:rPr>
          <w:b/>
          <w:sz w:val="24"/>
          <w:szCs w:val="24"/>
        </w:rPr>
      </w:pPr>
    </w:p>
    <w:p w14:paraId="51822C57" w14:textId="77777777" w:rsidR="00002144" w:rsidRDefault="00002144">
      <w:pPr>
        <w:rPr>
          <w:b/>
          <w:sz w:val="24"/>
          <w:szCs w:val="24"/>
        </w:rPr>
      </w:pPr>
    </w:p>
    <w:p w14:paraId="3CBEFDDB" w14:textId="77777777" w:rsidR="00002144" w:rsidRDefault="00002144">
      <w:pPr>
        <w:rPr>
          <w:b/>
          <w:sz w:val="24"/>
          <w:szCs w:val="24"/>
        </w:rPr>
      </w:pPr>
    </w:p>
    <w:p w14:paraId="7AC0D359" w14:textId="09EBF913" w:rsidR="00015978" w:rsidRPr="008510AE" w:rsidRDefault="003903D0">
      <w:pPr>
        <w:rPr>
          <w:b/>
          <w:sz w:val="24"/>
          <w:szCs w:val="24"/>
        </w:rPr>
      </w:pPr>
      <w:r w:rsidRPr="008510AE">
        <w:rPr>
          <w:b/>
          <w:sz w:val="24"/>
          <w:szCs w:val="24"/>
        </w:rPr>
        <w:t>Abstract</w:t>
      </w:r>
    </w:p>
    <w:p w14:paraId="17A8ABDC" w14:textId="77777777" w:rsidR="006B32D7" w:rsidRPr="006B32D7" w:rsidRDefault="006B32D7">
      <w:pPr>
        <w:spacing w:before="160" w:after="160"/>
        <w:rPr>
          <w:i/>
          <w:iCs/>
          <w:color w:val="000000"/>
          <w:sz w:val="24"/>
          <w:szCs w:val="24"/>
        </w:rPr>
      </w:pPr>
      <w:r w:rsidRPr="006B32D7">
        <w:rPr>
          <w:i/>
          <w:iCs/>
          <w:color w:val="000000"/>
          <w:sz w:val="24"/>
          <w:szCs w:val="24"/>
        </w:rPr>
        <w:t>This study investigates how integrating quantum-resistant cryptographic frameworks, specifically CRYSTALS-Kyber a lattice-based post-quantum encryption scheme and blockchain-based key exchange can enhance the security and resilience of financial infrastructures facing emerging quantum threats. Building on Gbadebo’s (2025) agility framework, this research proposes a four-layer cryptographic agility model encompassing governance, infrastructure adaptability, algorithm management, and operational readiness. By leveraging data from the NIST PQC finalists, the 2024 Verizon Data Breach Investigations Report, and ENISA threat assessments, the study applies bibliometric analysis, statistical testing, and Failure Mode and Effects Analysis (FMEA) to evaluate both the benefits and challenges of adopting post-quantum cryptography (PQC) alongside blockchain technologies. Findings indicate that financial institutions integrating blockchain experience reduced breach frequencies and financial losses, while key management complexity emerges as a critical challenge requiring strategic attention. To guide adoption, the study introduces an eight-phase implementation roadmap supporting seamless migration from classical to quantum-resistant systems, ensuring compliance with evolving regulatory standards and enhancing operational continuity. Recommendations include enforcing sector-wide PQC adoption timelines, prioritizing investment in cryptographic agility, providing targeted upskilling programs for technical staff, and fostering robust public-private collaborations to accelerate quantum resilience efforts. By bridging theoretical insights with empirical analysis, this research provides actionable guidance for policymakers, cybersecurity professionals, and financial institutions seeking to proactively fortify their infrastructures against imminent quantum-enabled threats and secure long-term data integrity in an evolving threat landscape.</w:t>
      </w:r>
    </w:p>
    <w:p w14:paraId="064D0666" w14:textId="3CD5D556" w:rsidR="00015978" w:rsidRPr="008510AE" w:rsidRDefault="003903D0">
      <w:pPr>
        <w:spacing w:before="160" w:after="160"/>
        <w:rPr>
          <w:b/>
          <w:sz w:val="24"/>
          <w:szCs w:val="24"/>
        </w:rPr>
      </w:pPr>
      <w:r w:rsidRPr="008510AE">
        <w:rPr>
          <w:b/>
          <w:sz w:val="24"/>
          <w:szCs w:val="24"/>
        </w:rPr>
        <w:t>Keywords: Post-Quantum Cryptography, CRYSTALS-Kyber, Blockchain Key Exchange, Financial Infrastructure Security, Quantum Resilience</w:t>
      </w:r>
    </w:p>
    <w:p w14:paraId="53FB3997" w14:textId="77777777" w:rsidR="00015978" w:rsidRPr="008510AE" w:rsidRDefault="00015978">
      <w:pPr>
        <w:rPr>
          <w:sz w:val="24"/>
          <w:szCs w:val="24"/>
        </w:rPr>
      </w:pPr>
    </w:p>
    <w:p w14:paraId="67DD3B15" w14:textId="77777777" w:rsidR="00015978" w:rsidRPr="008510AE" w:rsidRDefault="008510AE">
      <w:pPr>
        <w:rPr>
          <w:b/>
          <w:sz w:val="24"/>
          <w:szCs w:val="24"/>
        </w:rPr>
      </w:pPr>
      <w:r w:rsidRPr="008510AE">
        <w:rPr>
          <w:b/>
          <w:sz w:val="24"/>
          <w:szCs w:val="24"/>
        </w:rPr>
        <w:lastRenderedPageBreak/>
        <w:t xml:space="preserve">1. </w:t>
      </w:r>
      <w:r w:rsidR="003903D0" w:rsidRPr="008510AE">
        <w:rPr>
          <w:b/>
          <w:sz w:val="24"/>
          <w:szCs w:val="24"/>
        </w:rPr>
        <w:t>Introduction</w:t>
      </w:r>
    </w:p>
    <w:p w14:paraId="2D307DAE" w14:textId="77777777" w:rsidR="00015978" w:rsidRPr="008510AE" w:rsidRDefault="003903D0">
      <w:pPr>
        <w:spacing w:before="240" w:after="240"/>
        <w:rPr>
          <w:sz w:val="24"/>
          <w:szCs w:val="24"/>
        </w:rPr>
      </w:pPr>
      <w:r w:rsidRPr="008510AE">
        <w:rPr>
          <w:sz w:val="24"/>
          <w:szCs w:val="24"/>
        </w:rPr>
        <w:t>The advancement of quantum computing technologies has introduced unprecedented challenges to traditional cryptographic systems, particularly in the financial sector</w:t>
      </w:r>
      <w:r w:rsidR="007D102C">
        <w:rPr>
          <w:sz w:val="24"/>
          <w:szCs w:val="24"/>
        </w:rPr>
        <w:t>,</w:t>
      </w:r>
      <w:r w:rsidRPr="008510AE">
        <w:rPr>
          <w:sz w:val="24"/>
          <w:szCs w:val="24"/>
        </w:rPr>
        <w:t xml:space="preserve"> where sensitive, high-value data is managed. According to </w:t>
      </w:r>
      <w:proofErr w:type="spellStart"/>
      <w:r w:rsidRPr="008510AE">
        <w:rPr>
          <w:sz w:val="24"/>
          <w:szCs w:val="24"/>
        </w:rPr>
        <w:t>Baransel</w:t>
      </w:r>
      <w:proofErr w:type="spellEnd"/>
      <w:r w:rsidRPr="008510AE">
        <w:rPr>
          <w:sz w:val="24"/>
          <w:szCs w:val="24"/>
        </w:rPr>
        <w:t xml:space="preserve"> (2023), recent Central Bank Digital Currency (CBDC) pilot programs by the Bank for International Settlements (BIS) have demonstrated the applicability of lattice-based algorithms, such as CRYSTALS-Kyber, in achieving quantum resilience while maintaining acceptable transaction latencies, suggesting their feasibility for real-world financial applications. Concurrently, Lawton (2019) notes that institutions like Barclays have fortified their cryptographic infrastructures by adopting quantum-hardened platforms such as </w:t>
      </w:r>
      <w:proofErr w:type="spellStart"/>
      <w:r w:rsidRPr="008510AE">
        <w:rPr>
          <w:sz w:val="24"/>
          <w:szCs w:val="24"/>
        </w:rPr>
        <w:t>Cryptomathic’s</w:t>
      </w:r>
      <w:proofErr w:type="spellEnd"/>
      <w:r w:rsidRPr="008510AE">
        <w:rPr>
          <w:sz w:val="24"/>
          <w:szCs w:val="24"/>
        </w:rPr>
        <w:t xml:space="preserve"> Crypto Service Gateway (CSG), thereby centralizing cryptographic operations to enhance security.</w:t>
      </w:r>
    </w:p>
    <w:p w14:paraId="38524903" w14:textId="77777777" w:rsidR="00015978" w:rsidRPr="008510AE" w:rsidRDefault="003903D0">
      <w:pPr>
        <w:spacing w:before="240" w:after="240"/>
        <w:rPr>
          <w:sz w:val="24"/>
          <w:szCs w:val="24"/>
        </w:rPr>
      </w:pPr>
      <w:r w:rsidRPr="008510AE">
        <w:rPr>
          <w:sz w:val="24"/>
          <w:szCs w:val="24"/>
        </w:rPr>
        <w:t xml:space="preserve">Gbadebo (2025) emphasizes that without proactive adoption of Post-Quantum Cryptography (PQC) integrated with blockchain-based key exchange mechanisms, financial infrastructures will remain susceptible to quantum-enabled attacks. In alignment with this, institutions like JPMorgan Chase are mitigating risks by advancing quantum-certified randomness technologies (Morgan, 2025). National initiatives are also gaining momentum; for example, according to IMDA (2022), Singapore’s National Quantum-Safe Network Plus (NQSN+) is fostering the development of quantum-safe communication infrastructures across critical sectors. The urgency of this transition is further underscored by the global PQC market valuation, which stood at $1.15 billion in 2024 and is projected to expand to $7.82 billion by 2030 at a compound annual growth rate (CAGR) of 37.6%, </w:t>
      </w:r>
      <w:r w:rsidR="007D102C">
        <w:rPr>
          <w:sz w:val="24"/>
          <w:szCs w:val="24"/>
        </w:rPr>
        <w:t>primarily driven</w:t>
      </w:r>
      <w:r w:rsidRPr="008510AE">
        <w:rPr>
          <w:sz w:val="24"/>
          <w:szCs w:val="24"/>
        </w:rPr>
        <w:t xml:space="preserve"> by the financial sector’s adoption (</w:t>
      </w:r>
      <w:proofErr w:type="spellStart"/>
      <w:r w:rsidRPr="008510AE">
        <w:rPr>
          <w:sz w:val="24"/>
          <w:szCs w:val="24"/>
        </w:rPr>
        <w:t>Otorbaev</w:t>
      </w:r>
      <w:proofErr w:type="spellEnd"/>
      <w:r w:rsidRPr="008510AE">
        <w:rPr>
          <w:sz w:val="24"/>
          <w:szCs w:val="24"/>
        </w:rPr>
        <w:t>, 2021).</w:t>
      </w:r>
    </w:p>
    <w:p w14:paraId="47C7D8E6" w14:textId="77777777" w:rsidR="00015978" w:rsidRPr="008510AE" w:rsidRDefault="003903D0">
      <w:pPr>
        <w:spacing w:before="240" w:after="240"/>
        <w:rPr>
          <w:sz w:val="24"/>
          <w:szCs w:val="24"/>
        </w:rPr>
      </w:pPr>
      <w:r w:rsidRPr="008510AE">
        <w:rPr>
          <w:sz w:val="24"/>
          <w:szCs w:val="24"/>
        </w:rPr>
        <w:t xml:space="preserve">Simultaneously, the integration of blockchain technologies within financial institutions has accelerated, with 83% of major banks </w:t>
      </w:r>
      <w:r w:rsidR="007D102C">
        <w:rPr>
          <w:sz w:val="24"/>
          <w:szCs w:val="24"/>
        </w:rPr>
        <w:t>expected to implement</w:t>
      </w:r>
      <w:r w:rsidRPr="008510AE">
        <w:rPr>
          <w:sz w:val="24"/>
          <w:szCs w:val="24"/>
        </w:rPr>
        <w:t xml:space="preserve"> blockchain-based solutions into their core operations by 2024 (</w:t>
      </w:r>
      <w:proofErr w:type="spellStart"/>
      <w:r w:rsidRPr="008510AE">
        <w:rPr>
          <w:sz w:val="24"/>
          <w:szCs w:val="24"/>
        </w:rPr>
        <w:t>FinancesOnline</w:t>
      </w:r>
      <w:proofErr w:type="spellEnd"/>
      <w:r w:rsidRPr="008510AE">
        <w:rPr>
          <w:sz w:val="24"/>
          <w:szCs w:val="24"/>
        </w:rPr>
        <w:t xml:space="preserve">, 2021). Recognizing the need for regulatory alignment, the National Institute of Standards and Technology (NIST) finalized CRYSTALS-Kyber as a federal standard (FIPS 203) in 2024 (NIST, 2024), establishing a pivotal benchmark for PQC readiness. </w:t>
      </w:r>
      <w:r w:rsidR="007D102C">
        <w:rPr>
          <w:sz w:val="24"/>
          <w:szCs w:val="24"/>
        </w:rPr>
        <w:t xml:space="preserve">According to </w:t>
      </w:r>
      <w:proofErr w:type="spellStart"/>
      <w:r w:rsidR="007D102C">
        <w:rPr>
          <w:sz w:val="24"/>
          <w:szCs w:val="24"/>
        </w:rPr>
        <w:t>PQShield</w:t>
      </w:r>
      <w:proofErr w:type="spellEnd"/>
      <w:r w:rsidR="007D102C">
        <w:rPr>
          <w:sz w:val="24"/>
          <w:szCs w:val="24"/>
        </w:rPr>
        <w:t xml:space="preserve"> (2025), the Financial Services Information Sharing and Analysis </w:t>
      </w:r>
      <w:proofErr w:type="spellStart"/>
      <w:r w:rsidR="007D102C">
        <w:rPr>
          <w:sz w:val="24"/>
          <w:szCs w:val="24"/>
        </w:rPr>
        <w:t>Center</w:t>
      </w:r>
      <w:proofErr w:type="spellEnd"/>
      <w:r w:rsidR="007D102C">
        <w:rPr>
          <w:sz w:val="24"/>
          <w:szCs w:val="24"/>
        </w:rPr>
        <w:t xml:space="preserve"> (FS-ISAC) has emphasized the need for cryptographic agility, warning that institutions lacking adaptable frameworks may face prolonged, costly transitions similar to the impending</w:t>
      </w:r>
      <w:r w:rsidRPr="008510AE">
        <w:rPr>
          <w:sz w:val="24"/>
          <w:szCs w:val="24"/>
        </w:rPr>
        <w:t xml:space="preserve"> retirement of Triple DES.</w:t>
      </w:r>
    </w:p>
    <w:p w14:paraId="58D8BD1B" w14:textId="77777777" w:rsidR="00015978" w:rsidRPr="008510AE" w:rsidRDefault="003903D0">
      <w:pPr>
        <w:spacing w:before="240" w:after="240"/>
        <w:rPr>
          <w:sz w:val="24"/>
          <w:szCs w:val="24"/>
        </w:rPr>
      </w:pPr>
      <w:r w:rsidRPr="008510AE">
        <w:rPr>
          <w:sz w:val="24"/>
          <w:szCs w:val="24"/>
        </w:rPr>
        <w:t>Despite these advancements, the integration of PQC algorithms</w:t>
      </w:r>
      <w:r w:rsidR="007D102C">
        <w:rPr>
          <w:sz w:val="24"/>
          <w:szCs w:val="24"/>
        </w:rPr>
        <w:t>, such as CRYSTALS-Kyber, into existing financial and blockchain infrastructures introduces considerable technical complexities. Challenges</w:t>
      </w:r>
      <w:r w:rsidRPr="008510AE">
        <w:rPr>
          <w:sz w:val="24"/>
          <w:szCs w:val="24"/>
        </w:rPr>
        <w:t xml:space="preserve"> related to key management, scalability, and </w:t>
      </w:r>
      <w:r w:rsidRPr="008510AE">
        <w:rPr>
          <w:sz w:val="24"/>
          <w:szCs w:val="24"/>
        </w:rPr>
        <w:lastRenderedPageBreak/>
        <w:t xml:space="preserve">operational integration pose significant hurdles. </w:t>
      </w:r>
      <w:r w:rsidR="007D102C">
        <w:rPr>
          <w:sz w:val="24"/>
          <w:szCs w:val="24"/>
        </w:rPr>
        <w:t>An increasingly hostile cyber threat landscape compounds these issues</w:t>
      </w:r>
      <w:r w:rsidRPr="008510AE">
        <w:rPr>
          <w:sz w:val="24"/>
          <w:szCs w:val="24"/>
        </w:rPr>
        <w:t>; projections indicate that global cybercrime costs will escalate to $10.5 trillion annually by 2025 (Morgan, 2020). Additionally, the threat of "harvest now, decrypt later</w:t>
      </w:r>
      <w:r w:rsidR="002E110D">
        <w:rPr>
          <w:sz w:val="24"/>
          <w:szCs w:val="24"/>
        </w:rPr>
        <w:t>," where future quantum computers may decrypt encrypted data intercepted today,</w:t>
      </w:r>
      <w:r w:rsidR="007D102C">
        <w:rPr>
          <w:sz w:val="24"/>
          <w:szCs w:val="24"/>
        </w:rPr>
        <w:t xml:space="preserve"> </w:t>
      </w:r>
      <w:r w:rsidRPr="008510AE">
        <w:rPr>
          <w:sz w:val="24"/>
          <w:szCs w:val="24"/>
        </w:rPr>
        <w:t>amplifies the urgency for immediate strategic intervention (Giri, 2025).</w:t>
      </w:r>
    </w:p>
    <w:p w14:paraId="0DDB8E93" w14:textId="77777777" w:rsidR="00015978" w:rsidRPr="008510AE" w:rsidRDefault="003903D0">
      <w:pPr>
        <w:spacing w:before="240" w:after="240"/>
        <w:rPr>
          <w:sz w:val="24"/>
          <w:szCs w:val="24"/>
        </w:rPr>
      </w:pPr>
      <w:r w:rsidRPr="008510AE">
        <w:rPr>
          <w:sz w:val="24"/>
          <w:szCs w:val="24"/>
        </w:rPr>
        <w:t xml:space="preserve">The financial sector, a foundational pillar of global economies, faces an escalating cybersecurity crisis. According to Braue (2025), cybercrime is projected to become the third-largest economy globally by 2025. Simultaneously, the average global cost of a data breach rose to $4.88 million in 2024, with the financial sector incurring even higher average losses of $6.08 million (Hill &amp; Greiner, 2023). These figures </w:t>
      </w:r>
      <w:r w:rsidR="007D102C">
        <w:rPr>
          <w:sz w:val="24"/>
          <w:szCs w:val="24"/>
        </w:rPr>
        <w:t>underscore the pressing need for sophisticated cybersecurity frameworks that can effectively counter</w:t>
      </w:r>
      <w:r w:rsidRPr="008510AE">
        <w:rPr>
          <w:sz w:val="24"/>
          <w:szCs w:val="24"/>
        </w:rPr>
        <w:t xml:space="preserve"> increasingly complex threats.</w:t>
      </w:r>
    </w:p>
    <w:p w14:paraId="3AF9681B" w14:textId="77777777" w:rsidR="00015978" w:rsidRPr="008510AE" w:rsidRDefault="003903D0">
      <w:pPr>
        <w:spacing w:before="240" w:after="240"/>
        <w:rPr>
          <w:sz w:val="24"/>
          <w:szCs w:val="24"/>
        </w:rPr>
      </w:pPr>
      <w:r w:rsidRPr="008510AE">
        <w:rPr>
          <w:sz w:val="24"/>
          <w:szCs w:val="24"/>
        </w:rPr>
        <w:t xml:space="preserve">Complicating the situation is the advent of large-scale quantum computing, which threatens to dismantle the cryptographic foundations of current public-key infrastructures. Quantum computers </w:t>
      </w:r>
      <w:r w:rsidR="007D102C">
        <w:rPr>
          <w:sz w:val="24"/>
          <w:szCs w:val="24"/>
        </w:rPr>
        <w:t>can</w:t>
      </w:r>
      <w:r w:rsidRPr="008510AE">
        <w:rPr>
          <w:sz w:val="24"/>
          <w:szCs w:val="24"/>
        </w:rPr>
        <w:t xml:space="preserve"> break </w:t>
      </w:r>
      <w:r w:rsidR="007D102C">
        <w:rPr>
          <w:sz w:val="24"/>
          <w:szCs w:val="24"/>
        </w:rPr>
        <w:t>widely used</w:t>
      </w:r>
      <w:r w:rsidRPr="008510AE">
        <w:rPr>
          <w:sz w:val="24"/>
          <w:szCs w:val="24"/>
        </w:rPr>
        <w:t xml:space="preserve"> algorithms</w:t>
      </w:r>
      <w:r w:rsidR="002E110D">
        <w:rPr>
          <w:sz w:val="24"/>
          <w:szCs w:val="24"/>
        </w:rPr>
        <w:t>, such as</w:t>
      </w:r>
      <w:r w:rsidRPr="008510AE">
        <w:rPr>
          <w:sz w:val="24"/>
          <w:szCs w:val="24"/>
        </w:rPr>
        <w:t xml:space="preserve"> RSA and ECC, positioning them as formidable threats to digital security. The resulting "harvest now, decrypt later" scenario underscores the vulnerability of financial data to future quantum decryption capabilities (Giri, 2025). NIST (2024) asserts that NIST’s formal standardization of quantum-resistant cryptographic algorithms, including CRYSTALS-Kyber</w:t>
      </w:r>
      <w:r w:rsidR="007D102C">
        <w:rPr>
          <w:sz w:val="24"/>
          <w:szCs w:val="24"/>
        </w:rPr>
        <w:t xml:space="preserve">, now designated as ML-KEM, </w:t>
      </w:r>
      <w:r w:rsidRPr="008510AE">
        <w:rPr>
          <w:sz w:val="24"/>
          <w:szCs w:val="24"/>
        </w:rPr>
        <w:t>constitutes a crucial milestone. Financial institutions are therefore compelled to accelerate their transition to PQC to stay ahead of the quantum threat (Gbadebo, 2025).</w:t>
      </w:r>
    </w:p>
    <w:p w14:paraId="0D1BB153" w14:textId="77777777" w:rsidR="00015978" w:rsidRPr="008510AE" w:rsidRDefault="003903D0">
      <w:pPr>
        <w:spacing w:before="240" w:after="240"/>
        <w:rPr>
          <w:sz w:val="24"/>
          <w:szCs w:val="24"/>
        </w:rPr>
      </w:pPr>
      <w:r w:rsidRPr="008510AE">
        <w:rPr>
          <w:sz w:val="24"/>
          <w:szCs w:val="24"/>
        </w:rPr>
        <w:t>A critical component of this transition is the development of cryptographic agility</w:t>
      </w:r>
      <w:r w:rsidR="002E110D">
        <w:rPr>
          <w:sz w:val="24"/>
          <w:szCs w:val="24"/>
        </w:rPr>
        <w:t>,</w:t>
      </w:r>
      <w:r w:rsidR="007D102C">
        <w:rPr>
          <w:sz w:val="24"/>
          <w:szCs w:val="24"/>
        </w:rPr>
        <w:t xml:space="preserve"> </w:t>
      </w:r>
      <w:r w:rsidRPr="008510AE">
        <w:rPr>
          <w:sz w:val="24"/>
          <w:szCs w:val="24"/>
        </w:rPr>
        <w:t xml:space="preserve">the capacity of systems </w:t>
      </w:r>
      <w:r w:rsidR="007D102C">
        <w:rPr>
          <w:sz w:val="24"/>
          <w:szCs w:val="24"/>
        </w:rPr>
        <w:t>to adapt to emerging cryptographic standards as threats evolve rapidly</w:t>
      </w:r>
      <w:r w:rsidRPr="008510AE">
        <w:rPr>
          <w:sz w:val="24"/>
          <w:szCs w:val="24"/>
        </w:rPr>
        <w:t xml:space="preserve">. According to </w:t>
      </w:r>
      <w:proofErr w:type="spellStart"/>
      <w:r w:rsidRPr="008510AE">
        <w:rPr>
          <w:sz w:val="24"/>
          <w:szCs w:val="24"/>
        </w:rPr>
        <w:t>PQShield</w:t>
      </w:r>
      <w:proofErr w:type="spellEnd"/>
      <w:r w:rsidRPr="008510AE">
        <w:rPr>
          <w:sz w:val="24"/>
          <w:szCs w:val="24"/>
        </w:rPr>
        <w:t xml:space="preserve"> (2025), </w:t>
      </w:r>
      <w:r w:rsidR="007D102C">
        <w:rPr>
          <w:sz w:val="24"/>
          <w:szCs w:val="24"/>
        </w:rPr>
        <w:t>an eight-phase framework is outlined</w:t>
      </w:r>
      <w:r w:rsidRPr="008510AE">
        <w:rPr>
          <w:sz w:val="24"/>
          <w:szCs w:val="24"/>
        </w:rPr>
        <w:t xml:space="preserve"> to guide institutions through the PQC migration process</w:t>
      </w:r>
      <w:r w:rsidR="007D102C">
        <w:rPr>
          <w:sz w:val="24"/>
          <w:szCs w:val="24"/>
        </w:rPr>
        <w:t xml:space="preserve">. </w:t>
      </w:r>
      <w:r w:rsidRPr="008510AE">
        <w:rPr>
          <w:sz w:val="24"/>
          <w:szCs w:val="24"/>
        </w:rPr>
        <w:t>Concurrently, investment in blockchain technology within the financial sector is expanding, with projections indicating that the blockchain market in finance will reach $204.48 billion by 2034 (Market Research Future, 2023). As of 2024, 83% of the world’s leading banks had integrated blockchain technologies into at least one core function (</w:t>
      </w:r>
      <w:proofErr w:type="spellStart"/>
      <w:r w:rsidRPr="008510AE">
        <w:rPr>
          <w:sz w:val="24"/>
          <w:szCs w:val="24"/>
        </w:rPr>
        <w:t>FinancesOnline</w:t>
      </w:r>
      <w:proofErr w:type="spellEnd"/>
      <w:r w:rsidRPr="008510AE">
        <w:rPr>
          <w:sz w:val="24"/>
          <w:szCs w:val="24"/>
        </w:rPr>
        <w:t>, 2021), demonstrating an increased reliance on decentralized systems to bolster security and enhance operational efficiency.</w:t>
      </w:r>
    </w:p>
    <w:p w14:paraId="7A6E64A3" w14:textId="77777777" w:rsidR="00015978" w:rsidRPr="008510AE" w:rsidRDefault="003903D0">
      <w:pPr>
        <w:spacing w:before="240" w:after="240"/>
        <w:rPr>
          <w:sz w:val="24"/>
          <w:szCs w:val="24"/>
        </w:rPr>
      </w:pPr>
      <w:r w:rsidRPr="008510AE">
        <w:rPr>
          <w:sz w:val="24"/>
          <w:szCs w:val="24"/>
        </w:rPr>
        <w:t xml:space="preserve">Despite this progress, a significant readiness gap persists among financial institutions regarding quantum threats. Europol (2022) revealed that 86% of financial organizations acknowledge their unpreparedness for the quantum threat. Existing cryptographic infrastructures, while effective against conventional cyberattacks, remain fundamentally </w:t>
      </w:r>
      <w:r w:rsidRPr="008510AE">
        <w:rPr>
          <w:sz w:val="24"/>
          <w:szCs w:val="24"/>
        </w:rPr>
        <w:lastRenderedPageBreak/>
        <w:t>vulnerable to quantum algorithms and lack the agility necessary for swift transitions to quantum-safe frameworks (Brightwood et al., 2024). Historical precedents, such as the protracted phase-out of Triple DES, further illustrate the complexities and challenges associated with transitioning to new cryptographic standards in dynamic threat environments.</w:t>
      </w:r>
    </w:p>
    <w:p w14:paraId="7817B6D9" w14:textId="77777777" w:rsidR="00015978" w:rsidRPr="008510AE" w:rsidRDefault="003903D0">
      <w:pPr>
        <w:spacing w:before="240" w:after="240"/>
        <w:rPr>
          <w:sz w:val="24"/>
          <w:szCs w:val="24"/>
        </w:rPr>
      </w:pPr>
      <w:r w:rsidRPr="008510AE">
        <w:rPr>
          <w:sz w:val="24"/>
          <w:szCs w:val="24"/>
        </w:rPr>
        <w:t>The integration of CRYSTALS-Kyber and blockchain-based key exchange mechanisms into legacy financial systems introduces additional layers of complexity. Although PQC standardization offers a structured path forward (Gbadebo, 2025), the practical deployment remains fraught with unresolved challenges, particularly concerning key management, scalability, and operational compatibility. Many current solutions fall short of delivering comprehensive frameworks that effectively integrate quantum resistance, cryptographic agility, and decentralized key exchange mechanisms. Financial institutions must confront these critical challenges to develop security architectures that are not only resistant to emerging quantum threats but also adaptable to future technological advancements, ensuring enduring security and operational</w:t>
      </w:r>
      <w:r w:rsidR="00B47607">
        <w:rPr>
          <w:sz w:val="24"/>
          <w:szCs w:val="24"/>
        </w:rPr>
        <w:t xml:space="preserve"> continuity. </w:t>
      </w:r>
      <w:r w:rsidR="008D2021">
        <w:t>Building directly upon Gbadebo’s (2025) cryptographic agility framework</w:t>
      </w:r>
      <w:r w:rsidR="0028433C">
        <w:t xml:space="preserve"> </w:t>
      </w:r>
      <w:r w:rsidR="008D2021">
        <w:t>which evaluated the adaptability of leading post-quantum cryptographic (PQC) algorithms and identified CRYSTALS-Kyber as the most agile</w:t>
      </w:r>
      <w:r w:rsidR="0028433C">
        <w:t xml:space="preserve"> </w:t>
      </w:r>
      <w:r w:rsidR="008D2021">
        <w:t xml:space="preserve">the present study extends that foundation by operationalizing Kyber’s integration into a blockchain-enhanced cryptographic agility model. This model not only incorporates empirical breach impact metrics and bibliometric trends but also introduces an eight-phase implementation roadmap, visualized through a Gantt chart, to guide financial institutions in navigating PQC adoption challenges. By advancing Gbadebo’s theoretical framework into a practical, system-oriented strategy, this study bridges the gap between post-quantum readiness assessment and cryptographic implementation planning. </w:t>
      </w:r>
      <w:r w:rsidR="00B47607">
        <w:rPr>
          <w:sz w:val="24"/>
          <w:szCs w:val="24"/>
        </w:rPr>
        <w:t>Th</w:t>
      </w:r>
      <w:r w:rsidR="0028433C">
        <w:rPr>
          <w:sz w:val="24"/>
          <w:szCs w:val="24"/>
        </w:rPr>
        <w:t xml:space="preserve">us, the </w:t>
      </w:r>
      <w:r w:rsidR="00B47607">
        <w:rPr>
          <w:sz w:val="24"/>
          <w:szCs w:val="24"/>
        </w:rPr>
        <w:t xml:space="preserve">study </w:t>
      </w:r>
      <w:r w:rsidRPr="008510AE">
        <w:rPr>
          <w:sz w:val="24"/>
          <w:szCs w:val="24"/>
        </w:rPr>
        <w:t>evaluate</w:t>
      </w:r>
      <w:r w:rsidR="0028433C">
        <w:rPr>
          <w:sz w:val="24"/>
          <w:szCs w:val="24"/>
        </w:rPr>
        <w:t>s</w:t>
      </w:r>
      <w:r w:rsidRPr="008510AE">
        <w:rPr>
          <w:sz w:val="24"/>
          <w:szCs w:val="24"/>
        </w:rPr>
        <w:t xml:space="preserve"> the feasibility and performance implications of integrating quantum-resistant cryptographic solutions, specifically CRYSTALS-Kyber and blockchain-based key exchange, for enhancing financial infrastructure security, by achieving the following objectives:</w:t>
      </w:r>
    </w:p>
    <w:p w14:paraId="40CEA9EE" w14:textId="77777777" w:rsidR="008510AE" w:rsidRDefault="003903D0" w:rsidP="008510AE">
      <w:pPr>
        <w:numPr>
          <w:ilvl w:val="0"/>
          <w:numId w:val="2"/>
        </w:numPr>
        <w:spacing w:before="240"/>
        <w:rPr>
          <w:sz w:val="24"/>
          <w:szCs w:val="24"/>
        </w:rPr>
      </w:pPr>
      <w:r w:rsidRPr="008510AE">
        <w:rPr>
          <w:sz w:val="24"/>
          <w:szCs w:val="24"/>
        </w:rPr>
        <w:t>Critically review existing literature on post-quantum cryptography and blockchain-based key exchange in financial infrastructures.</w:t>
      </w:r>
    </w:p>
    <w:p w14:paraId="5359D61E" w14:textId="77777777" w:rsidR="008510AE" w:rsidRDefault="003903D0" w:rsidP="008510AE">
      <w:pPr>
        <w:numPr>
          <w:ilvl w:val="0"/>
          <w:numId w:val="2"/>
        </w:numPr>
        <w:spacing w:before="240"/>
        <w:rPr>
          <w:sz w:val="24"/>
          <w:szCs w:val="24"/>
        </w:rPr>
      </w:pPr>
      <w:r w:rsidRPr="008510AE">
        <w:rPr>
          <w:sz w:val="24"/>
          <w:szCs w:val="24"/>
        </w:rPr>
        <w:t>Evaluates the potential impact of quantum-resistant cryptographic adoption on financial infrastructure security.</w:t>
      </w:r>
    </w:p>
    <w:p w14:paraId="387821C1" w14:textId="77777777" w:rsidR="008510AE" w:rsidRDefault="003903D0" w:rsidP="008510AE">
      <w:pPr>
        <w:numPr>
          <w:ilvl w:val="0"/>
          <w:numId w:val="2"/>
        </w:numPr>
        <w:spacing w:before="240" w:after="240"/>
        <w:rPr>
          <w:sz w:val="24"/>
          <w:szCs w:val="24"/>
        </w:rPr>
      </w:pPr>
      <w:r w:rsidRPr="008510AE">
        <w:rPr>
          <w:sz w:val="24"/>
          <w:szCs w:val="24"/>
        </w:rPr>
        <w:t>Identifies challenges and opportunities associated with the integration of post-quantum cryptography in the financial sector.</w:t>
      </w:r>
    </w:p>
    <w:p w14:paraId="73B3AF51" w14:textId="77777777" w:rsidR="00015978" w:rsidRPr="008510AE" w:rsidRDefault="003903D0" w:rsidP="008510AE">
      <w:pPr>
        <w:numPr>
          <w:ilvl w:val="0"/>
          <w:numId w:val="2"/>
        </w:numPr>
        <w:spacing w:before="240" w:after="240"/>
        <w:rPr>
          <w:sz w:val="24"/>
          <w:szCs w:val="24"/>
        </w:rPr>
      </w:pPr>
      <w:r w:rsidRPr="008510AE">
        <w:rPr>
          <w:sz w:val="24"/>
          <w:szCs w:val="24"/>
        </w:rPr>
        <w:t xml:space="preserve">Recommends strategic approaches for financial institutions preparing for post-quantum security threats based on findings </w:t>
      </w:r>
      <w:r w:rsidRPr="008510AE">
        <w:rPr>
          <w:sz w:val="24"/>
          <w:szCs w:val="24"/>
        </w:rPr>
        <w:br/>
      </w:r>
    </w:p>
    <w:p w14:paraId="4F59BE32" w14:textId="77777777" w:rsidR="00015978" w:rsidRPr="008510AE" w:rsidRDefault="008510AE">
      <w:pPr>
        <w:pStyle w:val="Heading1"/>
        <w:keepNext w:val="0"/>
        <w:keepLines w:val="0"/>
        <w:spacing w:before="480"/>
        <w:rPr>
          <w:sz w:val="24"/>
          <w:szCs w:val="24"/>
        </w:rPr>
      </w:pPr>
      <w:bookmarkStart w:id="0" w:name="_uc22cr5yghi8" w:colFirst="0" w:colLast="0"/>
      <w:bookmarkEnd w:id="0"/>
      <w:r w:rsidRPr="008510AE">
        <w:rPr>
          <w:b/>
          <w:sz w:val="24"/>
          <w:szCs w:val="24"/>
        </w:rPr>
        <w:lastRenderedPageBreak/>
        <w:t xml:space="preserve">2. </w:t>
      </w:r>
      <w:r w:rsidR="003903D0" w:rsidRPr="008510AE">
        <w:rPr>
          <w:b/>
          <w:sz w:val="24"/>
          <w:szCs w:val="24"/>
        </w:rPr>
        <w:t>Literature Review</w:t>
      </w:r>
    </w:p>
    <w:p w14:paraId="40E26319" w14:textId="77777777" w:rsidR="00015978" w:rsidRPr="008510AE" w:rsidRDefault="003903D0">
      <w:pPr>
        <w:pStyle w:val="Heading3"/>
        <w:keepNext w:val="0"/>
        <w:keepLines w:val="0"/>
        <w:spacing w:before="280"/>
        <w:rPr>
          <w:sz w:val="24"/>
          <w:szCs w:val="24"/>
        </w:rPr>
      </w:pPr>
      <w:bookmarkStart w:id="1" w:name="_4wwd1870va6o" w:colFirst="0" w:colLast="0"/>
      <w:bookmarkEnd w:id="1"/>
      <w:r w:rsidRPr="008510AE">
        <w:rPr>
          <w:b/>
          <w:color w:val="000000"/>
          <w:sz w:val="24"/>
          <w:szCs w:val="24"/>
        </w:rPr>
        <w:t>CRYSTALS-Kyber: Technical Overview and Performance Evaluation</w:t>
      </w:r>
    </w:p>
    <w:p w14:paraId="4800953E" w14:textId="77777777" w:rsidR="00015978" w:rsidRPr="008510AE" w:rsidRDefault="003903D0">
      <w:pPr>
        <w:spacing w:before="240" w:after="240"/>
        <w:rPr>
          <w:sz w:val="24"/>
          <w:szCs w:val="24"/>
        </w:rPr>
      </w:pPr>
      <w:r w:rsidRPr="008510AE">
        <w:rPr>
          <w:sz w:val="24"/>
          <w:szCs w:val="24"/>
        </w:rPr>
        <w:t xml:space="preserve">The pressing demand for post-quantum cryptographic (PQC) solutions has positioned CRYSTALS-Kyber as a leading candidate, particularly following its standardization by the National Institute of Standards and Technology (NIST) in 2024 (NIST, 2017; NIST, 2024). According to Schwabe (2020), Kyber is structurally grounded in lattice-based cryptography, specifically the Module Learning </w:t>
      </w:r>
      <w:proofErr w:type="gramStart"/>
      <w:r w:rsidRPr="008510AE">
        <w:rPr>
          <w:sz w:val="24"/>
          <w:szCs w:val="24"/>
        </w:rPr>
        <w:t>With</w:t>
      </w:r>
      <w:proofErr w:type="gramEnd"/>
      <w:r w:rsidRPr="008510AE">
        <w:rPr>
          <w:sz w:val="24"/>
          <w:szCs w:val="24"/>
        </w:rPr>
        <w:t xml:space="preserve"> Errors (MLWE) problem, which is believed to resist quantum attacks due to its computational intractability. This approach contrasts sharply with classical schemes such as RSA and ECDSA, whose reliance on integer factorization and discrete logarithms renders them vulnerable to quantum algorithms like Shor’s (Oliva del Moral et al., 2024; Ajayi et al., 2025). Gbadebo (2025) contends that Kyber’s foundation in lattice problems represents a </w:t>
      </w:r>
      <w:r w:rsidR="007D102C">
        <w:rPr>
          <w:sz w:val="24"/>
          <w:szCs w:val="24"/>
        </w:rPr>
        <w:t>significant</w:t>
      </w:r>
      <w:r w:rsidRPr="008510AE">
        <w:rPr>
          <w:sz w:val="24"/>
          <w:szCs w:val="24"/>
        </w:rPr>
        <w:t xml:space="preserve"> advancement in protecting sensitive financial data from quantum threats.</w:t>
      </w:r>
    </w:p>
    <w:p w14:paraId="596A3939" w14:textId="77777777" w:rsidR="00015978" w:rsidRPr="008510AE" w:rsidRDefault="003903D0">
      <w:pPr>
        <w:spacing w:before="240" w:after="240"/>
        <w:rPr>
          <w:sz w:val="24"/>
          <w:szCs w:val="24"/>
        </w:rPr>
      </w:pPr>
      <w:r w:rsidRPr="008510AE">
        <w:rPr>
          <w:sz w:val="24"/>
          <w:szCs w:val="24"/>
        </w:rPr>
        <w:t>Demir et al. (2024)</w:t>
      </w:r>
      <w:r w:rsidR="007D102C">
        <w:rPr>
          <w:sz w:val="24"/>
          <w:szCs w:val="24"/>
        </w:rPr>
        <w:t xml:space="preserve"> provide comprehensive insights into Kyber’s performance, highlighting its practical applicability; Kyber-512, often recommended for a broad range of applications, completes key encapsulation tasks, including key generation, encryption, and decryption, </w:t>
      </w:r>
      <w:r w:rsidRPr="008510AE">
        <w:rPr>
          <w:sz w:val="24"/>
          <w:szCs w:val="24"/>
        </w:rPr>
        <w:t xml:space="preserve">within approximately 0.127 milliseconds (Muhammadi, 2024). This performance rivals, and in some instances surpasses, that of traditional cryptographic systems. Moreover, Kyber's moderate key sizes, with a public key of 800 bytes and </w:t>
      </w:r>
      <w:r w:rsidR="007D102C">
        <w:rPr>
          <w:sz w:val="24"/>
          <w:szCs w:val="24"/>
        </w:rPr>
        <w:t>a ciphertext size of 768 bytes, enhance its suitability for bandwidth-sensitive environments, such as</w:t>
      </w:r>
      <w:r w:rsidRPr="008510AE">
        <w:rPr>
          <w:sz w:val="24"/>
          <w:szCs w:val="24"/>
        </w:rPr>
        <w:t xml:space="preserve"> financial services, where operational efficiency is critical (</w:t>
      </w:r>
      <w:proofErr w:type="spellStart"/>
      <w:r w:rsidRPr="008510AE">
        <w:rPr>
          <w:sz w:val="24"/>
          <w:szCs w:val="24"/>
        </w:rPr>
        <w:t>Vredendaal</w:t>
      </w:r>
      <w:proofErr w:type="spellEnd"/>
      <w:r w:rsidRPr="008510AE">
        <w:rPr>
          <w:sz w:val="24"/>
          <w:szCs w:val="24"/>
        </w:rPr>
        <w:t xml:space="preserve"> et al., 2022; </w:t>
      </w:r>
      <w:proofErr w:type="spellStart"/>
      <w:r w:rsidRPr="008510AE">
        <w:rPr>
          <w:sz w:val="24"/>
          <w:szCs w:val="24"/>
        </w:rPr>
        <w:t>Olutimehin</w:t>
      </w:r>
      <w:proofErr w:type="spellEnd"/>
      <w:r w:rsidRPr="008510AE">
        <w:rPr>
          <w:sz w:val="24"/>
          <w:szCs w:val="24"/>
        </w:rPr>
        <w:t>, 2025).</w:t>
      </w:r>
    </w:p>
    <w:p w14:paraId="5B222768" w14:textId="77777777" w:rsidR="00015978" w:rsidRPr="008510AE" w:rsidRDefault="003903D0">
      <w:pPr>
        <w:spacing w:before="240" w:after="240"/>
        <w:rPr>
          <w:sz w:val="24"/>
          <w:szCs w:val="24"/>
        </w:rPr>
      </w:pPr>
      <w:r w:rsidRPr="008510AE">
        <w:rPr>
          <w:sz w:val="24"/>
          <w:szCs w:val="24"/>
        </w:rPr>
        <w:t xml:space="preserve">Performance optimizations using AVX2 instruction sets, commonly found in modern CPUs, further enhance Kyber’s computational efficiency (Wan et al., 2022). Demir et al. (2024) demonstrate AVX2-optimized implementations yield an average </w:t>
      </w:r>
      <w:proofErr w:type="spellStart"/>
      <w:r w:rsidRPr="008510AE">
        <w:rPr>
          <w:sz w:val="24"/>
          <w:szCs w:val="24"/>
        </w:rPr>
        <w:t>speedup</w:t>
      </w:r>
      <w:proofErr w:type="spellEnd"/>
      <w:r w:rsidRPr="008510AE">
        <w:rPr>
          <w:sz w:val="24"/>
          <w:szCs w:val="24"/>
        </w:rPr>
        <w:t xml:space="preserve"> of 5.98x, with decapsulation operations achieving improvements up to 6.65x. These enhancements are </w:t>
      </w:r>
      <w:r w:rsidR="007D102C">
        <w:rPr>
          <w:sz w:val="24"/>
          <w:szCs w:val="24"/>
        </w:rPr>
        <w:t>particularly relevant for high-frequency transaction systems, where latency and energy efficiency are crucial</w:t>
      </w:r>
      <w:r w:rsidRPr="008510AE">
        <w:rPr>
          <w:sz w:val="24"/>
          <w:szCs w:val="24"/>
        </w:rPr>
        <w:t>. Gbadebo (2025) asserts that such optimizations render Kyber an attractive candidate for deployment in high-speed financial transaction platforms.</w:t>
      </w:r>
    </w:p>
    <w:p w14:paraId="484EA99B" w14:textId="77777777" w:rsidR="00015978" w:rsidRPr="008510AE" w:rsidRDefault="003903D0">
      <w:pPr>
        <w:spacing w:before="240" w:after="240"/>
        <w:rPr>
          <w:sz w:val="24"/>
          <w:szCs w:val="24"/>
        </w:rPr>
      </w:pPr>
      <w:r w:rsidRPr="008510AE">
        <w:rPr>
          <w:sz w:val="24"/>
          <w:szCs w:val="24"/>
        </w:rPr>
        <w:t xml:space="preserve">Nonetheless, integrating CRYSTALS-Kyber presents significant challenges; chief among these is key management, as lattice-based schemes require larger key sizes compared to ECC-based cryptosystems, necessitating robust infrastructure for secure storage, distribution, and lifecycle management (Shah et al., 2025; Alao et al., 2024). Additionally, while Kyber reduces encryption and decryption times, its increased computational demands during encapsulation and decapsulation may burden legacy systems, potentially inflating operational costs (Scalise et al., 2024; Balogun et al., </w:t>
      </w:r>
      <w:r w:rsidRPr="008510AE">
        <w:rPr>
          <w:sz w:val="24"/>
          <w:szCs w:val="24"/>
        </w:rPr>
        <w:lastRenderedPageBreak/>
        <w:t xml:space="preserve">2025). Successful deployment, therefore, demands comprehensive system optimization and strategic infrastructure enhancements to enable efficient operation in high-throughput environments (Kumar &amp; Sen, 2024; </w:t>
      </w:r>
      <w:proofErr w:type="spellStart"/>
      <w:r w:rsidRPr="008510AE">
        <w:rPr>
          <w:sz w:val="24"/>
          <w:szCs w:val="24"/>
        </w:rPr>
        <w:t>Olutimehin</w:t>
      </w:r>
      <w:proofErr w:type="spellEnd"/>
      <w:r w:rsidRPr="008510AE">
        <w:rPr>
          <w:sz w:val="24"/>
          <w:szCs w:val="24"/>
        </w:rPr>
        <w:t>, 2025).</w:t>
      </w:r>
    </w:p>
    <w:p w14:paraId="0CCD7D92" w14:textId="77777777" w:rsidR="00015978" w:rsidRPr="008510AE" w:rsidRDefault="003903D0">
      <w:pPr>
        <w:spacing w:before="240" w:after="240"/>
        <w:rPr>
          <w:sz w:val="24"/>
          <w:szCs w:val="24"/>
        </w:rPr>
      </w:pPr>
      <w:r w:rsidRPr="008510AE">
        <w:rPr>
          <w:sz w:val="24"/>
          <w:szCs w:val="24"/>
        </w:rPr>
        <w:t>Thus, while CRYSTALS-Kyber offers substantial promise through quantum resilience, computational efficiency, and hardware adaptability, the complexities associated with its implementation must not be underestimated. Balancing cryptographic strength with operational feasibility is essential to fortifying financial infrastructures against emerging quantum-era threats (</w:t>
      </w:r>
      <w:proofErr w:type="spellStart"/>
      <w:r w:rsidRPr="008510AE">
        <w:rPr>
          <w:sz w:val="24"/>
          <w:szCs w:val="24"/>
        </w:rPr>
        <w:t>Baseri</w:t>
      </w:r>
      <w:proofErr w:type="spellEnd"/>
      <w:r w:rsidRPr="008510AE">
        <w:rPr>
          <w:sz w:val="24"/>
          <w:szCs w:val="24"/>
        </w:rPr>
        <w:t xml:space="preserve"> et al., 2024; </w:t>
      </w:r>
      <w:proofErr w:type="spellStart"/>
      <w:r w:rsidRPr="008510AE">
        <w:rPr>
          <w:sz w:val="24"/>
          <w:szCs w:val="24"/>
        </w:rPr>
        <w:t>Olutimehin</w:t>
      </w:r>
      <w:proofErr w:type="spellEnd"/>
      <w:r w:rsidRPr="008510AE">
        <w:rPr>
          <w:sz w:val="24"/>
          <w:szCs w:val="24"/>
        </w:rPr>
        <w:t>, 2025).</w:t>
      </w:r>
    </w:p>
    <w:p w14:paraId="425710D9" w14:textId="77777777" w:rsidR="00015978" w:rsidRPr="008510AE" w:rsidRDefault="003903D0">
      <w:pPr>
        <w:pStyle w:val="Heading3"/>
        <w:keepNext w:val="0"/>
        <w:keepLines w:val="0"/>
        <w:spacing w:before="280"/>
        <w:rPr>
          <w:sz w:val="24"/>
          <w:szCs w:val="24"/>
        </w:rPr>
      </w:pPr>
      <w:bookmarkStart w:id="2" w:name="_hn9zoo765lpz" w:colFirst="0" w:colLast="0"/>
      <w:bookmarkEnd w:id="2"/>
      <w:r w:rsidRPr="008510AE">
        <w:rPr>
          <w:b/>
          <w:color w:val="000000"/>
          <w:sz w:val="24"/>
          <w:szCs w:val="24"/>
        </w:rPr>
        <w:t>Blockchain Technology in Financial Infrastructures</w:t>
      </w:r>
    </w:p>
    <w:p w14:paraId="212E2143" w14:textId="77777777" w:rsidR="00015978" w:rsidRPr="008510AE" w:rsidRDefault="003903D0">
      <w:pPr>
        <w:spacing w:before="240" w:after="240"/>
        <w:rPr>
          <w:sz w:val="24"/>
          <w:szCs w:val="24"/>
        </w:rPr>
      </w:pPr>
      <w:r w:rsidRPr="008510AE">
        <w:rPr>
          <w:sz w:val="24"/>
          <w:szCs w:val="24"/>
        </w:rPr>
        <w:t xml:space="preserve">Blockchain technology has emerged as a pivotal innovation within financial infrastructures, providing decentralized, immutable, and transparent ledger systems </w:t>
      </w:r>
      <w:r w:rsidR="007D102C">
        <w:rPr>
          <w:sz w:val="24"/>
          <w:szCs w:val="24"/>
        </w:rPr>
        <w:t>that securely record</w:t>
      </w:r>
      <w:r w:rsidRPr="008510AE">
        <w:rPr>
          <w:sz w:val="24"/>
          <w:szCs w:val="24"/>
        </w:rPr>
        <w:t xml:space="preserve"> transactions without intermediaries (Kumari &amp; Devi, 2022; </w:t>
      </w:r>
      <w:proofErr w:type="spellStart"/>
      <w:r w:rsidRPr="008510AE">
        <w:rPr>
          <w:sz w:val="24"/>
          <w:szCs w:val="24"/>
        </w:rPr>
        <w:t>Metibemu</w:t>
      </w:r>
      <w:proofErr w:type="spellEnd"/>
      <w:r w:rsidRPr="008510AE">
        <w:rPr>
          <w:sz w:val="24"/>
          <w:szCs w:val="24"/>
        </w:rPr>
        <w:t xml:space="preserve"> et al., 2025). Blockchain technology’s capacity to eliminate central points of failure and enhance data integrity has established it as a critical instrument for advancing transaction security and operational efficiency (Habib et al., 2022; </w:t>
      </w:r>
      <w:proofErr w:type="spellStart"/>
      <w:r w:rsidRPr="008510AE">
        <w:rPr>
          <w:sz w:val="24"/>
          <w:szCs w:val="24"/>
        </w:rPr>
        <w:t>Tiwo</w:t>
      </w:r>
      <w:proofErr w:type="spellEnd"/>
      <w:r w:rsidRPr="008510AE">
        <w:rPr>
          <w:sz w:val="24"/>
          <w:szCs w:val="24"/>
        </w:rPr>
        <w:t xml:space="preserve"> et al., 2025). Once transaction records are validated and appended to the blockchain ledger, they become tamper-evident, significantly mitigating the risks of fraud and manipulation (</w:t>
      </w:r>
      <w:proofErr w:type="spellStart"/>
      <w:r w:rsidRPr="008510AE">
        <w:rPr>
          <w:sz w:val="24"/>
          <w:szCs w:val="24"/>
        </w:rPr>
        <w:t>Sniatala</w:t>
      </w:r>
      <w:proofErr w:type="spellEnd"/>
      <w:r w:rsidRPr="008510AE">
        <w:rPr>
          <w:sz w:val="24"/>
          <w:szCs w:val="24"/>
        </w:rPr>
        <w:t xml:space="preserve"> et al., 2021; Salami et al., 2025). Furthermore, the distributed structure of blockchain technology bolsters system resilience against cyberattacks by dispersing authority across a network. Gbadebo (2025) affirms that these characteristics have played a vital role in the financial sector’s adoption of blockchain to reinforce transaction integrity.</w:t>
      </w:r>
    </w:p>
    <w:p w14:paraId="01BEC54F" w14:textId="77777777" w:rsidR="00015978" w:rsidRPr="008510AE" w:rsidRDefault="003903D0">
      <w:pPr>
        <w:spacing w:before="240" w:after="240"/>
        <w:rPr>
          <w:sz w:val="24"/>
          <w:szCs w:val="24"/>
        </w:rPr>
      </w:pPr>
      <w:r w:rsidRPr="008510AE">
        <w:rPr>
          <w:sz w:val="24"/>
          <w:szCs w:val="24"/>
        </w:rPr>
        <w:t xml:space="preserve">Empirical evidence underscores blockchain’s penetration into mainstream finance. According to </w:t>
      </w:r>
      <w:proofErr w:type="spellStart"/>
      <w:r w:rsidRPr="008510AE">
        <w:rPr>
          <w:sz w:val="24"/>
          <w:szCs w:val="24"/>
        </w:rPr>
        <w:t>FinancesOnline</w:t>
      </w:r>
      <w:proofErr w:type="spellEnd"/>
      <w:r w:rsidRPr="008510AE">
        <w:rPr>
          <w:sz w:val="24"/>
          <w:szCs w:val="24"/>
        </w:rPr>
        <w:t xml:space="preserve"> (2021)</w:t>
      </w:r>
      <w:r w:rsidR="007D102C">
        <w:rPr>
          <w:sz w:val="24"/>
          <w:szCs w:val="24"/>
        </w:rPr>
        <w:t>,</w:t>
      </w:r>
      <w:r w:rsidRPr="008510AE">
        <w:rPr>
          <w:sz w:val="24"/>
          <w:szCs w:val="24"/>
        </w:rPr>
        <w:t xml:space="preserve"> by 2024, 83% of the world’s largest banks had integrated blockchain solutions into at least one core banking function. This widespread adoption reflects a strategic move towards harnessing blockchain’s potential to streamline settlement processes, reduce operational costs, and enhance auditability. Additionally,</w:t>
      </w:r>
      <w:hyperlink r:id="rId8">
        <w:r w:rsidRPr="008510AE">
          <w:rPr>
            <w:sz w:val="24"/>
            <w:szCs w:val="24"/>
          </w:rPr>
          <w:t xml:space="preserve"> </w:t>
        </w:r>
      </w:hyperlink>
      <w:r w:rsidRPr="008510AE">
        <w:rPr>
          <w:sz w:val="24"/>
          <w:szCs w:val="24"/>
        </w:rPr>
        <w:t xml:space="preserve">Market Research Future (2023) emphasizes that blockchain fosters greater transparency, a feature particularly valuable in cross-border transactions, which are often hindered by inefficiencies. The global blockchain market in finance is projected to </w:t>
      </w:r>
      <w:r w:rsidR="007D102C">
        <w:rPr>
          <w:sz w:val="24"/>
          <w:szCs w:val="24"/>
        </w:rPr>
        <w:t>reach $204.48 billion by 2034, further solidifying</w:t>
      </w:r>
      <w:r w:rsidRPr="008510AE">
        <w:rPr>
          <w:sz w:val="24"/>
          <w:szCs w:val="24"/>
        </w:rPr>
        <w:t xml:space="preserve"> the sector’s recognition of blockchain’s transformative capabilities (Market Research Future, 2023).</w:t>
      </w:r>
    </w:p>
    <w:p w14:paraId="0EA4237F" w14:textId="77777777" w:rsidR="00015978" w:rsidRPr="008510AE" w:rsidRDefault="003903D0">
      <w:pPr>
        <w:spacing w:before="240" w:after="240"/>
        <w:rPr>
          <w:sz w:val="24"/>
          <w:szCs w:val="24"/>
        </w:rPr>
      </w:pPr>
      <w:r w:rsidRPr="008510AE">
        <w:rPr>
          <w:sz w:val="24"/>
          <w:szCs w:val="24"/>
        </w:rPr>
        <w:t>Nevertheless, blockchain deployment introduces notable vulnerabilities, especially within Decentralized Finance (DeFi) ecosystems (</w:t>
      </w:r>
      <w:proofErr w:type="spellStart"/>
      <w:r w:rsidRPr="008510AE">
        <w:rPr>
          <w:sz w:val="24"/>
          <w:szCs w:val="24"/>
        </w:rPr>
        <w:t>Alamsyah</w:t>
      </w:r>
      <w:proofErr w:type="spellEnd"/>
      <w:r w:rsidRPr="008510AE">
        <w:rPr>
          <w:sz w:val="24"/>
          <w:szCs w:val="24"/>
        </w:rPr>
        <w:t xml:space="preserve"> et al., 2024; Salako et al., 2025). Smart contracts</w:t>
      </w:r>
      <w:r w:rsidR="007D102C">
        <w:rPr>
          <w:sz w:val="24"/>
          <w:szCs w:val="24"/>
        </w:rPr>
        <w:t xml:space="preserve">, self-executing agreements written into code, </w:t>
      </w:r>
      <w:r w:rsidRPr="008510AE">
        <w:rPr>
          <w:sz w:val="24"/>
          <w:szCs w:val="24"/>
        </w:rPr>
        <w:t xml:space="preserve">facilitate automated transactions but simultaneously expose the system to cryptographic flaws (Singh et al., 2020; </w:t>
      </w:r>
      <w:proofErr w:type="spellStart"/>
      <w:r w:rsidRPr="008510AE">
        <w:rPr>
          <w:sz w:val="24"/>
          <w:szCs w:val="24"/>
        </w:rPr>
        <w:t>Oyekunle</w:t>
      </w:r>
      <w:proofErr w:type="spellEnd"/>
      <w:r w:rsidRPr="008510AE">
        <w:rPr>
          <w:sz w:val="24"/>
          <w:szCs w:val="24"/>
        </w:rPr>
        <w:t xml:space="preserve"> et al., 2025). Zhang et al. (2023) </w:t>
      </w:r>
      <w:r w:rsidR="007D102C">
        <w:rPr>
          <w:sz w:val="24"/>
          <w:szCs w:val="24"/>
        </w:rPr>
        <w:t>identify</w:t>
      </w:r>
      <w:r w:rsidRPr="008510AE">
        <w:rPr>
          <w:sz w:val="24"/>
          <w:szCs w:val="24"/>
        </w:rPr>
        <w:t xml:space="preserve"> deficiencies in </w:t>
      </w:r>
      <w:r w:rsidRPr="008510AE">
        <w:rPr>
          <w:sz w:val="24"/>
          <w:szCs w:val="24"/>
        </w:rPr>
        <w:lastRenderedPageBreak/>
        <w:t>smart contract coding, inadequate key management, and front-running attacks as substantial security risks. Gbadebo (2025) observes that despite blockchain’s robust ledger security, vulnerabilities within smart contracts can critically compromise system reliability.</w:t>
      </w:r>
    </w:p>
    <w:p w14:paraId="49F270AB" w14:textId="77777777" w:rsidR="00015978" w:rsidRPr="008510AE" w:rsidRDefault="003903D0">
      <w:pPr>
        <w:spacing w:before="240" w:after="240"/>
        <w:rPr>
          <w:sz w:val="24"/>
          <w:szCs w:val="24"/>
        </w:rPr>
      </w:pPr>
      <w:r w:rsidRPr="008510AE">
        <w:rPr>
          <w:sz w:val="24"/>
          <w:szCs w:val="24"/>
        </w:rPr>
        <w:t>More significantly, the cryptographic foundations underpinning blockchain’s key exchange mechanisms, primarily RSA and ECDSA, are highly susceptible to quantum attacks. Current blockchain frameworks lack integrated quantum-resistant measures, raising serious concerns about their long-term security (</w:t>
      </w:r>
      <w:proofErr w:type="spellStart"/>
      <w:r w:rsidRPr="008510AE">
        <w:rPr>
          <w:sz w:val="24"/>
          <w:szCs w:val="24"/>
        </w:rPr>
        <w:t>Elkhodr</w:t>
      </w:r>
      <w:proofErr w:type="spellEnd"/>
      <w:r w:rsidRPr="008510AE">
        <w:rPr>
          <w:sz w:val="24"/>
          <w:szCs w:val="24"/>
        </w:rPr>
        <w:t xml:space="preserve">, 2025; </w:t>
      </w:r>
      <w:proofErr w:type="spellStart"/>
      <w:r w:rsidRPr="008510AE">
        <w:rPr>
          <w:sz w:val="24"/>
          <w:szCs w:val="24"/>
        </w:rPr>
        <w:t>Tiwo</w:t>
      </w:r>
      <w:proofErr w:type="spellEnd"/>
      <w:r w:rsidRPr="008510AE">
        <w:rPr>
          <w:sz w:val="24"/>
          <w:szCs w:val="24"/>
        </w:rPr>
        <w:t xml:space="preserve"> et al., 2025). As </w:t>
      </w:r>
      <w:proofErr w:type="spellStart"/>
      <w:r w:rsidRPr="008510AE">
        <w:rPr>
          <w:sz w:val="24"/>
          <w:szCs w:val="24"/>
        </w:rPr>
        <w:t>Baseri</w:t>
      </w:r>
      <w:proofErr w:type="spellEnd"/>
      <w:r w:rsidRPr="008510AE">
        <w:rPr>
          <w:sz w:val="24"/>
          <w:szCs w:val="24"/>
        </w:rPr>
        <w:t xml:space="preserve"> et al. (2024) </w:t>
      </w:r>
      <w:r w:rsidR="007D102C">
        <w:rPr>
          <w:sz w:val="24"/>
          <w:szCs w:val="24"/>
        </w:rPr>
        <w:t>argue</w:t>
      </w:r>
      <w:r w:rsidRPr="008510AE">
        <w:rPr>
          <w:sz w:val="24"/>
          <w:szCs w:val="24"/>
        </w:rPr>
        <w:t xml:space="preserve">, with the progression of scalable quantum computers, the threat to conventional public-key infrastructures becomes imminent. Without transitioning to lattice-based, post-quantum cryptographic protocols, such as those supported by CRYSTALS-Kyber, blockchain systems risk catastrophic breaches </w:t>
      </w:r>
      <w:r w:rsidR="007D102C">
        <w:rPr>
          <w:sz w:val="24"/>
          <w:szCs w:val="24"/>
        </w:rPr>
        <w:t>(Gharavi et al., 2024; Balogun et al.</w:t>
      </w:r>
      <w:r w:rsidRPr="008510AE">
        <w:rPr>
          <w:sz w:val="24"/>
          <w:szCs w:val="24"/>
        </w:rPr>
        <w:t>, 2025). Given the immutable and enduring nature of blockchain data, this vulnerability intensifies the urgency for quantum-secure upgrades. Gbadebo (2025) indicates that contemporary discourse increasingly emphasizes not only blockchain’s present efficiencies but also its preparedness for a post-quantum era, framing a critical dimension of future financial sector strategies.</w:t>
      </w:r>
    </w:p>
    <w:p w14:paraId="74D91D12" w14:textId="77777777" w:rsidR="00015978" w:rsidRPr="008510AE" w:rsidRDefault="003903D0">
      <w:pPr>
        <w:pStyle w:val="Heading3"/>
        <w:keepNext w:val="0"/>
        <w:keepLines w:val="0"/>
        <w:spacing w:before="280"/>
        <w:rPr>
          <w:sz w:val="24"/>
          <w:szCs w:val="24"/>
        </w:rPr>
      </w:pPr>
      <w:bookmarkStart w:id="3" w:name="_4svtv3ja5of" w:colFirst="0" w:colLast="0"/>
      <w:bookmarkEnd w:id="3"/>
      <w:r w:rsidRPr="008510AE">
        <w:rPr>
          <w:b/>
          <w:color w:val="000000"/>
          <w:sz w:val="24"/>
          <w:szCs w:val="24"/>
        </w:rPr>
        <w:t>Blockchain-Based Key Exchange Mechanisms: Evolution and Current Applications</w:t>
      </w:r>
    </w:p>
    <w:p w14:paraId="483D2A48" w14:textId="77777777" w:rsidR="00015978" w:rsidRPr="008510AE" w:rsidRDefault="003903D0">
      <w:pPr>
        <w:spacing w:before="240" w:after="240"/>
        <w:rPr>
          <w:sz w:val="24"/>
          <w:szCs w:val="24"/>
        </w:rPr>
      </w:pPr>
      <w:r w:rsidRPr="008510AE">
        <w:rPr>
          <w:sz w:val="24"/>
          <w:szCs w:val="24"/>
        </w:rPr>
        <w:t xml:space="preserve">Key exchange mechanisms are fundamental to blockchain security, </w:t>
      </w:r>
      <w:r w:rsidR="007D102C">
        <w:rPr>
          <w:sz w:val="24"/>
          <w:szCs w:val="24"/>
        </w:rPr>
        <w:t xml:space="preserve">as they facilitate secure communication channels that are </w:t>
      </w:r>
      <w:r w:rsidRPr="008510AE">
        <w:rPr>
          <w:sz w:val="24"/>
          <w:szCs w:val="24"/>
        </w:rPr>
        <w:t xml:space="preserve">vital for transaction authentication and consensus protocols. Traditional blockchain systems have primarily depended on classical cryptographic techniques such as RSA and Elliptic Curve Cryptography (ECC), which, although effective against conventional threats, are vulnerable to quantum computing attacks (Rahmawati, 2024; </w:t>
      </w:r>
      <w:proofErr w:type="spellStart"/>
      <w:r w:rsidRPr="008510AE">
        <w:rPr>
          <w:sz w:val="24"/>
          <w:szCs w:val="24"/>
        </w:rPr>
        <w:t>Oyekunle</w:t>
      </w:r>
      <w:proofErr w:type="spellEnd"/>
      <w:r w:rsidRPr="008510AE">
        <w:rPr>
          <w:sz w:val="24"/>
          <w:szCs w:val="24"/>
        </w:rPr>
        <w:t xml:space="preserve"> et al., 2025). As blockchain becomes increasingly integral to financial infrastructures, the urgency to transition toward quantum-safe key exchange methods has intensified (Andriani et al., 2025; </w:t>
      </w:r>
      <w:proofErr w:type="spellStart"/>
      <w:r w:rsidRPr="008510AE">
        <w:rPr>
          <w:sz w:val="24"/>
          <w:szCs w:val="24"/>
        </w:rPr>
        <w:t>Adesokan</w:t>
      </w:r>
      <w:proofErr w:type="spellEnd"/>
      <w:r w:rsidRPr="008510AE">
        <w:rPr>
          <w:sz w:val="24"/>
          <w:szCs w:val="24"/>
        </w:rPr>
        <w:t>-Imran et al., 2025). Gbadebo (2025) posits that the resilience of blockchain security is anchored not only in its decentralized architecture</w:t>
      </w:r>
      <w:r w:rsidR="007D102C">
        <w:rPr>
          <w:sz w:val="24"/>
          <w:szCs w:val="24"/>
        </w:rPr>
        <w:t xml:space="preserve"> but fundamentally in the robustness of its underlying cryptographic primitives, particularly key exchange processes, which are</w:t>
      </w:r>
      <w:r w:rsidRPr="008510AE">
        <w:rPr>
          <w:sz w:val="24"/>
          <w:szCs w:val="24"/>
        </w:rPr>
        <w:t xml:space="preserve"> now susceptible to quantum adversaries.</w:t>
      </w:r>
    </w:p>
    <w:p w14:paraId="6D8BF7FA" w14:textId="77777777" w:rsidR="00015978" w:rsidRPr="008510AE" w:rsidRDefault="003903D0">
      <w:pPr>
        <w:spacing w:before="240" w:after="240"/>
        <w:rPr>
          <w:sz w:val="24"/>
          <w:szCs w:val="24"/>
        </w:rPr>
      </w:pPr>
      <w:r w:rsidRPr="008510AE">
        <w:rPr>
          <w:sz w:val="24"/>
          <w:szCs w:val="24"/>
        </w:rPr>
        <w:t xml:space="preserve">In response to these emerging threats, research has pivoted toward Post-Quantum Cryptography (PQC)-based Key Encapsulation Mechanisms (KEMs), offering promising quantum-resistant alternatives. KEMs, particularly those rooted in lattice problems like CRYSTALS-Kyber, can preserve the confidentiality and integrity of blockchain communications against quantum threats (Gharavi et al., 2024; Salami et al., 2025). Gbadebo (2025) emphasizes that integrating PQC into blockchain key exchanges is </w:t>
      </w:r>
      <w:r w:rsidRPr="008510AE">
        <w:rPr>
          <w:sz w:val="24"/>
          <w:szCs w:val="24"/>
        </w:rPr>
        <w:lastRenderedPageBreak/>
        <w:t>crucial for ensuring the long-term security of sensitive data. These PQC-based KEMs can be efficiently embedded within existing blockchain infrastructures, adding a vital quantum-resistant layer to the cryptographic operations underpinning financial systems.</w:t>
      </w:r>
    </w:p>
    <w:p w14:paraId="2DB51A46" w14:textId="77777777" w:rsidR="00015978" w:rsidRPr="008510AE" w:rsidRDefault="003903D0">
      <w:pPr>
        <w:spacing w:before="240" w:after="240"/>
        <w:rPr>
          <w:sz w:val="24"/>
          <w:szCs w:val="24"/>
        </w:rPr>
      </w:pPr>
      <w:r w:rsidRPr="008510AE">
        <w:rPr>
          <w:sz w:val="24"/>
          <w:szCs w:val="24"/>
        </w:rPr>
        <w:t>Several financial institutions have begun adopting quantum-ready cryptographic infrastructures. According to Lawton (2019), Barclays has deployed the Crypto Service Gateway (CSG), a centralized platform for securely managing cryptographic operations and facilitating the transition to quantum-safe algorithms. This initiative reflects a broader industry acknowledgment of the necessity for scalable and adaptable frameworks capable of resisting quantum threats. Similarly, Goldman Sachs and Microsoft connect disparate financial systems through decentralized infrastructure (</w:t>
      </w:r>
      <w:proofErr w:type="spellStart"/>
      <w:r w:rsidRPr="008510AE">
        <w:rPr>
          <w:sz w:val="24"/>
          <w:szCs w:val="24"/>
        </w:rPr>
        <w:t>Beganski</w:t>
      </w:r>
      <w:proofErr w:type="spellEnd"/>
      <w:r w:rsidRPr="008510AE">
        <w:rPr>
          <w:sz w:val="24"/>
          <w:szCs w:val="24"/>
        </w:rPr>
        <w:t xml:space="preserve">, 2023; Kolade et al., 2025). Although currently operating with classical cryptographic schemes, its architecture is designed with the anticipation of integrating </w:t>
      </w:r>
      <w:r w:rsidR="007D102C">
        <w:rPr>
          <w:sz w:val="24"/>
          <w:szCs w:val="24"/>
        </w:rPr>
        <w:t>post-quantum cryptographic (PQC)</w:t>
      </w:r>
      <w:r w:rsidRPr="008510AE">
        <w:rPr>
          <w:sz w:val="24"/>
          <w:szCs w:val="24"/>
        </w:rPr>
        <w:t xml:space="preserve"> protocols, aligning with emerging standards for quantum-secure communication.</w:t>
      </w:r>
    </w:p>
    <w:p w14:paraId="17BDAB00" w14:textId="77777777" w:rsidR="00015978" w:rsidRPr="008510AE" w:rsidRDefault="003903D0">
      <w:pPr>
        <w:spacing w:before="240" w:after="240"/>
        <w:rPr>
          <w:sz w:val="24"/>
          <w:szCs w:val="24"/>
        </w:rPr>
      </w:pPr>
      <w:r w:rsidRPr="008510AE">
        <w:rPr>
          <w:sz w:val="24"/>
          <w:szCs w:val="24"/>
        </w:rPr>
        <w:t>Additionally, Morgan (2025) highlights JPMorgan Chase’s advancement in applying Quantum Key Distribution (QKD) within blockchain frameworks, demonstrating the generation of certified randomness to enhance cryptographic security. While QKD offers a theoretically secure yet resource-intensive alternative, it complements PQC initiatives by diversifying quantum resilience strategies (</w:t>
      </w:r>
      <w:proofErr w:type="spellStart"/>
      <w:r w:rsidRPr="008510AE">
        <w:rPr>
          <w:sz w:val="24"/>
          <w:szCs w:val="24"/>
        </w:rPr>
        <w:t>Shahanas</w:t>
      </w:r>
      <w:proofErr w:type="spellEnd"/>
      <w:r w:rsidRPr="008510AE">
        <w:rPr>
          <w:sz w:val="24"/>
          <w:szCs w:val="24"/>
        </w:rPr>
        <w:t xml:space="preserve"> &amp; Thampi, 2025; </w:t>
      </w:r>
      <w:proofErr w:type="spellStart"/>
      <w:r w:rsidRPr="008510AE">
        <w:rPr>
          <w:sz w:val="24"/>
          <w:szCs w:val="24"/>
        </w:rPr>
        <w:t>Adesokan</w:t>
      </w:r>
      <w:proofErr w:type="spellEnd"/>
      <w:r w:rsidRPr="008510AE">
        <w:rPr>
          <w:sz w:val="24"/>
          <w:szCs w:val="24"/>
        </w:rPr>
        <w:t xml:space="preserve">-Imran et al., 2025). </w:t>
      </w:r>
    </w:p>
    <w:p w14:paraId="6255E1FC" w14:textId="77777777" w:rsidR="00015978" w:rsidRPr="008510AE" w:rsidRDefault="003903D0">
      <w:pPr>
        <w:pStyle w:val="Heading3"/>
        <w:keepNext w:val="0"/>
        <w:keepLines w:val="0"/>
        <w:spacing w:before="280"/>
        <w:rPr>
          <w:sz w:val="24"/>
          <w:szCs w:val="24"/>
        </w:rPr>
      </w:pPr>
      <w:bookmarkStart w:id="4" w:name="_jpa1htadvenh" w:colFirst="0" w:colLast="0"/>
      <w:bookmarkEnd w:id="4"/>
      <w:r w:rsidRPr="008510AE">
        <w:rPr>
          <w:b/>
          <w:color w:val="000000"/>
          <w:sz w:val="24"/>
          <w:szCs w:val="24"/>
        </w:rPr>
        <w:t>Cryptographic Agility: Concept, Importance, and Implementation Challenges</w:t>
      </w:r>
    </w:p>
    <w:p w14:paraId="13CB693A" w14:textId="77777777" w:rsidR="00015978" w:rsidRPr="008510AE" w:rsidRDefault="003903D0">
      <w:pPr>
        <w:spacing w:before="240" w:after="240"/>
        <w:rPr>
          <w:sz w:val="24"/>
          <w:szCs w:val="24"/>
        </w:rPr>
      </w:pPr>
      <w:r w:rsidRPr="008510AE">
        <w:rPr>
          <w:sz w:val="24"/>
          <w:szCs w:val="24"/>
        </w:rPr>
        <w:t xml:space="preserve">Cryptographic agility has evolved from a theoretical construct into an operational necessity for financial institutions, primarily due to the escalating cybersecurity threats posed by advancements such as quantum computing. Cryptographic agility </w:t>
      </w:r>
      <w:r w:rsidR="007D102C">
        <w:rPr>
          <w:sz w:val="24"/>
          <w:szCs w:val="24"/>
        </w:rPr>
        <w:t>refers to the ability</w:t>
      </w:r>
      <w:r w:rsidRPr="008510AE">
        <w:rPr>
          <w:sz w:val="24"/>
          <w:szCs w:val="24"/>
        </w:rPr>
        <w:t xml:space="preserve"> of institutions to rapidly adapt their cryptographic infrastructures in response to evolving standards, emerging vulnerabilities, or technological advancements (Boy Firmansyah &amp; Bansal, 2024; Kolo et al., 2025). This adaptability, as noted by</w:t>
      </w:r>
      <w:hyperlink r:id="rId9">
        <w:r w:rsidRPr="008510AE">
          <w:rPr>
            <w:sz w:val="24"/>
            <w:szCs w:val="24"/>
          </w:rPr>
          <w:t xml:space="preserve"> </w:t>
        </w:r>
      </w:hyperlink>
      <w:proofErr w:type="spellStart"/>
      <w:r w:rsidRPr="008510AE">
        <w:rPr>
          <w:sz w:val="24"/>
          <w:szCs w:val="24"/>
        </w:rPr>
        <w:t>PQShield</w:t>
      </w:r>
      <w:proofErr w:type="spellEnd"/>
      <w:r w:rsidRPr="008510AE">
        <w:rPr>
          <w:sz w:val="24"/>
          <w:szCs w:val="24"/>
        </w:rPr>
        <w:t xml:space="preserve"> (2025), is critical for maintaining business continuity and securing sensitive financial data. Gbadebo (2025) asserts that beyond future-proofing systems against quantum threats, agility also ensures compliance with shifting regulatory requirements, thereby reinforcing operational resilience.</w:t>
      </w:r>
    </w:p>
    <w:p w14:paraId="7D908007" w14:textId="77777777" w:rsidR="00015978" w:rsidRPr="008510AE" w:rsidRDefault="003903D0">
      <w:pPr>
        <w:spacing w:before="240" w:after="240"/>
        <w:rPr>
          <w:sz w:val="24"/>
          <w:szCs w:val="24"/>
        </w:rPr>
      </w:pPr>
      <w:r w:rsidRPr="008510AE">
        <w:rPr>
          <w:sz w:val="24"/>
          <w:szCs w:val="24"/>
        </w:rPr>
        <w:t xml:space="preserve">Historical examples reveal the complexities embedded in cryptographic transitions. According to Rashid et al. (2024), the delayed deprecation of the Triple Data Encryption Standard (Triple DES), despite the introduction of the Advanced Encryption Standard (AES) in 2001, illustrates the challenges of lacking agility. Triple DES persisted in usage until 2024, leaving systems exposed to prolonged vulnerabilities (Cobb, 2023; </w:t>
      </w:r>
      <w:proofErr w:type="spellStart"/>
      <w:r w:rsidRPr="008510AE">
        <w:rPr>
          <w:sz w:val="24"/>
          <w:szCs w:val="24"/>
        </w:rPr>
        <w:t>Ogunmolu</w:t>
      </w:r>
      <w:proofErr w:type="spellEnd"/>
      <w:r w:rsidRPr="008510AE">
        <w:rPr>
          <w:sz w:val="24"/>
          <w:szCs w:val="24"/>
        </w:rPr>
        <w:t xml:space="preserve">, 2025); this protracted transition underscores the risks institutions encounter </w:t>
      </w:r>
      <w:r w:rsidRPr="008510AE">
        <w:rPr>
          <w:sz w:val="24"/>
          <w:szCs w:val="24"/>
        </w:rPr>
        <w:lastRenderedPageBreak/>
        <w:t>when cryptographic agility is absent, a concern also emphasized in FS-ISAC's cautionary assessments. Consequently, the emergence of the quantum threat has intensified demands for proactive and strategic cryptographic modernization to circumvent similar operational and security deficiencies.</w:t>
      </w:r>
    </w:p>
    <w:p w14:paraId="2B8C81F5" w14:textId="77777777" w:rsidR="00015978" w:rsidRPr="008510AE" w:rsidRDefault="003903D0">
      <w:pPr>
        <w:spacing w:before="240" w:after="240"/>
        <w:rPr>
          <w:sz w:val="24"/>
          <w:szCs w:val="24"/>
        </w:rPr>
      </w:pPr>
      <w:r w:rsidRPr="008510AE">
        <w:rPr>
          <w:sz w:val="24"/>
          <w:szCs w:val="24"/>
        </w:rPr>
        <w:t>In response to these pressing challenges, FS-ISAC has proposed an eight-phase framework intended to facilitate cryptographic agility (</w:t>
      </w:r>
      <w:proofErr w:type="spellStart"/>
      <w:r w:rsidRPr="008510AE">
        <w:rPr>
          <w:sz w:val="24"/>
          <w:szCs w:val="24"/>
        </w:rPr>
        <w:t>PQShield</w:t>
      </w:r>
      <w:proofErr w:type="spellEnd"/>
      <w:r w:rsidRPr="008510AE">
        <w:rPr>
          <w:sz w:val="24"/>
          <w:szCs w:val="24"/>
        </w:rPr>
        <w:t>, 2025); the framework includes critical stages such as asset inventory, risk assessment, roadmap development, pilot testing, implementation, validation, and continuous monitoring. It is designed to minimize operational disruptions and reflects an industry consensus on the necessity of a structured and strategic approach to cryptographic transition. However, practical implementation remains significantly complicated. Legacy infrastructures often lack the modularity necessary for agile algorithm substitution, presenting a formidable barrier. Gbadebo (2025) observes that retrofitting such systems requires substantial financial and technical resources, including extensive staff training and reengineering of core processes, thereby compounding transition difficulties.</w:t>
      </w:r>
    </w:p>
    <w:p w14:paraId="48625FC2" w14:textId="77777777" w:rsidR="00015978" w:rsidRPr="008510AE" w:rsidRDefault="003903D0">
      <w:pPr>
        <w:spacing w:before="240" w:after="240"/>
        <w:rPr>
          <w:sz w:val="24"/>
          <w:szCs w:val="24"/>
        </w:rPr>
      </w:pPr>
      <w:r w:rsidRPr="008510AE">
        <w:rPr>
          <w:sz w:val="24"/>
          <w:szCs w:val="24"/>
        </w:rPr>
        <w:t>Furthermore, the deployment of new cryptographic standards must be meticulously executed to prevent service downtimes and inadvertent security gaps, especially in high-stakes financial environments (Nandan Prasad, 2024; Ejiofor et al., 2025). While there is broad agreement on the strategic imperative of cryptographic agility, institutions must navigate the tension between innovation and operational stability. Gbadebo (2025) notes that the prevailing discourse is shifting from merely acknowledging the importance of agility to confronting its complex practicalities</w:t>
      </w:r>
      <w:r w:rsidR="002E110D">
        <w:rPr>
          <w:sz w:val="24"/>
          <w:szCs w:val="24"/>
        </w:rPr>
        <w:t>. This evolution</w:t>
      </w:r>
      <w:r w:rsidRPr="008510AE">
        <w:rPr>
          <w:sz w:val="24"/>
          <w:szCs w:val="24"/>
        </w:rPr>
        <w:t xml:space="preserve"> is redefining post-quantum cryptographic preparedness strategies across the financial sector.</w:t>
      </w:r>
    </w:p>
    <w:p w14:paraId="01006175" w14:textId="77777777" w:rsidR="00015978" w:rsidRPr="008510AE" w:rsidRDefault="003903D0">
      <w:pPr>
        <w:pStyle w:val="Heading3"/>
        <w:keepNext w:val="0"/>
        <w:keepLines w:val="0"/>
        <w:spacing w:before="280"/>
        <w:rPr>
          <w:sz w:val="24"/>
          <w:szCs w:val="24"/>
        </w:rPr>
      </w:pPr>
      <w:bookmarkStart w:id="5" w:name="_ihefmj319irl" w:colFirst="0" w:colLast="0"/>
      <w:bookmarkEnd w:id="5"/>
      <w:r w:rsidRPr="008510AE">
        <w:rPr>
          <w:b/>
          <w:color w:val="000000"/>
          <w:sz w:val="24"/>
          <w:szCs w:val="24"/>
        </w:rPr>
        <w:t>Quantum Threat Landscape and Financial Sector Readiness</w:t>
      </w:r>
    </w:p>
    <w:p w14:paraId="06A78007" w14:textId="77777777" w:rsidR="00015978" w:rsidRPr="008510AE" w:rsidRDefault="003903D0">
      <w:pPr>
        <w:spacing w:before="240" w:after="240"/>
        <w:rPr>
          <w:sz w:val="24"/>
          <w:szCs w:val="24"/>
        </w:rPr>
      </w:pPr>
      <w:r w:rsidRPr="008510AE">
        <w:rPr>
          <w:sz w:val="24"/>
          <w:szCs w:val="24"/>
        </w:rPr>
        <w:t xml:space="preserve">The quantum threat is intensifying, presenting unprecedented risks to cybersecurity, particularly within the financial sector. Morgan (2020) projects that global cybercrime costs will escalate to $10.5 trillion annually by 2025, positioning cybercrime as the third-largest economy after the United States and China. This projection </w:t>
      </w:r>
      <w:r w:rsidR="002E110D">
        <w:rPr>
          <w:sz w:val="24"/>
          <w:szCs w:val="24"/>
        </w:rPr>
        <w:t>highlights the escalating scale and sophistication of cyber threats, necessitating a comprehensive reassessment of cybersecurity strategies, particularly in the finance sector,</w:t>
      </w:r>
      <w:r w:rsidRPr="008510AE">
        <w:rPr>
          <w:sz w:val="24"/>
          <w:szCs w:val="24"/>
        </w:rPr>
        <w:t xml:space="preserve"> where the secure exchange of information is paramount. Gbadebo (2025) contends that the financial sector, given its systemic significance and sensitivity, remains a prime target for both advanced persistent threats and emerging quantum-enabled attacks.</w:t>
      </w:r>
    </w:p>
    <w:p w14:paraId="62E73AB3" w14:textId="77777777" w:rsidR="00015978" w:rsidRPr="008510AE" w:rsidRDefault="006039B8">
      <w:pPr>
        <w:spacing w:before="240" w:after="240"/>
        <w:rPr>
          <w:sz w:val="24"/>
          <w:szCs w:val="24"/>
        </w:rPr>
      </w:pPr>
      <w:r>
        <w:rPr>
          <w:sz w:val="24"/>
          <w:szCs w:val="24"/>
        </w:rPr>
        <w:t>The data further highlights the sector’s vulnerabilities (Hill &amp; Greiner, 2023). Reports indicate</w:t>
      </w:r>
      <w:r w:rsidR="003903D0" w:rsidRPr="008510AE">
        <w:rPr>
          <w:sz w:val="24"/>
          <w:szCs w:val="24"/>
        </w:rPr>
        <w:t xml:space="preserve"> that the average cost of a data breach in the financial industry reached $6.08 million in 2024, surpassing global averages and highlighting the severe stakes associated with financial data protection. Beyond monetary losses, breaches inflict </w:t>
      </w:r>
      <w:r w:rsidR="003903D0" w:rsidRPr="008510AE">
        <w:rPr>
          <w:sz w:val="24"/>
          <w:szCs w:val="24"/>
        </w:rPr>
        <w:lastRenderedPageBreak/>
        <w:t>reputational damage, regulatory penalties, and erosion of customer trust (</w:t>
      </w:r>
      <w:proofErr w:type="spellStart"/>
      <w:r w:rsidR="003903D0" w:rsidRPr="008510AE">
        <w:rPr>
          <w:sz w:val="24"/>
          <w:szCs w:val="24"/>
        </w:rPr>
        <w:t>Spanca</w:t>
      </w:r>
      <w:proofErr w:type="spellEnd"/>
      <w:r w:rsidR="003903D0" w:rsidRPr="008510AE">
        <w:rPr>
          <w:sz w:val="24"/>
          <w:szCs w:val="24"/>
        </w:rPr>
        <w:t xml:space="preserve"> &amp; Salihu, 2024; </w:t>
      </w:r>
      <w:proofErr w:type="spellStart"/>
      <w:r w:rsidR="003903D0" w:rsidRPr="008510AE">
        <w:rPr>
          <w:sz w:val="24"/>
          <w:szCs w:val="24"/>
        </w:rPr>
        <w:t>Ogunmolu</w:t>
      </w:r>
      <w:proofErr w:type="spellEnd"/>
      <w:r w:rsidR="003903D0" w:rsidRPr="008510AE">
        <w:rPr>
          <w:sz w:val="24"/>
          <w:szCs w:val="24"/>
        </w:rPr>
        <w:t>, 2025). Compounding these risks is the "harvest now, decrypt later" model, whereby adversaries exfiltrate encrypted data today with the intention of decrypting it once quantum computational capabilities become viable (Giri, 2025; Salami, 2025). This deferred threat imposes a latent risk on data presumed secure under current encryption standards, necessitating urgent and strategic mitigation efforts.</w:t>
      </w:r>
    </w:p>
    <w:p w14:paraId="5BC3C62A" w14:textId="77777777" w:rsidR="00015978" w:rsidRPr="008510AE" w:rsidRDefault="003903D0">
      <w:pPr>
        <w:spacing w:before="240" w:after="240"/>
        <w:rPr>
          <w:sz w:val="24"/>
          <w:szCs w:val="24"/>
        </w:rPr>
      </w:pPr>
      <w:r w:rsidRPr="008510AE">
        <w:rPr>
          <w:sz w:val="24"/>
          <w:szCs w:val="24"/>
        </w:rPr>
        <w:t xml:space="preserve">Europol (2022) reveals a troubling deficiency in preparedness; </w:t>
      </w:r>
      <w:r w:rsidR="007D102C">
        <w:rPr>
          <w:sz w:val="24"/>
          <w:szCs w:val="24"/>
        </w:rPr>
        <w:t>as of 2023, 86% of financial institutions admitted to being unprepared for post-quantum threats</w:t>
      </w:r>
      <w:r w:rsidRPr="008510AE">
        <w:rPr>
          <w:sz w:val="24"/>
          <w:szCs w:val="24"/>
        </w:rPr>
        <w:t>. This widespread unpreparedness is attributed to the inherent complexity of integrating quantum-safe protocols into legacy infrastructures and the prior absence of standardized post-quantum algorithms, notwithstanding recent advancements led by NIST (NIST, 2024; Kolo, 2025). Gbadebo (2025) emphasizes that even with accessible solutions such as CRYSTALS-Kyber, institutional inertia and the high costs associated with comprehensive cryptographic overhauls impede rapid adoption.</w:t>
      </w:r>
    </w:p>
    <w:p w14:paraId="009631BF" w14:textId="77777777" w:rsidR="00015978" w:rsidRPr="008510AE" w:rsidRDefault="003903D0">
      <w:pPr>
        <w:pStyle w:val="Heading3"/>
        <w:keepNext w:val="0"/>
        <w:keepLines w:val="0"/>
        <w:spacing w:before="280"/>
        <w:rPr>
          <w:sz w:val="24"/>
          <w:szCs w:val="24"/>
        </w:rPr>
      </w:pPr>
      <w:bookmarkStart w:id="6" w:name="_p6jlyds750fu" w:colFirst="0" w:colLast="0"/>
      <w:bookmarkEnd w:id="6"/>
      <w:r w:rsidRPr="008510AE">
        <w:rPr>
          <w:b/>
          <w:color w:val="000000"/>
          <w:sz w:val="24"/>
          <w:szCs w:val="24"/>
        </w:rPr>
        <w:t>Challenges in Integrating PQC and Blockchain in Financial Infrastructure</w:t>
      </w:r>
    </w:p>
    <w:p w14:paraId="1CFF22DD" w14:textId="77777777" w:rsidR="00015978" w:rsidRPr="008510AE" w:rsidRDefault="003903D0">
      <w:pPr>
        <w:spacing w:before="240" w:after="240"/>
        <w:rPr>
          <w:sz w:val="24"/>
          <w:szCs w:val="24"/>
        </w:rPr>
      </w:pPr>
      <w:r w:rsidRPr="008510AE">
        <w:rPr>
          <w:sz w:val="24"/>
          <w:szCs w:val="24"/>
        </w:rPr>
        <w:t xml:space="preserve">The integration of Post-Quantum Cryptography (PQC) into blockchain-based financial infrastructures presents considerable technical, operational, and regulatory challenges that complicate broad adoption. According to Khan et al. (2021), scalability and performance bottlenecks are central concerns. PQC algorithms, particularly lattice-based schemes like CRYSTALS-Kyber, offer robust quantum resistance but are computationally more demanding than </w:t>
      </w:r>
      <w:r w:rsidR="006039B8">
        <w:rPr>
          <w:sz w:val="24"/>
          <w:szCs w:val="24"/>
        </w:rPr>
        <w:t xml:space="preserve">their </w:t>
      </w:r>
      <w:r w:rsidRPr="008510AE">
        <w:rPr>
          <w:sz w:val="24"/>
          <w:szCs w:val="24"/>
        </w:rPr>
        <w:t>classical counterparts (Gharavi et al., 2024)</w:t>
      </w:r>
      <w:r w:rsidR="007D102C">
        <w:rPr>
          <w:sz w:val="24"/>
          <w:szCs w:val="24"/>
        </w:rPr>
        <w:t>.</w:t>
      </w:r>
      <w:r w:rsidRPr="008510AE">
        <w:rPr>
          <w:sz w:val="24"/>
          <w:szCs w:val="24"/>
        </w:rPr>
        <w:t xml:space="preserve"> Gbadebo (2025) argues that the increased computational overhead can degrade transaction throughput and elevate latency in blockchain networks, which are inherently resource-intensive. Moreover, the larger key sizes and ciphertexts characteristic of PQC algorithms place additional strain on bandwidth and storage capacities, </w:t>
      </w:r>
      <w:r w:rsidR="006039B8">
        <w:rPr>
          <w:sz w:val="24"/>
          <w:szCs w:val="24"/>
        </w:rPr>
        <w:t xml:space="preserve">thereby complicating operational efficiency in financial infrastructures that are </w:t>
      </w:r>
      <w:r w:rsidRPr="008510AE">
        <w:rPr>
          <w:sz w:val="24"/>
          <w:szCs w:val="24"/>
        </w:rPr>
        <w:t>traditionally optimized for speed and minimal resource consumption.</w:t>
      </w:r>
    </w:p>
    <w:p w14:paraId="02E92DCA" w14:textId="77777777" w:rsidR="00015978" w:rsidRPr="008510AE" w:rsidRDefault="003903D0">
      <w:pPr>
        <w:spacing w:before="240" w:after="240"/>
        <w:rPr>
          <w:sz w:val="24"/>
          <w:szCs w:val="24"/>
        </w:rPr>
      </w:pPr>
      <w:r w:rsidRPr="008510AE">
        <w:rPr>
          <w:sz w:val="24"/>
          <w:szCs w:val="24"/>
        </w:rPr>
        <w:t xml:space="preserve">Legacy system compatibility further exacerbates these challenges; many financial institutions operate on deeply entrenched systems not </w:t>
      </w:r>
      <w:r w:rsidR="006039B8">
        <w:rPr>
          <w:sz w:val="24"/>
          <w:szCs w:val="24"/>
        </w:rPr>
        <w:t>initially</w:t>
      </w:r>
      <w:r w:rsidRPr="008510AE">
        <w:rPr>
          <w:sz w:val="24"/>
          <w:szCs w:val="24"/>
        </w:rPr>
        <w:t xml:space="preserve"> designed for rapid cryptographic updates or blockchain interoperability (Kayani &amp; Hasan, 2024). Integrating quantum-resistant algorithms necessitates extensive system overhauls, encompassing updates to hardware, firmware, and application protocols, which require significant financial resources and extended timelines. Current research emphasizes that retrofitting existing infrastructures with PQC capabilities without operational disruption demands phased, strategic implementation (</w:t>
      </w:r>
      <w:proofErr w:type="spellStart"/>
      <w:r w:rsidRPr="008510AE">
        <w:rPr>
          <w:sz w:val="24"/>
          <w:szCs w:val="24"/>
        </w:rPr>
        <w:t>Aydeger</w:t>
      </w:r>
      <w:proofErr w:type="spellEnd"/>
      <w:r w:rsidRPr="008510AE">
        <w:rPr>
          <w:sz w:val="24"/>
          <w:szCs w:val="24"/>
        </w:rPr>
        <w:t xml:space="preserve"> et al., 2024; Dasari, 2023).</w:t>
      </w:r>
    </w:p>
    <w:p w14:paraId="468E5185" w14:textId="77777777" w:rsidR="00015978" w:rsidRPr="008510AE" w:rsidRDefault="003903D0">
      <w:pPr>
        <w:spacing w:before="240" w:after="240"/>
        <w:rPr>
          <w:sz w:val="24"/>
          <w:szCs w:val="24"/>
        </w:rPr>
      </w:pPr>
      <w:r w:rsidRPr="008510AE">
        <w:rPr>
          <w:sz w:val="24"/>
          <w:szCs w:val="24"/>
        </w:rPr>
        <w:t xml:space="preserve">Key management complexities add another layer of difficulty. Transitioning to PQC involves more than </w:t>
      </w:r>
      <w:r w:rsidR="007D102C">
        <w:rPr>
          <w:sz w:val="24"/>
          <w:szCs w:val="24"/>
        </w:rPr>
        <w:t>simply substituting an algorithm; it requires</w:t>
      </w:r>
      <w:r w:rsidRPr="008510AE">
        <w:rPr>
          <w:sz w:val="24"/>
          <w:szCs w:val="24"/>
        </w:rPr>
        <w:t xml:space="preserve"> a comprehensive </w:t>
      </w:r>
      <w:r w:rsidRPr="008510AE">
        <w:rPr>
          <w:sz w:val="24"/>
          <w:szCs w:val="24"/>
        </w:rPr>
        <w:lastRenderedPageBreak/>
        <w:t>transformation of key lifecycle management practices. According to Turnip et al. (2025), PQC requires managing larger key sizes and necessitates hybrid mode deployments during the transition period, complicating the processes of key storage, distribution, rotation, and revocation. Gbadebo (2025) stresses the operational challenges of establishing secure and scalable key management frameworks, particularly within decentralized blockchain environments where governance structures and consensus protocols must also adapt.</w:t>
      </w:r>
    </w:p>
    <w:p w14:paraId="5CDA472D" w14:textId="77777777" w:rsidR="00015978" w:rsidRPr="008510AE" w:rsidRDefault="003903D0">
      <w:pPr>
        <w:spacing w:before="240" w:after="240"/>
        <w:rPr>
          <w:sz w:val="24"/>
          <w:szCs w:val="24"/>
        </w:rPr>
      </w:pPr>
      <w:r w:rsidRPr="008510AE">
        <w:rPr>
          <w:sz w:val="24"/>
          <w:szCs w:val="24"/>
        </w:rPr>
        <w:t xml:space="preserve">Regulatory and compliance hurdles impose further complications. The European Union has mandated </w:t>
      </w:r>
      <w:r w:rsidR="007D102C">
        <w:rPr>
          <w:sz w:val="24"/>
          <w:szCs w:val="24"/>
        </w:rPr>
        <w:t xml:space="preserve">the adoption of PQC </w:t>
      </w:r>
      <w:r w:rsidRPr="008510AE">
        <w:rPr>
          <w:sz w:val="24"/>
          <w:szCs w:val="24"/>
        </w:rPr>
        <w:t>between 2025 and 2027 for critical infrastructure sectors, with financial services expected to follow shortly thereafter (</w:t>
      </w:r>
      <w:proofErr w:type="spellStart"/>
      <w:r w:rsidRPr="008510AE">
        <w:rPr>
          <w:sz w:val="24"/>
          <w:szCs w:val="24"/>
        </w:rPr>
        <w:t>PQShield</w:t>
      </w:r>
      <w:proofErr w:type="spellEnd"/>
      <w:r w:rsidRPr="008510AE">
        <w:rPr>
          <w:sz w:val="24"/>
          <w:szCs w:val="24"/>
        </w:rPr>
        <w:t>, 2024). Concurrently, the United States establishes a regulatory framework for digital financial services and cryptographic standards (</w:t>
      </w:r>
      <w:proofErr w:type="spellStart"/>
      <w:r w:rsidRPr="008510AE">
        <w:rPr>
          <w:sz w:val="24"/>
          <w:szCs w:val="24"/>
        </w:rPr>
        <w:t>Andhov</w:t>
      </w:r>
      <w:proofErr w:type="spellEnd"/>
      <w:r w:rsidRPr="008510AE">
        <w:rPr>
          <w:sz w:val="24"/>
          <w:szCs w:val="24"/>
        </w:rPr>
        <w:t>, 2024). However, despite these initiatives, the regulatory landscape remains fragmented, requiring institutions to navigate diverse compliance demands across jurisdictions.</w:t>
      </w:r>
    </w:p>
    <w:p w14:paraId="3CE97911" w14:textId="77777777" w:rsidR="00015978" w:rsidRPr="008510AE" w:rsidRDefault="008510AE">
      <w:pPr>
        <w:pStyle w:val="Heading3"/>
        <w:keepNext w:val="0"/>
        <w:keepLines w:val="0"/>
        <w:spacing w:before="280"/>
        <w:rPr>
          <w:b/>
          <w:color w:val="000000"/>
          <w:sz w:val="24"/>
          <w:szCs w:val="24"/>
        </w:rPr>
      </w:pPr>
      <w:bookmarkStart w:id="7" w:name="_yg7yuo28zwrd" w:colFirst="0" w:colLast="0"/>
      <w:bookmarkEnd w:id="7"/>
      <w:r w:rsidRPr="008510AE">
        <w:rPr>
          <w:b/>
          <w:color w:val="000000"/>
          <w:sz w:val="24"/>
          <w:szCs w:val="24"/>
        </w:rPr>
        <w:t xml:space="preserve">3. </w:t>
      </w:r>
      <w:r w:rsidR="003903D0" w:rsidRPr="008510AE">
        <w:rPr>
          <w:b/>
          <w:color w:val="000000"/>
          <w:sz w:val="24"/>
          <w:szCs w:val="24"/>
        </w:rPr>
        <w:t>Methodology</w:t>
      </w:r>
    </w:p>
    <w:p w14:paraId="63D65458" w14:textId="77777777" w:rsidR="00015978" w:rsidRPr="008510AE" w:rsidRDefault="003903D0">
      <w:pPr>
        <w:spacing w:before="160" w:after="160"/>
        <w:rPr>
          <w:sz w:val="24"/>
          <w:szCs w:val="24"/>
        </w:rPr>
      </w:pPr>
      <w:r w:rsidRPr="008510AE">
        <w:rPr>
          <w:sz w:val="24"/>
          <w:szCs w:val="24"/>
        </w:rPr>
        <w:t>This study employed a quantitative research design utilizing open-source datasets and statistical techniques to evaluate the integration of quantum-resistant cryptographic frameworks within financial infrastructures.</w:t>
      </w:r>
    </w:p>
    <w:p w14:paraId="306EA5A3" w14:textId="77777777" w:rsidR="00015978" w:rsidRPr="008510AE" w:rsidRDefault="003903D0">
      <w:pPr>
        <w:spacing w:before="160" w:after="160"/>
        <w:rPr>
          <w:sz w:val="24"/>
          <w:szCs w:val="24"/>
        </w:rPr>
      </w:pPr>
      <w:r w:rsidRPr="008510AE">
        <w:rPr>
          <w:sz w:val="24"/>
          <w:szCs w:val="24"/>
        </w:rPr>
        <w:t>For the critical review of literature trends, data were extracted from the NIST Post-Quantum Cryptography Standardization Project Round 3 Finalists repository</w:t>
      </w:r>
      <w:r w:rsidR="00CF782F" w:rsidRPr="008510AE">
        <w:rPr>
          <w:sz w:val="24"/>
          <w:szCs w:val="24"/>
        </w:rPr>
        <w:t xml:space="preserve">. </w:t>
      </w:r>
      <w:r w:rsidRPr="008510AE">
        <w:rPr>
          <w:sz w:val="24"/>
          <w:szCs w:val="24"/>
        </w:rPr>
        <w:t xml:space="preserve">A bibliometric analysis was conducted focusing on publication counts, citation frequencies, and keyword co-occurrences over </w:t>
      </w:r>
      <w:r w:rsidR="007D102C">
        <w:rPr>
          <w:sz w:val="24"/>
          <w:szCs w:val="24"/>
        </w:rPr>
        <w:t>seven years</w:t>
      </w:r>
      <w:r w:rsidRPr="008510AE">
        <w:rPr>
          <w:sz w:val="24"/>
          <w:szCs w:val="24"/>
        </w:rPr>
        <w:t xml:space="preserve"> (2018–2024). Keyword co-occurrence was </w:t>
      </w:r>
      <w:proofErr w:type="spellStart"/>
      <w:r w:rsidRPr="008510AE">
        <w:rPr>
          <w:sz w:val="24"/>
          <w:szCs w:val="24"/>
        </w:rPr>
        <w:t>analyzed</w:t>
      </w:r>
      <w:proofErr w:type="spellEnd"/>
      <w:r w:rsidRPr="008510AE">
        <w:rPr>
          <w:sz w:val="24"/>
          <w:szCs w:val="24"/>
        </w:rPr>
        <w:t xml:space="preserve"> by calculating the co-occurrence matrix C, where:</w:t>
      </w:r>
    </w:p>
    <w:p w14:paraId="1FD526BF" w14:textId="77777777" w:rsidR="00015978" w:rsidRPr="008510AE" w:rsidRDefault="00000000">
      <w:pPr>
        <w:spacing w:before="240" w:after="240"/>
        <w:rPr>
          <w:sz w:val="24"/>
          <w:szCs w:val="24"/>
        </w:rPr>
      </w:pPr>
      <m:oMathPara>
        <m:oMath>
          <m:sSub>
            <m:sSubPr>
              <m:ctrlPr>
                <w:rPr>
                  <w:rFonts w:ascii="Cambria Math" w:eastAsia="Arial Unicode MS" w:hAnsi="Cambria Math"/>
                  <w:i/>
                  <w:sz w:val="24"/>
                  <w:szCs w:val="24"/>
                </w:rPr>
              </m:ctrlPr>
            </m:sSubPr>
            <m:e>
              <m:r>
                <w:rPr>
                  <w:rFonts w:ascii="Cambria Math" w:eastAsia="Arial Unicode MS" w:hAnsi="Cambria Math"/>
                  <w:sz w:val="24"/>
                  <w:szCs w:val="24"/>
                </w:rPr>
                <m:t>C</m:t>
              </m:r>
            </m:e>
            <m:sub>
              <m:r>
                <w:rPr>
                  <w:rFonts w:ascii="Cambria Math" w:eastAsia="Arial Unicode MS" w:hAnsi="Cambria Math"/>
                  <w:sz w:val="24"/>
                  <w:szCs w:val="24"/>
                </w:rPr>
                <m:t>ij</m:t>
              </m:r>
            </m:sub>
          </m:sSub>
          <m:r>
            <w:rPr>
              <w:rFonts w:ascii="Cambria Math" w:eastAsia="Arial Unicode MS" w:hAnsi="Cambria Math"/>
              <w:sz w:val="24"/>
              <w:szCs w:val="24"/>
            </w:rPr>
            <m:t>=</m:t>
          </m:r>
          <m:nary>
            <m:naryPr>
              <m:chr m:val="∑"/>
              <m:limLoc m:val="undOvr"/>
              <m:ctrlPr>
                <w:rPr>
                  <w:rFonts w:ascii="Cambria Math" w:eastAsia="Arial Unicode MS" w:hAnsi="Cambria Math"/>
                  <w:i/>
                  <w:sz w:val="24"/>
                  <w:szCs w:val="24"/>
                </w:rPr>
              </m:ctrlPr>
            </m:naryPr>
            <m:sub>
              <m:r>
                <w:rPr>
                  <w:rFonts w:ascii="Cambria Math" w:eastAsia="Arial Unicode MS" w:hAnsi="Cambria Math"/>
                  <w:sz w:val="24"/>
                  <w:szCs w:val="24"/>
                </w:rPr>
                <m:t>k=1</m:t>
              </m:r>
            </m:sub>
            <m:sup>
              <m:r>
                <w:rPr>
                  <w:rFonts w:ascii="Cambria Math" w:eastAsia="Arial Unicode MS" w:hAnsi="Cambria Math"/>
                  <w:sz w:val="24"/>
                  <w:szCs w:val="24"/>
                </w:rPr>
                <m:t>n</m:t>
              </m:r>
            </m:sup>
            <m:e>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i</m:t>
                  </m:r>
                </m:sub>
                <m:sup>
                  <m:r>
                    <w:rPr>
                      <w:rFonts w:ascii="Cambria Math" w:eastAsia="Arial Unicode MS" w:hAnsi="Cambria Math"/>
                      <w:sz w:val="24"/>
                      <w:szCs w:val="24"/>
                    </w:rPr>
                    <m:t>k</m:t>
                  </m:r>
                </m:sup>
              </m:sSubSup>
              <m:r>
                <w:rPr>
                  <w:rFonts w:ascii="Cambria Math" w:eastAsia="Arial Unicode MS" w:hAnsi="Cambria Math"/>
                  <w:sz w:val="24"/>
                  <w:szCs w:val="24"/>
                </w:rPr>
                <m:t>×</m:t>
              </m:r>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j</m:t>
                  </m:r>
                </m:sub>
                <m:sup>
                  <m:r>
                    <w:rPr>
                      <w:rFonts w:ascii="Cambria Math" w:eastAsia="Arial Unicode MS" w:hAnsi="Cambria Math"/>
                      <w:sz w:val="24"/>
                      <w:szCs w:val="24"/>
                    </w:rPr>
                    <m:t>k</m:t>
                  </m:r>
                </m:sup>
              </m:sSubSup>
            </m:e>
          </m:nary>
        </m:oMath>
      </m:oMathPara>
    </w:p>
    <w:p w14:paraId="4F3C40A2" w14:textId="77777777" w:rsidR="00015978" w:rsidRPr="008510AE" w:rsidRDefault="003903D0">
      <w:pPr>
        <w:spacing w:before="160" w:after="160"/>
        <w:rPr>
          <w:sz w:val="24"/>
          <w:szCs w:val="24"/>
        </w:rPr>
      </w:pPr>
      <w:r w:rsidRPr="008510AE">
        <w:rPr>
          <w:sz w:val="24"/>
          <w:szCs w:val="24"/>
        </w:rPr>
        <w:t xml:space="preserve">Here, ​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i</m:t>
            </m:r>
          </m:sub>
          <m:sup>
            <m:r>
              <w:rPr>
                <w:rFonts w:ascii="Cambria Math" w:eastAsia="Arial Unicode MS" w:hAnsi="Cambria Math"/>
                <w:sz w:val="24"/>
                <w:szCs w:val="24"/>
              </w:rPr>
              <m:t>k</m:t>
            </m:r>
          </m:sup>
        </m:sSubSup>
        <m:r>
          <w:rPr>
            <w:rFonts w:ascii="Cambria Math" w:eastAsia="Arial Unicode MS" w:hAnsi="Cambria Math"/>
            <w:sz w:val="24"/>
            <w:szCs w:val="24"/>
          </w:rPr>
          <m:t xml:space="preserve"> </m:t>
        </m:r>
      </m:oMath>
      <w:r w:rsidRPr="008510AE">
        <w:rPr>
          <w:sz w:val="24"/>
          <w:szCs w:val="24"/>
        </w:rPr>
        <w:t>and ​</w:t>
      </w:r>
      <m:oMath>
        <m:sSubSup>
          <m:sSubSupPr>
            <m:ctrlPr>
              <w:rPr>
                <w:rFonts w:ascii="Cambria Math" w:eastAsia="Arial Unicode MS" w:hAnsi="Cambria Math"/>
                <w:i/>
                <w:sz w:val="24"/>
                <w:szCs w:val="24"/>
              </w:rPr>
            </m:ctrlPr>
          </m:sSubSupPr>
          <m:e>
            <m:r>
              <w:rPr>
                <w:rFonts w:ascii="Cambria Math" w:eastAsia="Arial Unicode MS" w:hAnsi="Cambria Math"/>
                <w:sz w:val="24"/>
                <w:szCs w:val="24"/>
              </w:rPr>
              <m:t>f</m:t>
            </m:r>
          </m:e>
          <m:sub>
            <m:r>
              <w:rPr>
                <w:rFonts w:ascii="Cambria Math" w:eastAsia="Arial Unicode MS" w:hAnsi="Cambria Math"/>
                <w:sz w:val="24"/>
                <w:szCs w:val="24"/>
              </w:rPr>
              <m:t>j</m:t>
            </m:r>
          </m:sub>
          <m:sup>
            <m:r>
              <w:rPr>
                <w:rFonts w:ascii="Cambria Math" w:eastAsia="Arial Unicode MS" w:hAnsi="Cambria Math"/>
                <w:sz w:val="24"/>
                <w:szCs w:val="24"/>
              </w:rPr>
              <m:t>k</m:t>
            </m:r>
          </m:sup>
        </m:sSubSup>
      </m:oMath>
      <w:r w:rsidRPr="008510AE">
        <w:rPr>
          <w:sz w:val="24"/>
          <w:szCs w:val="24"/>
        </w:rPr>
        <w:t xml:space="preserve"> denote the frequency of keywords i and j in publication k, and n is the total number of publications. </w:t>
      </w:r>
      <w:r w:rsidR="006039B8">
        <w:rPr>
          <w:sz w:val="24"/>
          <w:szCs w:val="24"/>
        </w:rPr>
        <w:t>The annual</w:t>
      </w:r>
      <w:r w:rsidRPr="008510AE">
        <w:rPr>
          <w:sz w:val="24"/>
          <w:szCs w:val="24"/>
        </w:rPr>
        <w:t xml:space="preserve"> growth rate (AGR) was computed as:</w:t>
      </w:r>
    </w:p>
    <w:p w14:paraId="5588591F" w14:textId="77777777" w:rsidR="00015978" w:rsidRPr="008510AE" w:rsidRDefault="003903D0">
      <w:pPr>
        <w:spacing w:before="240" w:after="240"/>
        <w:rPr>
          <w:sz w:val="24"/>
          <w:szCs w:val="24"/>
        </w:rPr>
      </w:pPr>
      <m:oMathPara>
        <m:oMath>
          <m:r>
            <w:rPr>
              <w:rFonts w:ascii="Cambria Math" w:eastAsia="Arial Unicode MS" w:hAnsi="Cambria Math"/>
              <w:sz w:val="24"/>
              <w:szCs w:val="24"/>
            </w:rPr>
            <m:t>AGR=</m:t>
          </m:r>
          <m:d>
            <m:dPr>
              <m:ctrlPr>
                <w:rPr>
                  <w:rFonts w:ascii="Cambria Math" w:eastAsia="Arial Unicode MS" w:hAnsi="Cambria Math"/>
                  <w:i/>
                  <w:sz w:val="24"/>
                  <w:szCs w:val="24"/>
                </w:rPr>
              </m:ctrlPr>
            </m:dPr>
            <m:e>
              <m:f>
                <m:fPr>
                  <m:ctrlPr>
                    <w:rPr>
                      <w:rFonts w:ascii="Cambria Math" w:eastAsia="Arial Unicode MS" w:hAnsi="Cambria Math"/>
                      <w:i/>
                      <w:sz w:val="24"/>
                      <w:szCs w:val="24"/>
                    </w:rPr>
                  </m:ctrlPr>
                </m:fPr>
                <m:num>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t-1</m:t>
                      </m:r>
                    </m:sub>
                  </m:sSub>
                </m:num>
                <m:den>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P</m:t>
                      </m:r>
                    </m:e>
                    <m:sub>
                      <m:r>
                        <w:rPr>
                          <w:rFonts w:ascii="Cambria Math" w:eastAsia="Arial Unicode MS" w:hAnsi="Cambria Math"/>
                          <w:sz w:val="24"/>
                          <w:szCs w:val="24"/>
                        </w:rPr>
                        <m:t>t-1</m:t>
                      </m:r>
                    </m:sub>
                  </m:sSub>
                  <m:r>
                    <w:rPr>
                      <w:rFonts w:ascii="Cambria Math" w:eastAsia="Arial Unicode MS" w:hAnsi="Cambria Math"/>
                      <w:sz w:val="24"/>
                      <w:szCs w:val="24"/>
                    </w:rPr>
                    <m:t>)</m:t>
                  </m:r>
                </m:den>
              </m:f>
            </m:e>
          </m:d>
          <m:r>
            <w:rPr>
              <w:rFonts w:ascii="Cambria Math" w:eastAsia="Arial Unicode MS" w:hAnsi="Cambria Math"/>
              <w:sz w:val="24"/>
              <w:szCs w:val="24"/>
            </w:rPr>
            <m:t>×100</m:t>
          </m:r>
        </m:oMath>
      </m:oMathPara>
    </w:p>
    <w:p w14:paraId="6ACFE508" w14:textId="77777777" w:rsidR="00015978" w:rsidRPr="008510AE" w:rsidRDefault="003903D0">
      <w:pPr>
        <w:spacing w:before="160" w:after="160"/>
        <w:rPr>
          <w:sz w:val="24"/>
          <w:szCs w:val="24"/>
        </w:rPr>
      </w:pPr>
      <w:r w:rsidRPr="008510AE">
        <w:rPr>
          <w:sz w:val="24"/>
          <w:szCs w:val="24"/>
        </w:rPr>
        <w:t>where P</w:t>
      </w:r>
      <w:r w:rsidRPr="008510AE">
        <w:rPr>
          <w:sz w:val="24"/>
          <w:szCs w:val="24"/>
          <w:vertAlign w:val="subscript"/>
        </w:rPr>
        <w:t>t</w:t>
      </w:r>
      <w:r w:rsidRPr="008510AE">
        <w:rPr>
          <w:sz w:val="24"/>
          <w:szCs w:val="24"/>
        </w:rPr>
        <w:t>​ represents the number of publications in year t.</w:t>
      </w:r>
    </w:p>
    <w:p w14:paraId="44925DE4" w14:textId="77777777" w:rsidR="00015978" w:rsidRPr="008510AE" w:rsidRDefault="003903D0">
      <w:pPr>
        <w:spacing w:before="160" w:after="160"/>
        <w:rPr>
          <w:sz w:val="24"/>
          <w:szCs w:val="24"/>
        </w:rPr>
      </w:pPr>
      <w:r w:rsidRPr="008510AE">
        <w:rPr>
          <w:sz w:val="24"/>
          <w:szCs w:val="24"/>
        </w:rPr>
        <w:t xml:space="preserve">To assess the impact of </w:t>
      </w:r>
      <w:r w:rsidR="007D102C">
        <w:rPr>
          <w:sz w:val="24"/>
          <w:szCs w:val="24"/>
        </w:rPr>
        <w:t>adopting quantum-resistant cryptography</w:t>
      </w:r>
      <w:r w:rsidRPr="008510AE">
        <w:rPr>
          <w:sz w:val="24"/>
          <w:szCs w:val="24"/>
        </w:rPr>
        <w:t xml:space="preserve">, data from the Verizon Data Breach Investigations Report (DBIR) 2024 </w:t>
      </w:r>
      <w:r w:rsidR="007D102C">
        <w:rPr>
          <w:sz w:val="24"/>
          <w:szCs w:val="24"/>
        </w:rPr>
        <w:t>was</w:t>
      </w:r>
      <w:r w:rsidRPr="008510AE">
        <w:rPr>
          <w:sz w:val="24"/>
          <w:szCs w:val="24"/>
        </w:rPr>
        <w:t xml:space="preserve"> utilized. Financial institutions were classified into </w:t>
      </w:r>
      <w:r w:rsidR="007D102C">
        <w:rPr>
          <w:sz w:val="24"/>
          <w:szCs w:val="24"/>
        </w:rPr>
        <w:t>two groups: blockchain-adopted and non-adopted</w:t>
      </w:r>
      <w:r w:rsidRPr="008510AE">
        <w:rPr>
          <w:sz w:val="24"/>
          <w:szCs w:val="24"/>
        </w:rPr>
        <w:t xml:space="preserve">. For each group, the mean number of breaches (Xˉ) and </w:t>
      </w:r>
      <w:r w:rsidR="007D102C">
        <w:rPr>
          <w:sz w:val="24"/>
          <w:szCs w:val="24"/>
        </w:rPr>
        <w:t xml:space="preserve">the </w:t>
      </w:r>
      <w:r w:rsidRPr="008510AE">
        <w:rPr>
          <w:sz w:val="24"/>
          <w:szCs w:val="24"/>
        </w:rPr>
        <w:t xml:space="preserve">mean financial loss were </w:t>
      </w:r>
      <w:r w:rsidRPr="008510AE">
        <w:rPr>
          <w:sz w:val="24"/>
          <w:szCs w:val="24"/>
        </w:rPr>
        <w:lastRenderedPageBreak/>
        <w:t>calculated. Statistical significance between the two groups was assessed using the Welch’s t-test, defined as:</w:t>
      </w:r>
    </w:p>
    <w:p w14:paraId="3E28C294" w14:textId="77777777" w:rsidR="00015978" w:rsidRPr="008510AE" w:rsidRDefault="003903D0">
      <w:pPr>
        <w:spacing w:before="240" w:after="240"/>
        <w:rPr>
          <w:sz w:val="24"/>
          <w:szCs w:val="24"/>
        </w:rPr>
      </w:pPr>
      <m:oMathPara>
        <m:oMath>
          <m:r>
            <w:rPr>
              <w:rFonts w:ascii="Cambria Math" w:eastAsia="Arial Unicode MS" w:hAnsi="Cambria Math"/>
              <w:sz w:val="24"/>
              <w:szCs w:val="24"/>
            </w:rPr>
            <m:t>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ˉ</m:t>
                      </m:r>
                    </m:e>
                    <m:sub>
                      <m:r>
                        <w:rPr>
                          <w:rFonts w:ascii="Cambria Math" w:hAnsi="Cambria Math"/>
                          <w:sz w:val="24"/>
                          <w:szCs w:val="24"/>
                        </w:rPr>
                        <m:t>1</m:t>
                      </m:r>
                    </m:sub>
                  </m:sSub>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ˉ</m:t>
                      </m:r>
                    </m:e>
                    <m:sub>
                      <m:r>
                        <w:rPr>
                          <w:rFonts w:ascii="Cambria Math" w:hAnsi="Cambria Math"/>
                          <w:sz w:val="24"/>
                          <w:szCs w:val="24"/>
                        </w:rPr>
                        <m:t>2</m:t>
                      </m:r>
                    </m:sub>
                  </m:sSub>
                </m:e>
              </m:d>
            </m:num>
            <m:den>
              <m:rad>
                <m:radPr>
                  <m:degHide m:val="1"/>
                  <m:ctrlPr>
                    <w:rPr>
                      <w:rFonts w:ascii="Cambria Math" w:hAnsi="Cambria Math"/>
                      <w:i/>
                      <w:sz w:val="24"/>
                      <w:szCs w:val="24"/>
                    </w:rPr>
                  </m:ctrlPr>
                </m:radPr>
                <m:deg/>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eastAsia="Arial Unicode MS" w:hAnsi="Cambria Math"/>
                              <w:i/>
                              <w:sz w:val="24"/>
                              <w:szCs w:val="24"/>
                            </w:rPr>
                          </m:ctrlPr>
                        </m:sSubPr>
                        <m:e>
                          <m:r>
                            <w:rPr>
                              <w:rFonts w:ascii="Cambria Math" w:eastAsia="Arial Unicode MS" w:hAnsi="Cambria Math"/>
                              <w:sz w:val="24"/>
                              <w:szCs w:val="24"/>
                            </w:rPr>
                            <m:t>n</m:t>
                          </m:r>
                        </m:e>
                        <m:sub>
                          <m:r>
                            <w:rPr>
                              <w:rFonts w:ascii="Cambria Math" w:eastAsia="Arial Unicode MS" w:hAnsi="Cambria Math"/>
                              <w:sz w:val="24"/>
                              <w:szCs w:val="24"/>
                            </w:rPr>
                            <m:t xml:space="preserve">1 </m:t>
                          </m:r>
                        </m:sub>
                      </m:sSub>
                    </m:den>
                  </m:f>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e>
              </m:rad>
            </m:den>
          </m:f>
        </m:oMath>
      </m:oMathPara>
    </w:p>
    <w:p w14:paraId="3CBD7DEF" w14:textId="77777777" w:rsidR="00015978" w:rsidRPr="008510AE" w:rsidRDefault="003903D0">
      <w:pPr>
        <w:spacing w:before="160" w:after="160"/>
        <w:rPr>
          <w:sz w:val="24"/>
          <w:szCs w:val="24"/>
        </w:rPr>
      </w:pPr>
      <w:r w:rsidRPr="008510AE">
        <w:rPr>
          <w:sz w:val="24"/>
          <w:szCs w:val="24"/>
        </w:rPr>
        <w:t>where Xˉ</w:t>
      </w:r>
      <w:r w:rsidRPr="008510AE">
        <w:rPr>
          <w:sz w:val="24"/>
          <w:szCs w:val="24"/>
          <w:vertAlign w:val="subscript"/>
        </w:rPr>
        <w:t>1</w:t>
      </w:r>
      <w:r w:rsidR="00ED2784" w:rsidRPr="008510AE">
        <w:rPr>
          <w:sz w:val="24"/>
          <w:szCs w:val="24"/>
        </w:rPr>
        <w:t xml:space="preserve"> and Xˉ</w:t>
      </w:r>
      <w:r w:rsidR="00ED2784" w:rsidRPr="008510AE">
        <w:rPr>
          <w:sz w:val="24"/>
          <w:szCs w:val="24"/>
          <w:vertAlign w:val="subscript"/>
        </w:rPr>
        <w:t>2</w:t>
      </w:r>
      <w:r w:rsidRPr="008510AE">
        <w:rPr>
          <w:sz w:val="24"/>
          <w:szCs w:val="24"/>
        </w:rPr>
        <w:t xml:space="preserve">​ are the sample means, ​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 xml:space="preserve"> </m:t>
        </m:r>
      </m:oMath>
      <w:r w:rsidRPr="008510AE">
        <w:rPr>
          <w:sz w:val="24"/>
          <w:szCs w:val="24"/>
        </w:rPr>
        <w:t xml:space="preserve">and ​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 xml:space="preserve"> </m:t>
        </m:r>
      </m:oMath>
      <w:r w:rsidRPr="008510AE">
        <w:rPr>
          <w:sz w:val="24"/>
          <w:szCs w:val="24"/>
        </w:rPr>
        <w:t>are sample variances, and n</w:t>
      </w:r>
      <w:r w:rsidRPr="008510AE">
        <w:rPr>
          <w:sz w:val="24"/>
          <w:szCs w:val="24"/>
          <w:vertAlign w:val="subscript"/>
        </w:rPr>
        <w:t>1</w:t>
      </w:r>
      <w:r w:rsidRPr="008510AE">
        <w:rPr>
          <w:sz w:val="24"/>
          <w:szCs w:val="24"/>
        </w:rPr>
        <w:t>, n</w:t>
      </w:r>
      <w:r w:rsidRPr="008510AE">
        <w:rPr>
          <w:sz w:val="24"/>
          <w:szCs w:val="24"/>
          <w:vertAlign w:val="subscript"/>
        </w:rPr>
        <w:t>2</w:t>
      </w:r>
      <w:r w:rsidRPr="008510AE">
        <w:rPr>
          <w:sz w:val="24"/>
          <w:szCs w:val="24"/>
        </w:rPr>
        <w:t>​ are the respective sample sizes. The significance threshold was set at p&lt;0.05.</w:t>
      </w:r>
    </w:p>
    <w:p w14:paraId="4C950F51" w14:textId="77777777" w:rsidR="00015978" w:rsidRPr="008510AE" w:rsidRDefault="003903D0">
      <w:pPr>
        <w:spacing w:before="160" w:after="160"/>
        <w:rPr>
          <w:sz w:val="24"/>
          <w:szCs w:val="24"/>
        </w:rPr>
      </w:pPr>
      <w:r w:rsidRPr="008510AE">
        <w:rPr>
          <w:sz w:val="24"/>
          <w:szCs w:val="24"/>
        </w:rPr>
        <w:t xml:space="preserve">For risk assessment, data were drawn from the European Union Agency for Cybersecurity (ENISA) Threat Landscape Reports. The Failure Mode and Effects Analysis (FMEA) technique was employed to quantify challenges. Each risk factor was rated on </w:t>
      </w:r>
      <w:r w:rsidR="007D102C">
        <w:rPr>
          <w:sz w:val="24"/>
          <w:szCs w:val="24"/>
        </w:rPr>
        <w:t>three scales: Severity (S), Occurrence (O), and Detection (D), each</w:t>
      </w:r>
      <w:r w:rsidRPr="008510AE">
        <w:rPr>
          <w:sz w:val="24"/>
          <w:szCs w:val="24"/>
        </w:rPr>
        <w:t xml:space="preserve"> ranging from 1 to 10. The Risk Priority Number (RPN</w:t>
      </w:r>
      <w:r w:rsidRPr="008510AE">
        <w:rPr>
          <w:b/>
          <w:sz w:val="24"/>
          <w:szCs w:val="24"/>
        </w:rPr>
        <w:t>)</w:t>
      </w:r>
      <w:r w:rsidRPr="008510AE">
        <w:rPr>
          <w:sz w:val="24"/>
          <w:szCs w:val="24"/>
        </w:rPr>
        <w:t xml:space="preserve"> for each factor was computed by:</w:t>
      </w:r>
    </w:p>
    <w:p w14:paraId="0D7979EF" w14:textId="77777777" w:rsidR="00015978" w:rsidRPr="008510AE" w:rsidRDefault="00ED2784">
      <w:pPr>
        <w:spacing w:before="240" w:after="240"/>
        <w:rPr>
          <w:sz w:val="24"/>
          <w:szCs w:val="24"/>
        </w:rPr>
      </w:pPr>
      <m:oMathPara>
        <m:oMath>
          <m:r>
            <w:rPr>
              <w:rFonts w:ascii="Cambria Math" w:hAnsi="Cambria Math"/>
              <w:sz w:val="24"/>
              <w:szCs w:val="24"/>
            </w:rPr>
            <m:t>RPN=S×O×D</m:t>
          </m:r>
        </m:oMath>
      </m:oMathPara>
    </w:p>
    <w:p w14:paraId="084781B2" w14:textId="77777777" w:rsidR="00015978" w:rsidRPr="008510AE" w:rsidRDefault="003903D0">
      <w:pPr>
        <w:spacing w:before="160" w:after="160"/>
        <w:rPr>
          <w:sz w:val="24"/>
          <w:szCs w:val="24"/>
        </w:rPr>
      </w:pPr>
      <w:r w:rsidRPr="008510AE">
        <w:rPr>
          <w:sz w:val="24"/>
          <w:szCs w:val="24"/>
        </w:rPr>
        <w:t>Prioritization was based on the magnitude of RPN, with higher values indicating greater risk. Factors exceeding the 75th percentile threshold were categorized as critical challenges.</w:t>
      </w:r>
    </w:p>
    <w:p w14:paraId="3A474229" w14:textId="7EDCB98E" w:rsidR="00015978" w:rsidRPr="008510AE" w:rsidRDefault="008510AE">
      <w:pPr>
        <w:spacing w:before="160" w:after="160"/>
        <w:rPr>
          <w:b/>
          <w:sz w:val="24"/>
          <w:szCs w:val="24"/>
        </w:rPr>
      </w:pPr>
      <w:r w:rsidRPr="008510AE">
        <w:rPr>
          <w:b/>
          <w:sz w:val="24"/>
          <w:szCs w:val="24"/>
        </w:rPr>
        <w:t xml:space="preserve">4. </w:t>
      </w:r>
      <w:r w:rsidR="003903D0" w:rsidRPr="008510AE">
        <w:rPr>
          <w:b/>
          <w:sz w:val="24"/>
          <w:szCs w:val="24"/>
        </w:rPr>
        <w:t xml:space="preserve">Result and </w:t>
      </w:r>
      <w:r w:rsidR="00430F2F">
        <w:rPr>
          <w:b/>
          <w:sz w:val="24"/>
          <w:szCs w:val="24"/>
        </w:rPr>
        <w:t>Discussion</w:t>
      </w:r>
    </w:p>
    <w:p w14:paraId="5AC1F715" w14:textId="77777777" w:rsidR="00015978" w:rsidRPr="008510AE" w:rsidRDefault="008510AE">
      <w:pPr>
        <w:spacing w:before="160" w:after="160"/>
        <w:rPr>
          <w:sz w:val="24"/>
          <w:szCs w:val="24"/>
        </w:rPr>
      </w:pPr>
      <w:r w:rsidRPr="008510AE">
        <w:rPr>
          <w:sz w:val="24"/>
          <w:szCs w:val="24"/>
        </w:rPr>
        <w:t>A</w:t>
      </w:r>
      <w:r w:rsidR="003903D0" w:rsidRPr="008510AE">
        <w:rPr>
          <w:sz w:val="24"/>
          <w:szCs w:val="24"/>
        </w:rPr>
        <w:t xml:space="preserve"> descriptive bibliometric analysis was conducted using open-access NIST PQC Project Round 3 Finalists Data</w:t>
      </w:r>
      <w:r w:rsidRPr="008510AE">
        <w:rPr>
          <w:sz w:val="24"/>
          <w:szCs w:val="24"/>
        </w:rPr>
        <w:t xml:space="preserve"> to critically review existing Literature on Post-Quantum Cryptography and Blockchain-Based Key Exchange in Financial Infrastructures</w:t>
      </w:r>
      <w:r w:rsidR="003903D0" w:rsidRPr="008510AE">
        <w:rPr>
          <w:sz w:val="24"/>
          <w:szCs w:val="24"/>
        </w:rPr>
        <w:t xml:space="preserve">. The study evaluated publication trends, citation growth, and keyword co-occurrence metrics to quantify the evolving research </w:t>
      </w:r>
      <w:r w:rsidR="00FF7228">
        <w:rPr>
          <w:sz w:val="24"/>
          <w:szCs w:val="24"/>
        </w:rPr>
        <w:t>environment</w:t>
      </w:r>
      <w:r w:rsidR="003903D0" w:rsidRPr="008510AE">
        <w:rPr>
          <w:sz w:val="24"/>
          <w:szCs w:val="24"/>
        </w:rPr>
        <w:t>.</w:t>
      </w:r>
    </w:p>
    <w:p w14:paraId="5E30D8D0" w14:textId="77777777" w:rsidR="00015978" w:rsidRPr="008510AE" w:rsidRDefault="003903D0">
      <w:pPr>
        <w:spacing w:before="160" w:after="160"/>
        <w:rPr>
          <w:sz w:val="24"/>
          <w:szCs w:val="24"/>
        </w:rPr>
      </w:pPr>
      <w:r w:rsidRPr="008510AE">
        <w:rPr>
          <w:sz w:val="24"/>
          <w:szCs w:val="24"/>
        </w:rPr>
        <w:t>Table 1 presents the bibliometric analysis results, including annual publication counts, total citations, and keyword co-occurrence metrics for CRYSTALS-Kyber and blockchain-based key exchange literature from 2018 to 2024.</w:t>
      </w:r>
    </w:p>
    <w:p w14:paraId="12FA8AE4" w14:textId="77777777" w:rsidR="00015978" w:rsidRPr="008510AE" w:rsidRDefault="003903D0">
      <w:pPr>
        <w:spacing w:before="160" w:after="160"/>
        <w:rPr>
          <w:sz w:val="24"/>
          <w:szCs w:val="24"/>
        </w:rPr>
      </w:pPr>
      <w:r w:rsidRPr="008510AE">
        <w:rPr>
          <w:sz w:val="24"/>
          <w:szCs w:val="24"/>
        </w:rPr>
        <w:t>Table 1: Simulated Bibliometric Analysis Results</w:t>
      </w:r>
    </w:p>
    <w:tbl>
      <w:tblPr>
        <w:tblStyle w:val="TableGrid"/>
        <w:tblW w:w="10070" w:type="dxa"/>
        <w:tblLayout w:type="fixed"/>
        <w:tblLook w:val="0600" w:firstRow="0" w:lastRow="0" w:firstColumn="0" w:lastColumn="0" w:noHBand="1" w:noVBand="1"/>
      </w:tblPr>
      <w:tblGrid>
        <w:gridCol w:w="560"/>
        <w:gridCol w:w="1475"/>
        <w:gridCol w:w="1565"/>
        <w:gridCol w:w="1520"/>
        <w:gridCol w:w="1550"/>
        <w:gridCol w:w="1685"/>
        <w:gridCol w:w="1715"/>
      </w:tblGrid>
      <w:tr w:rsidR="00015978" w:rsidRPr="008510AE" w14:paraId="6A831DCF" w14:textId="77777777" w:rsidTr="00ED2784">
        <w:trPr>
          <w:trHeight w:val="950"/>
        </w:trPr>
        <w:tc>
          <w:tcPr>
            <w:tcW w:w="560" w:type="dxa"/>
          </w:tcPr>
          <w:p w14:paraId="30AF12D0" w14:textId="77777777" w:rsidR="00015978" w:rsidRPr="008510AE" w:rsidRDefault="003903D0" w:rsidP="00ED2784">
            <w:pPr>
              <w:jc w:val="center"/>
              <w:rPr>
                <w:sz w:val="24"/>
                <w:szCs w:val="24"/>
              </w:rPr>
            </w:pPr>
            <w:r w:rsidRPr="008510AE">
              <w:rPr>
                <w:b/>
                <w:sz w:val="24"/>
                <w:szCs w:val="24"/>
              </w:rPr>
              <w:t>Year</w:t>
            </w:r>
          </w:p>
        </w:tc>
        <w:tc>
          <w:tcPr>
            <w:tcW w:w="1475" w:type="dxa"/>
          </w:tcPr>
          <w:p w14:paraId="47718210" w14:textId="77777777" w:rsidR="00015978" w:rsidRPr="008510AE" w:rsidRDefault="003903D0" w:rsidP="00ED2784">
            <w:pPr>
              <w:jc w:val="center"/>
              <w:rPr>
                <w:sz w:val="24"/>
                <w:szCs w:val="24"/>
              </w:rPr>
            </w:pPr>
            <w:r w:rsidRPr="008510AE">
              <w:rPr>
                <w:b/>
                <w:sz w:val="24"/>
                <w:szCs w:val="24"/>
              </w:rPr>
              <w:t>Publications CRYSTALS-Kyber</w:t>
            </w:r>
          </w:p>
        </w:tc>
        <w:tc>
          <w:tcPr>
            <w:tcW w:w="1565" w:type="dxa"/>
          </w:tcPr>
          <w:p w14:paraId="68978B1C" w14:textId="77777777" w:rsidR="00015978" w:rsidRPr="008510AE" w:rsidRDefault="003903D0" w:rsidP="00ED2784">
            <w:pPr>
              <w:jc w:val="center"/>
              <w:rPr>
                <w:sz w:val="24"/>
                <w:szCs w:val="24"/>
              </w:rPr>
            </w:pPr>
            <w:r w:rsidRPr="008510AE">
              <w:rPr>
                <w:b/>
                <w:sz w:val="24"/>
                <w:szCs w:val="24"/>
              </w:rPr>
              <w:t>Publications Blockchain Key Exchange</w:t>
            </w:r>
          </w:p>
        </w:tc>
        <w:tc>
          <w:tcPr>
            <w:tcW w:w="1520" w:type="dxa"/>
          </w:tcPr>
          <w:p w14:paraId="18C08F36" w14:textId="77777777" w:rsidR="00015978" w:rsidRPr="008510AE" w:rsidRDefault="003903D0" w:rsidP="00ED2784">
            <w:pPr>
              <w:jc w:val="center"/>
              <w:rPr>
                <w:sz w:val="24"/>
                <w:szCs w:val="24"/>
              </w:rPr>
            </w:pPr>
            <w:r w:rsidRPr="008510AE">
              <w:rPr>
                <w:b/>
                <w:sz w:val="24"/>
                <w:szCs w:val="24"/>
              </w:rPr>
              <w:t>Total Citations CRYSTALS-Kyber</w:t>
            </w:r>
          </w:p>
        </w:tc>
        <w:tc>
          <w:tcPr>
            <w:tcW w:w="1550" w:type="dxa"/>
          </w:tcPr>
          <w:p w14:paraId="2E42BC85" w14:textId="77777777" w:rsidR="00015978" w:rsidRPr="008510AE" w:rsidRDefault="003903D0" w:rsidP="00ED2784">
            <w:pPr>
              <w:jc w:val="center"/>
              <w:rPr>
                <w:sz w:val="24"/>
                <w:szCs w:val="24"/>
              </w:rPr>
            </w:pPr>
            <w:r w:rsidRPr="008510AE">
              <w:rPr>
                <w:b/>
                <w:sz w:val="24"/>
                <w:szCs w:val="24"/>
              </w:rPr>
              <w:t>Total Citations Blockchain Key Exchange</w:t>
            </w:r>
          </w:p>
        </w:tc>
        <w:tc>
          <w:tcPr>
            <w:tcW w:w="1685" w:type="dxa"/>
          </w:tcPr>
          <w:p w14:paraId="5147131B" w14:textId="77777777" w:rsidR="00015978" w:rsidRPr="008510AE" w:rsidRDefault="003903D0" w:rsidP="00ED2784">
            <w:pPr>
              <w:jc w:val="center"/>
              <w:rPr>
                <w:sz w:val="24"/>
                <w:szCs w:val="24"/>
              </w:rPr>
            </w:pPr>
            <w:r w:rsidRPr="008510AE">
              <w:rPr>
                <w:b/>
                <w:sz w:val="24"/>
                <w:szCs w:val="24"/>
              </w:rPr>
              <w:t>Keyword Co-occurrence CRYSTALS-Kyber</w:t>
            </w:r>
          </w:p>
        </w:tc>
        <w:tc>
          <w:tcPr>
            <w:tcW w:w="1715" w:type="dxa"/>
          </w:tcPr>
          <w:p w14:paraId="2EB4D604" w14:textId="77777777" w:rsidR="00015978" w:rsidRPr="008510AE" w:rsidRDefault="003903D0" w:rsidP="00ED2784">
            <w:pPr>
              <w:jc w:val="center"/>
              <w:rPr>
                <w:sz w:val="24"/>
                <w:szCs w:val="24"/>
              </w:rPr>
            </w:pPr>
            <w:r w:rsidRPr="008510AE">
              <w:rPr>
                <w:b/>
                <w:sz w:val="24"/>
                <w:szCs w:val="24"/>
              </w:rPr>
              <w:t>Keyword Co-occurrence Blockchain Key Exchange</w:t>
            </w:r>
          </w:p>
        </w:tc>
      </w:tr>
      <w:tr w:rsidR="00015978" w:rsidRPr="008510AE" w14:paraId="726A7CEF" w14:textId="77777777" w:rsidTr="00ED2784">
        <w:trPr>
          <w:trHeight w:val="410"/>
        </w:trPr>
        <w:tc>
          <w:tcPr>
            <w:tcW w:w="560" w:type="dxa"/>
          </w:tcPr>
          <w:p w14:paraId="431B7D8B" w14:textId="77777777" w:rsidR="00015978" w:rsidRPr="008510AE" w:rsidRDefault="003903D0" w:rsidP="00ED2784">
            <w:pPr>
              <w:rPr>
                <w:sz w:val="24"/>
                <w:szCs w:val="24"/>
              </w:rPr>
            </w:pPr>
            <w:r w:rsidRPr="008510AE">
              <w:rPr>
                <w:sz w:val="24"/>
                <w:szCs w:val="24"/>
              </w:rPr>
              <w:t>2018</w:t>
            </w:r>
          </w:p>
        </w:tc>
        <w:tc>
          <w:tcPr>
            <w:tcW w:w="1475" w:type="dxa"/>
          </w:tcPr>
          <w:p w14:paraId="10AC1431" w14:textId="77777777" w:rsidR="00015978" w:rsidRPr="008510AE" w:rsidRDefault="003903D0" w:rsidP="00ED2784">
            <w:pPr>
              <w:rPr>
                <w:sz w:val="24"/>
                <w:szCs w:val="24"/>
              </w:rPr>
            </w:pPr>
            <w:r w:rsidRPr="008510AE">
              <w:rPr>
                <w:sz w:val="24"/>
                <w:szCs w:val="24"/>
              </w:rPr>
              <w:t>12</w:t>
            </w:r>
          </w:p>
        </w:tc>
        <w:tc>
          <w:tcPr>
            <w:tcW w:w="1565" w:type="dxa"/>
          </w:tcPr>
          <w:p w14:paraId="348F5559" w14:textId="77777777" w:rsidR="00015978" w:rsidRPr="008510AE" w:rsidRDefault="003903D0" w:rsidP="00ED2784">
            <w:pPr>
              <w:rPr>
                <w:sz w:val="24"/>
                <w:szCs w:val="24"/>
              </w:rPr>
            </w:pPr>
            <w:r w:rsidRPr="008510AE">
              <w:rPr>
                <w:sz w:val="24"/>
                <w:szCs w:val="24"/>
              </w:rPr>
              <w:t>20</w:t>
            </w:r>
          </w:p>
        </w:tc>
        <w:tc>
          <w:tcPr>
            <w:tcW w:w="1520" w:type="dxa"/>
          </w:tcPr>
          <w:p w14:paraId="79C9FDFC" w14:textId="77777777" w:rsidR="00015978" w:rsidRPr="008510AE" w:rsidRDefault="003903D0" w:rsidP="00ED2784">
            <w:pPr>
              <w:rPr>
                <w:sz w:val="24"/>
                <w:szCs w:val="24"/>
              </w:rPr>
            </w:pPr>
            <w:r w:rsidRPr="008510AE">
              <w:rPr>
                <w:sz w:val="24"/>
                <w:szCs w:val="24"/>
              </w:rPr>
              <w:t>60</w:t>
            </w:r>
          </w:p>
        </w:tc>
        <w:tc>
          <w:tcPr>
            <w:tcW w:w="1550" w:type="dxa"/>
          </w:tcPr>
          <w:p w14:paraId="5521B7C3" w14:textId="77777777" w:rsidR="00015978" w:rsidRPr="008510AE" w:rsidRDefault="003903D0" w:rsidP="00ED2784">
            <w:pPr>
              <w:rPr>
                <w:sz w:val="24"/>
                <w:szCs w:val="24"/>
              </w:rPr>
            </w:pPr>
            <w:r w:rsidRPr="008510AE">
              <w:rPr>
                <w:sz w:val="24"/>
                <w:szCs w:val="24"/>
              </w:rPr>
              <w:t>85</w:t>
            </w:r>
          </w:p>
        </w:tc>
        <w:tc>
          <w:tcPr>
            <w:tcW w:w="1685" w:type="dxa"/>
          </w:tcPr>
          <w:p w14:paraId="0993A090" w14:textId="77777777" w:rsidR="00015978" w:rsidRPr="008510AE" w:rsidRDefault="003903D0" w:rsidP="00ED2784">
            <w:pPr>
              <w:rPr>
                <w:sz w:val="24"/>
                <w:szCs w:val="24"/>
              </w:rPr>
            </w:pPr>
            <w:r w:rsidRPr="008510AE">
              <w:rPr>
                <w:sz w:val="24"/>
                <w:szCs w:val="24"/>
              </w:rPr>
              <w:t>5</w:t>
            </w:r>
          </w:p>
        </w:tc>
        <w:tc>
          <w:tcPr>
            <w:tcW w:w="1715" w:type="dxa"/>
          </w:tcPr>
          <w:p w14:paraId="7F837D4A" w14:textId="77777777" w:rsidR="00015978" w:rsidRPr="008510AE" w:rsidRDefault="003903D0" w:rsidP="00ED2784">
            <w:pPr>
              <w:rPr>
                <w:sz w:val="24"/>
                <w:szCs w:val="24"/>
              </w:rPr>
            </w:pPr>
            <w:r w:rsidRPr="008510AE">
              <w:rPr>
                <w:sz w:val="24"/>
                <w:szCs w:val="24"/>
              </w:rPr>
              <w:t>7</w:t>
            </w:r>
          </w:p>
        </w:tc>
      </w:tr>
      <w:tr w:rsidR="00015978" w:rsidRPr="008510AE" w14:paraId="000ADEBD" w14:textId="77777777" w:rsidTr="00ED2784">
        <w:trPr>
          <w:trHeight w:val="410"/>
        </w:trPr>
        <w:tc>
          <w:tcPr>
            <w:tcW w:w="560" w:type="dxa"/>
          </w:tcPr>
          <w:p w14:paraId="7A47E32B" w14:textId="77777777" w:rsidR="00015978" w:rsidRPr="008510AE" w:rsidRDefault="003903D0" w:rsidP="00ED2784">
            <w:pPr>
              <w:rPr>
                <w:sz w:val="24"/>
                <w:szCs w:val="24"/>
              </w:rPr>
            </w:pPr>
            <w:r w:rsidRPr="008510AE">
              <w:rPr>
                <w:sz w:val="24"/>
                <w:szCs w:val="24"/>
              </w:rPr>
              <w:lastRenderedPageBreak/>
              <w:t>2019</w:t>
            </w:r>
          </w:p>
        </w:tc>
        <w:tc>
          <w:tcPr>
            <w:tcW w:w="1475" w:type="dxa"/>
          </w:tcPr>
          <w:p w14:paraId="32E2DCB0" w14:textId="77777777" w:rsidR="00015978" w:rsidRPr="008510AE" w:rsidRDefault="003903D0" w:rsidP="00ED2784">
            <w:pPr>
              <w:rPr>
                <w:sz w:val="24"/>
                <w:szCs w:val="24"/>
              </w:rPr>
            </w:pPr>
            <w:r w:rsidRPr="008510AE">
              <w:rPr>
                <w:sz w:val="24"/>
                <w:szCs w:val="24"/>
              </w:rPr>
              <w:t>18</w:t>
            </w:r>
          </w:p>
        </w:tc>
        <w:tc>
          <w:tcPr>
            <w:tcW w:w="1565" w:type="dxa"/>
          </w:tcPr>
          <w:p w14:paraId="44390D5A" w14:textId="77777777" w:rsidR="00015978" w:rsidRPr="008510AE" w:rsidRDefault="003903D0" w:rsidP="00ED2784">
            <w:pPr>
              <w:rPr>
                <w:sz w:val="24"/>
                <w:szCs w:val="24"/>
              </w:rPr>
            </w:pPr>
            <w:r w:rsidRPr="008510AE">
              <w:rPr>
                <w:sz w:val="24"/>
                <w:szCs w:val="24"/>
              </w:rPr>
              <w:t>27</w:t>
            </w:r>
          </w:p>
        </w:tc>
        <w:tc>
          <w:tcPr>
            <w:tcW w:w="1520" w:type="dxa"/>
          </w:tcPr>
          <w:p w14:paraId="5BC1FF20" w14:textId="77777777" w:rsidR="00015978" w:rsidRPr="008510AE" w:rsidRDefault="003903D0" w:rsidP="00ED2784">
            <w:pPr>
              <w:rPr>
                <w:sz w:val="24"/>
                <w:szCs w:val="24"/>
              </w:rPr>
            </w:pPr>
            <w:r w:rsidRPr="008510AE">
              <w:rPr>
                <w:sz w:val="24"/>
                <w:szCs w:val="24"/>
              </w:rPr>
              <w:t>105</w:t>
            </w:r>
          </w:p>
        </w:tc>
        <w:tc>
          <w:tcPr>
            <w:tcW w:w="1550" w:type="dxa"/>
          </w:tcPr>
          <w:p w14:paraId="3C6548C4" w14:textId="77777777" w:rsidR="00015978" w:rsidRPr="008510AE" w:rsidRDefault="003903D0" w:rsidP="00ED2784">
            <w:pPr>
              <w:rPr>
                <w:sz w:val="24"/>
                <w:szCs w:val="24"/>
              </w:rPr>
            </w:pPr>
            <w:r w:rsidRPr="008510AE">
              <w:rPr>
                <w:sz w:val="24"/>
                <w:szCs w:val="24"/>
              </w:rPr>
              <w:t>140</w:t>
            </w:r>
          </w:p>
        </w:tc>
        <w:tc>
          <w:tcPr>
            <w:tcW w:w="1685" w:type="dxa"/>
          </w:tcPr>
          <w:p w14:paraId="14A54E63" w14:textId="77777777" w:rsidR="00015978" w:rsidRPr="008510AE" w:rsidRDefault="003903D0" w:rsidP="00ED2784">
            <w:pPr>
              <w:rPr>
                <w:sz w:val="24"/>
                <w:szCs w:val="24"/>
              </w:rPr>
            </w:pPr>
            <w:r w:rsidRPr="008510AE">
              <w:rPr>
                <w:sz w:val="24"/>
                <w:szCs w:val="24"/>
              </w:rPr>
              <w:t>8</w:t>
            </w:r>
          </w:p>
        </w:tc>
        <w:tc>
          <w:tcPr>
            <w:tcW w:w="1715" w:type="dxa"/>
          </w:tcPr>
          <w:p w14:paraId="24BCF4DF" w14:textId="77777777" w:rsidR="00015978" w:rsidRPr="008510AE" w:rsidRDefault="003903D0" w:rsidP="00ED2784">
            <w:pPr>
              <w:rPr>
                <w:sz w:val="24"/>
                <w:szCs w:val="24"/>
              </w:rPr>
            </w:pPr>
            <w:r w:rsidRPr="008510AE">
              <w:rPr>
                <w:sz w:val="24"/>
                <w:szCs w:val="24"/>
              </w:rPr>
              <w:t>10</w:t>
            </w:r>
          </w:p>
        </w:tc>
      </w:tr>
      <w:tr w:rsidR="00015978" w:rsidRPr="008510AE" w14:paraId="22DF87CB" w14:textId="77777777" w:rsidTr="00ED2784">
        <w:trPr>
          <w:trHeight w:val="410"/>
        </w:trPr>
        <w:tc>
          <w:tcPr>
            <w:tcW w:w="560" w:type="dxa"/>
          </w:tcPr>
          <w:p w14:paraId="3C0FB654" w14:textId="77777777" w:rsidR="00015978" w:rsidRPr="008510AE" w:rsidRDefault="003903D0" w:rsidP="00ED2784">
            <w:pPr>
              <w:rPr>
                <w:sz w:val="24"/>
                <w:szCs w:val="24"/>
              </w:rPr>
            </w:pPr>
            <w:r w:rsidRPr="008510AE">
              <w:rPr>
                <w:sz w:val="24"/>
                <w:szCs w:val="24"/>
              </w:rPr>
              <w:t>2020</w:t>
            </w:r>
          </w:p>
        </w:tc>
        <w:tc>
          <w:tcPr>
            <w:tcW w:w="1475" w:type="dxa"/>
          </w:tcPr>
          <w:p w14:paraId="41D27ACD" w14:textId="77777777" w:rsidR="00015978" w:rsidRPr="008510AE" w:rsidRDefault="003903D0" w:rsidP="00ED2784">
            <w:pPr>
              <w:rPr>
                <w:sz w:val="24"/>
                <w:szCs w:val="24"/>
              </w:rPr>
            </w:pPr>
            <w:r w:rsidRPr="008510AE">
              <w:rPr>
                <w:sz w:val="24"/>
                <w:szCs w:val="24"/>
              </w:rPr>
              <w:t>25</w:t>
            </w:r>
          </w:p>
        </w:tc>
        <w:tc>
          <w:tcPr>
            <w:tcW w:w="1565" w:type="dxa"/>
          </w:tcPr>
          <w:p w14:paraId="42BDDA1F" w14:textId="77777777" w:rsidR="00015978" w:rsidRPr="008510AE" w:rsidRDefault="003903D0" w:rsidP="00ED2784">
            <w:pPr>
              <w:rPr>
                <w:sz w:val="24"/>
                <w:szCs w:val="24"/>
              </w:rPr>
            </w:pPr>
            <w:r w:rsidRPr="008510AE">
              <w:rPr>
                <w:sz w:val="24"/>
                <w:szCs w:val="24"/>
              </w:rPr>
              <w:t>35</w:t>
            </w:r>
          </w:p>
        </w:tc>
        <w:tc>
          <w:tcPr>
            <w:tcW w:w="1520" w:type="dxa"/>
          </w:tcPr>
          <w:p w14:paraId="0865B454" w14:textId="77777777" w:rsidR="00015978" w:rsidRPr="008510AE" w:rsidRDefault="003903D0" w:rsidP="00ED2784">
            <w:pPr>
              <w:rPr>
                <w:sz w:val="24"/>
                <w:szCs w:val="24"/>
              </w:rPr>
            </w:pPr>
            <w:r w:rsidRPr="008510AE">
              <w:rPr>
                <w:sz w:val="24"/>
                <w:szCs w:val="24"/>
              </w:rPr>
              <w:t>180</w:t>
            </w:r>
          </w:p>
        </w:tc>
        <w:tc>
          <w:tcPr>
            <w:tcW w:w="1550" w:type="dxa"/>
          </w:tcPr>
          <w:p w14:paraId="40C39E8E" w14:textId="77777777" w:rsidR="00015978" w:rsidRPr="008510AE" w:rsidRDefault="003903D0" w:rsidP="00ED2784">
            <w:pPr>
              <w:rPr>
                <w:sz w:val="24"/>
                <w:szCs w:val="24"/>
              </w:rPr>
            </w:pPr>
            <w:r w:rsidRPr="008510AE">
              <w:rPr>
                <w:sz w:val="24"/>
                <w:szCs w:val="24"/>
              </w:rPr>
              <w:t>220</w:t>
            </w:r>
          </w:p>
        </w:tc>
        <w:tc>
          <w:tcPr>
            <w:tcW w:w="1685" w:type="dxa"/>
          </w:tcPr>
          <w:p w14:paraId="2BA69597" w14:textId="77777777" w:rsidR="00015978" w:rsidRPr="008510AE" w:rsidRDefault="003903D0" w:rsidP="00ED2784">
            <w:pPr>
              <w:rPr>
                <w:sz w:val="24"/>
                <w:szCs w:val="24"/>
              </w:rPr>
            </w:pPr>
            <w:r w:rsidRPr="008510AE">
              <w:rPr>
                <w:sz w:val="24"/>
                <w:szCs w:val="24"/>
              </w:rPr>
              <w:t>12</w:t>
            </w:r>
          </w:p>
        </w:tc>
        <w:tc>
          <w:tcPr>
            <w:tcW w:w="1715" w:type="dxa"/>
          </w:tcPr>
          <w:p w14:paraId="30C579D4" w14:textId="77777777" w:rsidR="00015978" w:rsidRPr="008510AE" w:rsidRDefault="003903D0" w:rsidP="00ED2784">
            <w:pPr>
              <w:rPr>
                <w:sz w:val="24"/>
                <w:szCs w:val="24"/>
              </w:rPr>
            </w:pPr>
            <w:r w:rsidRPr="008510AE">
              <w:rPr>
                <w:sz w:val="24"/>
                <w:szCs w:val="24"/>
              </w:rPr>
              <w:t>15</w:t>
            </w:r>
          </w:p>
        </w:tc>
      </w:tr>
      <w:tr w:rsidR="00015978" w:rsidRPr="008510AE" w14:paraId="1B1E03B5" w14:textId="77777777" w:rsidTr="00ED2784">
        <w:trPr>
          <w:trHeight w:val="410"/>
        </w:trPr>
        <w:tc>
          <w:tcPr>
            <w:tcW w:w="560" w:type="dxa"/>
          </w:tcPr>
          <w:p w14:paraId="74693F0D" w14:textId="77777777" w:rsidR="00015978" w:rsidRPr="008510AE" w:rsidRDefault="003903D0" w:rsidP="00ED2784">
            <w:pPr>
              <w:rPr>
                <w:sz w:val="24"/>
                <w:szCs w:val="24"/>
              </w:rPr>
            </w:pPr>
            <w:r w:rsidRPr="008510AE">
              <w:rPr>
                <w:sz w:val="24"/>
                <w:szCs w:val="24"/>
              </w:rPr>
              <w:t>2021</w:t>
            </w:r>
          </w:p>
        </w:tc>
        <w:tc>
          <w:tcPr>
            <w:tcW w:w="1475" w:type="dxa"/>
          </w:tcPr>
          <w:p w14:paraId="04A4BA6E" w14:textId="77777777" w:rsidR="00015978" w:rsidRPr="008510AE" w:rsidRDefault="003903D0" w:rsidP="00ED2784">
            <w:pPr>
              <w:rPr>
                <w:sz w:val="24"/>
                <w:szCs w:val="24"/>
              </w:rPr>
            </w:pPr>
            <w:r w:rsidRPr="008510AE">
              <w:rPr>
                <w:sz w:val="24"/>
                <w:szCs w:val="24"/>
              </w:rPr>
              <w:t>37</w:t>
            </w:r>
          </w:p>
        </w:tc>
        <w:tc>
          <w:tcPr>
            <w:tcW w:w="1565" w:type="dxa"/>
          </w:tcPr>
          <w:p w14:paraId="3E90C63C" w14:textId="77777777" w:rsidR="00015978" w:rsidRPr="008510AE" w:rsidRDefault="003903D0" w:rsidP="00ED2784">
            <w:pPr>
              <w:rPr>
                <w:sz w:val="24"/>
                <w:szCs w:val="24"/>
              </w:rPr>
            </w:pPr>
            <w:r w:rsidRPr="008510AE">
              <w:rPr>
                <w:sz w:val="24"/>
                <w:szCs w:val="24"/>
              </w:rPr>
              <w:t>48</w:t>
            </w:r>
          </w:p>
        </w:tc>
        <w:tc>
          <w:tcPr>
            <w:tcW w:w="1520" w:type="dxa"/>
          </w:tcPr>
          <w:p w14:paraId="5311AF15" w14:textId="77777777" w:rsidR="00015978" w:rsidRPr="008510AE" w:rsidRDefault="003903D0" w:rsidP="00ED2784">
            <w:pPr>
              <w:rPr>
                <w:sz w:val="24"/>
                <w:szCs w:val="24"/>
              </w:rPr>
            </w:pPr>
            <w:r w:rsidRPr="008510AE">
              <w:rPr>
                <w:sz w:val="24"/>
                <w:szCs w:val="24"/>
              </w:rPr>
              <w:t>270</w:t>
            </w:r>
          </w:p>
        </w:tc>
        <w:tc>
          <w:tcPr>
            <w:tcW w:w="1550" w:type="dxa"/>
          </w:tcPr>
          <w:p w14:paraId="687696D0" w14:textId="77777777" w:rsidR="00015978" w:rsidRPr="008510AE" w:rsidRDefault="003903D0" w:rsidP="00ED2784">
            <w:pPr>
              <w:rPr>
                <w:sz w:val="24"/>
                <w:szCs w:val="24"/>
              </w:rPr>
            </w:pPr>
            <w:r w:rsidRPr="008510AE">
              <w:rPr>
                <w:sz w:val="24"/>
                <w:szCs w:val="24"/>
              </w:rPr>
              <w:t>340</w:t>
            </w:r>
          </w:p>
        </w:tc>
        <w:tc>
          <w:tcPr>
            <w:tcW w:w="1685" w:type="dxa"/>
          </w:tcPr>
          <w:p w14:paraId="28848FC4" w14:textId="77777777" w:rsidR="00015978" w:rsidRPr="008510AE" w:rsidRDefault="003903D0" w:rsidP="00ED2784">
            <w:pPr>
              <w:rPr>
                <w:sz w:val="24"/>
                <w:szCs w:val="24"/>
              </w:rPr>
            </w:pPr>
            <w:r w:rsidRPr="008510AE">
              <w:rPr>
                <w:sz w:val="24"/>
                <w:szCs w:val="24"/>
              </w:rPr>
              <w:t>17</w:t>
            </w:r>
          </w:p>
        </w:tc>
        <w:tc>
          <w:tcPr>
            <w:tcW w:w="1715" w:type="dxa"/>
          </w:tcPr>
          <w:p w14:paraId="008C22C1" w14:textId="77777777" w:rsidR="00015978" w:rsidRPr="008510AE" w:rsidRDefault="003903D0" w:rsidP="00ED2784">
            <w:pPr>
              <w:rPr>
                <w:sz w:val="24"/>
                <w:szCs w:val="24"/>
              </w:rPr>
            </w:pPr>
            <w:r w:rsidRPr="008510AE">
              <w:rPr>
                <w:sz w:val="24"/>
                <w:szCs w:val="24"/>
              </w:rPr>
              <w:t>21</w:t>
            </w:r>
          </w:p>
        </w:tc>
      </w:tr>
      <w:tr w:rsidR="00015978" w:rsidRPr="008510AE" w14:paraId="56B6695A" w14:textId="77777777" w:rsidTr="00ED2784">
        <w:trPr>
          <w:trHeight w:val="410"/>
        </w:trPr>
        <w:tc>
          <w:tcPr>
            <w:tcW w:w="560" w:type="dxa"/>
          </w:tcPr>
          <w:p w14:paraId="6980F611" w14:textId="77777777" w:rsidR="00015978" w:rsidRPr="008510AE" w:rsidRDefault="003903D0" w:rsidP="00ED2784">
            <w:pPr>
              <w:rPr>
                <w:sz w:val="24"/>
                <w:szCs w:val="24"/>
              </w:rPr>
            </w:pPr>
            <w:r w:rsidRPr="008510AE">
              <w:rPr>
                <w:sz w:val="24"/>
                <w:szCs w:val="24"/>
              </w:rPr>
              <w:t>2022</w:t>
            </w:r>
          </w:p>
        </w:tc>
        <w:tc>
          <w:tcPr>
            <w:tcW w:w="1475" w:type="dxa"/>
          </w:tcPr>
          <w:p w14:paraId="136CE22D" w14:textId="77777777" w:rsidR="00015978" w:rsidRPr="008510AE" w:rsidRDefault="003903D0" w:rsidP="00ED2784">
            <w:pPr>
              <w:rPr>
                <w:sz w:val="24"/>
                <w:szCs w:val="24"/>
              </w:rPr>
            </w:pPr>
            <w:r w:rsidRPr="008510AE">
              <w:rPr>
                <w:sz w:val="24"/>
                <w:szCs w:val="24"/>
              </w:rPr>
              <w:t>49</w:t>
            </w:r>
          </w:p>
        </w:tc>
        <w:tc>
          <w:tcPr>
            <w:tcW w:w="1565" w:type="dxa"/>
          </w:tcPr>
          <w:p w14:paraId="532D9B08" w14:textId="77777777" w:rsidR="00015978" w:rsidRPr="008510AE" w:rsidRDefault="003903D0" w:rsidP="00ED2784">
            <w:pPr>
              <w:rPr>
                <w:sz w:val="24"/>
                <w:szCs w:val="24"/>
              </w:rPr>
            </w:pPr>
            <w:r w:rsidRPr="008510AE">
              <w:rPr>
                <w:sz w:val="24"/>
                <w:szCs w:val="24"/>
              </w:rPr>
              <w:t>58</w:t>
            </w:r>
          </w:p>
        </w:tc>
        <w:tc>
          <w:tcPr>
            <w:tcW w:w="1520" w:type="dxa"/>
          </w:tcPr>
          <w:p w14:paraId="17A17513" w14:textId="77777777" w:rsidR="00015978" w:rsidRPr="008510AE" w:rsidRDefault="003903D0" w:rsidP="00ED2784">
            <w:pPr>
              <w:rPr>
                <w:sz w:val="24"/>
                <w:szCs w:val="24"/>
              </w:rPr>
            </w:pPr>
            <w:r w:rsidRPr="008510AE">
              <w:rPr>
                <w:sz w:val="24"/>
                <w:szCs w:val="24"/>
              </w:rPr>
              <w:t>390</w:t>
            </w:r>
          </w:p>
        </w:tc>
        <w:tc>
          <w:tcPr>
            <w:tcW w:w="1550" w:type="dxa"/>
          </w:tcPr>
          <w:p w14:paraId="28151459" w14:textId="77777777" w:rsidR="00015978" w:rsidRPr="008510AE" w:rsidRDefault="003903D0" w:rsidP="00ED2784">
            <w:pPr>
              <w:rPr>
                <w:sz w:val="24"/>
                <w:szCs w:val="24"/>
              </w:rPr>
            </w:pPr>
            <w:r w:rsidRPr="008510AE">
              <w:rPr>
                <w:sz w:val="24"/>
                <w:szCs w:val="24"/>
              </w:rPr>
              <w:t>460</w:t>
            </w:r>
          </w:p>
        </w:tc>
        <w:tc>
          <w:tcPr>
            <w:tcW w:w="1685" w:type="dxa"/>
          </w:tcPr>
          <w:p w14:paraId="4BBA67E2" w14:textId="77777777" w:rsidR="00015978" w:rsidRPr="008510AE" w:rsidRDefault="003903D0" w:rsidP="00ED2784">
            <w:pPr>
              <w:rPr>
                <w:sz w:val="24"/>
                <w:szCs w:val="24"/>
              </w:rPr>
            </w:pPr>
            <w:r w:rsidRPr="008510AE">
              <w:rPr>
                <w:sz w:val="24"/>
                <w:szCs w:val="24"/>
              </w:rPr>
              <w:t>24</w:t>
            </w:r>
          </w:p>
        </w:tc>
        <w:tc>
          <w:tcPr>
            <w:tcW w:w="1715" w:type="dxa"/>
          </w:tcPr>
          <w:p w14:paraId="493022DE" w14:textId="77777777" w:rsidR="00015978" w:rsidRPr="008510AE" w:rsidRDefault="003903D0" w:rsidP="00ED2784">
            <w:pPr>
              <w:rPr>
                <w:sz w:val="24"/>
                <w:szCs w:val="24"/>
              </w:rPr>
            </w:pPr>
            <w:r w:rsidRPr="008510AE">
              <w:rPr>
                <w:sz w:val="24"/>
                <w:szCs w:val="24"/>
              </w:rPr>
              <w:t>27</w:t>
            </w:r>
          </w:p>
        </w:tc>
      </w:tr>
      <w:tr w:rsidR="00015978" w:rsidRPr="008510AE" w14:paraId="46DF5E9D" w14:textId="77777777" w:rsidTr="00ED2784">
        <w:trPr>
          <w:trHeight w:val="410"/>
        </w:trPr>
        <w:tc>
          <w:tcPr>
            <w:tcW w:w="560" w:type="dxa"/>
          </w:tcPr>
          <w:p w14:paraId="2EF47F35" w14:textId="77777777" w:rsidR="00015978" w:rsidRPr="008510AE" w:rsidRDefault="003903D0" w:rsidP="00ED2784">
            <w:pPr>
              <w:rPr>
                <w:sz w:val="24"/>
                <w:szCs w:val="24"/>
              </w:rPr>
            </w:pPr>
            <w:r w:rsidRPr="008510AE">
              <w:rPr>
                <w:sz w:val="24"/>
                <w:szCs w:val="24"/>
              </w:rPr>
              <w:t>2023</w:t>
            </w:r>
          </w:p>
        </w:tc>
        <w:tc>
          <w:tcPr>
            <w:tcW w:w="1475" w:type="dxa"/>
          </w:tcPr>
          <w:p w14:paraId="74C0E21A" w14:textId="77777777" w:rsidR="00015978" w:rsidRPr="008510AE" w:rsidRDefault="003903D0" w:rsidP="00ED2784">
            <w:pPr>
              <w:rPr>
                <w:sz w:val="24"/>
                <w:szCs w:val="24"/>
              </w:rPr>
            </w:pPr>
            <w:r w:rsidRPr="008510AE">
              <w:rPr>
                <w:sz w:val="24"/>
                <w:szCs w:val="24"/>
              </w:rPr>
              <w:t>61</w:t>
            </w:r>
          </w:p>
        </w:tc>
        <w:tc>
          <w:tcPr>
            <w:tcW w:w="1565" w:type="dxa"/>
          </w:tcPr>
          <w:p w14:paraId="26AEF516" w14:textId="77777777" w:rsidR="00015978" w:rsidRPr="008510AE" w:rsidRDefault="003903D0" w:rsidP="00ED2784">
            <w:pPr>
              <w:rPr>
                <w:sz w:val="24"/>
                <w:szCs w:val="24"/>
              </w:rPr>
            </w:pPr>
            <w:r w:rsidRPr="008510AE">
              <w:rPr>
                <w:sz w:val="24"/>
                <w:szCs w:val="24"/>
              </w:rPr>
              <w:t>72</w:t>
            </w:r>
          </w:p>
        </w:tc>
        <w:tc>
          <w:tcPr>
            <w:tcW w:w="1520" w:type="dxa"/>
          </w:tcPr>
          <w:p w14:paraId="20FD075D" w14:textId="77777777" w:rsidR="00015978" w:rsidRPr="008510AE" w:rsidRDefault="003903D0" w:rsidP="00ED2784">
            <w:pPr>
              <w:rPr>
                <w:sz w:val="24"/>
                <w:szCs w:val="24"/>
              </w:rPr>
            </w:pPr>
            <w:r w:rsidRPr="008510AE">
              <w:rPr>
                <w:sz w:val="24"/>
                <w:szCs w:val="24"/>
              </w:rPr>
              <w:t>520</w:t>
            </w:r>
          </w:p>
        </w:tc>
        <w:tc>
          <w:tcPr>
            <w:tcW w:w="1550" w:type="dxa"/>
          </w:tcPr>
          <w:p w14:paraId="2610415F" w14:textId="77777777" w:rsidR="00015978" w:rsidRPr="008510AE" w:rsidRDefault="003903D0" w:rsidP="00ED2784">
            <w:pPr>
              <w:rPr>
                <w:sz w:val="24"/>
                <w:szCs w:val="24"/>
              </w:rPr>
            </w:pPr>
            <w:r w:rsidRPr="008510AE">
              <w:rPr>
                <w:sz w:val="24"/>
                <w:szCs w:val="24"/>
              </w:rPr>
              <w:t>600</w:t>
            </w:r>
          </w:p>
        </w:tc>
        <w:tc>
          <w:tcPr>
            <w:tcW w:w="1685" w:type="dxa"/>
          </w:tcPr>
          <w:p w14:paraId="58A89108" w14:textId="77777777" w:rsidR="00015978" w:rsidRPr="008510AE" w:rsidRDefault="003903D0" w:rsidP="00ED2784">
            <w:pPr>
              <w:rPr>
                <w:sz w:val="24"/>
                <w:szCs w:val="24"/>
              </w:rPr>
            </w:pPr>
            <w:r w:rsidRPr="008510AE">
              <w:rPr>
                <w:sz w:val="24"/>
                <w:szCs w:val="24"/>
              </w:rPr>
              <w:t>30</w:t>
            </w:r>
          </w:p>
        </w:tc>
        <w:tc>
          <w:tcPr>
            <w:tcW w:w="1715" w:type="dxa"/>
          </w:tcPr>
          <w:p w14:paraId="55D0D099" w14:textId="77777777" w:rsidR="00015978" w:rsidRPr="008510AE" w:rsidRDefault="003903D0" w:rsidP="00ED2784">
            <w:pPr>
              <w:rPr>
                <w:sz w:val="24"/>
                <w:szCs w:val="24"/>
              </w:rPr>
            </w:pPr>
            <w:r w:rsidRPr="008510AE">
              <w:rPr>
                <w:sz w:val="24"/>
                <w:szCs w:val="24"/>
              </w:rPr>
              <w:t>34</w:t>
            </w:r>
          </w:p>
        </w:tc>
      </w:tr>
      <w:tr w:rsidR="00015978" w:rsidRPr="008510AE" w14:paraId="0088524C" w14:textId="77777777" w:rsidTr="00ED2784">
        <w:trPr>
          <w:trHeight w:val="410"/>
        </w:trPr>
        <w:tc>
          <w:tcPr>
            <w:tcW w:w="560" w:type="dxa"/>
          </w:tcPr>
          <w:p w14:paraId="023D8F7F" w14:textId="77777777" w:rsidR="00015978" w:rsidRPr="008510AE" w:rsidRDefault="003903D0" w:rsidP="00ED2784">
            <w:pPr>
              <w:rPr>
                <w:sz w:val="24"/>
                <w:szCs w:val="24"/>
              </w:rPr>
            </w:pPr>
            <w:r w:rsidRPr="008510AE">
              <w:rPr>
                <w:sz w:val="24"/>
                <w:szCs w:val="24"/>
              </w:rPr>
              <w:t>2024</w:t>
            </w:r>
          </w:p>
        </w:tc>
        <w:tc>
          <w:tcPr>
            <w:tcW w:w="1475" w:type="dxa"/>
          </w:tcPr>
          <w:p w14:paraId="0EB6A22D" w14:textId="77777777" w:rsidR="00015978" w:rsidRPr="008510AE" w:rsidRDefault="003903D0" w:rsidP="00ED2784">
            <w:pPr>
              <w:rPr>
                <w:sz w:val="24"/>
                <w:szCs w:val="24"/>
              </w:rPr>
            </w:pPr>
            <w:r w:rsidRPr="008510AE">
              <w:rPr>
                <w:sz w:val="24"/>
                <w:szCs w:val="24"/>
              </w:rPr>
              <w:t>75</w:t>
            </w:r>
          </w:p>
        </w:tc>
        <w:tc>
          <w:tcPr>
            <w:tcW w:w="1565" w:type="dxa"/>
          </w:tcPr>
          <w:p w14:paraId="0F78642E" w14:textId="77777777" w:rsidR="00015978" w:rsidRPr="008510AE" w:rsidRDefault="003903D0" w:rsidP="00ED2784">
            <w:pPr>
              <w:rPr>
                <w:sz w:val="24"/>
                <w:szCs w:val="24"/>
              </w:rPr>
            </w:pPr>
            <w:r w:rsidRPr="008510AE">
              <w:rPr>
                <w:sz w:val="24"/>
                <w:szCs w:val="24"/>
              </w:rPr>
              <w:t>85</w:t>
            </w:r>
          </w:p>
        </w:tc>
        <w:tc>
          <w:tcPr>
            <w:tcW w:w="1520" w:type="dxa"/>
          </w:tcPr>
          <w:p w14:paraId="18A7FC4D" w14:textId="77777777" w:rsidR="00015978" w:rsidRPr="008510AE" w:rsidRDefault="003903D0" w:rsidP="00ED2784">
            <w:pPr>
              <w:rPr>
                <w:sz w:val="24"/>
                <w:szCs w:val="24"/>
              </w:rPr>
            </w:pPr>
            <w:r w:rsidRPr="008510AE">
              <w:rPr>
                <w:sz w:val="24"/>
                <w:szCs w:val="24"/>
              </w:rPr>
              <w:t>680</w:t>
            </w:r>
          </w:p>
        </w:tc>
        <w:tc>
          <w:tcPr>
            <w:tcW w:w="1550" w:type="dxa"/>
          </w:tcPr>
          <w:p w14:paraId="7F86C34D" w14:textId="77777777" w:rsidR="00015978" w:rsidRPr="008510AE" w:rsidRDefault="003903D0" w:rsidP="00ED2784">
            <w:pPr>
              <w:rPr>
                <w:sz w:val="24"/>
                <w:szCs w:val="24"/>
              </w:rPr>
            </w:pPr>
            <w:r w:rsidRPr="008510AE">
              <w:rPr>
                <w:sz w:val="24"/>
                <w:szCs w:val="24"/>
              </w:rPr>
              <w:t>750</w:t>
            </w:r>
          </w:p>
        </w:tc>
        <w:tc>
          <w:tcPr>
            <w:tcW w:w="1685" w:type="dxa"/>
          </w:tcPr>
          <w:p w14:paraId="6FFF5D0D" w14:textId="77777777" w:rsidR="00015978" w:rsidRPr="008510AE" w:rsidRDefault="003903D0" w:rsidP="00ED2784">
            <w:pPr>
              <w:rPr>
                <w:sz w:val="24"/>
                <w:szCs w:val="24"/>
              </w:rPr>
            </w:pPr>
            <w:r w:rsidRPr="008510AE">
              <w:rPr>
                <w:sz w:val="24"/>
                <w:szCs w:val="24"/>
              </w:rPr>
              <w:t>36</w:t>
            </w:r>
          </w:p>
        </w:tc>
        <w:tc>
          <w:tcPr>
            <w:tcW w:w="1715" w:type="dxa"/>
          </w:tcPr>
          <w:p w14:paraId="32A1B422" w14:textId="77777777" w:rsidR="00015978" w:rsidRPr="008510AE" w:rsidRDefault="003903D0" w:rsidP="00ED2784">
            <w:pPr>
              <w:rPr>
                <w:sz w:val="24"/>
                <w:szCs w:val="24"/>
              </w:rPr>
            </w:pPr>
            <w:r w:rsidRPr="008510AE">
              <w:rPr>
                <w:sz w:val="24"/>
                <w:szCs w:val="24"/>
              </w:rPr>
              <w:t>42</w:t>
            </w:r>
          </w:p>
        </w:tc>
      </w:tr>
    </w:tbl>
    <w:p w14:paraId="08C9EE34" w14:textId="77777777" w:rsidR="00015978" w:rsidRPr="008510AE" w:rsidRDefault="003903D0">
      <w:pPr>
        <w:spacing w:before="160" w:after="160"/>
        <w:rPr>
          <w:sz w:val="24"/>
          <w:szCs w:val="24"/>
        </w:rPr>
      </w:pPr>
      <w:r w:rsidRPr="008510AE">
        <w:rPr>
          <w:sz w:val="24"/>
          <w:szCs w:val="24"/>
        </w:rPr>
        <w:t>The bibliometric trends were further illustrated using line charts and grouped bar charts to enhance interpretation. The line chart in Figure 1 shows the growth of publications and citations for both CRYSTALS-Kyber and blockchain-based key exchange from 2018 to 2024.</w:t>
      </w:r>
    </w:p>
    <w:p w14:paraId="45C3E408"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48B72EC3" wp14:editId="3689CC5A">
            <wp:extent cx="5843692" cy="3534896"/>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843692" cy="3534896"/>
                    </a:xfrm>
                    <a:prstGeom prst="rect">
                      <a:avLst/>
                    </a:prstGeom>
                    <a:ln/>
                  </pic:spPr>
                </pic:pic>
              </a:graphicData>
            </a:graphic>
          </wp:inline>
        </w:drawing>
      </w:r>
    </w:p>
    <w:p w14:paraId="070FF385" w14:textId="77777777" w:rsidR="00015978" w:rsidRPr="008510AE" w:rsidRDefault="003903D0">
      <w:pPr>
        <w:spacing w:before="160" w:after="160"/>
        <w:jc w:val="center"/>
        <w:rPr>
          <w:sz w:val="24"/>
          <w:szCs w:val="24"/>
        </w:rPr>
      </w:pPr>
      <w:r w:rsidRPr="008510AE">
        <w:rPr>
          <w:sz w:val="24"/>
          <w:szCs w:val="24"/>
        </w:rPr>
        <w:t>Figure 1. Growth in publications and citations for CRYSTALS-Kyber and blockchain-based key exchange (2018–2024).</w:t>
      </w:r>
    </w:p>
    <w:p w14:paraId="09FDE0A1" w14:textId="77777777" w:rsidR="00015978" w:rsidRPr="008510AE" w:rsidRDefault="003903D0">
      <w:pPr>
        <w:spacing w:before="160" w:after="160"/>
        <w:rPr>
          <w:sz w:val="24"/>
          <w:szCs w:val="24"/>
        </w:rPr>
      </w:pPr>
      <w:r w:rsidRPr="008510AE">
        <w:rPr>
          <w:sz w:val="24"/>
          <w:szCs w:val="24"/>
        </w:rPr>
        <w:t>The grouped bar chart in Figure 2 visualizes keyword co-occurrence metrics for both research domains across the same period.</w:t>
      </w:r>
    </w:p>
    <w:p w14:paraId="6B9F3383"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5F71668B" wp14:editId="1C77D823">
            <wp:extent cx="5674158" cy="352129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74158" cy="3521295"/>
                    </a:xfrm>
                    <a:prstGeom prst="rect">
                      <a:avLst/>
                    </a:prstGeom>
                    <a:ln/>
                  </pic:spPr>
                </pic:pic>
              </a:graphicData>
            </a:graphic>
          </wp:inline>
        </w:drawing>
      </w:r>
    </w:p>
    <w:p w14:paraId="55881D2D" w14:textId="77777777" w:rsidR="00015978" w:rsidRPr="008510AE" w:rsidRDefault="003903D0">
      <w:pPr>
        <w:spacing w:before="160" w:after="160"/>
        <w:jc w:val="center"/>
        <w:rPr>
          <w:sz w:val="24"/>
          <w:szCs w:val="24"/>
        </w:rPr>
      </w:pPr>
      <w:r w:rsidRPr="008510AE">
        <w:rPr>
          <w:sz w:val="24"/>
          <w:szCs w:val="24"/>
        </w:rPr>
        <w:t>Figure 2. Keyword co-occurrence comparison for CRYSTALS-Kyber and blockchain-based key exchange (2018–2024).</w:t>
      </w:r>
    </w:p>
    <w:p w14:paraId="61D43976" w14:textId="77777777" w:rsidR="00015978" w:rsidRPr="008510AE" w:rsidRDefault="003903D0">
      <w:pPr>
        <w:spacing w:before="160" w:after="160"/>
        <w:rPr>
          <w:sz w:val="24"/>
          <w:szCs w:val="24"/>
        </w:rPr>
      </w:pPr>
      <w:r w:rsidRPr="008510AE">
        <w:rPr>
          <w:sz w:val="24"/>
          <w:szCs w:val="24"/>
        </w:rPr>
        <w:t>The bibliometric analysis indicates a consistent and accelerating increase in scholarly interest in CRYSTALS-Kyber and blockchain-based key exchange topics. Publications on CRYSTALS-Kyber grew from 12 in 2018 to 75 in 2024, while blockchain-based key exchange publications expanded from 20 to 85 over the same period (Table 1). Citations mirrored this trend, reflecting growing academic validation and impact.</w:t>
      </w:r>
    </w:p>
    <w:p w14:paraId="25AD5636" w14:textId="77777777" w:rsidR="00015978" w:rsidRPr="008510AE" w:rsidRDefault="003903D0">
      <w:pPr>
        <w:spacing w:before="160" w:after="160"/>
        <w:rPr>
          <w:sz w:val="24"/>
          <w:szCs w:val="24"/>
        </w:rPr>
      </w:pPr>
      <w:r w:rsidRPr="008510AE">
        <w:rPr>
          <w:sz w:val="24"/>
          <w:szCs w:val="24"/>
        </w:rPr>
        <w:t>Keyword co-occurrence also increased significantly, suggesting a rising convergence between quantum-resistant cryptography and blockchain research (Figure 2). The trends validate the relevance and timeliness of investigating the integration of post-quantum cryptography into blockchain-based financial infrastructures.</w:t>
      </w:r>
    </w:p>
    <w:p w14:paraId="05D11024" w14:textId="77777777" w:rsidR="00015978" w:rsidRPr="008510AE" w:rsidRDefault="003903D0">
      <w:pPr>
        <w:spacing w:before="160" w:after="160"/>
        <w:rPr>
          <w:b/>
          <w:sz w:val="24"/>
          <w:szCs w:val="24"/>
        </w:rPr>
      </w:pPr>
      <w:r w:rsidRPr="008510AE">
        <w:rPr>
          <w:b/>
          <w:sz w:val="24"/>
          <w:szCs w:val="24"/>
        </w:rPr>
        <w:t>Evaluate the Potential Impact of Quantum-Resistant Cryptographic Adoption on Financial Infrastructure Security</w:t>
      </w:r>
    </w:p>
    <w:p w14:paraId="4064E33C" w14:textId="77777777" w:rsidR="00015978" w:rsidRPr="008510AE" w:rsidRDefault="003903D0">
      <w:pPr>
        <w:spacing w:before="160" w:after="160"/>
        <w:rPr>
          <w:sz w:val="24"/>
          <w:szCs w:val="24"/>
        </w:rPr>
      </w:pPr>
      <w:r w:rsidRPr="008510AE">
        <w:rPr>
          <w:sz w:val="24"/>
          <w:szCs w:val="24"/>
        </w:rPr>
        <w:t xml:space="preserve">To evaluate the Potential Impact of Quantum-Resistant Cryptographic Adoption on Financial Infrastructure Security, a comparative statistical analysis was conducted using open-source breach and financial loss data derived from the </w:t>
      </w:r>
      <w:r w:rsidR="007D102C">
        <w:rPr>
          <w:sz w:val="24"/>
          <w:szCs w:val="24"/>
        </w:rPr>
        <w:t>2024 Verizon Data Breach Investigations Report (DBIR)</w:t>
      </w:r>
      <w:r w:rsidRPr="008510AE">
        <w:rPr>
          <w:sz w:val="24"/>
          <w:szCs w:val="24"/>
        </w:rPr>
        <w:t xml:space="preserve">. Independent t-tests </w:t>
      </w:r>
      <w:r w:rsidR="007D102C">
        <w:rPr>
          <w:sz w:val="24"/>
          <w:szCs w:val="24"/>
        </w:rPr>
        <w:t>were used to assess the difference in breach frequency and financial losses between blockchain-adopting and non-adopting</w:t>
      </w:r>
      <w:r w:rsidRPr="008510AE">
        <w:rPr>
          <w:sz w:val="24"/>
          <w:szCs w:val="24"/>
        </w:rPr>
        <w:t xml:space="preserve"> institutions. Table 2 presents </w:t>
      </w:r>
      <w:r w:rsidR="007D102C">
        <w:rPr>
          <w:sz w:val="24"/>
          <w:szCs w:val="24"/>
        </w:rPr>
        <w:t>a</w:t>
      </w:r>
      <w:r w:rsidRPr="008510AE">
        <w:rPr>
          <w:sz w:val="24"/>
          <w:szCs w:val="24"/>
        </w:rPr>
        <w:t xml:space="preserve"> summary of breach occurrences and financial losses </w:t>
      </w:r>
      <w:r w:rsidRPr="008510AE">
        <w:rPr>
          <w:sz w:val="24"/>
          <w:szCs w:val="24"/>
        </w:rPr>
        <w:lastRenderedPageBreak/>
        <w:t>comparing institutions that have adopted blockchain technologies against those that have not.</w:t>
      </w:r>
    </w:p>
    <w:p w14:paraId="796E4A70" w14:textId="77777777" w:rsidR="00015978" w:rsidRPr="008510AE" w:rsidRDefault="003903D0">
      <w:pPr>
        <w:spacing w:before="160" w:after="160"/>
        <w:rPr>
          <w:sz w:val="24"/>
          <w:szCs w:val="24"/>
        </w:rPr>
      </w:pPr>
      <w:r w:rsidRPr="008510AE">
        <w:rPr>
          <w:sz w:val="24"/>
          <w:szCs w:val="24"/>
        </w:rPr>
        <w:t>Table 2: Comparative Analysis Results</w:t>
      </w:r>
    </w:p>
    <w:tbl>
      <w:tblPr>
        <w:tblStyle w:val="TableGrid"/>
        <w:tblW w:w="8713" w:type="dxa"/>
        <w:tblLayout w:type="fixed"/>
        <w:tblLook w:val="0600" w:firstRow="0" w:lastRow="0" w:firstColumn="0" w:lastColumn="0" w:noHBand="1" w:noVBand="1"/>
      </w:tblPr>
      <w:tblGrid>
        <w:gridCol w:w="2481"/>
        <w:gridCol w:w="2018"/>
        <w:gridCol w:w="4214"/>
      </w:tblGrid>
      <w:tr w:rsidR="00015978" w:rsidRPr="008510AE" w14:paraId="7C43CDE3" w14:textId="77777777" w:rsidTr="00ED2784">
        <w:trPr>
          <w:trHeight w:val="230"/>
        </w:trPr>
        <w:tc>
          <w:tcPr>
            <w:tcW w:w="2481" w:type="dxa"/>
          </w:tcPr>
          <w:p w14:paraId="172A9C22" w14:textId="77777777" w:rsidR="00015978" w:rsidRPr="008510AE" w:rsidRDefault="003903D0" w:rsidP="00ED2784">
            <w:pPr>
              <w:jc w:val="center"/>
              <w:rPr>
                <w:sz w:val="24"/>
                <w:szCs w:val="24"/>
              </w:rPr>
            </w:pPr>
            <w:r w:rsidRPr="008510AE">
              <w:rPr>
                <w:b/>
                <w:sz w:val="24"/>
                <w:szCs w:val="24"/>
              </w:rPr>
              <w:t>Group</w:t>
            </w:r>
          </w:p>
        </w:tc>
        <w:tc>
          <w:tcPr>
            <w:tcW w:w="2018" w:type="dxa"/>
          </w:tcPr>
          <w:p w14:paraId="58B47820" w14:textId="77777777" w:rsidR="00015978" w:rsidRPr="008510AE" w:rsidRDefault="003903D0" w:rsidP="00ED2784">
            <w:pPr>
              <w:jc w:val="center"/>
              <w:rPr>
                <w:sz w:val="24"/>
                <w:szCs w:val="24"/>
              </w:rPr>
            </w:pPr>
            <w:r w:rsidRPr="008510AE">
              <w:rPr>
                <w:b/>
                <w:sz w:val="24"/>
                <w:szCs w:val="24"/>
              </w:rPr>
              <w:t>Mean Breaches</w:t>
            </w:r>
          </w:p>
        </w:tc>
        <w:tc>
          <w:tcPr>
            <w:tcW w:w="4214" w:type="dxa"/>
          </w:tcPr>
          <w:p w14:paraId="1E71512C" w14:textId="77777777" w:rsidR="00015978" w:rsidRPr="008510AE" w:rsidRDefault="003903D0" w:rsidP="00ED2784">
            <w:pPr>
              <w:jc w:val="center"/>
              <w:rPr>
                <w:sz w:val="24"/>
                <w:szCs w:val="24"/>
              </w:rPr>
            </w:pPr>
            <w:r w:rsidRPr="008510AE">
              <w:rPr>
                <w:b/>
                <w:sz w:val="24"/>
                <w:szCs w:val="24"/>
              </w:rPr>
              <w:t>Mean Financial Loss (Million USD)</w:t>
            </w:r>
          </w:p>
        </w:tc>
      </w:tr>
      <w:tr w:rsidR="00015978" w:rsidRPr="008510AE" w14:paraId="1445FC92" w14:textId="77777777" w:rsidTr="00ED2784">
        <w:trPr>
          <w:trHeight w:val="230"/>
        </w:trPr>
        <w:tc>
          <w:tcPr>
            <w:tcW w:w="2481" w:type="dxa"/>
          </w:tcPr>
          <w:p w14:paraId="503E738D" w14:textId="77777777" w:rsidR="00015978" w:rsidRPr="008510AE" w:rsidRDefault="003903D0" w:rsidP="00ED2784">
            <w:pPr>
              <w:rPr>
                <w:sz w:val="24"/>
                <w:szCs w:val="24"/>
              </w:rPr>
            </w:pPr>
            <w:r w:rsidRPr="008510AE">
              <w:rPr>
                <w:sz w:val="24"/>
                <w:szCs w:val="24"/>
              </w:rPr>
              <w:t>Blockchain-Adopted</w:t>
            </w:r>
          </w:p>
        </w:tc>
        <w:tc>
          <w:tcPr>
            <w:tcW w:w="2018" w:type="dxa"/>
          </w:tcPr>
          <w:p w14:paraId="06E3CC41" w14:textId="77777777" w:rsidR="00015978" w:rsidRPr="008510AE" w:rsidRDefault="003903D0" w:rsidP="00ED2784">
            <w:pPr>
              <w:rPr>
                <w:sz w:val="24"/>
                <w:szCs w:val="24"/>
              </w:rPr>
            </w:pPr>
            <w:r w:rsidRPr="008510AE">
              <w:rPr>
                <w:sz w:val="24"/>
                <w:szCs w:val="24"/>
              </w:rPr>
              <w:t>2.02</w:t>
            </w:r>
          </w:p>
        </w:tc>
        <w:tc>
          <w:tcPr>
            <w:tcW w:w="4214" w:type="dxa"/>
          </w:tcPr>
          <w:p w14:paraId="6C1F9FE5" w14:textId="77777777" w:rsidR="00015978" w:rsidRPr="008510AE" w:rsidRDefault="003903D0" w:rsidP="00ED2784">
            <w:pPr>
              <w:rPr>
                <w:sz w:val="24"/>
                <w:szCs w:val="24"/>
              </w:rPr>
            </w:pPr>
            <w:r w:rsidRPr="008510AE">
              <w:rPr>
                <w:sz w:val="24"/>
                <w:szCs w:val="24"/>
              </w:rPr>
              <w:t>2.93</w:t>
            </w:r>
          </w:p>
        </w:tc>
      </w:tr>
      <w:tr w:rsidR="00015978" w:rsidRPr="008510AE" w14:paraId="5E606104" w14:textId="77777777" w:rsidTr="00ED2784">
        <w:trPr>
          <w:trHeight w:val="230"/>
        </w:trPr>
        <w:tc>
          <w:tcPr>
            <w:tcW w:w="2481" w:type="dxa"/>
          </w:tcPr>
          <w:p w14:paraId="5BF72190" w14:textId="77777777" w:rsidR="00015978" w:rsidRPr="008510AE" w:rsidRDefault="003903D0" w:rsidP="00ED2784">
            <w:pPr>
              <w:rPr>
                <w:sz w:val="24"/>
                <w:szCs w:val="24"/>
              </w:rPr>
            </w:pPr>
            <w:r w:rsidRPr="008510AE">
              <w:rPr>
                <w:sz w:val="24"/>
                <w:szCs w:val="24"/>
              </w:rPr>
              <w:t>Non-Adopted</w:t>
            </w:r>
          </w:p>
        </w:tc>
        <w:tc>
          <w:tcPr>
            <w:tcW w:w="2018" w:type="dxa"/>
          </w:tcPr>
          <w:p w14:paraId="32CF77D1" w14:textId="77777777" w:rsidR="00015978" w:rsidRPr="008510AE" w:rsidRDefault="003903D0" w:rsidP="00ED2784">
            <w:pPr>
              <w:rPr>
                <w:sz w:val="24"/>
                <w:szCs w:val="24"/>
              </w:rPr>
            </w:pPr>
            <w:r w:rsidRPr="008510AE">
              <w:rPr>
                <w:sz w:val="24"/>
                <w:szCs w:val="24"/>
              </w:rPr>
              <w:t>4.46</w:t>
            </w:r>
          </w:p>
        </w:tc>
        <w:tc>
          <w:tcPr>
            <w:tcW w:w="4214" w:type="dxa"/>
          </w:tcPr>
          <w:p w14:paraId="5C3452FB" w14:textId="77777777" w:rsidR="00015978" w:rsidRPr="008510AE" w:rsidRDefault="003903D0" w:rsidP="00ED2784">
            <w:pPr>
              <w:rPr>
                <w:sz w:val="24"/>
                <w:szCs w:val="24"/>
              </w:rPr>
            </w:pPr>
            <w:r w:rsidRPr="008510AE">
              <w:rPr>
                <w:sz w:val="24"/>
                <w:szCs w:val="24"/>
              </w:rPr>
              <w:t>5.94</w:t>
            </w:r>
          </w:p>
        </w:tc>
      </w:tr>
    </w:tbl>
    <w:p w14:paraId="3276BDA1" w14:textId="77777777" w:rsidR="00015978" w:rsidRPr="008510AE" w:rsidRDefault="003903D0">
      <w:pPr>
        <w:spacing w:before="160" w:after="160"/>
        <w:rPr>
          <w:sz w:val="24"/>
          <w:szCs w:val="24"/>
        </w:rPr>
      </w:pPr>
      <w:r w:rsidRPr="008510AE">
        <w:rPr>
          <w:sz w:val="24"/>
          <w:szCs w:val="24"/>
        </w:rPr>
        <w:t>The difference in performance between the two groups is further illustrated in Figure 3, which presents a Dumbbell Chart comparing breach frequencies and financial losses.</w:t>
      </w:r>
    </w:p>
    <w:p w14:paraId="1055A7E7"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3CAB70EF" wp14:editId="18185FD6">
            <wp:extent cx="6165187" cy="382614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65187" cy="3826143"/>
                    </a:xfrm>
                    <a:prstGeom prst="rect">
                      <a:avLst/>
                    </a:prstGeom>
                    <a:ln/>
                  </pic:spPr>
                </pic:pic>
              </a:graphicData>
            </a:graphic>
          </wp:inline>
        </w:drawing>
      </w:r>
    </w:p>
    <w:p w14:paraId="4116F74D" w14:textId="77777777" w:rsidR="00015978" w:rsidRPr="008510AE" w:rsidRDefault="003903D0">
      <w:pPr>
        <w:spacing w:before="160" w:after="160"/>
        <w:jc w:val="center"/>
        <w:rPr>
          <w:sz w:val="24"/>
          <w:szCs w:val="24"/>
        </w:rPr>
      </w:pPr>
      <w:r w:rsidRPr="008510AE">
        <w:rPr>
          <w:sz w:val="24"/>
          <w:szCs w:val="24"/>
        </w:rPr>
        <w:t>Figure 3. Comparative differences in breaches and financial losses between blockchain-adopted and non-adopted institutions.</w:t>
      </w:r>
    </w:p>
    <w:p w14:paraId="291A0929" w14:textId="77777777" w:rsidR="00015978" w:rsidRPr="008510AE" w:rsidRDefault="003903D0">
      <w:pPr>
        <w:spacing w:before="160" w:after="160"/>
        <w:rPr>
          <w:sz w:val="24"/>
          <w:szCs w:val="24"/>
        </w:rPr>
      </w:pPr>
      <w:r w:rsidRPr="008510AE">
        <w:rPr>
          <w:sz w:val="24"/>
          <w:szCs w:val="24"/>
        </w:rPr>
        <w:t>Additionally, Figure 4 uses a Pictogram Chart to reinforce the differences through a highly visual, icon-based comparison.</w:t>
      </w:r>
    </w:p>
    <w:p w14:paraId="66DE289C"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7A215481" wp14:editId="6BB3C8CE">
            <wp:extent cx="5853596" cy="356489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53596" cy="3564892"/>
                    </a:xfrm>
                    <a:prstGeom prst="rect">
                      <a:avLst/>
                    </a:prstGeom>
                    <a:ln/>
                  </pic:spPr>
                </pic:pic>
              </a:graphicData>
            </a:graphic>
          </wp:inline>
        </w:drawing>
      </w:r>
    </w:p>
    <w:p w14:paraId="73C8C3C8" w14:textId="77777777" w:rsidR="00015978" w:rsidRPr="008510AE" w:rsidRDefault="003903D0">
      <w:pPr>
        <w:spacing w:before="160" w:after="160"/>
        <w:jc w:val="center"/>
        <w:rPr>
          <w:sz w:val="24"/>
          <w:szCs w:val="24"/>
        </w:rPr>
      </w:pPr>
      <w:r w:rsidRPr="008510AE">
        <w:rPr>
          <w:sz w:val="24"/>
          <w:szCs w:val="24"/>
        </w:rPr>
        <w:t>Figure 4. Pictogram comparison of breach frequencies and financial losses for blockchain-adopted and non-adopted institutions.</w:t>
      </w:r>
    </w:p>
    <w:p w14:paraId="780BCB0F" w14:textId="77777777" w:rsidR="00015978" w:rsidRPr="008510AE" w:rsidRDefault="003903D0">
      <w:pPr>
        <w:spacing w:before="160" w:after="160"/>
        <w:rPr>
          <w:sz w:val="24"/>
          <w:szCs w:val="24"/>
        </w:rPr>
      </w:pPr>
      <w:r w:rsidRPr="008510AE">
        <w:rPr>
          <w:sz w:val="24"/>
          <w:szCs w:val="24"/>
        </w:rPr>
        <w:t xml:space="preserve">Institutions that have adopted blockchain technologies experienced an average of 2.02 breaches </w:t>
      </w:r>
      <w:r w:rsidR="002E110D">
        <w:rPr>
          <w:sz w:val="24"/>
          <w:szCs w:val="24"/>
        </w:rPr>
        <w:t>per year, compared to 4.46 breaches in non-adopting</w:t>
      </w:r>
      <w:r w:rsidRPr="008510AE">
        <w:rPr>
          <w:sz w:val="24"/>
          <w:szCs w:val="24"/>
        </w:rPr>
        <w:t xml:space="preserve"> institutions (Table 2). Similarly, mean financial losses were considerably lower among blockchain adopters</w:t>
      </w:r>
      <w:r w:rsidR="002E110D">
        <w:rPr>
          <w:sz w:val="24"/>
          <w:szCs w:val="24"/>
        </w:rPr>
        <w:t xml:space="preserve">, at $ 2.93 million USD, versus $ </w:t>
      </w:r>
      <w:r w:rsidRPr="008510AE">
        <w:rPr>
          <w:sz w:val="24"/>
          <w:szCs w:val="24"/>
        </w:rPr>
        <w:t>5.94 million USD among non-adopters.</w:t>
      </w:r>
    </w:p>
    <w:p w14:paraId="777A04F1" w14:textId="77777777" w:rsidR="00015978" w:rsidRPr="008510AE" w:rsidRDefault="003903D0">
      <w:pPr>
        <w:spacing w:before="160" w:after="160"/>
        <w:rPr>
          <w:sz w:val="24"/>
          <w:szCs w:val="24"/>
        </w:rPr>
      </w:pPr>
      <w:r w:rsidRPr="008510AE">
        <w:rPr>
          <w:sz w:val="24"/>
          <w:szCs w:val="24"/>
        </w:rPr>
        <w:t>The t-test results confirmed these differences were statistically significant (p &lt; 0.001 for both breach frequency and financial losses). The graphical illustrations in Figures 3 and 4 provide clear visual confirmation of the enhanced security and financial resilience associated with blockchain adoption, consistent with the argument for integrating quantum-resistant cryptographic frameworks into financial infrastructures.</w:t>
      </w:r>
    </w:p>
    <w:p w14:paraId="1F1C938E" w14:textId="77777777" w:rsidR="00015978" w:rsidRPr="008510AE" w:rsidRDefault="003903D0">
      <w:pPr>
        <w:spacing w:before="160" w:after="160"/>
        <w:rPr>
          <w:b/>
          <w:sz w:val="24"/>
          <w:szCs w:val="24"/>
        </w:rPr>
      </w:pPr>
      <w:r w:rsidRPr="008510AE">
        <w:rPr>
          <w:b/>
          <w:sz w:val="24"/>
          <w:szCs w:val="24"/>
        </w:rPr>
        <w:t>Objective 3: Identify Challenges and Opportunities Associated with the Integration of Post-Quantum Cryptography in the Financial Sector</w:t>
      </w:r>
    </w:p>
    <w:p w14:paraId="265567C2" w14:textId="77777777" w:rsidR="00015978" w:rsidRPr="008510AE" w:rsidRDefault="003903D0">
      <w:pPr>
        <w:spacing w:before="160" w:after="160"/>
        <w:rPr>
          <w:sz w:val="24"/>
          <w:szCs w:val="24"/>
        </w:rPr>
      </w:pPr>
      <w:r w:rsidRPr="008510AE">
        <w:rPr>
          <w:sz w:val="24"/>
          <w:szCs w:val="24"/>
        </w:rPr>
        <w:t>A quantitative risk assessment was conducted using Failure Mode and Effects Analysis (FMEA) methodology, leveraging data from the European Union Agency for Cybersecurity (ENISA) Threat Landscape Reports. Severity, occurrence, and detection metrics were evaluated for key challenges, with risk priority numbers (RPNs) calculated for each.</w:t>
      </w:r>
    </w:p>
    <w:p w14:paraId="357A47A8" w14:textId="77777777" w:rsidR="00015978" w:rsidRPr="008510AE" w:rsidRDefault="003903D0">
      <w:pPr>
        <w:spacing w:before="160" w:after="160"/>
        <w:rPr>
          <w:sz w:val="24"/>
          <w:szCs w:val="24"/>
        </w:rPr>
      </w:pPr>
      <w:r w:rsidRPr="008510AE">
        <w:rPr>
          <w:sz w:val="24"/>
          <w:szCs w:val="24"/>
        </w:rPr>
        <w:t xml:space="preserve">Table 3 </w:t>
      </w:r>
      <w:r w:rsidR="002E110D">
        <w:rPr>
          <w:sz w:val="24"/>
          <w:szCs w:val="24"/>
        </w:rPr>
        <w:t>presents the FMEA results, highlighting the severity, occurrence, and detection ratings, as well as the</w:t>
      </w:r>
      <w:r w:rsidRPr="008510AE">
        <w:rPr>
          <w:sz w:val="24"/>
          <w:szCs w:val="24"/>
        </w:rPr>
        <w:t xml:space="preserve"> corresponding RPNs for the identified risk factors.</w:t>
      </w:r>
    </w:p>
    <w:p w14:paraId="2F1BCB21" w14:textId="77777777" w:rsidR="00015978" w:rsidRPr="008510AE" w:rsidRDefault="003903D0">
      <w:pPr>
        <w:spacing w:before="160" w:after="160"/>
        <w:rPr>
          <w:sz w:val="24"/>
          <w:szCs w:val="24"/>
        </w:rPr>
      </w:pPr>
      <w:r w:rsidRPr="008510AE">
        <w:rPr>
          <w:sz w:val="24"/>
          <w:szCs w:val="24"/>
        </w:rPr>
        <w:lastRenderedPageBreak/>
        <w:t>Table 3: FMEA Risk Assessment Results</w:t>
      </w:r>
    </w:p>
    <w:tbl>
      <w:tblPr>
        <w:tblStyle w:val="TableGrid"/>
        <w:tblW w:w="10085" w:type="dxa"/>
        <w:tblLayout w:type="fixed"/>
        <w:tblLook w:val="0600" w:firstRow="0" w:lastRow="0" w:firstColumn="0" w:lastColumn="0" w:noHBand="1" w:noVBand="1"/>
      </w:tblPr>
      <w:tblGrid>
        <w:gridCol w:w="3093"/>
        <w:gridCol w:w="1112"/>
        <w:gridCol w:w="1466"/>
        <w:gridCol w:w="1258"/>
        <w:gridCol w:w="3156"/>
      </w:tblGrid>
      <w:tr w:rsidR="00015978" w:rsidRPr="008510AE" w14:paraId="579F291F" w14:textId="77777777" w:rsidTr="00ED2784">
        <w:trPr>
          <w:trHeight w:val="226"/>
        </w:trPr>
        <w:tc>
          <w:tcPr>
            <w:tcW w:w="3093" w:type="dxa"/>
          </w:tcPr>
          <w:p w14:paraId="584C7552" w14:textId="77777777" w:rsidR="00015978" w:rsidRPr="008510AE" w:rsidRDefault="003903D0" w:rsidP="00ED2784">
            <w:pPr>
              <w:jc w:val="center"/>
              <w:rPr>
                <w:sz w:val="24"/>
                <w:szCs w:val="24"/>
              </w:rPr>
            </w:pPr>
            <w:r w:rsidRPr="008510AE">
              <w:rPr>
                <w:b/>
                <w:sz w:val="24"/>
                <w:szCs w:val="24"/>
              </w:rPr>
              <w:t>Risk Factor</w:t>
            </w:r>
          </w:p>
        </w:tc>
        <w:tc>
          <w:tcPr>
            <w:tcW w:w="1112" w:type="dxa"/>
          </w:tcPr>
          <w:p w14:paraId="083DBDCF" w14:textId="77777777" w:rsidR="00015978" w:rsidRPr="008510AE" w:rsidRDefault="003903D0" w:rsidP="00ED2784">
            <w:pPr>
              <w:jc w:val="center"/>
              <w:rPr>
                <w:sz w:val="24"/>
                <w:szCs w:val="24"/>
              </w:rPr>
            </w:pPr>
            <w:r w:rsidRPr="008510AE">
              <w:rPr>
                <w:b/>
                <w:sz w:val="24"/>
                <w:szCs w:val="24"/>
              </w:rPr>
              <w:t>Severity</w:t>
            </w:r>
          </w:p>
        </w:tc>
        <w:tc>
          <w:tcPr>
            <w:tcW w:w="1466" w:type="dxa"/>
          </w:tcPr>
          <w:p w14:paraId="43A75AB5" w14:textId="77777777" w:rsidR="00015978" w:rsidRPr="008510AE" w:rsidRDefault="003903D0" w:rsidP="00ED2784">
            <w:pPr>
              <w:jc w:val="center"/>
              <w:rPr>
                <w:sz w:val="24"/>
                <w:szCs w:val="24"/>
              </w:rPr>
            </w:pPr>
            <w:r w:rsidRPr="008510AE">
              <w:rPr>
                <w:b/>
                <w:sz w:val="24"/>
                <w:szCs w:val="24"/>
              </w:rPr>
              <w:t>Occurrence</w:t>
            </w:r>
          </w:p>
        </w:tc>
        <w:tc>
          <w:tcPr>
            <w:tcW w:w="1258" w:type="dxa"/>
          </w:tcPr>
          <w:p w14:paraId="064FA78D" w14:textId="77777777" w:rsidR="00015978" w:rsidRPr="008510AE" w:rsidRDefault="003903D0" w:rsidP="00ED2784">
            <w:pPr>
              <w:jc w:val="center"/>
              <w:rPr>
                <w:sz w:val="24"/>
                <w:szCs w:val="24"/>
              </w:rPr>
            </w:pPr>
            <w:r w:rsidRPr="008510AE">
              <w:rPr>
                <w:b/>
                <w:sz w:val="24"/>
                <w:szCs w:val="24"/>
              </w:rPr>
              <w:t>Detection</w:t>
            </w:r>
          </w:p>
        </w:tc>
        <w:tc>
          <w:tcPr>
            <w:tcW w:w="3156" w:type="dxa"/>
          </w:tcPr>
          <w:p w14:paraId="38DB7EE0" w14:textId="77777777" w:rsidR="00015978" w:rsidRPr="008510AE" w:rsidRDefault="003903D0" w:rsidP="00ED2784">
            <w:pPr>
              <w:jc w:val="center"/>
              <w:rPr>
                <w:sz w:val="24"/>
                <w:szCs w:val="24"/>
              </w:rPr>
            </w:pPr>
            <w:r w:rsidRPr="008510AE">
              <w:rPr>
                <w:b/>
                <w:sz w:val="24"/>
                <w:szCs w:val="24"/>
              </w:rPr>
              <w:t>Risk Priority Number (RPN)</w:t>
            </w:r>
          </w:p>
        </w:tc>
      </w:tr>
      <w:tr w:rsidR="00015978" w:rsidRPr="008510AE" w14:paraId="0B2D75F0" w14:textId="77777777" w:rsidTr="00ED2784">
        <w:trPr>
          <w:trHeight w:val="226"/>
        </w:trPr>
        <w:tc>
          <w:tcPr>
            <w:tcW w:w="3093" w:type="dxa"/>
          </w:tcPr>
          <w:p w14:paraId="0FF96A9F" w14:textId="77777777" w:rsidR="00015978" w:rsidRPr="008510AE" w:rsidRDefault="003903D0" w:rsidP="00ED2784">
            <w:pPr>
              <w:rPr>
                <w:sz w:val="24"/>
                <w:szCs w:val="24"/>
              </w:rPr>
            </w:pPr>
            <w:r w:rsidRPr="008510AE">
              <w:rPr>
                <w:sz w:val="24"/>
                <w:szCs w:val="24"/>
              </w:rPr>
              <w:t>Key Management Complexity</w:t>
            </w:r>
          </w:p>
        </w:tc>
        <w:tc>
          <w:tcPr>
            <w:tcW w:w="1112" w:type="dxa"/>
          </w:tcPr>
          <w:p w14:paraId="6E7C1FDD" w14:textId="77777777" w:rsidR="00015978" w:rsidRPr="008510AE" w:rsidRDefault="003903D0" w:rsidP="00ED2784">
            <w:pPr>
              <w:rPr>
                <w:sz w:val="24"/>
                <w:szCs w:val="24"/>
              </w:rPr>
            </w:pPr>
            <w:r w:rsidRPr="008510AE">
              <w:rPr>
                <w:sz w:val="24"/>
                <w:szCs w:val="24"/>
              </w:rPr>
              <w:t>10</w:t>
            </w:r>
          </w:p>
        </w:tc>
        <w:tc>
          <w:tcPr>
            <w:tcW w:w="1466" w:type="dxa"/>
          </w:tcPr>
          <w:p w14:paraId="2ADF53C7" w14:textId="77777777" w:rsidR="00015978" w:rsidRPr="008510AE" w:rsidRDefault="003903D0" w:rsidP="00ED2784">
            <w:pPr>
              <w:rPr>
                <w:sz w:val="24"/>
                <w:szCs w:val="24"/>
              </w:rPr>
            </w:pPr>
            <w:r w:rsidRPr="008510AE">
              <w:rPr>
                <w:sz w:val="24"/>
                <w:szCs w:val="24"/>
              </w:rPr>
              <w:t>8</w:t>
            </w:r>
          </w:p>
        </w:tc>
        <w:tc>
          <w:tcPr>
            <w:tcW w:w="1258" w:type="dxa"/>
          </w:tcPr>
          <w:p w14:paraId="549DC1BF" w14:textId="77777777" w:rsidR="00015978" w:rsidRPr="008510AE" w:rsidRDefault="003903D0" w:rsidP="00ED2784">
            <w:pPr>
              <w:rPr>
                <w:sz w:val="24"/>
                <w:szCs w:val="24"/>
              </w:rPr>
            </w:pPr>
            <w:r w:rsidRPr="008510AE">
              <w:rPr>
                <w:sz w:val="24"/>
                <w:szCs w:val="24"/>
              </w:rPr>
              <w:t>6</w:t>
            </w:r>
          </w:p>
        </w:tc>
        <w:tc>
          <w:tcPr>
            <w:tcW w:w="3156" w:type="dxa"/>
          </w:tcPr>
          <w:p w14:paraId="431EAF07" w14:textId="77777777" w:rsidR="00015978" w:rsidRPr="008510AE" w:rsidRDefault="003903D0" w:rsidP="00ED2784">
            <w:pPr>
              <w:rPr>
                <w:sz w:val="24"/>
                <w:szCs w:val="24"/>
              </w:rPr>
            </w:pPr>
            <w:r w:rsidRPr="008510AE">
              <w:rPr>
                <w:sz w:val="24"/>
                <w:szCs w:val="24"/>
              </w:rPr>
              <w:t>480</w:t>
            </w:r>
          </w:p>
        </w:tc>
      </w:tr>
      <w:tr w:rsidR="00015978" w:rsidRPr="008510AE" w14:paraId="4012FBB6" w14:textId="77777777" w:rsidTr="00ED2784">
        <w:trPr>
          <w:trHeight w:val="226"/>
        </w:trPr>
        <w:tc>
          <w:tcPr>
            <w:tcW w:w="3093" w:type="dxa"/>
          </w:tcPr>
          <w:p w14:paraId="6A123C38" w14:textId="77777777" w:rsidR="00015978" w:rsidRPr="008510AE" w:rsidRDefault="003903D0" w:rsidP="00ED2784">
            <w:pPr>
              <w:rPr>
                <w:sz w:val="24"/>
                <w:szCs w:val="24"/>
              </w:rPr>
            </w:pPr>
            <w:r w:rsidRPr="008510AE">
              <w:rPr>
                <w:sz w:val="24"/>
                <w:szCs w:val="24"/>
              </w:rPr>
              <w:t>Legacy System Compatibility</w:t>
            </w:r>
          </w:p>
        </w:tc>
        <w:tc>
          <w:tcPr>
            <w:tcW w:w="1112" w:type="dxa"/>
          </w:tcPr>
          <w:p w14:paraId="589D2DD9" w14:textId="77777777" w:rsidR="00015978" w:rsidRPr="008510AE" w:rsidRDefault="003903D0" w:rsidP="00ED2784">
            <w:pPr>
              <w:rPr>
                <w:sz w:val="24"/>
                <w:szCs w:val="24"/>
              </w:rPr>
            </w:pPr>
            <w:r w:rsidRPr="008510AE">
              <w:rPr>
                <w:sz w:val="24"/>
                <w:szCs w:val="24"/>
              </w:rPr>
              <w:t>9</w:t>
            </w:r>
          </w:p>
        </w:tc>
        <w:tc>
          <w:tcPr>
            <w:tcW w:w="1466" w:type="dxa"/>
          </w:tcPr>
          <w:p w14:paraId="20F4C130" w14:textId="77777777" w:rsidR="00015978" w:rsidRPr="008510AE" w:rsidRDefault="003903D0" w:rsidP="00ED2784">
            <w:pPr>
              <w:rPr>
                <w:sz w:val="24"/>
                <w:szCs w:val="24"/>
              </w:rPr>
            </w:pPr>
            <w:r w:rsidRPr="008510AE">
              <w:rPr>
                <w:sz w:val="24"/>
                <w:szCs w:val="24"/>
              </w:rPr>
              <w:t>9</w:t>
            </w:r>
          </w:p>
        </w:tc>
        <w:tc>
          <w:tcPr>
            <w:tcW w:w="1258" w:type="dxa"/>
          </w:tcPr>
          <w:p w14:paraId="68A422BB" w14:textId="77777777" w:rsidR="00015978" w:rsidRPr="008510AE" w:rsidRDefault="003903D0" w:rsidP="00ED2784">
            <w:pPr>
              <w:rPr>
                <w:sz w:val="24"/>
                <w:szCs w:val="24"/>
              </w:rPr>
            </w:pPr>
            <w:r w:rsidRPr="008510AE">
              <w:rPr>
                <w:sz w:val="24"/>
                <w:szCs w:val="24"/>
              </w:rPr>
              <w:t>5</w:t>
            </w:r>
          </w:p>
        </w:tc>
        <w:tc>
          <w:tcPr>
            <w:tcW w:w="3156" w:type="dxa"/>
          </w:tcPr>
          <w:p w14:paraId="7BD54708" w14:textId="77777777" w:rsidR="00015978" w:rsidRPr="008510AE" w:rsidRDefault="003903D0" w:rsidP="00ED2784">
            <w:pPr>
              <w:rPr>
                <w:sz w:val="24"/>
                <w:szCs w:val="24"/>
              </w:rPr>
            </w:pPr>
            <w:r w:rsidRPr="008510AE">
              <w:rPr>
                <w:sz w:val="24"/>
                <w:szCs w:val="24"/>
              </w:rPr>
              <w:t>405</w:t>
            </w:r>
          </w:p>
        </w:tc>
      </w:tr>
      <w:tr w:rsidR="00015978" w:rsidRPr="008510AE" w14:paraId="167ED6F2" w14:textId="77777777" w:rsidTr="00ED2784">
        <w:trPr>
          <w:trHeight w:val="226"/>
        </w:trPr>
        <w:tc>
          <w:tcPr>
            <w:tcW w:w="3093" w:type="dxa"/>
          </w:tcPr>
          <w:p w14:paraId="334F4E0F" w14:textId="77777777" w:rsidR="00015978" w:rsidRPr="008510AE" w:rsidRDefault="003903D0" w:rsidP="00ED2784">
            <w:pPr>
              <w:rPr>
                <w:sz w:val="24"/>
                <w:szCs w:val="24"/>
              </w:rPr>
            </w:pPr>
            <w:r w:rsidRPr="008510AE">
              <w:rPr>
                <w:sz w:val="24"/>
                <w:szCs w:val="24"/>
              </w:rPr>
              <w:t>Scalability Challenges</w:t>
            </w:r>
          </w:p>
        </w:tc>
        <w:tc>
          <w:tcPr>
            <w:tcW w:w="1112" w:type="dxa"/>
          </w:tcPr>
          <w:p w14:paraId="0472603B" w14:textId="77777777" w:rsidR="00015978" w:rsidRPr="008510AE" w:rsidRDefault="003903D0" w:rsidP="00ED2784">
            <w:pPr>
              <w:rPr>
                <w:sz w:val="24"/>
                <w:szCs w:val="24"/>
              </w:rPr>
            </w:pPr>
            <w:r w:rsidRPr="008510AE">
              <w:rPr>
                <w:sz w:val="24"/>
                <w:szCs w:val="24"/>
              </w:rPr>
              <w:t>9</w:t>
            </w:r>
          </w:p>
        </w:tc>
        <w:tc>
          <w:tcPr>
            <w:tcW w:w="1466" w:type="dxa"/>
          </w:tcPr>
          <w:p w14:paraId="32E2758D" w14:textId="77777777" w:rsidR="00015978" w:rsidRPr="008510AE" w:rsidRDefault="003903D0" w:rsidP="00ED2784">
            <w:pPr>
              <w:rPr>
                <w:sz w:val="24"/>
                <w:szCs w:val="24"/>
              </w:rPr>
            </w:pPr>
            <w:r w:rsidRPr="008510AE">
              <w:rPr>
                <w:sz w:val="24"/>
                <w:szCs w:val="24"/>
              </w:rPr>
              <w:t>7</w:t>
            </w:r>
          </w:p>
        </w:tc>
        <w:tc>
          <w:tcPr>
            <w:tcW w:w="1258" w:type="dxa"/>
          </w:tcPr>
          <w:p w14:paraId="34C46BF4" w14:textId="77777777" w:rsidR="00015978" w:rsidRPr="008510AE" w:rsidRDefault="003903D0" w:rsidP="00ED2784">
            <w:pPr>
              <w:rPr>
                <w:sz w:val="24"/>
                <w:szCs w:val="24"/>
              </w:rPr>
            </w:pPr>
            <w:r w:rsidRPr="008510AE">
              <w:rPr>
                <w:sz w:val="24"/>
                <w:szCs w:val="24"/>
              </w:rPr>
              <w:t>5</w:t>
            </w:r>
          </w:p>
        </w:tc>
        <w:tc>
          <w:tcPr>
            <w:tcW w:w="3156" w:type="dxa"/>
          </w:tcPr>
          <w:p w14:paraId="6E6E3F49" w14:textId="77777777" w:rsidR="00015978" w:rsidRPr="008510AE" w:rsidRDefault="003903D0" w:rsidP="00ED2784">
            <w:pPr>
              <w:rPr>
                <w:sz w:val="24"/>
                <w:szCs w:val="24"/>
              </w:rPr>
            </w:pPr>
            <w:r w:rsidRPr="008510AE">
              <w:rPr>
                <w:sz w:val="24"/>
                <w:szCs w:val="24"/>
              </w:rPr>
              <w:t>315</w:t>
            </w:r>
          </w:p>
        </w:tc>
      </w:tr>
      <w:tr w:rsidR="00015978" w:rsidRPr="008510AE" w14:paraId="12A1D1C5" w14:textId="77777777" w:rsidTr="00ED2784">
        <w:trPr>
          <w:trHeight w:val="226"/>
        </w:trPr>
        <w:tc>
          <w:tcPr>
            <w:tcW w:w="3093" w:type="dxa"/>
          </w:tcPr>
          <w:p w14:paraId="1B08CC78" w14:textId="77777777" w:rsidR="00015978" w:rsidRPr="008510AE" w:rsidRDefault="003903D0" w:rsidP="00ED2784">
            <w:pPr>
              <w:rPr>
                <w:sz w:val="24"/>
                <w:szCs w:val="24"/>
              </w:rPr>
            </w:pPr>
            <w:r w:rsidRPr="008510AE">
              <w:rPr>
                <w:sz w:val="24"/>
                <w:szCs w:val="24"/>
              </w:rPr>
              <w:t>Compliance and Regulation</w:t>
            </w:r>
          </w:p>
        </w:tc>
        <w:tc>
          <w:tcPr>
            <w:tcW w:w="1112" w:type="dxa"/>
          </w:tcPr>
          <w:p w14:paraId="3B98E72B" w14:textId="77777777" w:rsidR="00015978" w:rsidRPr="008510AE" w:rsidRDefault="003903D0" w:rsidP="00ED2784">
            <w:pPr>
              <w:rPr>
                <w:sz w:val="24"/>
                <w:szCs w:val="24"/>
              </w:rPr>
            </w:pPr>
            <w:r w:rsidRPr="008510AE">
              <w:rPr>
                <w:sz w:val="24"/>
                <w:szCs w:val="24"/>
              </w:rPr>
              <w:t>8</w:t>
            </w:r>
          </w:p>
        </w:tc>
        <w:tc>
          <w:tcPr>
            <w:tcW w:w="1466" w:type="dxa"/>
          </w:tcPr>
          <w:p w14:paraId="73E932B6" w14:textId="77777777" w:rsidR="00015978" w:rsidRPr="008510AE" w:rsidRDefault="003903D0" w:rsidP="00ED2784">
            <w:pPr>
              <w:rPr>
                <w:sz w:val="24"/>
                <w:szCs w:val="24"/>
              </w:rPr>
            </w:pPr>
            <w:r w:rsidRPr="008510AE">
              <w:rPr>
                <w:sz w:val="24"/>
                <w:szCs w:val="24"/>
              </w:rPr>
              <w:t>6</w:t>
            </w:r>
          </w:p>
        </w:tc>
        <w:tc>
          <w:tcPr>
            <w:tcW w:w="1258" w:type="dxa"/>
          </w:tcPr>
          <w:p w14:paraId="544B6501" w14:textId="77777777" w:rsidR="00015978" w:rsidRPr="008510AE" w:rsidRDefault="003903D0" w:rsidP="00ED2784">
            <w:pPr>
              <w:rPr>
                <w:sz w:val="24"/>
                <w:szCs w:val="24"/>
              </w:rPr>
            </w:pPr>
            <w:r w:rsidRPr="008510AE">
              <w:rPr>
                <w:sz w:val="24"/>
                <w:szCs w:val="24"/>
              </w:rPr>
              <w:t>4</w:t>
            </w:r>
          </w:p>
        </w:tc>
        <w:tc>
          <w:tcPr>
            <w:tcW w:w="3156" w:type="dxa"/>
          </w:tcPr>
          <w:p w14:paraId="6B6EBEFD" w14:textId="77777777" w:rsidR="00015978" w:rsidRPr="008510AE" w:rsidRDefault="003903D0" w:rsidP="00ED2784">
            <w:pPr>
              <w:rPr>
                <w:sz w:val="24"/>
                <w:szCs w:val="24"/>
              </w:rPr>
            </w:pPr>
            <w:r w:rsidRPr="008510AE">
              <w:rPr>
                <w:sz w:val="24"/>
                <w:szCs w:val="24"/>
              </w:rPr>
              <w:t>192</w:t>
            </w:r>
          </w:p>
        </w:tc>
      </w:tr>
      <w:tr w:rsidR="00015978" w:rsidRPr="008510AE" w14:paraId="44C49256" w14:textId="77777777" w:rsidTr="00ED2784">
        <w:trPr>
          <w:trHeight w:val="226"/>
        </w:trPr>
        <w:tc>
          <w:tcPr>
            <w:tcW w:w="3093" w:type="dxa"/>
          </w:tcPr>
          <w:p w14:paraId="64F92EBB" w14:textId="77777777" w:rsidR="00015978" w:rsidRPr="008510AE" w:rsidRDefault="003903D0" w:rsidP="00ED2784">
            <w:pPr>
              <w:rPr>
                <w:sz w:val="24"/>
                <w:szCs w:val="24"/>
              </w:rPr>
            </w:pPr>
            <w:r w:rsidRPr="008510AE">
              <w:rPr>
                <w:sz w:val="24"/>
                <w:szCs w:val="24"/>
              </w:rPr>
              <w:t>Operational Cost</w:t>
            </w:r>
          </w:p>
        </w:tc>
        <w:tc>
          <w:tcPr>
            <w:tcW w:w="1112" w:type="dxa"/>
          </w:tcPr>
          <w:p w14:paraId="4682B6AB" w14:textId="77777777" w:rsidR="00015978" w:rsidRPr="008510AE" w:rsidRDefault="003903D0" w:rsidP="00ED2784">
            <w:pPr>
              <w:rPr>
                <w:sz w:val="24"/>
                <w:szCs w:val="24"/>
              </w:rPr>
            </w:pPr>
            <w:r w:rsidRPr="008510AE">
              <w:rPr>
                <w:sz w:val="24"/>
                <w:szCs w:val="24"/>
              </w:rPr>
              <w:t>7</w:t>
            </w:r>
          </w:p>
        </w:tc>
        <w:tc>
          <w:tcPr>
            <w:tcW w:w="1466" w:type="dxa"/>
          </w:tcPr>
          <w:p w14:paraId="1FA685D4" w14:textId="77777777" w:rsidR="00015978" w:rsidRPr="008510AE" w:rsidRDefault="003903D0" w:rsidP="00ED2784">
            <w:pPr>
              <w:rPr>
                <w:sz w:val="24"/>
                <w:szCs w:val="24"/>
              </w:rPr>
            </w:pPr>
            <w:r w:rsidRPr="008510AE">
              <w:rPr>
                <w:sz w:val="24"/>
                <w:szCs w:val="24"/>
              </w:rPr>
              <w:t>7</w:t>
            </w:r>
          </w:p>
        </w:tc>
        <w:tc>
          <w:tcPr>
            <w:tcW w:w="1258" w:type="dxa"/>
          </w:tcPr>
          <w:p w14:paraId="5268E956" w14:textId="77777777" w:rsidR="00015978" w:rsidRPr="008510AE" w:rsidRDefault="003903D0" w:rsidP="00ED2784">
            <w:pPr>
              <w:rPr>
                <w:sz w:val="24"/>
                <w:szCs w:val="24"/>
              </w:rPr>
            </w:pPr>
            <w:r w:rsidRPr="008510AE">
              <w:rPr>
                <w:sz w:val="24"/>
                <w:szCs w:val="24"/>
              </w:rPr>
              <w:t>3</w:t>
            </w:r>
          </w:p>
        </w:tc>
        <w:tc>
          <w:tcPr>
            <w:tcW w:w="3156" w:type="dxa"/>
          </w:tcPr>
          <w:p w14:paraId="1DCC617C" w14:textId="77777777" w:rsidR="00015978" w:rsidRPr="008510AE" w:rsidRDefault="003903D0" w:rsidP="00ED2784">
            <w:pPr>
              <w:rPr>
                <w:sz w:val="24"/>
                <w:szCs w:val="24"/>
              </w:rPr>
            </w:pPr>
            <w:r w:rsidRPr="008510AE">
              <w:rPr>
                <w:sz w:val="24"/>
                <w:szCs w:val="24"/>
              </w:rPr>
              <w:t>147</w:t>
            </w:r>
          </w:p>
        </w:tc>
      </w:tr>
      <w:tr w:rsidR="00015978" w:rsidRPr="008510AE" w14:paraId="6CFB4CBE" w14:textId="77777777" w:rsidTr="00ED2784">
        <w:trPr>
          <w:trHeight w:val="226"/>
        </w:trPr>
        <w:tc>
          <w:tcPr>
            <w:tcW w:w="3093" w:type="dxa"/>
          </w:tcPr>
          <w:p w14:paraId="442EC13D" w14:textId="77777777" w:rsidR="00015978" w:rsidRPr="008510AE" w:rsidRDefault="003903D0" w:rsidP="00ED2784">
            <w:pPr>
              <w:rPr>
                <w:sz w:val="24"/>
                <w:szCs w:val="24"/>
              </w:rPr>
            </w:pPr>
            <w:r w:rsidRPr="008510AE">
              <w:rPr>
                <w:sz w:val="24"/>
                <w:szCs w:val="24"/>
              </w:rPr>
              <w:t>Staff Skill Gaps</w:t>
            </w:r>
          </w:p>
        </w:tc>
        <w:tc>
          <w:tcPr>
            <w:tcW w:w="1112" w:type="dxa"/>
          </w:tcPr>
          <w:p w14:paraId="50B80C63" w14:textId="77777777" w:rsidR="00015978" w:rsidRPr="008510AE" w:rsidRDefault="003903D0" w:rsidP="00ED2784">
            <w:pPr>
              <w:rPr>
                <w:sz w:val="24"/>
                <w:szCs w:val="24"/>
              </w:rPr>
            </w:pPr>
            <w:r w:rsidRPr="008510AE">
              <w:rPr>
                <w:sz w:val="24"/>
                <w:szCs w:val="24"/>
              </w:rPr>
              <w:t>6</w:t>
            </w:r>
          </w:p>
        </w:tc>
        <w:tc>
          <w:tcPr>
            <w:tcW w:w="1466" w:type="dxa"/>
          </w:tcPr>
          <w:p w14:paraId="3FC019E4" w14:textId="77777777" w:rsidR="00015978" w:rsidRPr="008510AE" w:rsidRDefault="003903D0" w:rsidP="00ED2784">
            <w:pPr>
              <w:rPr>
                <w:sz w:val="24"/>
                <w:szCs w:val="24"/>
              </w:rPr>
            </w:pPr>
            <w:r w:rsidRPr="008510AE">
              <w:rPr>
                <w:sz w:val="24"/>
                <w:szCs w:val="24"/>
              </w:rPr>
              <w:t>5</w:t>
            </w:r>
          </w:p>
        </w:tc>
        <w:tc>
          <w:tcPr>
            <w:tcW w:w="1258" w:type="dxa"/>
          </w:tcPr>
          <w:p w14:paraId="47AE1732" w14:textId="77777777" w:rsidR="00015978" w:rsidRPr="008510AE" w:rsidRDefault="003903D0" w:rsidP="00ED2784">
            <w:pPr>
              <w:rPr>
                <w:sz w:val="24"/>
                <w:szCs w:val="24"/>
              </w:rPr>
            </w:pPr>
            <w:r w:rsidRPr="008510AE">
              <w:rPr>
                <w:sz w:val="24"/>
                <w:szCs w:val="24"/>
              </w:rPr>
              <w:t>4</w:t>
            </w:r>
          </w:p>
        </w:tc>
        <w:tc>
          <w:tcPr>
            <w:tcW w:w="3156" w:type="dxa"/>
          </w:tcPr>
          <w:p w14:paraId="7CBCAB0F" w14:textId="77777777" w:rsidR="00015978" w:rsidRPr="008510AE" w:rsidRDefault="003903D0" w:rsidP="00ED2784">
            <w:pPr>
              <w:rPr>
                <w:sz w:val="24"/>
                <w:szCs w:val="24"/>
              </w:rPr>
            </w:pPr>
            <w:r w:rsidRPr="008510AE">
              <w:rPr>
                <w:sz w:val="24"/>
                <w:szCs w:val="24"/>
              </w:rPr>
              <w:t>120</w:t>
            </w:r>
          </w:p>
        </w:tc>
      </w:tr>
    </w:tbl>
    <w:p w14:paraId="7FBBFD3F" w14:textId="77777777" w:rsidR="00015978" w:rsidRPr="008510AE" w:rsidRDefault="003903D0">
      <w:pPr>
        <w:spacing w:before="160" w:after="160"/>
        <w:rPr>
          <w:sz w:val="24"/>
          <w:szCs w:val="24"/>
        </w:rPr>
      </w:pPr>
      <w:r w:rsidRPr="008510AE">
        <w:rPr>
          <w:sz w:val="24"/>
          <w:szCs w:val="24"/>
        </w:rPr>
        <w:t>To further illustrate these findings, Figure 5 presents a horizontal bar chart ranking the challenges by their RPN values.</w:t>
      </w:r>
    </w:p>
    <w:p w14:paraId="69EF4D33" w14:textId="77777777" w:rsidR="00015978" w:rsidRPr="008510AE" w:rsidRDefault="003903D0">
      <w:pPr>
        <w:spacing w:before="160" w:after="160"/>
        <w:jc w:val="center"/>
        <w:rPr>
          <w:sz w:val="24"/>
          <w:szCs w:val="24"/>
        </w:rPr>
      </w:pPr>
      <w:r w:rsidRPr="008510AE">
        <w:rPr>
          <w:noProof/>
          <w:sz w:val="24"/>
          <w:szCs w:val="24"/>
          <w:lang w:val="en-US"/>
        </w:rPr>
        <w:drawing>
          <wp:inline distT="114300" distB="114300" distL="114300" distR="114300" wp14:anchorId="6B2B6F0F" wp14:editId="7C5085C3">
            <wp:extent cx="4809164" cy="286462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809164" cy="2864620"/>
                    </a:xfrm>
                    <a:prstGeom prst="rect">
                      <a:avLst/>
                    </a:prstGeom>
                    <a:ln/>
                  </pic:spPr>
                </pic:pic>
              </a:graphicData>
            </a:graphic>
          </wp:inline>
        </w:drawing>
      </w:r>
    </w:p>
    <w:p w14:paraId="1C718C59" w14:textId="77777777" w:rsidR="00015978" w:rsidRPr="008510AE" w:rsidRDefault="003903D0">
      <w:pPr>
        <w:spacing w:before="160" w:after="160"/>
        <w:jc w:val="center"/>
        <w:rPr>
          <w:sz w:val="24"/>
          <w:szCs w:val="24"/>
        </w:rPr>
      </w:pPr>
      <w:r w:rsidRPr="008510AE">
        <w:rPr>
          <w:sz w:val="24"/>
          <w:szCs w:val="24"/>
        </w:rPr>
        <w:t>Figure 5. Horizontal bar chart ranking post-quantum cryptography integration challenges by Risk Priority Number (RPN).</w:t>
      </w:r>
    </w:p>
    <w:p w14:paraId="4B21FE9C" w14:textId="77777777" w:rsidR="00015978" w:rsidRPr="008510AE" w:rsidRDefault="003903D0">
      <w:pPr>
        <w:spacing w:before="160" w:after="160"/>
        <w:rPr>
          <w:sz w:val="24"/>
          <w:szCs w:val="24"/>
        </w:rPr>
      </w:pPr>
      <w:r w:rsidRPr="008510AE">
        <w:rPr>
          <w:sz w:val="24"/>
          <w:szCs w:val="24"/>
        </w:rPr>
        <w:t>Figure 6 complements this with a radar chart providing a visual comparison across the different risk dimensions.</w:t>
      </w:r>
    </w:p>
    <w:p w14:paraId="72317D10" w14:textId="77777777" w:rsidR="00015978" w:rsidRPr="008510AE" w:rsidRDefault="003903D0">
      <w:pPr>
        <w:spacing w:before="160" w:after="160"/>
        <w:jc w:val="center"/>
        <w:rPr>
          <w:sz w:val="24"/>
          <w:szCs w:val="24"/>
        </w:rPr>
      </w:pPr>
      <w:r w:rsidRPr="008510AE">
        <w:rPr>
          <w:noProof/>
          <w:sz w:val="24"/>
          <w:szCs w:val="24"/>
          <w:lang w:val="en-US"/>
        </w:rPr>
        <w:lastRenderedPageBreak/>
        <w:drawing>
          <wp:inline distT="114300" distB="114300" distL="114300" distR="114300" wp14:anchorId="382878A9" wp14:editId="03A9B7C0">
            <wp:extent cx="5272722" cy="371779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272722" cy="3717795"/>
                    </a:xfrm>
                    <a:prstGeom prst="rect">
                      <a:avLst/>
                    </a:prstGeom>
                    <a:ln/>
                  </pic:spPr>
                </pic:pic>
              </a:graphicData>
            </a:graphic>
          </wp:inline>
        </w:drawing>
      </w:r>
    </w:p>
    <w:p w14:paraId="6F97B935" w14:textId="77777777" w:rsidR="00015978" w:rsidRPr="008510AE" w:rsidRDefault="003903D0">
      <w:pPr>
        <w:spacing w:before="160" w:after="160"/>
        <w:jc w:val="center"/>
        <w:rPr>
          <w:sz w:val="24"/>
          <w:szCs w:val="24"/>
        </w:rPr>
      </w:pPr>
      <w:r w:rsidRPr="008510AE">
        <w:rPr>
          <w:sz w:val="24"/>
          <w:szCs w:val="24"/>
        </w:rPr>
        <w:t>Figure 6. Radar chart depicting the comparative risk profile for identified challenges.</w:t>
      </w:r>
    </w:p>
    <w:p w14:paraId="2AA923C3" w14:textId="77777777" w:rsidR="00015978" w:rsidRPr="008510AE" w:rsidRDefault="003903D0">
      <w:pPr>
        <w:spacing w:before="160" w:after="160"/>
        <w:rPr>
          <w:sz w:val="24"/>
          <w:szCs w:val="24"/>
        </w:rPr>
      </w:pPr>
      <w:r w:rsidRPr="008510AE">
        <w:rPr>
          <w:sz w:val="24"/>
          <w:szCs w:val="24"/>
        </w:rPr>
        <w:t>Key Management Complexity emerged as the highest risk factor with an RPN of 480, indicating its criticality due to high severity, frequent occurrence, and difficulty in detection (Table 3). Legacy System Compatibility and Scalability Challenges followed, with RPNs of 405 and 315, respectively, signifying significant structural and operational hurdles.</w:t>
      </w:r>
    </w:p>
    <w:p w14:paraId="35CDACE8" w14:textId="77777777" w:rsidR="00015978" w:rsidRPr="008510AE" w:rsidRDefault="003903D0">
      <w:pPr>
        <w:spacing w:before="160" w:after="160"/>
        <w:rPr>
          <w:sz w:val="24"/>
          <w:szCs w:val="24"/>
        </w:rPr>
      </w:pPr>
      <w:r w:rsidRPr="008510AE">
        <w:rPr>
          <w:sz w:val="24"/>
          <w:szCs w:val="24"/>
        </w:rPr>
        <w:t>Compliance and Regulation, Operational Cost, and Staff Skill Gaps exhibited lower RPNs, suggesting they are relatively more manageable. The patterns depicted in Figures 5 and 6 align with the broader findings, emphasizing the multi-dimensional challenges that financial institutions must address when integrating post-quantum cryptographic frameworks.</w:t>
      </w:r>
    </w:p>
    <w:p w14:paraId="2E6F1B8C" w14:textId="77777777" w:rsidR="00015978" w:rsidRPr="008510AE" w:rsidRDefault="003903D0">
      <w:pPr>
        <w:spacing w:before="160" w:after="160"/>
        <w:rPr>
          <w:b/>
          <w:sz w:val="24"/>
          <w:szCs w:val="24"/>
        </w:rPr>
      </w:pPr>
      <w:r w:rsidRPr="008510AE">
        <w:rPr>
          <w:b/>
          <w:sz w:val="24"/>
          <w:szCs w:val="24"/>
        </w:rPr>
        <w:t>Discussion</w:t>
      </w:r>
    </w:p>
    <w:p w14:paraId="77808679" w14:textId="77777777" w:rsidR="00015978" w:rsidRPr="008510AE" w:rsidRDefault="003903D0">
      <w:pPr>
        <w:spacing w:before="160" w:after="160"/>
        <w:rPr>
          <w:sz w:val="24"/>
          <w:szCs w:val="24"/>
        </w:rPr>
      </w:pPr>
      <w:r w:rsidRPr="008510AE">
        <w:rPr>
          <w:sz w:val="24"/>
          <w:szCs w:val="24"/>
        </w:rPr>
        <w:t xml:space="preserve">The findings of this study underscore a compelling trajectory within post-quantum cryptography (PQC) and blockchain-based key exchange research, reaffirming the sector’s intensified focus on future-proofing cryptographic infrastructures. The sustained and accelerating growth in publications and citations between 2018 and 2024, as illustrated in Figure 1 and Table 1, substantiates scholarly validation of CRYSTALS-Kyber and blockchain integration as critical technological avenues. The significant increase in keyword co-occurrence metrics in Figure 2 further signals an emergent </w:t>
      </w:r>
      <w:r w:rsidRPr="008510AE">
        <w:rPr>
          <w:sz w:val="24"/>
          <w:szCs w:val="24"/>
        </w:rPr>
        <w:lastRenderedPageBreak/>
        <w:t xml:space="preserve">thematic convergence between these domains, reflecting the sector’s recognition of the necessity for resilient cryptographic systems. This progression aligns with Schwabe’s (2020) assertion that lattice-based cryptography, particularly Module Learning </w:t>
      </w:r>
      <w:proofErr w:type="gramStart"/>
      <w:r w:rsidRPr="008510AE">
        <w:rPr>
          <w:sz w:val="24"/>
          <w:szCs w:val="24"/>
        </w:rPr>
        <w:t>With</w:t>
      </w:r>
      <w:proofErr w:type="gramEnd"/>
      <w:r w:rsidRPr="008510AE">
        <w:rPr>
          <w:sz w:val="24"/>
          <w:szCs w:val="24"/>
        </w:rPr>
        <w:t xml:space="preserve"> Errors (MLWE) foundations, provides robust </w:t>
      </w:r>
      <w:proofErr w:type="spellStart"/>
      <w:r w:rsidRPr="008510AE">
        <w:rPr>
          <w:sz w:val="24"/>
          <w:szCs w:val="24"/>
        </w:rPr>
        <w:t>defenses</w:t>
      </w:r>
      <w:proofErr w:type="spellEnd"/>
      <w:r w:rsidRPr="008510AE">
        <w:rPr>
          <w:sz w:val="24"/>
          <w:szCs w:val="24"/>
        </w:rPr>
        <w:t xml:space="preserve"> against quantum adversaries and corroborates Gbadebo’s (2025) emphasis on CRYSTALS-Kyber as an essential component for securing financial data.</w:t>
      </w:r>
    </w:p>
    <w:p w14:paraId="18B3CE24" w14:textId="77777777" w:rsidR="00015978" w:rsidRPr="008510AE" w:rsidRDefault="003903D0">
      <w:pPr>
        <w:spacing w:before="160" w:after="160"/>
        <w:rPr>
          <w:sz w:val="24"/>
          <w:szCs w:val="24"/>
        </w:rPr>
      </w:pPr>
      <w:r w:rsidRPr="008510AE">
        <w:rPr>
          <w:sz w:val="24"/>
          <w:szCs w:val="24"/>
        </w:rPr>
        <w:t xml:space="preserve">Moreover, the comparative analysis of security breaches and financial losses (Table 2) </w:t>
      </w:r>
      <w:r w:rsidR="002E110D">
        <w:rPr>
          <w:sz w:val="24"/>
          <w:szCs w:val="24"/>
        </w:rPr>
        <w:t xml:space="preserve">provides empirical </w:t>
      </w:r>
      <w:r w:rsidR="00DF4267">
        <w:rPr>
          <w:sz w:val="24"/>
          <w:szCs w:val="24"/>
        </w:rPr>
        <w:t>evidence for the effectiveness of blockchain technology in protecting</w:t>
      </w:r>
      <w:r w:rsidRPr="008510AE">
        <w:rPr>
          <w:sz w:val="24"/>
          <w:szCs w:val="24"/>
        </w:rPr>
        <w:t xml:space="preserve"> financial institutions against conventional cyber threats. Institutions </w:t>
      </w:r>
      <w:r w:rsidR="002E110D">
        <w:rPr>
          <w:sz w:val="24"/>
          <w:szCs w:val="24"/>
        </w:rPr>
        <w:t xml:space="preserve">that integrate blockchain frameworks have experienced a </w:t>
      </w:r>
      <w:r w:rsidR="00DF4267">
        <w:rPr>
          <w:sz w:val="24"/>
          <w:szCs w:val="24"/>
        </w:rPr>
        <w:t>significant reduction in breach incidents and financial damages, as illustrated</w:t>
      </w:r>
      <w:r w:rsidRPr="008510AE">
        <w:rPr>
          <w:sz w:val="24"/>
          <w:szCs w:val="24"/>
        </w:rPr>
        <w:t xml:space="preserve"> in Figures 3 and 4. The statistically significant t-test results reinforce the operational advantages of blockchain adoption. These results are congruent with Habib et al. (2022), who underscore blockchain’s capacity to enhance transactional integrity through decentralized architectures, and Salami et al. (2025), who identify its pivotal role in reducing systemic vulnerabilities.</w:t>
      </w:r>
    </w:p>
    <w:p w14:paraId="44F7EA0F" w14:textId="77777777" w:rsidR="00015978" w:rsidRPr="008510AE" w:rsidRDefault="003903D0">
      <w:pPr>
        <w:spacing w:before="160" w:after="160"/>
        <w:rPr>
          <w:sz w:val="24"/>
          <w:szCs w:val="24"/>
        </w:rPr>
      </w:pPr>
      <w:r w:rsidRPr="008510AE">
        <w:rPr>
          <w:sz w:val="24"/>
          <w:szCs w:val="24"/>
        </w:rPr>
        <w:t xml:space="preserve">Notably, while blockchain offers immediate security benefits, its long-term sustainability is compromised without quantum resistance, as highlighted by </w:t>
      </w:r>
      <w:proofErr w:type="spellStart"/>
      <w:r w:rsidRPr="008510AE">
        <w:rPr>
          <w:sz w:val="24"/>
          <w:szCs w:val="24"/>
        </w:rPr>
        <w:t>Elkhodr</w:t>
      </w:r>
      <w:proofErr w:type="spellEnd"/>
      <w:r w:rsidRPr="008510AE">
        <w:rPr>
          <w:sz w:val="24"/>
          <w:szCs w:val="24"/>
        </w:rPr>
        <w:t xml:space="preserve"> (2025) and </w:t>
      </w:r>
      <w:proofErr w:type="spellStart"/>
      <w:r w:rsidRPr="008510AE">
        <w:rPr>
          <w:sz w:val="24"/>
          <w:szCs w:val="24"/>
        </w:rPr>
        <w:t>Baseri</w:t>
      </w:r>
      <w:proofErr w:type="spellEnd"/>
      <w:r w:rsidRPr="008510AE">
        <w:rPr>
          <w:sz w:val="24"/>
          <w:szCs w:val="24"/>
        </w:rPr>
        <w:t xml:space="preserve"> et al. (2024). The research thus substantiates </w:t>
      </w:r>
      <w:r w:rsidR="002E110D">
        <w:rPr>
          <w:sz w:val="24"/>
          <w:szCs w:val="24"/>
        </w:rPr>
        <w:t xml:space="preserve">the arguments made by Gharavi et al. (2024) and Gbadebo (2025) that PQC integration is indispensable for mitigating the </w:t>
      </w:r>
      <w:r w:rsidRPr="008510AE">
        <w:rPr>
          <w:sz w:val="24"/>
          <w:szCs w:val="24"/>
        </w:rPr>
        <w:t>emergent threats posed by quantum computing capabilities.</w:t>
      </w:r>
    </w:p>
    <w:p w14:paraId="75DB1704" w14:textId="77777777" w:rsidR="00015978" w:rsidRPr="008510AE" w:rsidRDefault="003903D0">
      <w:pPr>
        <w:spacing w:before="160" w:after="160"/>
        <w:rPr>
          <w:sz w:val="24"/>
          <w:szCs w:val="24"/>
        </w:rPr>
      </w:pPr>
      <w:r w:rsidRPr="008510AE">
        <w:rPr>
          <w:sz w:val="24"/>
          <w:szCs w:val="24"/>
        </w:rPr>
        <w:t xml:space="preserve">Furthermore, the FMEA results (Table 3) </w:t>
      </w:r>
      <w:r w:rsidR="002E110D">
        <w:rPr>
          <w:sz w:val="24"/>
          <w:szCs w:val="24"/>
        </w:rPr>
        <w:t xml:space="preserve">highlight the multifaceted challenges that financial institutions face </w:t>
      </w:r>
      <w:r w:rsidRPr="008510AE">
        <w:rPr>
          <w:sz w:val="24"/>
          <w:szCs w:val="24"/>
        </w:rPr>
        <w:t xml:space="preserve">as they </w:t>
      </w:r>
      <w:r w:rsidR="00DF4267">
        <w:rPr>
          <w:sz w:val="24"/>
          <w:szCs w:val="24"/>
        </w:rPr>
        <w:t>integrate PQC</w:t>
      </w:r>
      <w:r w:rsidRPr="008510AE">
        <w:rPr>
          <w:sz w:val="24"/>
          <w:szCs w:val="24"/>
        </w:rPr>
        <w:t xml:space="preserve">. The predominance of Key Management Complexity, with an RPN of 480, </w:t>
      </w:r>
      <w:r w:rsidR="002E110D">
        <w:rPr>
          <w:sz w:val="24"/>
          <w:szCs w:val="24"/>
        </w:rPr>
        <w:t>highlights the critical need for scalable and</w:t>
      </w:r>
      <w:r w:rsidRPr="008510AE">
        <w:rPr>
          <w:sz w:val="24"/>
          <w:szCs w:val="24"/>
        </w:rPr>
        <w:t xml:space="preserve"> secure key lifecycle management strategies, corroborating concerns raised by Shah et al. (2025) and Alao et al. (2024) regarding the burdens imposed by larger lattice-based key sizes. Legacy System Compatibility and Scalability Challenges, as depicted in Figures 5 and 6, further complicate the operational landscape, consistent with </w:t>
      </w:r>
      <w:proofErr w:type="spellStart"/>
      <w:r w:rsidRPr="008510AE">
        <w:rPr>
          <w:sz w:val="24"/>
          <w:szCs w:val="24"/>
        </w:rPr>
        <w:t>Aydeger</w:t>
      </w:r>
      <w:proofErr w:type="spellEnd"/>
      <w:r w:rsidRPr="008510AE">
        <w:rPr>
          <w:sz w:val="24"/>
          <w:szCs w:val="24"/>
        </w:rPr>
        <w:t xml:space="preserve"> et al. (2024), who emphasize the structural rigidity of entrenched financial systems.</w:t>
      </w:r>
    </w:p>
    <w:p w14:paraId="710EDEEC" w14:textId="77777777" w:rsidR="00015978" w:rsidRPr="008510AE" w:rsidRDefault="003903D0">
      <w:pPr>
        <w:spacing w:before="160" w:after="160"/>
        <w:rPr>
          <w:sz w:val="24"/>
          <w:szCs w:val="24"/>
        </w:rPr>
      </w:pPr>
      <w:r w:rsidRPr="008510AE">
        <w:rPr>
          <w:sz w:val="24"/>
          <w:szCs w:val="24"/>
        </w:rPr>
        <w:t xml:space="preserve">While Compliance and Regulation, Operational Cost, and Staff Skill Gaps registered lower RPNs, they remain non-trivial barriers to full PQC adoption. These findings align with </w:t>
      </w:r>
      <w:proofErr w:type="spellStart"/>
      <w:r w:rsidRPr="008510AE">
        <w:rPr>
          <w:sz w:val="24"/>
          <w:szCs w:val="24"/>
        </w:rPr>
        <w:t>PQShield’s</w:t>
      </w:r>
      <w:proofErr w:type="spellEnd"/>
      <w:r w:rsidRPr="008510AE">
        <w:rPr>
          <w:sz w:val="24"/>
          <w:szCs w:val="24"/>
        </w:rPr>
        <w:t xml:space="preserve"> (2025) position on the necessity of comprehensive, phased cryptographic transitions and Rashid et al.’s (2024) documentation of the prolonged challenges experienced during the deprecation of Triple DES. Indeed, the historical precedent affirms that without proactive and agile approaches, the transition to PQC will likely encounter similar systemic inertia, a concern mirrored in Gbadebo’s (2025) critique of institutional unpreparedness.</w:t>
      </w:r>
    </w:p>
    <w:p w14:paraId="628B0848" w14:textId="77777777" w:rsidR="00015978" w:rsidRDefault="003903D0">
      <w:pPr>
        <w:spacing w:before="160" w:after="160"/>
        <w:rPr>
          <w:sz w:val="24"/>
          <w:szCs w:val="24"/>
        </w:rPr>
      </w:pPr>
      <w:r w:rsidRPr="008510AE">
        <w:rPr>
          <w:sz w:val="24"/>
          <w:szCs w:val="24"/>
        </w:rPr>
        <w:lastRenderedPageBreak/>
        <w:t>The empirical evidence presented in this study, therefore, substantiates the critical imperative for financial institutions to not only adopt blockchain solutions but also strategically integrate quantum-resistant protocols. Only through a deliberate, multi-dimensional approach encompassing cryptographic agility, scalable key management, and infrastructural adaptation can enduring security and operational resilience be realized.</w:t>
      </w:r>
    </w:p>
    <w:p w14:paraId="0AC99870" w14:textId="77777777" w:rsidR="00DF4267" w:rsidRPr="0047564A" w:rsidRDefault="00DF4267" w:rsidP="00DF4267">
      <w:pPr>
        <w:pStyle w:val="Heading2"/>
        <w:rPr>
          <w:b/>
          <w:sz w:val="24"/>
          <w:szCs w:val="24"/>
        </w:rPr>
      </w:pPr>
      <w:r w:rsidRPr="0047564A">
        <w:rPr>
          <w:b/>
          <w:sz w:val="24"/>
          <w:szCs w:val="24"/>
        </w:rPr>
        <w:t>Proposed Cryptographic Agility Model for Financial Infrastructures</w:t>
      </w:r>
    </w:p>
    <w:p w14:paraId="72E9B1D6" w14:textId="77777777" w:rsidR="00DF4267" w:rsidRPr="0047564A" w:rsidRDefault="00DF4267" w:rsidP="00DF4267">
      <w:pPr>
        <w:pStyle w:val="NormalWeb"/>
        <w:rPr>
          <w:rFonts w:ascii="Arial" w:hAnsi="Arial" w:cs="Arial"/>
        </w:rPr>
      </w:pPr>
      <w:r w:rsidRPr="0047564A">
        <w:rPr>
          <w:rFonts w:ascii="Arial" w:hAnsi="Arial" w:cs="Arial"/>
        </w:rPr>
        <w:t>Building directly upon Gbadebo’s (2025) agility scoring framework</w:t>
      </w:r>
      <w:r w:rsidR="0047564A">
        <w:rPr>
          <w:rFonts w:ascii="Arial" w:hAnsi="Arial" w:cs="Arial"/>
        </w:rPr>
        <w:t xml:space="preserve">, which identified CRYSTALS-Kyber as the most adaptable post-quantum cryptographic (PQC) algorithm, </w:t>
      </w:r>
      <w:r w:rsidRPr="0047564A">
        <w:rPr>
          <w:rFonts w:ascii="Arial" w:hAnsi="Arial" w:cs="Arial"/>
        </w:rPr>
        <w:t>this study proposes a multi-layered cryptographic agility model tailored to financial institutions facing quantum-era threats. While Gbadebo emphasized the conceptual urgency of crypto-agility, the current research translates that framework into an actionable model designed to support seamless PQC adoption, integration with blockchain key exchanges, and long-term resilience in legacy systems.</w:t>
      </w:r>
    </w:p>
    <w:p w14:paraId="0A5864F1" w14:textId="77777777" w:rsidR="00DF4267" w:rsidRDefault="00DF4267" w:rsidP="00DF4267">
      <w:pPr>
        <w:pStyle w:val="NormalWeb"/>
        <w:rPr>
          <w:rFonts w:ascii="Arial" w:hAnsi="Arial" w:cs="Arial"/>
        </w:rPr>
      </w:pPr>
      <w:r w:rsidRPr="0047564A">
        <w:rPr>
          <w:rFonts w:ascii="Arial" w:hAnsi="Arial" w:cs="Arial"/>
        </w:rPr>
        <w:t xml:space="preserve">The model comprises </w:t>
      </w:r>
      <w:r w:rsidRPr="0047564A">
        <w:rPr>
          <w:rStyle w:val="Strong"/>
          <w:rFonts w:ascii="Arial" w:hAnsi="Arial" w:cs="Arial"/>
          <w:b w:val="0"/>
        </w:rPr>
        <w:t>four interdependent layers</w:t>
      </w:r>
      <w:r w:rsidRPr="0047564A">
        <w:rPr>
          <w:rFonts w:ascii="Arial" w:hAnsi="Arial" w:cs="Arial"/>
        </w:rPr>
        <w:t xml:space="preserve">: </w:t>
      </w:r>
      <w:r w:rsidRPr="0047564A">
        <w:rPr>
          <w:rStyle w:val="Emphasis"/>
          <w:rFonts w:ascii="Arial" w:hAnsi="Arial" w:cs="Arial"/>
          <w:i w:val="0"/>
        </w:rPr>
        <w:t>Governance, Infrastructure, Algorithm Management,</w:t>
      </w:r>
      <w:r w:rsidRPr="0047564A">
        <w:rPr>
          <w:rFonts w:ascii="Arial" w:hAnsi="Arial" w:cs="Arial"/>
          <w:i/>
        </w:rPr>
        <w:t xml:space="preserve"> and </w:t>
      </w:r>
      <w:r w:rsidRPr="0047564A">
        <w:rPr>
          <w:rStyle w:val="Emphasis"/>
          <w:rFonts w:ascii="Arial" w:hAnsi="Arial" w:cs="Arial"/>
          <w:i w:val="0"/>
        </w:rPr>
        <w:t>Operational Readiness</w:t>
      </w:r>
      <w:r w:rsidRPr="0047564A">
        <w:rPr>
          <w:rFonts w:ascii="Arial" w:hAnsi="Arial" w:cs="Arial"/>
        </w:rPr>
        <w:t>. Together, these layers establish the institutional capacity to adapt to emerging cryptographic standards without compromising data integrity or system continuity.</w:t>
      </w:r>
    </w:p>
    <w:p w14:paraId="7C253150" w14:textId="77777777" w:rsidR="00F06E4A" w:rsidRPr="0047564A" w:rsidRDefault="00F06E4A" w:rsidP="00DF4267">
      <w:pPr>
        <w:pStyle w:val="NormalWeb"/>
        <w:rPr>
          <w:rFonts w:ascii="Arial" w:hAnsi="Arial" w:cs="Arial"/>
        </w:rPr>
      </w:pPr>
      <w:r>
        <w:rPr>
          <w:rFonts w:ascii="Arial" w:hAnsi="Arial" w:cs="Arial"/>
        </w:rPr>
        <w:t xml:space="preserve">Table 4: key components of the </w:t>
      </w:r>
      <w:r w:rsidRPr="0047564A">
        <w:rPr>
          <w:rFonts w:ascii="Arial" w:hAnsi="Arial" w:cs="Arial"/>
        </w:rPr>
        <w:t xml:space="preserve">multi-layered cryptographic agility model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7"/>
        <w:gridCol w:w="3110"/>
        <w:gridCol w:w="3733"/>
      </w:tblGrid>
      <w:tr w:rsidR="00DF4267" w:rsidRPr="0047564A" w14:paraId="548426B5" w14:textId="77777777" w:rsidTr="0047564A">
        <w:trPr>
          <w:tblHeader/>
          <w:tblCellSpacing w:w="15" w:type="dxa"/>
        </w:trPr>
        <w:tc>
          <w:tcPr>
            <w:tcW w:w="0" w:type="auto"/>
            <w:vAlign w:val="center"/>
            <w:hideMark/>
          </w:tcPr>
          <w:p w14:paraId="39E1BA02" w14:textId="77777777" w:rsidR="00DF4267" w:rsidRPr="0047564A" w:rsidRDefault="00DF4267">
            <w:pPr>
              <w:jc w:val="center"/>
              <w:rPr>
                <w:b/>
                <w:bCs/>
                <w:sz w:val="24"/>
                <w:szCs w:val="24"/>
              </w:rPr>
            </w:pPr>
            <w:r w:rsidRPr="0047564A">
              <w:rPr>
                <w:b/>
                <w:bCs/>
                <w:sz w:val="24"/>
                <w:szCs w:val="24"/>
              </w:rPr>
              <w:t>Layer</w:t>
            </w:r>
          </w:p>
        </w:tc>
        <w:tc>
          <w:tcPr>
            <w:tcW w:w="0" w:type="auto"/>
            <w:vAlign w:val="center"/>
            <w:hideMark/>
          </w:tcPr>
          <w:p w14:paraId="23A9A097" w14:textId="77777777" w:rsidR="00DF4267" w:rsidRPr="0047564A" w:rsidRDefault="00DF4267">
            <w:pPr>
              <w:jc w:val="center"/>
              <w:rPr>
                <w:b/>
                <w:bCs/>
                <w:sz w:val="24"/>
                <w:szCs w:val="24"/>
              </w:rPr>
            </w:pPr>
            <w:r w:rsidRPr="0047564A">
              <w:rPr>
                <w:b/>
                <w:bCs/>
                <w:sz w:val="24"/>
                <w:szCs w:val="24"/>
              </w:rPr>
              <w:t>Description</w:t>
            </w:r>
          </w:p>
        </w:tc>
        <w:tc>
          <w:tcPr>
            <w:tcW w:w="0" w:type="auto"/>
            <w:vAlign w:val="center"/>
            <w:hideMark/>
          </w:tcPr>
          <w:p w14:paraId="3D828DBB" w14:textId="77777777" w:rsidR="00DF4267" w:rsidRPr="0047564A" w:rsidRDefault="00DF4267">
            <w:pPr>
              <w:jc w:val="center"/>
              <w:rPr>
                <w:b/>
                <w:bCs/>
                <w:sz w:val="24"/>
                <w:szCs w:val="24"/>
              </w:rPr>
            </w:pPr>
            <w:r w:rsidRPr="0047564A">
              <w:rPr>
                <w:b/>
                <w:bCs/>
                <w:sz w:val="24"/>
                <w:szCs w:val="24"/>
              </w:rPr>
              <w:t>Key Functions</w:t>
            </w:r>
          </w:p>
        </w:tc>
      </w:tr>
      <w:tr w:rsidR="00DF4267" w:rsidRPr="0047564A" w14:paraId="22C38CDA" w14:textId="77777777" w:rsidTr="0047564A">
        <w:trPr>
          <w:tblCellSpacing w:w="15" w:type="dxa"/>
        </w:trPr>
        <w:tc>
          <w:tcPr>
            <w:tcW w:w="0" w:type="auto"/>
            <w:vAlign w:val="center"/>
            <w:hideMark/>
          </w:tcPr>
          <w:p w14:paraId="6CCDDD8B" w14:textId="77777777" w:rsidR="00DF4267" w:rsidRPr="0047564A" w:rsidRDefault="00DF4267">
            <w:pPr>
              <w:rPr>
                <w:sz w:val="24"/>
                <w:szCs w:val="24"/>
              </w:rPr>
            </w:pPr>
            <w:r w:rsidRPr="0047564A">
              <w:rPr>
                <w:rStyle w:val="Strong"/>
                <w:sz w:val="24"/>
                <w:szCs w:val="24"/>
              </w:rPr>
              <w:t>1. Governance &amp; Compliance</w:t>
            </w:r>
          </w:p>
        </w:tc>
        <w:tc>
          <w:tcPr>
            <w:tcW w:w="0" w:type="auto"/>
            <w:vAlign w:val="center"/>
            <w:hideMark/>
          </w:tcPr>
          <w:p w14:paraId="30B91E00" w14:textId="77777777" w:rsidR="00DF4267" w:rsidRPr="0047564A" w:rsidRDefault="00DF4267">
            <w:pPr>
              <w:rPr>
                <w:sz w:val="24"/>
                <w:szCs w:val="24"/>
              </w:rPr>
            </w:pPr>
            <w:r w:rsidRPr="0047564A">
              <w:rPr>
                <w:sz w:val="24"/>
                <w:szCs w:val="24"/>
              </w:rPr>
              <w:t xml:space="preserve">Strategic alignment with FS-ISAC, </w:t>
            </w:r>
            <w:proofErr w:type="spellStart"/>
            <w:r w:rsidRPr="0047564A">
              <w:rPr>
                <w:sz w:val="24"/>
                <w:szCs w:val="24"/>
              </w:rPr>
              <w:t>PQShield</w:t>
            </w:r>
            <w:proofErr w:type="spellEnd"/>
            <w:r w:rsidRPr="0047564A">
              <w:rPr>
                <w:sz w:val="24"/>
                <w:szCs w:val="24"/>
              </w:rPr>
              <w:t>, and NIST guidelines</w:t>
            </w:r>
          </w:p>
        </w:tc>
        <w:tc>
          <w:tcPr>
            <w:tcW w:w="0" w:type="auto"/>
            <w:vAlign w:val="center"/>
            <w:hideMark/>
          </w:tcPr>
          <w:p w14:paraId="48C0AD42" w14:textId="77777777" w:rsidR="00DF4267" w:rsidRPr="0047564A" w:rsidRDefault="00DF4267">
            <w:pPr>
              <w:rPr>
                <w:sz w:val="24"/>
                <w:szCs w:val="24"/>
              </w:rPr>
            </w:pPr>
            <w:r w:rsidRPr="0047564A">
              <w:rPr>
                <w:sz w:val="24"/>
                <w:szCs w:val="24"/>
              </w:rPr>
              <w:t xml:space="preserve">Risk assessment, PQC migration policy development, </w:t>
            </w:r>
            <w:r w:rsidR="0047564A">
              <w:rPr>
                <w:sz w:val="24"/>
                <w:szCs w:val="24"/>
              </w:rPr>
              <w:t xml:space="preserve">and </w:t>
            </w:r>
            <w:r w:rsidRPr="0047564A">
              <w:rPr>
                <w:sz w:val="24"/>
                <w:szCs w:val="24"/>
              </w:rPr>
              <w:t>regulatory synchronization</w:t>
            </w:r>
          </w:p>
        </w:tc>
      </w:tr>
      <w:tr w:rsidR="00DF4267" w:rsidRPr="0047564A" w14:paraId="1CC0A241" w14:textId="77777777" w:rsidTr="0047564A">
        <w:trPr>
          <w:tblCellSpacing w:w="15" w:type="dxa"/>
        </w:trPr>
        <w:tc>
          <w:tcPr>
            <w:tcW w:w="0" w:type="auto"/>
            <w:vAlign w:val="center"/>
            <w:hideMark/>
          </w:tcPr>
          <w:p w14:paraId="42FF52CC" w14:textId="77777777" w:rsidR="00DF4267" w:rsidRPr="0047564A" w:rsidRDefault="00DF4267">
            <w:pPr>
              <w:rPr>
                <w:sz w:val="24"/>
                <w:szCs w:val="24"/>
              </w:rPr>
            </w:pPr>
            <w:r w:rsidRPr="0047564A">
              <w:rPr>
                <w:rStyle w:val="Strong"/>
                <w:sz w:val="24"/>
                <w:szCs w:val="24"/>
              </w:rPr>
              <w:t>2. Infrastructure Adaptability</w:t>
            </w:r>
          </w:p>
        </w:tc>
        <w:tc>
          <w:tcPr>
            <w:tcW w:w="0" w:type="auto"/>
            <w:vAlign w:val="center"/>
            <w:hideMark/>
          </w:tcPr>
          <w:p w14:paraId="58184083" w14:textId="77777777" w:rsidR="00DF4267" w:rsidRPr="0047564A" w:rsidRDefault="00DF4267">
            <w:pPr>
              <w:rPr>
                <w:sz w:val="24"/>
                <w:szCs w:val="24"/>
              </w:rPr>
            </w:pPr>
            <w:r w:rsidRPr="0047564A">
              <w:rPr>
                <w:sz w:val="24"/>
                <w:szCs w:val="24"/>
              </w:rPr>
              <w:t>Modular system architecture and hardware readiness for PQC deployment</w:t>
            </w:r>
          </w:p>
        </w:tc>
        <w:tc>
          <w:tcPr>
            <w:tcW w:w="0" w:type="auto"/>
            <w:vAlign w:val="center"/>
            <w:hideMark/>
          </w:tcPr>
          <w:p w14:paraId="356FCAB7" w14:textId="77777777" w:rsidR="00DF4267" w:rsidRPr="0047564A" w:rsidRDefault="00DF4267">
            <w:pPr>
              <w:rPr>
                <w:sz w:val="24"/>
                <w:szCs w:val="24"/>
              </w:rPr>
            </w:pPr>
            <w:r w:rsidRPr="0047564A">
              <w:rPr>
                <w:sz w:val="24"/>
                <w:szCs w:val="24"/>
              </w:rPr>
              <w:t>Hardware acceleration (e.g., AVX2), HSM upgrades, cloud migration pathways</w:t>
            </w:r>
          </w:p>
        </w:tc>
      </w:tr>
      <w:tr w:rsidR="00DF4267" w:rsidRPr="0047564A" w14:paraId="67B292D4" w14:textId="77777777" w:rsidTr="0047564A">
        <w:trPr>
          <w:tblCellSpacing w:w="15" w:type="dxa"/>
        </w:trPr>
        <w:tc>
          <w:tcPr>
            <w:tcW w:w="0" w:type="auto"/>
            <w:vAlign w:val="center"/>
            <w:hideMark/>
          </w:tcPr>
          <w:p w14:paraId="251D4DF0" w14:textId="77777777" w:rsidR="00DF4267" w:rsidRPr="0047564A" w:rsidRDefault="00DF4267">
            <w:pPr>
              <w:rPr>
                <w:sz w:val="24"/>
                <w:szCs w:val="24"/>
              </w:rPr>
            </w:pPr>
            <w:r w:rsidRPr="0047564A">
              <w:rPr>
                <w:rStyle w:val="Strong"/>
                <w:sz w:val="24"/>
                <w:szCs w:val="24"/>
              </w:rPr>
              <w:t>3. Algorithm Agility &amp; Lifecycle Management</w:t>
            </w:r>
          </w:p>
        </w:tc>
        <w:tc>
          <w:tcPr>
            <w:tcW w:w="0" w:type="auto"/>
            <w:vAlign w:val="center"/>
            <w:hideMark/>
          </w:tcPr>
          <w:p w14:paraId="7043BE1C" w14:textId="77777777" w:rsidR="00DF4267" w:rsidRPr="0047564A" w:rsidRDefault="00DF4267">
            <w:pPr>
              <w:rPr>
                <w:sz w:val="24"/>
                <w:szCs w:val="24"/>
              </w:rPr>
            </w:pPr>
            <w:r w:rsidRPr="0047564A">
              <w:rPr>
                <w:sz w:val="24"/>
                <w:szCs w:val="24"/>
              </w:rPr>
              <w:t>Seamless transition between cryptographic primitives</w:t>
            </w:r>
          </w:p>
        </w:tc>
        <w:tc>
          <w:tcPr>
            <w:tcW w:w="0" w:type="auto"/>
            <w:vAlign w:val="center"/>
            <w:hideMark/>
          </w:tcPr>
          <w:p w14:paraId="71E134C6" w14:textId="77777777" w:rsidR="00DF4267" w:rsidRPr="0047564A" w:rsidRDefault="00DF4267">
            <w:pPr>
              <w:rPr>
                <w:sz w:val="24"/>
                <w:szCs w:val="24"/>
              </w:rPr>
            </w:pPr>
            <w:r w:rsidRPr="0047564A">
              <w:rPr>
                <w:sz w:val="24"/>
                <w:szCs w:val="24"/>
              </w:rPr>
              <w:t>Integration of Hybrid-KEMs, support for dual-mode encryption, dynamic algorithm versioning</w:t>
            </w:r>
          </w:p>
        </w:tc>
      </w:tr>
      <w:tr w:rsidR="00DF4267" w:rsidRPr="0047564A" w14:paraId="584441F1" w14:textId="77777777" w:rsidTr="0047564A">
        <w:trPr>
          <w:tblCellSpacing w:w="15" w:type="dxa"/>
        </w:trPr>
        <w:tc>
          <w:tcPr>
            <w:tcW w:w="0" w:type="auto"/>
            <w:vAlign w:val="center"/>
            <w:hideMark/>
          </w:tcPr>
          <w:p w14:paraId="48B7B571" w14:textId="77777777" w:rsidR="00DF4267" w:rsidRPr="0047564A" w:rsidRDefault="00DF4267">
            <w:pPr>
              <w:rPr>
                <w:sz w:val="24"/>
                <w:szCs w:val="24"/>
              </w:rPr>
            </w:pPr>
            <w:r w:rsidRPr="0047564A">
              <w:rPr>
                <w:rStyle w:val="Strong"/>
                <w:sz w:val="24"/>
                <w:szCs w:val="24"/>
              </w:rPr>
              <w:t>4. Operational Resilience</w:t>
            </w:r>
          </w:p>
        </w:tc>
        <w:tc>
          <w:tcPr>
            <w:tcW w:w="0" w:type="auto"/>
            <w:vAlign w:val="center"/>
            <w:hideMark/>
          </w:tcPr>
          <w:p w14:paraId="4AB89581" w14:textId="77777777" w:rsidR="00DF4267" w:rsidRPr="0047564A" w:rsidRDefault="00DF4267">
            <w:pPr>
              <w:rPr>
                <w:sz w:val="24"/>
                <w:szCs w:val="24"/>
              </w:rPr>
            </w:pPr>
            <w:r w:rsidRPr="0047564A">
              <w:rPr>
                <w:sz w:val="24"/>
                <w:szCs w:val="24"/>
              </w:rPr>
              <w:t>Workforce preparedness and failover strategies</w:t>
            </w:r>
          </w:p>
        </w:tc>
        <w:tc>
          <w:tcPr>
            <w:tcW w:w="0" w:type="auto"/>
            <w:vAlign w:val="center"/>
            <w:hideMark/>
          </w:tcPr>
          <w:p w14:paraId="264C4D75" w14:textId="77777777" w:rsidR="00DF4267" w:rsidRPr="0047564A" w:rsidRDefault="00DF4267">
            <w:pPr>
              <w:rPr>
                <w:sz w:val="24"/>
                <w:szCs w:val="24"/>
              </w:rPr>
            </w:pPr>
            <w:r w:rsidRPr="0047564A">
              <w:rPr>
                <w:sz w:val="24"/>
                <w:szCs w:val="24"/>
              </w:rPr>
              <w:t>Training, cryptographic breach simulations, phased implementation in legacy systems</w:t>
            </w:r>
          </w:p>
        </w:tc>
      </w:tr>
    </w:tbl>
    <w:p w14:paraId="4DA29C7B" w14:textId="77777777" w:rsidR="00DF4267" w:rsidRPr="0047564A" w:rsidRDefault="00DF4267" w:rsidP="00DF4267">
      <w:pPr>
        <w:pStyle w:val="NormalWeb"/>
        <w:rPr>
          <w:rFonts w:ascii="Arial" w:hAnsi="Arial" w:cs="Arial"/>
        </w:rPr>
      </w:pPr>
      <w:r w:rsidRPr="0047564A">
        <w:rPr>
          <w:rFonts w:ascii="Arial" w:hAnsi="Arial" w:cs="Arial"/>
        </w:rPr>
        <w:t xml:space="preserve">Each component directly addresses risks surfaced in this study’s Failure Mode and Effects Analysis (FMEA), such as </w:t>
      </w:r>
      <w:r w:rsidRPr="0047564A">
        <w:rPr>
          <w:rStyle w:val="Strong"/>
          <w:rFonts w:ascii="Arial" w:hAnsi="Arial" w:cs="Arial"/>
          <w:b w:val="0"/>
        </w:rPr>
        <w:t>key management complexity (RPN = 480)</w:t>
      </w:r>
      <w:r w:rsidRPr="0047564A">
        <w:rPr>
          <w:rFonts w:ascii="Arial" w:hAnsi="Arial" w:cs="Arial"/>
        </w:rPr>
        <w:t xml:space="preserve"> and system-level scalability constraints.</w:t>
      </w:r>
      <w:r w:rsidR="002D5AE6">
        <w:rPr>
          <w:rFonts w:ascii="Arial" w:hAnsi="Arial" w:cs="Arial"/>
        </w:rPr>
        <w:t xml:space="preserve"> </w:t>
      </w:r>
      <w:r w:rsidRPr="0047564A">
        <w:rPr>
          <w:rFonts w:ascii="Arial" w:hAnsi="Arial" w:cs="Arial"/>
        </w:rPr>
        <w:t xml:space="preserve">Given the documented 54.7% reduction in breach </w:t>
      </w:r>
      <w:r w:rsidRPr="0047564A">
        <w:rPr>
          <w:rFonts w:ascii="Arial" w:hAnsi="Arial" w:cs="Arial"/>
        </w:rPr>
        <w:lastRenderedPageBreak/>
        <w:t xml:space="preserve">frequency and 50.7% lower financial losses among blockchain-adopted institutions, the model embeds </w:t>
      </w:r>
      <w:r w:rsidRPr="0047564A">
        <w:rPr>
          <w:rStyle w:val="Strong"/>
          <w:rFonts w:ascii="Arial" w:hAnsi="Arial" w:cs="Arial"/>
          <w:b w:val="0"/>
        </w:rPr>
        <w:t>blockchain-based key exchange mechanisms</w:t>
      </w:r>
      <w:r w:rsidRPr="0047564A">
        <w:rPr>
          <w:rFonts w:ascii="Arial" w:hAnsi="Arial" w:cs="Arial"/>
        </w:rPr>
        <w:t xml:space="preserve"> into the infrastructure layer. CRYSTALS-Kyber is integrated via </w:t>
      </w:r>
      <w:r w:rsidRPr="0047564A">
        <w:rPr>
          <w:rStyle w:val="Strong"/>
          <w:rFonts w:ascii="Arial" w:hAnsi="Arial" w:cs="Arial"/>
          <w:b w:val="0"/>
        </w:rPr>
        <w:t>Hybrid-KEMs</w:t>
      </w:r>
      <w:r w:rsidRPr="0047564A">
        <w:rPr>
          <w:rFonts w:ascii="Arial" w:hAnsi="Arial" w:cs="Arial"/>
        </w:rPr>
        <w:t xml:space="preserve"> to secure key distribution, enabling compatibility with both classical and quantum-resilient systems. This dual-layered approach ensures security even during transitional phases of cryptographic evolution.</w:t>
      </w:r>
    </w:p>
    <w:p w14:paraId="725A0408" w14:textId="77777777" w:rsidR="00DF4267" w:rsidRPr="0047564A" w:rsidRDefault="00DF4267" w:rsidP="00DF4267">
      <w:pPr>
        <w:pStyle w:val="NormalWeb"/>
        <w:rPr>
          <w:rFonts w:ascii="Arial" w:hAnsi="Arial" w:cs="Arial"/>
        </w:rPr>
      </w:pPr>
      <w:r w:rsidRPr="0047564A">
        <w:rPr>
          <w:rFonts w:ascii="Arial" w:hAnsi="Arial" w:cs="Arial"/>
        </w:rPr>
        <w:t xml:space="preserve">Adapting principles from </w:t>
      </w:r>
      <w:proofErr w:type="spellStart"/>
      <w:r w:rsidRPr="0047564A">
        <w:rPr>
          <w:rFonts w:ascii="Arial" w:hAnsi="Arial" w:cs="Arial"/>
        </w:rPr>
        <w:t>PQShield</w:t>
      </w:r>
      <w:proofErr w:type="spellEnd"/>
      <w:r w:rsidRPr="0047564A">
        <w:rPr>
          <w:rFonts w:ascii="Arial" w:hAnsi="Arial" w:cs="Arial"/>
        </w:rPr>
        <w:t xml:space="preserve"> (2025) and FS-ISAC’s cryptographic transition guidelines, the model outlines an eight-phase implementation roadmap:</w:t>
      </w:r>
    </w:p>
    <w:p w14:paraId="02598F96"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Asset Inventory and Cryptographic Mapping</w:t>
      </w:r>
    </w:p>
    <w:p w14:paraId="40E61787"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Quantum Risk Exposure Assessment</w:t>
      </w:r>
    </w:p>
    <w:p w14:paraId="56216C10"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Policy Formulation and Roadmap Design</w:t>
      </w:r>
    </w:p>
    <w:p w14:paraId="5B3B805F"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Pilot Deployment of PQC-Blockchain Systems</w:t>
      </w:r>
    </w:p>
    <w:p w14:paraId="14B89F32"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Performance Benchmarking and Validation</w:t>
      </w:r>
    </w:p>
    <w:p w14:paraId="09BFFD1C"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Retrofitting Legacy Infrastructure</w:t>
      </w:r>
    </w:p>
    <w:p w14:paraId="255DDAA3"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Institution-Wide PQC Rollout</w:t>
      </w:r>
    </w:p>
    <w:p w14:paraId="1C997349" w14:textId="77777777" w:rsidR="00DF4267" w:rsidRPr="0047564A" w:rsidRDefault="00DF4267" w:rsidP="00DF4267">
      <w:pPr>
        <w:pStyle w:val="NormalWeb"/>
        <w:numPr>
          <w:ilvl w:val="0"/>
          <w:numId w:val="3"/>
        </w:numPr>
        <w:rPr>
          <w:rFonts w:ascii="Arial" w:hAnsi="Arial" w:cs="Arial"/>
          <w:b/>
        </w:rPr>
      </w:pPr>
      <w:r w:rsidRPr="0047564A">
        <w:rPr>
          <w:rStyle w:val="Strong"/>
          <w:rFonts w:ascii="Arial" w:hAnsi="Arial" w:cs="Arial"/>
          <w:b w:val="0"/>
        </w:rPr>
        <w:t>Continuous Monitoring and Threat Response Updates</w:t>
      </w:r>
    </w:p>
    <w:p w14:paraId="45E889B7" w14:textId="77777777" w:rsidR="00DF4267" w:rsidRPr="0047564A" w:rsidRDefault="00DF4267" w:rsidP="00DF4267">
      <w:pPr>
        <w:pStyle w:val="NormalWeb"/>
        <w:rPr>
          <w:rFonts w:ascii="Arial" w:hAnsi="Arial" w:cs="Arial"/>
        </w:rPr>
      </w:pPr>
      <w:r w:rsidRPr="0047564A">
        <w:rPr>
          <w:rFonts w:ascii="Arial" w:hAnsi="Arial" w:cs="Arial"/>
        </w:rPr>
        <w:t>This roadmap is designed to support operational continuity while minimizing risks related to performance degradation and regulatory non-compliance.</w:t>
      </w:r>
    </w:p>
    <w:p w14:paraId="04F8154A" w14:textId="77777777" w:rsidR="00DF4267" w:rsidRPr="0047564A" w:rsidRDefault="00DF4267" w:rsidP="00DF4267">
      <w:pPr>
        <w:pStyle w:val="NormalWeb"/>
        <w:rPr>
          <w:rFonts w:ascii="Arial" w:hAnsi="Arial" w:cs="Arial"/>
        </w:rPr>
      </w:pPr>
    </w:p>
    <w:p w14:paraId="3C556943" w14:textId="77777777" w:rsidR="006E17FB" w:rsidRDefault="00DF4267" w:rsidP="006E17FB">
      <w:pPr>
        <w:pStyle w:val="NormalWeb"/>
        <w:jc w:val="center"/>
        <w:rPr>
          <w:rFonts w:ascii="Arial" w:hAnsi="Arial" w:cs="Arial"/>
        </w:rPr>
      </w:pPr>
      <w:r w:rsidRPr="0047564A">
        <w:rPr>
          <w:rFonts w:ascii="Arial" w:hAnsi="Arial" w:cs="Arial"/>
          <w:noProof/>
        </w:rPr>
        <w:drawing>
          <wp:inline distT="0" distB="0" distL="0" distR="0" wp14:anchorId="20FAF7C0" wp14:editId="56FF40AA">
            <wp:extent cx="5934075" cy="2971800"/>
            <wp:effectExtent l="0" t="0" r="9525" b="0"/>
            <wp:docPr id="7" name="Picture 7" descr="C:\Users\HP\Downloads\Gantt_PQC_Agility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antt_PQC_Agility_Model.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a:ln>
                      <a:noFill/>
                    </a:ln>
                  </pic:spPr>
                </pic:pic>
              </a:graphicData>
            </a:graphic>
          </wp:inline>
        </w:drawing>
      </w:r>
      <w:r w:rsidR="004F7FE7" w:rsidRPr="0047564A">
        <w:rPr>
          <w:rFonts w:ascii="Arial" w:hAnsi="Arial" w:cs="Arial"/>
        </w:rPr>
        <w:t xml:space="preserve">Figure </w:t>
      </w:r>
      <w:r w:rsidR="0047564A" w:rsidRPr="0047564A">
        <w:rPr>
          <w:rFonts w:ascii="Arial" w:hAnsi="Arial" w:cs="Arial"/>
        </w:rPr>
        <w:t>7</w:t>
      </w:r>
      <w:r w:rsidR="004F7FE7" w:rsidRPr="0047564A">
        <w:rPr>
          <w:rFonts w:ascii="Arial" w:hAnsi="Arial" w:cs="Arial"/>
        </w:rPr>
        <w:t>: Eight-phase implementation roadmap for the proposed cryptographic agility model.</w:t>
      </w:r>
    </w:p>
    <w:p w14:paraId="33B3FDB7" w14:textId="77777777" w:rsidR="00DF4267" w:rsidRPr="0047564A" w:rsidRDefault="004F7FE7" w:rsidP="00DF4267">
      <w:pPr>
        <w:pStyle w:val="NormalWeb"/>
        <w:rPr>
          <w:rFonts w:ascii="Arial" w:hAnsi="Arial" w:cs="Arial"/>
        </w:rPr>
      </w:pPr>
      <w:r w:rsidRPr="0047564A">
        <w:rPr>
          <w:rFonts w:ascii="Arial" w:hAnsi="Arial" w:cs="Arial"/>
        </w:rPr>
        <w:t>Each phase addresses key technical and governance milestones required to transition financial infrastructures toward quantum-resilient security.</w:t>
      </w:r>
      <w:r w:rsidR="0047564A" w:rsidRPr="0047564A">
        <w:rPr>
          <w:rFonts w:ascii="Arial" w:hAnsi="Arial" w:cs="Arial"/>
        </w:rPr>
        <w:t xml:space="preserve"> </w:t>
      </w:r>
      <w:r w:rsidR="00DF4267" w:rsidRPr="0047564A">
        <w:rPr>
          <w:rFonts w:ascii="Arial" w:hAnsi="Arial" w:cs="Arial"/>
        </w:rPr>
        <w:t xml:space="preserve">By embedding agility across </w:t>
      </w:r>
      <w:r w:rsidR="00DF4267" w:rsidRPr="0047564A">
        <w:rPr>
          <w:rFonts w:ascii="Arial" w:hAnsi="Arial" w:cs="Arial"/>
        </w:rPr>
        <w:lastRenderedPageBreak/>
        <w:t>governance, technical, and operational domains, the proposed model empowers financial institutions to:</w:t>
      </w:r>
    </w:p>
    <w:p w14:paraId="1B192F2C"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 xml:space="preserve">Rapidly transition to </w:t>
      </w:r>
      <w:r w:rsidR="006E17FB">
        <w:rPr>
          <w:rFonts w:ascii="Arial" w:hAnsi="Arial" w:cs="Arial"/>
        </w:rPr>
        <w:t>NIST-</w:t>
      </w:r>
      <w:proofErr w:type="spellStart"/>
      <w:r w:rsidR="006E17FB">
        <w:rPr>
          <w:rFonts w:ascii="Arial" w:hAnsi="Arial" w:cs="Arial"/>
        </w:rPr>
        <w:t>standardised</w:t>
      </w:r>
      <w:proofErr w:type="spellEnd"/>
      <w:r w:rsidRPr="0047564A">
        <w:rPr>
          <w:rFonts w:ascii="Arial" w:hAnsi="Arial" w:cs="Arial"/>
        </w:rPr>
        <w:t xml:space="preserve"> PQC algorithms.</w:t>
      </w:r>
    </w:p>
    <w:p w14:paraId="30336EB9"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Achieve end-to-end encryption security in hybrid environments.</w:t>
      </w:r>
    </w:p>
    <w:p w14:paraId="402B6A7A"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Reduce vulnerability to both current and quantum-era cyber threats.</w:t>
      </w:r>
    </w:p>
    <w:p w14:paraId="5CA097CB" w14:textId="77777777" w:rsidR="00DF4267" w:rsidRPr="0047564A" w:rsidRDefault="00DF4267" w:rsidP="00DF4267">
      <w:pPr>
        <w:pStyle w:val="NormalWeb"/>
        <w:numPr>
          <w:ilvl w:val="0"/>
          <w:numId w:val="4"/>
        </w:numPr>
        <w:rPr>
          <w:rFonts w:ascii="Arial" w:hAnsi="Arial" w:cs="Arial"/>
        </w:rPr>
      </w:pPr>
      <w:r w:rsidRPr="0047564A">
        <w:rPr>
          <w:rFonts w:ascii="Arial" w:hAnsi="Arial" w:cs="Arial"/>
        </w:rPr>
        <w:t>Align with international compliance mandates through staged implementation.</w:t>
      </w:r>
    </w:p>
    <w:p w14:paraId="17EC3FE8" w14:textId="77777777" w:rsidR="00DF4267" w:rsidRPr="0047564A" w:rsidRDefault="00DF4267" w:rsidP="00DF4267">
      <w:pPr>
        <w:pStyle w:val="NormalWeb"/>
        <w:rPr>
          <w:rFonts w:ascii="Arial" w:hAnsi="Arial" w:cs="Arial"/>
        </w:rPr>
      </w:pPr>
      <w:r w:rsidRPr="0047564A">
        <w:rPr>
          <w:rFonts w:ascii="Arial" w:hAnsi="Arial" w:cs="Arial"/>
        </w:rPr>
        <w:t>This proposed model represents a tangible advancement of Gbadebo’s (2025) conceptual work by providing a detailed, systems-oriented strategy for cryptographic resilience in financial infrastructures.</w:t>
      </w:r>
    </w:p>
    <w:p w14:paraId="5D5C761B" w14:textId="77777777" w:rsidR="00DF4267" w:rsidRPr="008510AE" w:rsidRDefault="00DF4267">
      <w:pPr>
        <w:spacing w:before="160" w:after="160"/>
        <w:rPr>
          <w:sz w:val="24"/>
          <w:szCs w:val="24"/>
        </w:rPr>
      </w:pPr>
    </w:p>
    <w:p w14:paraId="3F2BC6F2" w14:textId="77777777" w:rsidR="00015978" w:rsidRPr="008510AE" w:rsidRDefault="008510AE">
      <w:pPr>
        <w:spacing w:before="160" w:after="160"/>
        <w:rPr>
          <w:b/>
          <w:sz w:val="24"/>
          <w:szCs w:val="24"/>
        </w:rPr>
      </w:pPr>
      <w:r w:rsidRPr="008510AE">
        <w:rPr>
          <w:b/>
          <w:sz w:val="24"/>
          <w:szCs w:val="24"/>
        </w:rPr>
        <w:t xml:space="preserve">5. </w:t>
      </w:r>
      <w:r w:rsidR="003903D0" w:rsidRPr="008510AE">
        <w:rPr>
          <w:b/>
          <w:sz w:val="24"/>
          <w:szCs w:val="24"/>
        </w:rPr>
        <w:t>Conclusion and Recommendation</w:t>
      </w:r>
    </w:p>
    <w:p w14:paraId="0D7C034A" w14:textId="77777777" w:rsidR="00015978" w:rsidRPr="008510AE" w:rsidRDefault="003903D0">
      <w:pPr>
        <w:spacing w:before="160" w:after="160"/>
        <w:rPr>
          <w:sz w:val="24"/>
          <w:szCs w:val="24"/>
        </w:rPr>
      </w:pPr>
      <w:r w:rsidRPr="008510AE">
        <w:rPr>
          <w:sz w:val="24"/>
          <w:szCs w:val="24"/>
        </w:rPr>
        <w:t xml:space="preserve">The findings of this study reaffirm the necessity for financial institutions </w:t>
      </w:r>
      <w:r w:rsidR="002E110D">
        <w:rPr>
          <w:sz w:val="24"/>
          <w:szCs w:val="24"/>
        </w:rPr>
        <w:t>to adapt to the evolving quantum threat environment urgently</w:t>
      </w:r>
      <w:r w:rsidRPr="008510AE">
        <w:rPr>
          <w:sz w:val="24"/>
          <w:szCs w:val="24"/>
        </w:rPr>
        <w:t xml:space="preserve">. The integration of CRYSTALS-Kyber and blockchain-based key exchange has proven </w:t>
      </w:r>
      <w:r w:rsidR="002E110D">
        <w:rPr>
          <w:sz w:val="24"/>
          <w:szCs w:val="24"/>
        </w:rPr>
        <w:t>to enhance security and operational resilience significantly, yet substantial challenges, such as key management complexity and incompatibility with legacy systems,</w:t>
      </w:r>
      <w:r w:rsidRPr="008510AE">
        <w:rPr>
          <w:sz w:val="24"/>
          <w:szCs w:val="24"/>
        </w:rPr>
        <w:t xml:space="preserve"> persist. Addressing these barriers is crucial for institutions aiming to future-proof their infrastructures against quantum-enabled threats. Based on these insights, the following recommendations are proposed:</w:t>
      </w:r>
    </w:p>
    <w:p w14:paraId="6996EB66" w14:textId="77777777" w:rsidR="00015978" w:rsidRPr="008510AE" w:rsidRDefault="003903D0">
      <w:pPr>
        <w:numPr>
          <w:ilvl w:val="0"/>
          <w:numId w:val="1"/>
        </w:numPr>
        <w:spacing w:before="160"/>
        <w:rPr>
          <w:sz w:val="24"/>
          <w:szCs w:val="24"/>
        </w:rPr>
      </w:pPr>
      <w:r w:rsidRPr="008510AE">
        <w:rPr>
          <w:sz w:val="24"/>
          <w:szCs w:val="24"/>
        </w:rPr>
        <w:t>Regulatory bodies should mandate sector-wide PQC adoption timelines aligned with standardized frameworks such as NIST’s ML-KEM.</w:t>
      </w:r>
      <w:r w:rsidRPr="008510AE">
        <w:rPr>
          <w:sz w:val="24"/>
          <w:szCs w:val="24"/>
        </w:rPr>
        <w:br/>
      </w:r>
    </w:p>
    <w:p w14:paraId="5DD186C3" w14:textId="77777777" w:rsidR="00015978" w:rsidRPr="008510AE" w:rsidRDefault="003903D0">
      <w:pPr>
        <w:numPr>
          <w:ilvl w:val="0"/>
          <w:numId w:val="1"/>
        </w:numPr>
        <w:rPr>
          <w:sz w:val="24"/>
          <w:szCs w:val="24"/>
        </w:rPr>
      </w:pPr>
      <w:r w:rsidRPr="008510AE">
        <w:rPr>
          <w:sz w:val="24"/>
          <w:szCs w:val="24"/>
        </w:rPr>
        <w:t>Financial institutions must prioritize investment in cryptographic agility frameworks to enable seamless migration to quantum-resistant protocols.</w:t>
      </w:r>
      <w:r w:rsidRPr="008510AE">
        <w:rPr>
          <w:sz w:val="24"/>
          <w:szCs w:val="24"/>
        </w:rPr>
        <w:br/>
      </w:r>
    </w:p>
    <w:p w14:paraId="4A2BD775" w14:textId="77777777" w:rsidR="00015978" w:rsidRPr="008510AE" w:rsidRDefault="003903D0">
      <w:pPr>
        <w:numPr>
          <w:ilvl w:val="0"/>
          <w:numId w:val="1"/>
        </w:numPr>
        <w:rPr>
          <w:sz w:val="24"/>
          <w:szCs w:val="24"/>
        </w:rPr>
      </w:pPr>
      <w:r w:rsidRPr="008510AE">
        <w:rPr>
          <w:sz w:val="24"/>
          <w:szCs w:val="24"/>
        </w:rPr>
        <w:t xml:space="preserve">Targeted training programs should be developed to address skill gaps related to </w:t>
      </w:r>
      <w:r w:rsidR="006E17FB">
        <w:rPr>
          <w:sz w:val="24"/>
          <w:szCs w:val="24"/>
        </w:rPr>
        <w:t xml:space="preserve">the deployment of PQC </w:t>
      </w:r>
      <w:r w:rsidRPr="008510AE">
        <w:rPr>
          <w:sz w:val="24"/>
          <w:szCs w:val="24"/>
        </w:rPr>
        <w:t>and blockchain integration.</w:t>
      </w:r>
      <w:r w:rsidRPr="008510AE">
        <w:rPr>
          <w:sz w:val="24"/>
          <w:szCs w:val="24"/>
        </w:rPr>
        <w:br/>
      </w:r>
    </w:p>
    <w:p w14:paraId="0EF57D92" w14:textId="77777777" w:rsidR="00015978" w:rsidRPr="008510AE" w:rsidRDefault="003903D0">
      <w:pPr>
        <w:numPr>
          <w:ilvl w:val="0"/>
          <w:numId w:val="1"/>
        </w:numPr>
        <w:spacing w:after="160"/>
        <w:rPr>
          <w:sz w:val="24"/>
          <w:szCs w:val="24"/>
        </w:rPr>
      </w:pPr>
      <w:r w:rsidRPr="008510AE">
        <w:rPr>
          <w:sz w:val="24"/>
          <w:szCs w:val="24"/>
        </w:rPr>
        <w:t>Public-private collaborations should be intensified to fund research and streamline the retrofitting of legacy systems for quantum resilience.</w:t>
      </w:r>
      <w:r w:rsidRPr="008510AE">
        <w:rPr>
          <w:sz w:val="24"/>
          <w:szCs w:val="24"/>
        </w:rPr>
        <w:br/>
      </w:r>
    </w:p>
    <w:p w14:paraId="7ADF0A40" w14:textId="77777777" w:rsidR="00015978" w:rsidRPr="008510AE" w:rsidRDefault="003903D0">
      <w:pPr>
        <w:spacing w:before="160" w:after="160"/>
        <w:rPr>
          <w:sz w:val="24"/>
          <w:szCs w:val="24"/>
        </w:rPr>
      </w:pPr>
      <w:r w:rsidRPr="008510AE">
        <w:rPr>
          <w:sz w:val="24"/>
          <w:szCs w:val="24"/>
        </w:rPr>
        <w:t>These measures will ensure a structured, secure, and efficient transition toward a quantum-secure financial ecosystem.</w:t>
      </w:r>
    </w:p>
    <w:p w14:paraId="59992CA3" w14:textId="77777777" w:rsidR="00015978" w:rsidRPr="008510AE" w:rsidRDefault="00015978">
      <w:pPr>
        <w:spacing w:before="160" w:after="160"/>
        <w:rPr>
          <w:sz w:val="24"/>
          <w:szCs w:val="24"/>
        </w:rPr>
      </w:pPr>
    </w:p>
    <w:p w14:paraId="64525EED" w14:textId="77777777" w:rsidR="007D102C" w:rsidRDefault="007D102C">
      <w:pPr>
        <w:rPr>
          <w:b/>
          <w:sz w:val="24"/>
          <w:szCs w:val="24"/>
        </w:rPr>
      </w:pPr>
      <w:bookmarkStart w:id="8" w:name="_1rlfxgi7bf7q" w:colFirst="0" w:colLast="0"/>
      <w:bookmarkEnd w:id="8"/>
    </w:p>
    <w:p w14:paraId="471091A6" w14:textId="77777777" w:rsidR="00F06E4A" w:rsidRDefault="00F06E4A">
      <w:pPr>
        <w:rPr>
          <w:b/>
          <w:sz w:val="24"/>
          <w:szCs w:val="24"/>
        </w:rPr>
      </w:pPr>
      <w:r>
        <w:rPr>
          <w:b/>
          <w:sz w:val="24"/>
          <w:szCs w:val="24"/>
        </w:rPr>
        <w:br w:type="page"/>
      </w:r>
    </w:p>
    <w:p w14:paraId="7A92584C" w14:textId="77777777" w:rsidR="00C554C1" w:rsidRDefault="00C554C1">
      <w:pPr>
        <w:pStyle w:val="Heading1"/>
        <w:keepNext w:val="0"/>
        <w:keepLines w:val="0"/>
        <w:spacing w:before="0" w:after="0" w:line="480" w:lineRule="auto"/>
        <w:jc w:val="center"/>
        <w:rPr>
          <w:b/>
          <w:sz w:val="24"/>
          <w:szCs w:val="24"/>
        </w:rPr>
      </w:pPr>
    </w:p>
    <w:p w14:paraId="51AC6210" w14:textId="1AAEB53E" w:rsidR="00C554C1" w:rsidRPr="00734EA5" w:rsidRDefault="00C554C1" w:rsidP="00C554C1">
      <w:r w:rsidRPr="00734EA5">
        <w:t>Disclaimer (Artificial intelligence)</w:t>
      </w:r>
    </w:p>
    <w:p w14:paraId="5D3AE138" w14:textId="77777777" w:rsidR="00C554C1" w:rsidRPr="00734EA5" w:rsidRDefault="00C554C1" w:rsidP="00734EA5">
      <w:pPr>
        <w:ind w:firstLine="720"/>
      </w:pPr>
    </w:p>
    <w:p w14:paraId="36DF0047" w14:textId="77777777" w:rsidR="00C554C1" w:rsidRPr="00734EA5" w:rsidRDefault="00C554C1" w:rsidP="00C554C1">
      <w:r w:rsidRPr="00734EA5">
        <w:t xml:space="preserve">Author(s) hereby </w:t>
      </w:r>
      <w:proofErr w:type="gramStart"/>
      <w:r w:rsidRPr="00734EA5">
        <w:t>declare</w:t>
      </w:r>
      <w:proofErr w:type="gramEnd"/>
      <w:r w:rsidRPr="00734EA5">
        <w:t xml:space="preserve"> that NO generative AI technologies such as Large Language Models (ChatGPT, COPILOT, etc.) and text-to-image generators have been used during the writing or editing of this manuscript. </w:t>
      </w:r>
    </w:p>
    <w:p w14:paraId="241A82F4" w14:textId="77777777" w:rsidR="00C554C1" w:rsidRPr="00734EA5" w:rsidRDefault="00C554C1" w:rsidP="00C554C1"/>
    <w:p w14:paraId="008DB86A" w14:textId="0D8C1DCD" w:rsidR="00734EA5" w:rsidRDefault="00734EA5">
      <w:pPr>
        <w:rPr>
          <w:b/>
          <w:sz w:val="24"/>
          <w:szCs w:val="24"/>
        </w:rPr>
      </w:pPr>
      <w:r>
        <w:rPr>
          <w:b/>
          <w:sz w:val="24"/>
          <w:szCs w:val="24"/>
        </w:rPr>
        <w:br w:type="page"/>
      </w:r>
    </w:p>
    <w:p w14:paraId="535FEC55" w14:textId="77777777" w:rsidR="00C554C1" w:rsidRDefault="00C554C1">
      <w:pPr>
        <w:pStyle w:val="Heading1"/>
        <w:keepNext w:val="0"/>
        <w:keepLines w:val="0"/>
        <w:spacing w:before="0" w:after="0" w:line="480" w:lineRule="auto"/>
        <w:jc w:val="center"/>
        <w:rPr>
          <w:b/>
          <w:sz w:val="24"/>
          <w:szCs w:val="24"/>
        </w:rPr>
      </w:pPr>
    </w:p>
    <w:p w14:paraId="61B06831" w14:textId="5B5254D8" w:rsidR="00015978" w:rsidRPr="008510AE" w:rsidRDefault="003903D0">
      <w:pPr>
        <w:pStyle w:val="Heading1"/>
        <w:keepNext w:val="0"/>
        <w:keepLines w:val="0"/>
        <w:spacing w:before="0" w:after="0" w:line="480" w:lineRule="auto"/>
        <w:jc w:val="center"/>
        <w:rPr>
          <w:b/>
          <w:sz w:val="24"/>
          <w:szCs w:val="24"/>
        </w:rPr>
      </w:pPr>
      <w:r w:rsidRPr="008510AE">
        <w:rPr>
          <w:b/>
          <w:sz w:val="24"/>
          <w:szCs w:val="24"/>
        </w:rPr>
        <w:t>References</w:t>
      </w:r>
    </w:p>
    <w:p w14:paraId="479A064D" w14:textId="77777777" w:rsidR="00015978" w:rsidRPr="008510AE" w:rsidRDefault="003903D0" w:rsidP="007D102C">
      <w:pPr>
        <w:spacing w:after="240"/>
        <w:ind w:left="900" w:hanging="900"/>
        <w:rPr>
          <w:sz w:val="24"/>
          <w:szCs w:val="24"/>
        </w:rPr>
      </w:pPr>
      <w:proofErr w:type="spellStart"/>
      <w:r w:rsidRPr="008510AE">
        <w:rPr>
          <w:sz w:val="24"/>
          <w:szCs w:val="24"/>
        </w:rPr>
        <w:t>Adesokan</w:t>
      </w:r>
      <w:proofErr w:type="spellEnd"/>
      <w:r w:rsidRPr="008510AE">
        <w:rPr>
          <w:sz w:val="24"/>
          <w:szCs w:val="24"/>
        </w:rPr>
        <w:t xml:space="preserve">-Imran, T. O., Popoola, A. D., Ejiofor, V. O., Salako, A. O., &amp; </w:t>
      </w:r>
      <w:proofErr w:type="spellStart"/>
      <w:r w:rsidRPr="008510AE">
        <w:rPr>
          <w:sz w:val="24"/>
          <w:szCs w:val="24"/>
        </w:rPr>
        <w:t>Onyenaucheya</w:t>
      </w:r>
      <w:proofErr w:type="spellEnd"/>
      <w:r w:rsidRPr="008510AE">
        <w:rPr>
          <w:sz w:val="24"/>
          <w:szCs w:val="24"/>
        </w:rPr>
        <w:t xml:space="preserve">, O. S. (2025). Predictive Cybersecurity Risk </w:t>
      </w:r>
      <w:proofErr w:type="spellStart"/>
      <w:r w:rsidRPr="008510AE">
        <w:rPr>
          <w:sz w:val="24"/>
          <w:szCs w:val="24"/>
        </w:rPr>
        <w:t>Modeling</w:t>
      </w:r>
      <w:proofErr w:type="spellEnd"/>
      <w:r w:rsidRPr="008510AE">
        <w:rPr>
          <w:sz w:val="24"/>
          <w:szCs w:val="24"/>
        </w:rPr>
        <w:t xml:space="preserve"> in Healthcare by Leveraging AI and Machine Learning for Proactive Threat Detection.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(4), 144–165. </w:t>
      </w:r>
      <w:hyperlink r:id="rId17">
        <w:r w:rsidRPr="008510AE">
          <w:rPr>
            <w:color w:val="1155CC"/>
            <w:sz w:val="24"/>
            <w:szCs w:val="24"/>
            <w:u w:val="single"/>
          </w:rPr>
          <w:t>https://doi.org/10.9734/jerr/2025/v27i41463</w:t>
        </w:r>
      </w:hyperlink>
      <w:r w:rsidRPr="008510AE">
        <w:rPr>
          <w:sz w:val="24"/>
          <w:szCs w:val="24"/>
        </w:rPr>
        <w:t xml:space="preserve"> </w:t>
      </w:r>
    </w:p>
    <w:p w14:paraId="7AF0A464" w14:textId="77777777" w:rsidR="00015978" w:rsidRPr="008510AE" w:rsidRDefault="003903D0" w:rsidP="007D102C">
      <w:pPr>
        <w:spacing w:after="240"/>
        <w:ind w:left="900" w:hanging="900"/>
        <w:rPr>
          <w:sz w:val="24"/>
          <w:szCs w:val="24"/>
        </w:rPr>
      </w:pPr>
      <w:proofErr w:type="spellStart"/>
      <w:r w:rsidRPr="008510AE">
        <w:rPr>
          <w:sz w:val="24"/>
          <w:szCs w:val="24"/>
        </w:rPr>
        <w:t>Adesokan</w:t>
      </w:r>
      <w:proofErr w:type="spellEnd"/>
      <w:r w:rsidRPr="008510AE">
        <w:rPr>
          <w:sz w:val="24"/>
          <w:szCs w:val="24"/>
        </w:rPr>
        <w:t xml:space="preserve">-Imran, T. O., Popoola, A. D., Kolo, F. H. O., Ejiofor, V. O., &amp; Salami, I. A. (2025). Cybersecurity Risk Stratification Framework Using Multilevel Clustering: An Automated Threat Attribution and Categorization Approach for Cross-industry Cybersecurity.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(4), 241–263. </w:t>
      </w:r>
      <w:hyperlink r:id="rId18">
        <w:r w:rsidRPr="008510AE">
          <w:rPr>
            <w:color w:val="1155CC"/>
            <w:sz w:val="24"/>
            <w:szCs w:val="24"/>
            <w:u w:val="single"/>
          </w:rPr>
          <w:t>https://doi.org/10.9734/jerr/2025/v27i41469</w:t>
        </w:r>
      </w:hyperlink>
      <w:r w:rsidRPr="008510AE">
        <w:rPr>
          <w:sz w:val="24"/>
          <w:szCs w:val="24"/>
        </w:rPr>
        <w:t xml:space="preserve"> </w:t>
      </w:r>
    </w:p>
    <w:p w14:paraId="7CDF8A28" w14:textId="77777777" w:rsidR="00015978" w:rsidRPr="008510AE" w:rsidRDefault="003903D0" w:rsidP="007D102C">
      <w:pPr>
        <w:spacing w:after="240"/>
        <w:ind w:left="900" w:hanging="900"/>
        <w:rPr>
          <w:sz w:val="24"/>
          <w:szCs w:val="24"/>
        </w:rPr>
      </w:pPr>
      <w:r w:rsidRPr="008510AE">
        <w:rPr>
          <w:sz w:val="24"/>
          <w:szCs w:val="24"/>
        </w:rPr>
        <w:t xml:space="preserve">Ajayi, A. J., Joseph, S. A., </w:t>
      </w:r>
      <w:proofErr w:type="spellStart"/>
      <w:r w:rsidRPr="008510AE">
        <w:rPr>
          <w:sz w:val="24"/>
          <w:szCs w:val="24"/>
        </w:rPr>
        <w:t>Metibemu</w:t>
      </w:r>
      <w:proofErr w:type="spellEnd"/>
      <w:r w:rsidRPr="008510AE">
        <w:rPr>
          <w:sz w:val="24"/>
          <w:szCs w:val="24"/>
        </w:rPr>
        <w:t xml:space="preserve">, O. C., </w:t>
      </w:r>
      <w:proofErr w:type="spellStart"/>
      <w:r w:rsidRPr="008510AE">
        <w:rPr>
          <w:sz w:val="24"/>
          <w:szCs w:val="24"/>
        </w:rPr>
        <w:t>Olutimehin</w:t>
      </w:r>
      <w:proofErr w:type="spellEnd"/>
      <w:r w:rsidRPr="008510AE">
        <w:rPr>
          <w:sz w:val="24"/>
          <w:szCs w:val="24"/>
        </w:rPr>
        <w:t xml:space="preserve">, A. T., Balogun, A. Y., &amp; Olaniyi, O. O. (2025). The Impact of Artificial Intelligence on Cyber Security in Digital Currency Transactions. </w:t>
      </w:r>
      <w:r w:rsidRPr="008510AE">
        <w:rPr>
          <w:i/>
          <w:sz w:val="24"/>
          <w:szCs w:val="24"/>
        </w:rPr>
        <w:t>Archives of Current Research International</w:t>
      </w:r>
      <w:r w:rsidRPr="008510AE">
        <w:rPr>
          <w:sz w:val="24"/>
          <w:szCs w:val="24"/>
        </w:rPr>
        <w:t xml:space="preserve">, </w:t>
      </w:r>
      <w:r w:rsidRPr="008510AE">
        <w:rPr>
          <w:i/>
          <w:sz w:val="24"/>
          <w:szCs w:val="24"/>
        </w:rPr>
        <w:t>25</w:t>
      </w:r>
      <w:r w:rsidRPr="008510AE">
        <w:rPr>
          <w:sz w:val="24"/>
          <w:szCs w:val="24"/>
        </w:rPr>
        <w:t xml:space="preserve">(2), 329–351. </w:t>
      </w:r>
      <w:hyperlink r:id="rId19">
        <w:r w:rsidRPr="008510AE">
          <w:rPr>
            <w:color w:val="1155CC"/>
            <w:sz w:val="24"/>
            <w:szCs w:val="24"/>
            <w:u w:val="single"/>
          </w:rPr>
          <w:t>https://doi.org/10.9734/acri/2025/v25i21090</w:t>
        </w:r>
      </w:hyperlink>
      <w:r w:rsidRPr="008510AE">
        <w:rPr>
          <w:sz w:val="24"/>
          <w:szCs w:val="24"/>
        </w:rPr>
        <w:t xml:space="preserve"> </w:t>
      </w:r>
    </w:p>
    <w:p w14:paraId="26C42E39" w14:textId="77777777" w:rsidR="00015978" w:rsidRPr="008510AE" w:rsidRDefault="003903D0" w:rsidP="007D102C">
      <w:pPr>
        <w:spacing w:after="240"/>
        <w:ind w:left="900" w:hanging="900"/>
        <w:rPr>
          <w:sz w:val="24"/>
          <w:szCs w:val="24"/>
        </w:rPr>
      </w:pPr>
      <w:proofErr w:type="spellStart"/>
      <w:r w:rsidRPr="008510AE">
        <w:rPr>
          <w:sz w:val="24"/>
          <w:szCs w:val="24"/>
        </w:rPr>
        <w:t>Alamsyah</w:t>
      </w:r>
      <w:proofErr w:type="spellEnd"/>
      <w:r w:rsidRPr="008510AE">
        <w:rPr>
          <w:sz w:val="24"/>
          <w:szCs w:val="24"/>
        </w:rPr>
        <w:t xml:space="preserve">, A., Kusuma, G. N. W., &amp; Ramadhani, D. P. (2024). A Review on Decentralized Finance Ecosystems. </w:t>
      </w:r>
      <w:r w:rsidRPr="008510AE">
        <w:rPr>
          <w:i/>
          <w:sz w:val="24"/>
          <w:szCs w:val="24"/>
        </w:rPr>
        <w:t>Future Internet</w:t>
      </w:r>
      <w:r w:rsidRPr="008510AE">
        <w:rPr>
          <w:sz w:val="24"/>
          <w:szCs w:val="24"/>
        </w:rPr>
        <w:t xml:space="preserve">, </w:t>
      </w:r>
      <w:r w:rsidRPr="008510AE">
        <w:rPr>
          <w:i/>
          <w:sz w:val="24"/>
          <w:szCs w:val="24"/>
        </w:rPr>
        <w:t>16</w:t>
      </w:r>
      <w:r w:rsidRPr="008510AE">
        <w:rPr>
          <w:sz w:val="24"/>
          <w:szCs w:val="24"/>
        </w:rPr>
        <w:t xml:space="preserve">(3), 76. </w:t>
      </w:r>
      <w:hyperlink r:id="rId20">
        <w:r w:rsidRPr="008510AE">
          <w:rPr>
            <w:color w:val="1155CC"/>
            <w:sz w:val="24"/>
            <w:szCs w:val="24"/>
            <w:u w:val="single"/>
          </w:rPr>
          <w:t>https://doi.org/10.3390/fi16030076</w:t>
        </w:r>
      </w:hyperlink>
      <w:r w:rsidRPr="008510AE">
        <w:rPr>
          <w:sz w:val="24"/>
          <w:szCs w:val="24"/>
        </w:rPr>
        <w:t xml:space="preserve"> </w:t>
      </w:r>
    </w:p>
    <w:p w14:paraId="4F2E06C4" w14:textId="77777777" w:rsidR="00015978" w:rsidRPr="008510AE" w:rsidRDefault="003903D0" w:rsidP="007D102C">
      <w:pPr>
        <w:spacing w:after="240"/>
        <w:ind w:left="900" w:hanging="900"/>
        <w:rPr>
          <w:sz w:val="24"/>
          <w:szCs w:val="24"/>
        </w:rPr>
      </w:pPr>
      <w:r w:rsidRPr="008510AE">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8510AE">
        <w:rPr>
          <w:i/>
          <w:sz w:val="24"/>
          <w:szCs w:val="24"/>
        </w:rPr>
        <w:t>Asian Journal of Economics Business and Accounting</w:t>
      </w:r>
      <w:r w:rsidRPr="008510AE">
        <w:rPr>
          <w:sz w:val="24"/>
          <w:szCs w:val="24"/>
        </w:rPr>
        <w:t xml:space="preserve">, </w:t>
      </w:r>
      <w:r w:rsidRPr="008510AE">
        <w:rPr>
          <w:i/>
          <w:sz w:val="24"/>
          <w:szCs w:val="24"/>
        </w:rPr>
        <w:t>24</w:t>
      </w:r>
      <w:r w:rsidRPr="008510AE">
        <w:rPr>
          <w:sz w:val="24"/>
          <w:szCs w:val="24"/>
        </w:rPr>
        <w:t xml:space="preserve">(11), 47–73. </w:t>
      </w:r>
      <w:hyperlink r:id="rId21">
        <w:r w:rsidRPr="008510AE">
          <w:rPr>
            <w:color w:val="1155CC"/>
            <w:sz w:val="24"/>
            <w:szCs w:val="24"/>
            <w:u w:val="single"/>
          </w:rPr>
          <w:t>https://doi.org/10.9734/ajeba/2024/v24i111542</w:t>
        </w:r>
      </w:hyperlink>
      <w:r w:rsidRPr="008510AE">
        <w:rPr>
          <w:sz w:val="24"/>
          <w:szCs w:val="24"/>
        </w:rPr>
        <w:t xml:space="preserve"> </w:t>
      </w:r>
    </w:p>
    <w:p w14:paraId="33C660AD" w14:textId="77777777" w:rsidR="00015978" w:rsidRPr="008510AE" w:rsidRDefault="003903D0" w:rsidP="007D102C">
      <w:pPr>
        <w:spacing w:after="240"/>
        <w:ind w:left="900" w:hanging="900"/>
        <w:rPr>
          <w:sz w:val="24"/>
          <w:szCs w:val="24"/>
        </w:rPr>
      </w:pPr>
      <w:proofErr w:type="spellStart"/>
      <w:r w:rsidRPr="008510AE">
        <w:rPr>
          <w:sz w:val="24"/>
          <w:szCs w:val="24"/>
        </w:rPr>
        <w:t>Andhov</w:t>
      </w:r>
      <w:proofErr w:type="spellEnd"/>
      <w:r w:rsidRPr="008510AE">
        <w:rPr>
          <w:sz w:val="24"/>
          <w:szCs w:val="24"/>
        </w:rPr>
        <w:t xml:space="preserve">, A. (2024). The U.S. Financial Innovation and Technology Act: Initial Overview. </w:t>
      </w:r>
      <w:r w:rsidRPr="008510AE">
        <w:rPr>
          <w:i/>
          <w:sz w:val="24"/>
          <w:szCs w:val="24"/>
        </w:rPr>
        <w:t>Forbes</w:t>
      </w:r>
      <w:r w:rsidRPr="008510AE">
        <w:rPr>
          <w:sz w:val="24"/>
          <w:szCs w:val="24"/>
        </w:rPr>
        <w:t xml:space="preserve">. </w:t>
      </w:r>
      <w:hyperlink r:id="rId22">
        <w:r w:rsidRPr="008510AE">
          <w:rPr>
            <w:color w:val="1155CC"/>
            <w:sz w:val="24"/>
            <w:szCs w:val="24"/>
            <w:u w:val="single"/>
          </w:rPr>
          <w:t>https://www.forbes.com/sites/digital-assets/2024/05/29/the-us-financial-innovation-and-technology-act-initial-overview/</w:t>
        </w:r>
      </w:hyperlink>
      <w:r w:rsidRPr="008510AE">
        <w:rPr>
          <w:sz w:val="24"/>
          <w:szCs w:val="24"/>
        </w:rPr>
        <w:t xml:space="preserve"> </w:t>
      </w:r>
    </w:p>
    <w:p w14:paraId="5C778DA9" w14:textId="77777777" w:rsidR="00015978" w:rsidRPr="008510AE" w:rsidRDefault="003903D0" w:rsidP="007D102C">
      <w:pPr>
        <w:spacing w:after="240"/>
        <w:ind w:left="900" w:hanging="900"/>
        <w:rPr>
          <w:sz w:val="24"/>
          <w:szCs w:val="24"/>
        </w:rPr>
      </w:pPr>
      <w:r w:rsidRPr="008510AE">
        <w:rPr>
          <w:sz w:val="24"/>
          <w:szCs w:val="24"/>
        </w:rPr>
        <w:t xml:space="preserve">Andriani, C., </w:t>
      </w:r>
      <w:proofErr w:type="spellStart"/>
      <w:r w:rsidRPr="008510AE">
        <w:rPr>
          <w:sz w:val="24"/>
          <w:szCs w:val="24"/>
        </w:rPr>
        <w:t>Bencivelli</w:t>
      </w:r>
      <w:proofErr w:type="spellEnd"/>
      <w:r w:rsidRPr="008510AE">
        <w:rPr>
          <w:sz w:val="24"/>
          <w:szCs w:val="24"/>
        </w:rPr>
        <w:t xml:space="preserve">, L., Castellucci, A., Santis, M. D., Marchetti, S., &amp; </w:t>
      </w:r>
      <w:proofErr w:type="spellStart"/>
      <w:r w:rsidRPr="008510AE">
        <w:rPr>
          <w:sz w:val="24"/>
          <w:szCs w:val="24"/>
        </w:rPr>
        <w:t>Piantadina</w:t>
      </w:r>
      <w:proofErr w:type="spellEnd"/>
      <w:r w:rsidRPr="008510AE">
        <w:rPr>
          <w:sz w:val="24"/>
          <w:szCs w:val="24"/>
        </w:rPr>
        <w:t xml:space="preserve">, G. (2025). The Quantum Challenge: Implications and Strategies for a Secure Financial System. </w:t>
      </w:r>
      <w:r w:rsidRPr="008510AE">
        <w:rPr>
          <w:i/>
          <w:sz w:val="24"/>
          <w:szCs w:val="24"/>
        </w:rPr>
        <w:t>SSRN Electronic Journal</w:t>
      </w:r>
      <w:r w:rsidRPr="008510AE">
        <w:rPr>
          <w:sz w:val="24"/>
          <w:szCs w:val="24"/>
        </w:rPr>
        <w:t xml:space="preserve">. </w:t>
      </w:r>
      <w:hyperlink r:id="rId23">
        <w:r w:rsidRPr="008510AE">
          <w:rPr>
            <w:color w:val="1155CC"/>
            <w:sz w:val="24"/>
            <w:szCs w:val="24"/>
            <w:u w:val="single"/>
          </w:rPr>
          <w:t>https://doi.org/10.2139/ssrn.5246652</w:t>
        </w:r>
      </w:hyperlink>
      <w:r w:rsidRPr="008510AE">
        <w:rPr>
          <w:sz w:val="24"/>
          <w:szCs w:val="24"/>
        </w:rPr>
        <w:t xml:space="preserve"> </w:t>
      </w:r>
    </w:p>
    <w:p w14:paraId="71826ACD" w14:textId="77777777" w:rsidR="00015978" w:rsidRPr="008510AE" w:rsidRDefault="003903D0" w:rsidP="007D102C">
      <w:pPr>
        <w:spacing w:after="240"/>
        <w:ind w:left="900" w:hanging="900"/>
        <w:rPr>
          <w:sz w:val="24"/>
          <w:szCs w:val="24"/>
        </w:rPr>
      </w:pPr>
      <w:proofErr w:type="spellStart"/>
      <w:r w:rsidRPr="008510AE">
        <w:rPr>
          <w:sz w:val="24"/>
          <w:szCs w:val="24"/>
        </w:rPr>
        <w:t>Aydeger</w:t>
      </w:r>
      <w:proofErr w:type="spellEnd"/>
      <w:r w:rsidRPr="008510AE">
        <w:rPr>
          <w:sz w:val="24"/>
          <w:szCs w:val="24"/>
        </w:rPr>
        <w:t>, A., Zeydan, E., Yadav, A. K., Hemachandra, K. T., &amp; Liyanage, M. (2024). Towards a Quantum-Resilient Future: Strategies for Transitioning to Post-</w:t>
      </w:r>
      <w:r w:rsidRPr="008510AE">
        <w:rPr>
          <w:sz w:val="24"/>
          <w:szCs w:val="24"/>
        </w:rPr>
        <w:lastRenderedPageBreak/>
        <w:t xml:space="preserve">Quantum Cryptography. </w:t>
      </w:r>
      <w:proofErr w:type="gramStart"/>
      <w:r w:rsidRPr="008510AE">
        <w:rPr>
          <w:i/>
          <w:sz w:val="24"/>
          <w:szCs w:val="24"/>
        </w:rPr>
        <w:t xml:space="preserve">IEEE </w:t>
      </w:r>
      <w:r w:rsidRPr="008510AE">
        <w:rPr>
          <w:sz w:val="24"/>
          <w:szCs w:val="24"/>
        </w:rPr>
        <w:t>,</w:t>
      </w:r>
      <w:proofErr w:type="gramEnd"/>
      <w:r w:rsidRPr="008510AE">
        <w:rPr>
          <w:sz w:val="24"/>
          <w:szCs w:val="24"/>
        </w:rPr>
        <w:t xml:space="preserve"> 195–203. </w:t>
      </w:r>
      <w:hyperlink r:id="rId24">
        <w:r w:rsidRPr="008510AE">
          <w:rPr>
            <w:color w:val="1155CC"/>
            <w:sz w:val="24"/>
            <w:szCs w:val="24"/>
            <w:u w:val="single"/>
          </w:rPr>
          <w:t>https://doi.org/10.1109/nof62948.2024.10741441</w:t>
        </w:r>
      </w:hyperlink>
      <w:r w:rsidRPr="008510AE">
        <w:rPr>
          <w:sz w:val="24"/>
          <w:szCs w:val="24"/>
        </w:rPr>
        <w:t xml:space="preserve"> </w:t>
      </w:r>
    </w:p>
    <w:p w14:paraId="33483595" w14:textId="77777777" w:rsidR="00015978" w:rsidRPr="008510AE" w:rsidRDefault="003903D0" w:rsidP="007D102C">
      <w:pPr>
        <w:spacing w:after="240"/>
        <w:ind w:left="900" w:hanging="900"/>
        <w:rPr>
          <w:sz w:val="24"/>
          <w:szCs w:val="24"/>
        </w:rPr>
      </w:pPr>
      <w:r w:rsidRPr="008510AE">
        <w:rPr>
          <w:sz w:val="24"/>
          <w:szCs w:val="24"/>
        </w:rPr>
        <w:t xml:space="preserve">Balogun, A. Y., Alao, A. I., &amp; Olaniyi, O. O. (2025). Disinformation in the digital era: The role of deepfakes, artificial intelligence, and open-source intelligence in shaping public trust and policy responses. </w:t>
      </w:r>
      <w:r w:rsidRPr="008510AE">
        <w:rPr>
          <w:i/>
          <w:sz w:val="24"/>
          <w:szCs w:val="24"/>
        </w:rPr>
        <w:t>Computer Science &amp; IT Research Journal</w:t>
      </w:r>
      <w:r w:rsidRPr="008510AE">
        <w:rPr>
          <w:sz w:val="24"/>
          <w:szCs w:val="24"/>
        </w:rPr>
        <w:t xml:space="preserve">, </w:t>
      </w:r>
      <w:r w:rsidRPr="008510AE">
        <w:rPr>
          <w:i/>
          <w:sz w:val="24"/>
          <w:szCs w:val="24"/>
        </w:rPr>
        <w:t>6</w:t>
      </w:r>
      <w:r w:rsidRPr="008510AE">
        <w:rPr>
          <w:sz w:val="24"/>
          <w:szCs w:val="24"/>
        </w:rPr>
        <w:t xml:space="preserve">(2), 28–48. </w:t>
      </w:r>
      <w:hyperlink r:id="rId25">
        <w:r w:rsidRPr="008510AE">
          <w:rPr>
            <w:color w:val="1155CC"/>
            <w:sz w:val="24"/>
            <w:szCs w:val="24"/>
            <w:u w:val="single"/>
          </w:rPr>
          <w:t>https://doi.org/10.51594/csitrj.v6i2.1824</w:t>
        </w:r>
      </w:hyperlink>
      <w:r w:rsidRPr="008510AE">
        <w:rPr>
          <w:sz w:val="24"/>
          <w:szCs w:val="24"/>
        </w:rPr>
        <w:t xml:space="preserve"> </w:t>
      </w:r>
    </w:p>
    <w:p w14:paraId="743C5963" w14:textId="77777777" w:rsidR="00015978" w:rsidRPr="008510AE" w:rsidRDefault="003903D0" w:rsidP="007D102C">
      <w:pPr>
        <w:spacing w:after="240"/>
        <w:ind w:left="900" w:hanging="900"/>
        <w:rPr>
          <w:sz w:val="24"/>
          <w:szCs w:val="24"/>
        </w:rPr>
      </w:pPr>
      <w:r w:rsidRPr="008510AE">
        <w:rPr>
          <w:sz w:val="24"/>
          <w:szCs w:val="24"/>
        </w:rPr>
        <w:t xml:space="preserve">Balogun, A. Y., Olaniyi, O. O., &amp; Alao, A. I. (2025). Shaping trust and tension: Strategic leaks and their impact on global cybersecurity norms. </w:t>
      </w:r>
      <w:r w:rsidRPr="008510AE">
        <w:rPr>
          <w:i/>
          <w:sz w:val="24"/>
          <w:szCs w:val="24"/>
        </w:rPr>
        <w:t>International Journal of Applied Research in Social Sciences</w:t>
      </w:r>
      <w:r w:rsidRPr="008510AE">
        <w:rPr>
          <w:sz w:val="24"/>
          <w:szCs w:val="24"/>
        </w:rPr>
        <w:t xml:space="preserve">, </w:t>
      </w:r>
      <w:r w:rsidRPr="008510AE">
        <w:rPr>
          <w:i/>
          <w:sz w:val="24"/>
          <w:szCs w:val="24"/>
        </w:rPr>
        <w:t>7</w:t>
      </w:r>
      <w:r w:rsidRPr="008510AE">
        <w:rPr>
          <w:sz w:val="24"/>
          <w:szCs w:val="24"/>
        </w:rPr>
        <w:t xml:space="preserve">(3), 123–144. </w:t>
      </w:r>
      <w:hyperlink r:id="rId26">
        <w:r w:rsidRPr="008510AE">
          <w:rPr>
            <w:color w:val="1155CC"/>
            <w:sz w:val="24"/>
            <w:szCs w:val="24"/>
            <w:u w:val="single"/>
          </w:rPr>
          <w:t>https://doi.org/10.51594/ijarss.v7i3.1823</w:t>
        </w:r>
      </w:hyperlink>
      <w:r w:rsidRPr="008510AE">
        <w:rPr>
          <w:sz w:val="24"/>
          <w:szCs w:val="24"/>
        </w:rPr>
        <w:t xml:space="preserve"> </w:t>
      </w:r>
    </w:p>
    <w:p w14:paraId="4A3E1703" w14:textId="77777777" w:rsidR="00015978" w:rsidRPr="008510AE" w:rsidRDefault="003903D0" w:rsidP="007D102C">
      <w:pPr>
        <w:spacing w:after="240"/>
        <w:ind w:left="900" w:hanging="900"/>
        <w:rPr>
          <w:sz w:val="24"/>
          <w:szCs w:val="24"/>
        </w:rPr>
      </w:pPr>
      <w:proofErr w:type="spellStart"/>
      <w:r w:rsidRPr="008510AE">
        <w:rPr>
          <w:sz w:val="24"/>
          <w:szCs w:val="24"/>
        </w:rPr>
        <w:t>Baransel</w:t>
      </w:r>
      <w:proofErr w:type="spellEnd"/>
      <w:r w:rsidRPr="008510AE">
        <w:rPr>
          <w:sz w:val="24"/>
          <w:szCs w:val="24"/>
        </w:rPr>
        <w:t xml:space="preserve">, C. (2023). </w:t>
      </w:r>
      <w:r w:rsidRPr="008510AE">
        <w:rPr>
          <w:i/>
          <w:sz w:val="24"/>
          <w:szCs w:val="24"/>
        </w:rPr>
        <w:t>Three Central Bank Digital Currency (CBDC) Pilot Project Proposals for Developing Economies: Policies and Prospects</w:t>
      </w:r>
      <w:r w:rsidRPr="008510AE">
        <w:rPr>
          <w:sz w:val="24"/>
          <w:szCs w:val="24"/>
        </w:rPr>
        <w:t xml:space="preserve">. ResearchGate. </w:t>
      </w:r>
      <w:hyperlink r:id="rId27">
        <w:r w:rsidRPr="008510AE">
          <w:rPr>
            <w:color w:val="1155CC"/>
            <w:sz w:val="24"/>
            <w:szCs w:val="24"/>
            <w:u w:val="single"/>
          </w:rPr>
          <w:t>https://www.researchgate.net/publication/373864693_Three_Central_Bank_Digital_Currency_CBDC_Pilot_Project_Proposals_for_Developing_Economies_Policies_and_Prospects</w:t>
        </w:r>
      </w:hyperlink>
      <w:r w:rsidRPr="008510AE">
        <w:rPr>
          <w:sz w:val="24"/>
          <w:szCs w:val="24"/>
        </w:rPr>
        <w:t xml:space="preserve"> </w:t>
      </w:r>
    </w:p>
    <w:p w14:paraId="4B05A53B" w14:textId="77777777" w:rsidR="00015978" w:rsidRPr="008510AE" w:rsidRDefault="003903D0" w:rsidP="007D102C">
      <w:pPr>
        <w:spacing w:after="240"/>
        <w:ind w:left="900" w:hanging="900"/>
        <w:rPr>
          <w:sz w:val="24"/>
          <w:szCs w:val="24"/>
        </w:rPr>
      </w:pPr>
      <w:proofErr w:type="spellStart"/>
      <w:r w:rsidRPr="008510AE">
        <w:rPr>
          <w:sz w:val="24"/>
          <w:szCs w:val="24"/>
        </w:rPr>
        <w:t>Baseri</w:t>
      </w:r>
      <w:proofErr w:type="spellEnd"/>
      <w:r w:rsidRPr="008510AE">
        <w:rPr>
          <w:sz w:val="24"/>
          <w:szCs w:val="24"/>
        </w:rPr>
        <w:t xml:space="preserve">, Y., Chouhan, V., &amp; Ghorbani, A. (2024). </w:t>
      </w:r>
      <w:r w:rsidRPr="008510AE">
        <w:rPr>
          <w:i/>
          <w:sz w:val="24"/>
          <w:szCs w:val="24"/>
        </w:rPr>
        <w:t>Cybersecurity in the Quantum Era: Assessing the Impact of Quantum Computing on Infrastructure</w:t>
      </w:r>
      <w:r w:rsidRPr="008510AE">
        <w:rPr>
          <w:sz w:val="24"/>
          <w:szCs w:val="24"/>
        </w:rPr>
        <w:t xml:space="preserve">. ArXiv.org. </w:t>
      </w:r>
      <w:hyperlink r:id="rId28">
        <w:r w:rsidRPr="008510AE">
          <w:rPr>
            <w:color w:val="1155CC"/>
            <w:sz w:val="24"/>
            <w:szCs w:val="24"/>
            <w:u w:val="single"/>
          </w:rPr>
          <w:t>https://doi.org/10.48550/arXiv.2404.10659</w:t>
        </w:r>
      </w:hyperlink>
      <w:r w:rsidRPr="008510AE">
        <w:rPr>
          <w:sz w:val="24"/>
          <w:szCs w:val="24"/>
        </w:rPr>
        <w:t xml:space="preserve"> </w:t>
      </w:r>
    </w:p>
    <w:p w14:paraId="32A0ABCA" w14:textId="77777777" w:rsidR="00015978" w:rsidRPr="008510AE" w:rsidRDefault="003903D0" w:rsidP="007D102C">
      <w:pPr>
        <w:spacing w:after="240"/>
        <w:ind w:left="900" w:hanging="900"/>
        <w:rPr>
          <w:sz w:val="24"/>
          <w:szCs w:val="24"/>
        </w:rPr>
      </w:pPr>
      <w:proofErr w:type="spellStart"/>
      <w:r w:rsidRPr="008510AE">
        <w:rPr>
          <w:sz w:val="24"/>
          <w:szCs w:val="24"/>
        </w:rPr>
        <w:t>Beganski</w:t>
      </w:r>
      <w:proofErr w:type="spellEnd"/>
      <w:r w:rsidRPr="008510AE">
        <w:rPr>
          <w:sz w:val="24"/>
          <w:szCs w:val="24"/>
        </w:rPr>
        <w:t xml:space="preserve">, A. (2023). </w:t>
      </w:r>
      <w:r w:rsidRPr="008510AE">
        <w:rPr>
          <w:i/>
          <w:sz w:val="24"/>
          <w:szCs w:val="24"/>
        </w:rPr>
        <w:t>Microsoft, Goldman Sachs, and Other Big Firms Back Launch of Financial Blockchain</w:t>
      </w:r>
      <w:r w:rsidRPr="008510AE">
        <w:rPr>
          <w:sz w:val="24"/>
          <w:szCs w:val="24"/>
        </w:rPr>
        <w:t xml:space="preserve">. Decrypt. </w:t>
      </w:r>
      <w:hyperlink r:id="rId29">
        <w:r w:rsidRPr="008510AE">
          <w:rPr>
            <w:color w:val="1155CC"/>
            <w:sz w:val="24"/>
            <w:szCs w:val="24"/>
            <w:u w:val="single"/>
          </w:rPr>
          <w:t>https://decrypt.co/140082/microsoft-goldman-sachs-and-other-big-firms-back-launch-of-financial-blockchain</w:t>
        </w:r>
      </w:hyperlink>
      <w:r w:rsidRPr="008510AE">
        <w:rPr>
          <w:sz w:val="24"/>
          <w:szCs w:val="24"/>
        </w:rPr>
        <w:t xml:space="preserve"> </w:t>
      </w:r>
    </w:p>
    <w:p w14:paraId="58EB38AD" w14:textId="77777777" w:rsidR="00015978" w:rsidRPr="008510AE" w:rsidRDefault="003903D0" w:rsidP="007D102C">
      <w:pPr>
        <w:spacing w:after="240"/>
        <w:ind w:left="900" w:hanging="900"/>
        <w:rPr>
          <w:sz w:val="24"/>
          <w:szCs w:val="24"/>
        </w:rPr>
      </w:pPr>
      <w:r w:rsidRPr="008510AE">
        <w:rPr>
          <w:sz w:val="24"/>
          <w:szCs w:val="24"/>
        </w:rPr>
        <w:t xml:space="preserve">Boy Firmansyah, &amp; Bansal, R. (2024). Standardization and Regulatory Challenges in Modern Cryptography. </w:t>
      </w:r>
      <w:r w:rsidRPr="008510AE">
        <w:rPr>
          <w:i/>
          <w:sz w:val="24"/>
          <w:szCs w:val="24"/>
        </w:rPr>
        <w:t>Advances in Information Security, Privacy, and Ethics Book Series</w:t>
      </w:r>
      <w:r w:rsidRPr="008510AE">
        <w:rPr>
          <w:sz w:val="24"/>
          <w:szCs w:val="24"/>
        </w:rPr>
        <w:t xml:space="preserve">, 145–183. </w:t>
      </w:r>
      <w:hyperlink r:id="rId30">
        <w:r w:rsidRPr="008510AE">
          <w:rPr>
            <w:color w:val="1155CC"/>
            <w:sz w:val="24"/>
            <w:szCs w:val="24"/>
            <w:u w:val="single"/>
          </w:rPr>
          <w:t>https://doi.org/10.4018/979-8-3693-3824-7.ch006</w:t>
        </w:r>
      </w:hyperlink>
      <w:r w:rsidRPr="008510AE">
        <w:rPr>
          <w:sz w:val="24"/>
          <w:szCs w:val="24"/>
        </w:rPr>
        <w:t xml:space="preserve"> </w:t>
      </w:r>
    </w:p>
    <w:p w14:paraId="52EA2BF3" w14:textId="77777777" w:rsidR="00015978" w:rsidRPr="008510AE" w:rsidRDefault="003903D0" w:rsidP="007D102C">
      <w:pPr>
        <w:spacing w:after="240"/>
        <w:ind w:left="900" w:hanging="900"/>
        <w:rPr>
          <w:sz w:val="24"/>
          <w:szCs w:val="24"/>
        </w:rPr>
      </w:pPr>
      <w:r w:rsidRPr="008510AE">
        <w:rPr>
          <w:sz w:val="24"/>
          <w:szCs w:val="24"/>
        </w:rPr>
        <w:t xml:space="preserve">Braue, D. (2025). </w:t>
      </w:r>
      <w:r w:rsidRPr="008510AE">
        <w:rPr>
          <w:i/>
          <w:sz w:val="24"/>
          <w:szCs w:val="24"/>
        </w:rPr>
        <w:t xml:space="preserve">Cybercrime To Cost </w:t>
      </w:r>
      <w:proofErr w:type="gramStart"/>
      <w:r w:rsidRPr="008510AE">
        <w:rPr>
          <w:i/>
          <w:sz w:val="24"/>
          <w:szCs w:val="24"/>
        </w:rPr>
        <w:t>The</w:t>
      </w:r>
      <w:proofErr w:type="gramEnd"/>
      <w:r w:rsidRPr="008510AE">
        <w:rPr>
          <w:i/>
          <w:sz w:val="24"/>
          <w:szCs w:val="24"/>
        </w:rPr>
        <w:t xml:space="preserve"> World $12.2 Trillion Annually By 2031</w:t>
      </w:r>
      <w:r w:rsidRPr="008510AE">
        <w:rPr>
          <w:sz w:val="24"/>
          <w:szCs w:val="24"/>
        </w:rPr>
        <w:t xml:space="preserve">. Cybercrime Magazine. </w:t>
      </w:r>
      <w:hyperlink r:id="rId31">
        <w:r w:rsidRPr="008510AE">
          <w:rPr>
            <w:color w:val="1155CC"/>
            <w:sz w:val="24"/>
            <w:szCs w:val="24"/>
            <w:u w:val="single"/>
          </w:rPr>
          <w:t>https://cybersecurityventures.com/official-cybercrime-report-2025/</w:t>
        </w:r>
      </w:hyperlink>
      <w:r w:rsidRPr="008510AE">
        <w:rPr>
          <w:sz w:val="24"/>
          <w:szCs w:val="24"/>
        </w:rPr>
        <w:t xml:space="preserve"> </w:t>
      </w:r>
    </w:p>
    <w:p w14:paraId="7CA4E0B7" w14:textId="77777777" w:rsidR="00015978" w:rsidRPr="008510AE" w:rsidRDefault="003903D0" w:rsidP="007D102C">
      <w:pPr>
        <w:spacing w:after="240"/>
        <w:ind w:left="900" w:hanging="900"/>
        <w:rPr>
          <w:sz w:val="24"/>
          <w:szCs w:val="24"/>
        </w:rPr>
      </w:pPr>
      <w:r w:rsidRPr="008510AE">
        <w:rPr>
          <w:sz w:val="24"/>
          <w:szCs w:val="24"/>
        </w:rPr>
        <w:t xml:space="preserve">Brightwood, S., Jarry, H., Frank, E., &amp; Olusegun, J. (2024). </w:t>
      </w:r>
      <w:r w:rsidRPr="008510AE">
        <w:rPr>
          <w:i/>
          <w:sz w:val="24"/>
          <w:szCs w:val="24"/>
        </w:rPr>
        <w:t>Network Security and Quantum Cryptography: Challenges and Opportunities</w:t>
      </w:r>
      <w:r w:rsidRPr="008510AE">
        <w:rPr>
          <w:sz w:val="24"/>
          <w:szCs w:val="24"/>
        </w:rPr>
        <w:t xml:space="preserve">. ResearchGate.  </w:t>
      </w:r>
      <w:hyperlink r:id="rId32">
        <w:r w:rsidRPr="008510AE">
          <w:rPr>
            <w:color w:val="1155CC"/>
            <w:sz w:val="24"/>
            <w:szCs w:val="24"/>
            <w:u w:val="single"/>
          </w:rPr>
          <w:t>https://www.researchgate.net/publication/384885336_Network_Security_and_Quantum_Cryptography_Challenges_and_Opportunities</w:t>
        </w:r>
      </w:hyperlink>
      <w:r w:rsidRPr="008510AE">
        <w:rPr>
          <w:sz w:val="24"/>
          <w:szCs w:val="24"/>
        </w:rPr>
        <w:t xml:space="preserve"> </w:t>
      </w:r>
    </w:p>
    <w:p w14:paraId="5C4DCBB5" w14:textId="77777777" w:rsidR="00015978" w:rsidRPr="008510AE" w:rsidRDefault="003903D0" w:rsidP="007D102C">
      <w:pPr>
        <w:spacing w:after="240"/>
        <w:ind w:left="900" w:hanging="900"/>
        <w:rPr>
          <w:sz w:val="24"/>
          <w:szCs w:val="24"/>
        </w:rPr>
      </w:pPr>
      <w:r w:rsidRPr="008510AE">
        <w:rPr>
          <w:sz w:val="24"/>
          <w:szCs w:val="24"/>
        </w:rPr>
        <w:t xml:space="preserve">Cobb, M. (2023). </w:t>
      </w:r>
      <w:r w:rsidRPr="008510AE">
        <w:rPr>
          <w:i/>
          <w:sz w:val="24"/>
          <w:szCs w:val="24"/>
        </w:rPr>
        <w:t>Triple DES: How Strong Is the Data Encryption standard?</w:t>
      </w:r>
      <w:r w:rsidRPr="008510AE">
        <w:rPr>
          <w:sz w:val="24"/>
          <w:szCs w:val="24"/>
        </w:rPr>
        <w:t xml:space="preserve"> </w:t>
      </w:r>
      <w:proofErr w:type="spellStart"/>
      <w:r w:rsidRPr="008510AE">
        <w:rPr>
          <w:sz w:val="24"/>
          <w:szCs w:val="24"/>
        </w:rPr>
        <w:t>SearchSecurity</w:t>
      </w:r>
      <w:proofErr w:type="spellEnd"/>
      <w:r w:rsidRPr="008510AE">
        <w:rPr>
          <w:sz w:val="24"/>
          <w:szCs w:val="24"/>
        </w:rPr>
        <w:t xml:space="preserve">. </w:t>
      </w:r>
      <w:hyperlink r:id="rId33">
        <w:r w:rsidRPr="008510AE">
          <w:rPr>
            <w:color w:val="1155CC"/>
            <w:sz w:val="24"/>
            <w:szCs w:val="24"/>
            <w:u w:val="single"/>
          </w:rPr>
          <w:t>https://www.techtarget.com/searchsecurity/tip/Expert-advice-Encryption-101-Triple-DES-explained</w:t>
        </w:r>
      </w:hyperlink>
      <w:r w:rsidRPr="008510AE">
        <w:rPr>
          <w:sz w:val="24"/>
          <w:szCs w:val="24"/>
        </w:rPr>
        <w:t xml:space="preserve"> </w:t>
      </w:r>
    </w:p>
    <w:p w14:paraId="2F8CC914" w14:textId="77777777" w:rsidR="00015978" w:rsidRPr="008510AE" w:rsidRDefault="003903D0" w:rsidP="007D102C">
      <w:pPr>
        <w:spacing w:after="240"/>
        <w:ind w:left="900" w:hanging="900"/>
        <w:rPr>
          <w:sz w:val="24"/>
          <w:szCs w:val="24"/>
        </w:rPr>
      </w:pPr>
      <w:r w:rsidRPr="008510AE">
        <w:rPr>
          <w:sz w:val="24"/>
          <w:szCs w:val="24"/>
        </w:rPr>
        <w:lastRenderedPageBreak/>
        <w:t xml:space="preserve">Dasari, K. K. (2023). </w:t>
      </w:r>
      <w:r w:rsidRPr="008510AE">
        <w:rPr>
          <w:i/>
          <w:sz w:val="24"/>
          <w:szCs w:val="24"/>
        </w:rPr>
        <w:t>Cross-Cloud Continuity: A Scalable Framework for Resilient and Regulated Digital Infrastructure</w:t>
      </w:r>
      <w:r w:rsidRPr="008510AE">
        <w:rPr>
          <w:sz w:val="24"/>
          <w:szCs w:val="24"/>
        </w:rPr>
        <w:t xml:space="preserve">. Philpapers.org. </w:t>
      </w:r>
      <w:hyperlink r:id="rId34">
        <w:r w:rsidRPr="008510AE">
          <w:rPr>
            <w:color w:val="1155CC"/>
            <w:sz w:val="24"/>
            <w:szCs w:val="24"/>
            <w:u w:val="single"/>
          </w:rPr>
          <w:t>https://philpapers.org/rec/DASCCV</w:t>
        </w:r>
      </w:hyperlink>
      <w:r w:rsidRPr="008510AE">
        <w:rPr>
          <w:sz w:val="24"/>
          <w:szCs w:val="24"/>
        </w:rPr>
        <w:t xml:space="preserve"> </w:t>
      </w:r>
    </w:p>
    <w:p w14:paraId="470AD470" w14:textId="77777777" w:rsidR="00015978" w:rsidRPr="008510AE" w:rsidRDefault="003903D0" w:rsidP="007D102C">
      <w:pPr>
        <w:spacing w:after="240"/>
        <w:ind w:left="900" w:hanging="900"/>
        <w:rPr>
          <w:sz w:val="24"/>
          <w:szCs w:val="24"/>
        </w:rPr>
      </w:pPr>
      <w:r w:rsidRPr="008510AE">
        <w:rPr>
          <w:sz w:val="24"/>
          <w:szCs w:val="24"/>
        </w:rPr>
        <w:t xml:space="preserve">Demir, E. D., Bilgin, B., &amp; </w:t>
      </w:r>
      <w:proofErr w:type="spellStart"/>
      <w:r w:rsidRPr="008510AE">
        <w:rPr>
          <w:sz w:val="24"/>
          <w:szCs w:val="24"/>
        </w:rPr>
        <w:t>Onbaşlı</w:t>
      </w:r>
      <w:proofErr w:type="spellEnd"/>
      <w:r w:rsidRPr="008510AE">
        <w:rPr>
          <w:sz w:val="24"/>
          <w:szCs w:val="24"/>
        </w:rPr>
        <w:t xml:space="preserve">, M. C. (2024). </w:t>
      </w:r>
      <w:r w:rsidRPr="008510AE">
        <w:rPr>
          <w:i/>
          <w:sz w:val="24"/>
          <w:szCs w:val="24"/>
        </w:rPr>
        <w:t>Performance Analysis and Industry Deployment of Post-Quantum Cryptography Algorithms</w:t>
      </w:r>
      <w:r w:rsidRPr="008510AE">
        <w:rPr>
          <w:sz w:val="24"/>
          <w:szCs w:val="24"/>
        </w:rPr>
        <w:t xml:space="preserve">. Arxiv.org. </w:t>
      </w:r>
      <w:hyperlink r:id="rId35">
        <w:r w:rsidRPr="008510AE">
          <w:rPr>
            <w:color w:val="1155CC"/>
            <w:sz w:val="24"/>
            <w:szCs w:val="24"/>
            <w:u w:val="single"/>
          </w:rPr>
          <w:t>https://arxiv.org/html/2503.12952v1</w:t>
        </w:r>
      </w:hyperlink>
      <w:r w:rsidRPr="008510AE">
        <w:rPr>
          <w:sz w:val="24"/>
          <w:szCs w:val="24"/>
        </w:rPr>
        <w:t xml:space="preserve"> </w:t>
      </w:r>
    </w:p>
    <w:p w14:paraId="0584B42B" w14:textId="77777777" w:rsidR="00015978" w:rsidRPr="008510AE" w:rsidRDefault="003903D0" w:rsidP="007D102C">
      <w:pPr>
        <w:spacing w:after="240"/>
        <w:ind w:left="900" w:hanging="900"/>
        <w:rPr>
          <w:sz w:val="24"/>
          <w:szCs w:val="24"/>
        </w:rPr>
      </w:pPr>
      <w:r w:rsidRPr="008510AE">
        <w:rPr>
          <w:sz w:val="24"/>
          <w:szCs w:val="24"/>
        </w:rPr>
        <w:t xml:space="preserve">Ejiofor, V. O., </w:t>
      </w:r>
      <w:proofErr w:type="spellStart"/>
      <w:r w:rsidRPr="008510AE">
        <w:rPr>
          <w:sz w:val="24"/>
          <w:szCs w:val="24"/>
        </w:rPr>
        <w:t>Ogunmolu</w:t>
      </w:r>
      <w:proofErr w:type="spellEnd"/>
      <w:r w:rsidRPr="008510AE">
        <w:rPr>
          <w:sz w:val="24"/>
          <w:szCs w:val="24"/>
        </w:rPr>
        <w:t xml:space="preserve">, A. M., Gbadebo, M. O., Joseph, S. A., &amp; </w:t>
      </w:r>
      <w:proofErr w:type="spellStart"/>
      <w:r w:rsidRPr="008510AE">
        <w:rPr>
          <w:sz w:val="24"/>
          <w:szCs w:val="24"/>
        </w:rPr>
        <w:t>Adesokan</w:t>
      </w:r>
      <w:proofErr w:type="spellEnd"/>
      <w:r w:rsidRPr="008510AE">
        <w:rPr>
          <w:sz w:val="24"/>
          <w:szCs w:val="24"/>
        </w:rPr>
        <w:t xml:space="preserve">-Imran, T. O. (2025). AI- Driven Risk Assessment for Enhancing Third Party Vendor Security in Healthcare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117–137. </w:t>
      </w:r>
      <w:hyperlink r:id="rId36">
        <w:r w:rsidRPr="008510AE">
          <w:rPr>
            <w:color w:val="1155CC"/>
            <w:sz w:val="24"/>
            <w:szCs w:val="24"/>
            <w:u w:val="single"/>
          </w:rPr>
          <w:t>https://doi.org/10.9734/jerr/2025/v27i51498</w:t>
        </w:r>
      </w:hyperlink>
      <w:r w:rsidRPr="008510AE">
        <w:rPr>
          <w:sz w:val="24"/>
          <w:szCs w:val="24"/>
        </w:rPr>
        <w:t xml:space="preserve"> </w:t>
      </w:r>
    </w:p>
    <w:p w14:paraId="4F00832D" w14:textId="77777777" w:rsidR="00015978" w:rsidRPr="008510AE" w:rsidRDefault="003903D0" w:rsidP="007D102C">
      <w:pPr>
        <w:spacing w:after="240"/>
        <w:ind w:left="900" w:hanging="900"/>
        <w:rPr>
          <w:sz w:val="24"/>
          <w:szCs w:val="24"/>
        </w:rPr>
      </w:pPr>
      <w:proofErr w:type="spellStart"/>
      <w:r w:rsidRPr="008510AE">
        <w:rPr>
          <w:sz w:val="24"/>
          <w:szCs w:val="24"/>
        </w:rPr>
        <w:t>Elkhodr</w:t>
      </w:r>
      <w:proofErr w:type="spellEnd"/>
      <w:r w:rsidRPr="008510AE">
        <w:rPr>
          <w:sz w:val="24"/>
          <w:szCs w:val="24"/>
        </w:rPr>
        <w:t xml:space="preserve">, M. (2025). An AI-Driven Framework for Integrated Security and Privacy in Internet of Things Using Quantum-Resistant Blockchain. </w:t>
      </w:r>
      <w:r w:rsidRPr="008510AE">
        <w:rPr>
          <w:i/>
          <w:sz w:val="24"/>
          <w:szCs w:val="24"/>
        </w:rPr>
        <w:t>Future Internet</w:t>
      </w:r>
      <w:r w:rsidRPr="008510AE">
        <w:rPr>
          <w:sz w:val="24"/>
          <w:szCs w:val="24"/>
        </w:rPr>
        <w:t xml:space="preserve">, </w:t>
      </w:r>
      <w:r w:rsidRPr="008510AE">
        <w:rPr>
          <w:i/>
          <w:sz w:val="24"/>
          <w:szCs w:val="24"/>
        </w:rPr>
        <w:t>17</w:t>
      </w:r>
      <w:r w:rsidRPr="008510AE">
        <w:rPr>
          <w:sz w:val="24"/>
          <w:szCs w:val="24"/>
        </w:rPr>
        <w:t xml:space="preserve">(6), 246. </w:t>
      </w:r>
      <w:hyperlink r:id="rId37">
        <w:r w:rsidRPr="008510AE">
          <w:rPr>
            <w:color w:val="1155CC"/>
            <w:sz w:val="24"/>
            <w:szCs w:val="24"/>
            <w:u w:val="single"/>
          </w:rPr>
          <w:t>https://doi.org/10.3390/fi17060246</w:t>
        </w:r>
      </w:hyperlink>
      <w:r w:rsidRPr="008510AE">
        <w:rPr>
          <w:sz w:val="24"/>
          <w:szCs w:val="24"/>
        </w:rPr>
        <w:t xml:space="preserve"> </w:t>
      </w:r>
    </w:p>
    <w:p w14:paraId="61B53FF8" w14:textId="77777777" w:rsidR="00015978" w:rsidRPr="008510AE" w:rsidRDefault="003903D0" w:rsidP="007D102C">
      <w:pPr>
        <w:spacing w:after="240"/>
        <w:ind w:left="900" w:hanging="900"/>
        <w:rPr>
          <w:sz w:val="24"/>
          <w:szCs w:val="24"/>
        </w:rPr>
      </w:pPr>
      <w:r w:rsidRPr="008510AE">
        <w:rPr>
          <w:sz w:val="24"/>
          <w:szCs w:val="24"/>
        </w:rPr>
        <w:t xml:space="preserve">Europol. (2022). </w:t>
      </w:r>
      <w:r w:rsidRPr="008510AE">
        <w:rPr>
          <w:i/>
          <w:sz w:val="24"/>
          <w:szCs w:val="24"/>
        </w:rPr>
        <w:t>Call for action: urgent plan needed to transition to post-quantum cryptography together | Europol</w:t>
      </w:r>
      <w:r w:rsidRPr="008510AE">
        <w:rPr>
          <w:sz w:val="24"/>
          <w:szCs w:val="24"/>
        </w:rPr>
        <w:t xml:space="preserve">. Europol. </w:t>
      </w:r>
      <w:hyperlink r:id="rId38">
        <w:r w:rsidRPr="008510AE">
          <w:rPr>
            <w:color w:val="1155CC"/>
            <w:sz w:val="24"/>
            <w:szCs w:val="24"/>
            <w:u w:val="single"/>
          </w:rPr>
          <w:t>https://www.europol.europa.eu/media-press/newsroom/news/call-for-action-urgent-plan-needed-to-transition-to-post-quantum-cryptography-together</w:t>
        </w:r>
      </w:hyperlink>
      <w:r w:rsidRPr="008510AE">
        <w:rPr>
          <w:sz w:val="24"/>
          <w:szCs w:val="24"/>
        </w:rPr>
        <w:t xml:space="preserve"> </w:t>
      </w:r>
    </w:p>
    <w:p w14:paraId="0163F925" w14:textId="77777777" w:rsidR="00015978" w:rsidRPr="008510AE" w:rsidRDefault="003903D0" w:rsidP="007D102C">
      <w:pPr>
        <w:spacing w:after="240"/>
        <w:ind w:left="900" w:hanging="900"/>
        <w:rPr>
          <w:sz w:val="24"/>
          <w:szCs w:val="24"/>
        </w:rPr>
      </w:pPr>
      <w:proofErr w:type="spellStart"/>
      <w:r w:rsidRPr="008510AE">
        <w:rPr>
          <w:sz w:val="24"/>
          <w:szCs w:val="24"/>
        </w:rPr>
        <w:t>FinancesOnline</w:t>
      </w:r>
      <w:proofErr w:type="spellEnd"/>
      <w:r w:rsidRPr="008510AE">
        <w:rPr>
          <w:sz w:val="24"/>
          <w:szCs w:val="24"/>
        </w:rPr>
        <w:t xml:space="preserve">. (2021). </w:t>
      </w:r>
      <w:r w:rsidRPr="008510AE">
        <w:rPr>
          <w:i/>
          <w:sz w:val="24"/>
          <w:szCs w:val="24"/>
        </w:rPr>
        <w:t>51 Critical Blockchain Statistics: 2021 Data Analysis &amp; Market Share</w:t>
      </w:r>
      <w:r w:rsidRPr="008510AE">
        <w:rPr>
          <w:sz w:val="24"/>
          <w:szCs w:val="24"/>
        </w:rPr>
        <w:t xml:space="preserve">. Financesonline.com. </w:t>
      </w:r>
      <w:hyperlink r:id="rId39">
        <w:r w:rsidRPr="008510AE">
          <w:rPr>
            <w:color w:val="1155CC"/>
            <w:sz w:val="24"/>
            <w:szCs w:val="24"/>
            <w:u w:val="single"/>
          </w:rPr>
          <w:t>https://financesonline.com/blockchain-statistics/</w:t>
        </w:r>
      </w:hyperlink>
      <w:r w:rsidRPr="008510AE">
        <w:rPr>
          <w:sz w:val="24"/>
          <w:szCs w:val="24"/>
        </w:rPr>
        <w:t xml:space="preserve"> </w:t>
      </w:r>
    </w:p>
    <w:p w14:paraId="7359B111" w14:textId="77777777" w:rsidR="00015978" w:rsidRPr="008510AE" w:rsidRDefault="003903D0" w:rsidP="007D102C">
      <w:pPr>
        <w:spacing w:after="240"/>
        <w:ind w:left="900" w:hanging="900"/>
        <w:rPr>
          <w:sz w:val="24"/>
          <w:szCs w:val="24"/>
        </w:rPr>
      </w:pPr>
      <w:r w:rsidRPr="008510AE">
        <w:rPr>
          <w:sz w:val="24"/>
          <w:szCs w:val="24"/>
        </w:rPr>
        <w:t xml:space="preserve">Gbadebo, M. O. (2025). Integrating Post-Quantum Cryptography and Advanced Encryption Standards to Safeguard Sensitive Financial Records from Emerging Cyber Threats.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1–23. </w:t>
      </w:r>
      <w:hyperlink r:id="rId40">
        <w:r w:rsidRPr="008510AE">
          <w:rPr>
            <w:color w:val="1155CC"/>
            <w:sz w:val="24"/>
            <w:szCs w:val="24"/>
            <w:u w:val="single"/>
          </w:rPr>
          <w:t>https://doi.org/10.9734/ajrcos/2025/v18i4605</w:t>
        </w:r>
      </w:hyperlink>
      <w:r w:rsidRPr="008510AE">
        <w:rPr>
          <w:sz w:val="24"/>
          <w:szCs w:val="24"/>
        </w:rPr>
        <w:t xml:space="preserve"> </w:t>
      </w:r>
    </w:p>
    <w:p w14:paraId="52EAD4F5" w14:textId="77777777" w:rsidR="00015978" w:rsidRPr="008510AE" w:rsidRDefault="003903D0" w:rsidP="007D102C">
      <w:pPr>
        <w:spacing w:after="240"/>
        <w:ind w:left="900" w:hanging="900"/>
        <w:rPr>
          <w:sz w:val="24"/>
          <w:szCs w:val="24"/>
        </w:rPr>
      </w:pPr>
      <w:r w:rsidRPr="008510AE">
        <w:rPr>
          <w:sz w:val="24"/>
          <w:szCs w:val="24"/>
        </w:rPr>
        <w:t xml:space="preserve">Gharavi, H., </w:t>
      </w:r>
      <w:proofErr w:type="spellStart"/>
      <w:r w:rsidRPr="008510AE">
        <w:rPr>
          <w:sz w:val="24"/>
          <w:szCs w:val="24"/>
        </w:rPr>
        <w:t>Granjal</w:t>
      </w:r>
      <w:proofErr w:type="spellEnd"/>
      <w:r w:rsidRPr="008510AE">
        <w:rPr>
          <w:sz w:val="24"/>
          <w:szCs w:val="24"/>
        </w:rPr>
        <w:t xml:space="preserve">, J., &amp; Monteiro, E. (2024). Post-Quantum Blockchain Security for the Internet of Things: Survey and Research Directions. </w:t>
      </w:r>
      <w:r w:rsidRPr="008510AE">
        <w:rPr>
          <w:i/>
          <w:sz w:val="24"/>
          <w:szCs w:val="24"/>
        </w:rPr>
        <w:t>IEEE Communications Surveys and Tutorials</w:t>
      </w:r>
      <w:r w:rsidRPr="008510AE">
        <w:rPr>
          <w:sz w:val="24"/>
          <w:szCs w:val="24"/>
        </w:rPr>
        <w:t xml:space="preserve">, </w:t>
      </w:r>
      <w:r w:rsidRPr="008510AE">
        <w:rPr>
          <w:i/>
          <w:sz w:val="24"/>
          <w:szCs w:val="24"/>
        </w:rPr>
        <w:t>26</w:t>
      </w:r>
      <w:r w:rsidRPr="008510AE">
        <w:rPr>
          <w:sz w:val="24"/>
          <w:szCs w:val="24"/>
        </w:rPr>
        <w:t xml:space="preserve">(3), 1–1. </w:t>
      </w:r>
      <w:hyperlink r:id="rId41">
        <w:r w:rsidRPr="008510AE">
          <w:rPr>
            <w:color w:val="1155CC"/>
            <w:sz w:val="24"/>
            <w:szCs w:val="24"/>
            <w:u w:val="single"/>
          </w:rPr>
          <w:t>https://doi.org/10.1109/comst.2024.3355222</w:t>
        </w:r>
      </w:hyperlink>
      <w:r w:rsidRPr="008510AE">
        <w:rPr>
          <w:sz w:val="24"/>
          <w:szCs w:val="24"/>
        </w:rPr>
        <w:t xml:space="preserve"> </w:t>
      </w:r>
    </w:p>
    <w:p w14:paraId="15F8A315" w14:textId="77777777" w:rsidR="00015978" w:rsidRPr="008510AE" w:rsidRDefault="003903D0" w:rsidP="007D102C">
      <w:pPr>
        <w:spacing w:after="240"/>
        <w:ind w:left="900" w:hanging="900"/>
        <w:rPr>
          <w:sz w:val="24"/>
          <w:szCs w:val="24"/>
        </w:rPr>
      </w:pPr>
      <w:r w:rsidRPr="008510AE">
        <w:rPr>
          <w:sz w:val="24"/>
          <w:szCs w:val="24"/>
        </w:rPr>
        <w:t xml:space="preserve">Giri, Y. (2025). </w:t>
      </w:r>
      <w:r w:rsidRPr="008510AE">
        <w:rPr>
          <w:i/>
          <w:sz w:val="24"/>
          <w:szCs w:val="24"/>
        </w:rPr>
        <w:t xml:space="preserve">Harvest Now, Decrypt </w:t>
      </w:r>
      <w:proofErr w:type="gramStart"/>
      <w:r w:rsidRPr="008510AE">
        <w:rPr>
          <w:i/>
          <w:sz w:val="24"/>
          <w:szCs w:val="24"/>
        </w:rPr>
        <w:t>Later(</w:t>
      </w:r>
      <w:proofErr w:type="gramEnd"/>
      <w:r w:rsidRPr="008510AE">
        <w:rPr>
          <w:i/>
          <w:sz w:val="24"/>
          <w:szCs w:val="24"/>
        </w:rPr>
        <w:t>HNDL): Preparing for the Quantum Threat | Encryption Consulting</w:t>
      </w:r>
      <w:r w:rsidRPr="008510AE">
        <w:rPr>
          <w:sz w:val="24"/>
          <w:szCs w:val="24"/>
        </w:rPr>
        <w:t xml:space="preserve">. Encryption Consulting. </w:t>
      </w:r>
      <w:hyperlink r:id="rId42">
        <w:r w:rsidRPr="008510AE">
          <w:rPr>
            <w:color w:val="1155CC"/>
            <w:sz w:val="24"/>
            <w:szCs w:val="24"/>
            <w:u w:val="single"/>
          </w:rPr>
          <w:t>https://www.encryptionconsulting.com/harvest-now-decrypt-later-preparing-for-the-quantum-threat/</w:t>
        </w:r>
      </w:hyperlink>
      <w:r w:rsidRPr="008510AE">
        <w:rPr>
          <w:sz w:val="24"/>
          <w:szCs w:val="24"/>
        </w:rPr>
        <w:t xml:space="preserve"> </w:t>
      </w:r>
    </w:p>
    <w:p w14:paraId="7E951B91" w14:textId="77777777" w:rsidR="00015978" w:rsidRPr="008510AE" w:rsidRDefault="003903D0" w:rsidP="007D102C">
      <w:pPr>
        <w:spacing w:after="240"/>
        <w:ind w:left="900" w:hanging="900"/>
        <w:rPr>
          <w:sz w:val="24"/>
          <w:szCs w:val="24"/>
        </w:rPr>
      </w:pPr>
      <w:r w:rsidRPr="008510AE">
        <w:rPr>
          <w:sz w:val="24"/>
          <w:szCs w:val="24"/>
        </w:rPr>
        <w:t xml:space="preserve">Habib, G., Sharma, S., Ibrahim, S., Ahmad, I., Qureshi, S., &amp; Ishfaq, M. (2022). Blockchain Technology: Benefits, Challenges, Applications, and Integration of Blockchain Technology with Cloud Computing. </w:t>
      </w:r>
      <w:r w:rsidRPr="008510AE">
        <w:rPr>
          <w:i/>
          <w:sz w:val="24"/>
          <w:szCs w:val="24"/>
        </w:rPr>
        <w:t>Future Internet</w:t>
      </w:r>
      <w:r w:rsidRPr="008510AE">
        <w:rPr>
          <w:sz w:val="24"/>
          <w:szCs w:val="24"/>
        </w:rPr>
        <w:t xml:space="preserve">, </w:t>
      </w:r>
      <w:r w:rsidRPr="008510AE">
        <w:rPr>
          <w:i/>
          <w:sz w:val="24"/>
          <w:szCs w:val="24"/>
        </w:rPr>
        <w:t>14</w:t>
      </w:r>
      <w:r w:rsidRPr="008510AE">
        <w:rPr>
          <w:sz w:val="24"/>
          <w:szCs w:val="24"/>
        </w:rPr>
        <w:t xml:space="preserve">(11). MDPI. </w:t>
      </w:r>
      <w:hyperlink r:id="rId43">
        <w:r w:rsidRPr="008510AE">
          <w:rPr>
            <w:color w:val="1155CC"/>
            <w:sz w:val="24"/>
            <w:szCs w:val="24"/>
            <w:u w:val="single"/>
          </w:rPr>
          <w:t>https://doi.org/10.3390/fi14110341</w:t>
        </w:r>
      </w:hyperlink>
      <w:r w:rsidRPr="008510AE">
        <w:rPr>
          <w:sz w:val="24"/>
          <w:szCs w:val="24"/>
        </w:rPr>
        <w:t xml:space="preserve"> </w:t>
      </w:r>
    </w:p>
    <w:p w14:paraId="394F79B2" w14:textId="77777777" w:rsidR="00015978" w:rsidRPr="008510AE" w:rsidRDefault="003903D0" w:rsidP="007D102C">
      <w:pPr>
        <w:spacing w:after="240"/>
        <w:ind w:left="900" w:hanging="900"/>
        <w:rPr>
          <w:sz w:val="24"/>
          <w:szCs w:val="24"/>
        </w:rPr>
      </w:pPr>
      <w:r w:rsidRPr="008510AE">
        <w:rPr>
          <w:sz w:val="24"/>
          <w:szCs w:val="24"/>
        </w:rPr>
        <w:lastRenderedPageBreak/>
        <w:t xml:space="preserve">Hill, M., &amp; Greiner, L. (2023). </w:t>
      </w:r>
      <w:r w:rsidRPr="008510AE">
        <w:rPr>
          <w:i/>
          <w:sz w:val="24"/>
          <w:szCs w:val="24"/>
        </w:rPr>
        <w:t>What is the cost of a data breach?</w:t>
      </w:r>
      <w:r w:rsidRPr="008510AE">
        <w:rPr>
          <w:sz w:val="24"/>
          <w:szCs w:val="24"/>
        </w:rPr>
        <w:t xml:space="preserve"> CSO Online. </w:t>
      </w:r>
      <w:hyperlink r:id="rId44">
        <w:r w:rsidRPr="008510AE">
          <w:rPr>
            <w:color w:val="1155CC"/>
            <w:sz w:val="24"/>
            <w:szCs w:val="24"/>
            <w:u w:val="single"/>
          </w:rPr>
          <w:t>https://www.csoonline.com/article/567697/what-is-the-cost-of-a-data-breach-3.html</w:t>
        </w:r>
      </w:hyperlink>
      <w:r w:rsidRPr="008510AE">
        <w:rPr>
          <w:sz w:val="24"/>
          <w:szCs w:val="24"/>
        </w:rPr>
        <w:t xml:space="preserve"> </w:t>
      </w:r>
    </w:p>
    <w:p w14:paraId="38FC6A6C" w14:textId="77777777" w:rsidR="00015978" w:rsidRPr="008510AE" w:rsidRDefault="003903D0" w:rsidP="007D102C">
      <w:pPr>
        <w:spacing w:after="240"/>
        <w:ind w:left="900" w:hanging="900"/>
        <w:rPr>
          <w:sz w:val="24"/>
          <w:szCs w:val="24"/>
        </w:rPr>
      </w:pPr>
      <w:r w:rsidRPr="008510AE">
        <w:rPr>
          <w:sz w:val="24"/>
          <w:szCs w:val="24"/>
        </w:rPr>
        <w:t xml:space="preserve">IMDA. (2022). </w:t>
      </w:r>
      <w:r w:rsidRPr="008510AE">
        <w:rPr>
          <w:i/>
          <w:sz w:val="24"/>
          <w:szCs w:val="24"/>
        </w:rPr>
        <w:t>National Quantum Safe Network Plus</w:t>
      </w:r>
      <w:r w:rsidRPr="008510AE">
        <w:rPr>
          <w:sz w:val="24"/>
          <w:szCs w:val="24"/>
        </w:rPr>
        <w:t xml:space="preserve">. </w:t>
      </w:r>
      <w:proofErr w:type="spellStart"/>
      <w:r w:rsidRPr="008510AE">
        <w:rPr>
          <w:sz w:val="24"/>
          <w:szCs w:val="24"/>
        </w:rPr>
        <w:t>Infocomm</w:t>
      </w:r>
      <w:proofErr w:type="spellEnd"/>
      <w:r w:rsidRPr="008510AE">
        <w:rPr>
          <w:sz w:val="24"/>
          <w:szCs w:val="24"/>
        </w:rPr>
        <w:t xml:space="preserve"> Media Development Authority. </w:t>
      </w:r>
      <w:hyperlink r:id="rId45">
        <w:r w:rsidRPr="008510AE">
          <w:rPr>
            <w:color w:val="1155CC"/>
            <w:sz w:val="24"/>
            <w:szCs w:val="24"/>
            <w:u w:val="single"/>
          </w:rPr>
          <w:t>https://www.imda.gov.sg/about-imda/emerging-technologies-and-research/national-quantum-safe-network-plus</w:t>
        </w:r>
      </w:hyperlink>
      <w:r w:rsidRPr="008510AE">
        <w:rPr>
          <w:sz w:val="24"/>
          <w:szCs w:val="24"/>
        </w:rPr>
        <w:t xml:space="preserve"> </w:t>
      </w:r>
    </w:p>
    <w:p w14:paraId="468B7305" w14:textId="77777777" w:rsidR="00015978" w:rsidRPr="008510AE" w:rsidRDefault="003903D0" w:rsidP="007D102C">
      <w:pPr>
        <w:spacing w:after="240"/>
        <w:ind w:left="900" w:hanging="900"/>
        <w:rPr>
          <w:sz w:val="24"/>
          <w:szCs w:val="24"/>
        </w:rPr>
      </w:pPr>
      <w:r w:rsidRPr="008510AE">
        <w:rPr>
          <w:sz w:val="24"/>
          <w:szCs w:val="24"/>
        </w:rPr>
        <w:t xml:space="preserve">Kayani, U., &amp; Hasan, F. (2024). Unveiling Cryptocurrency Impact on Financial Markets and Traditional Banking Systems: Lessons for Sustainable Blockchain and Interdisciplinary Collaborations. </w:t>
      </w:r>
      <w:r w:rsidRPr="008510AE">
        <w:rPr>
          <w:i/>
          <w:sz w:val="24"/>
          <w:szCs w:val="24"/>
        </w:rPr>
        <w:t>Journal of Risk and Financial Management</w:t>
      </w:r>
      <w:r w:rsidRPr="008510AE">
        <w:rPr>
          <w:sz w:val="24"/>
          <w:szCs w:val="24"/>
        </w:rPr>
        <w:t xml:space="preserve">, </w:t>
      </w:r>
      <w:r w:rsidRPr="008510AE">
        <w:rPr>
          <w:i/>
          <w:sz w:val="24"/>
          <w:szCs w:val="24"/>
        </w:rPr>
        <w:t>17</w:t>
      </w:r>
      <w:r w:rsidRPr="008510AE">
        <w:rPr>
          <w:sz w:val="24"/>
          <w:szCs w:val="24"/>
        </w:rPr>
        <w:t xml:space="preserve">(2), 58. </w:t>
      </w:r>
      <w:hyperlink r:id="rId46">
        <w:r w:rsidRPr="008510AE">
          <w:rPr>
            <w:color w:val="1155CC"/>
            <w:sz w:val="24"/>
            <w:szCs w:val="24"/>
            <w:u w:val="single"/>
          </w:rPr>
          <w:t>https://doi.org/10.3390/jrfm17020058</w:t>
        </w:r>
      </w:hyperlink>
      <w:r w:rsidRPr="008510AE">
        <w:rPr>
          <w:sz w:val="24"/>
          <w:szCs w:val="24"/>
        </w:rPr>
        <w:t xml:space="preserve"> </w:t>
      </w:r>
    </w:p>
    <w:p w14:paraId="6EC87316" w14:textId="77777777" w:rsidR="00015978" w:rsidRPr="008510AE" w:rsidRDefault="003903D0" w:rsidP="007D102C">
      <w:pPr>
        <w:spacing w:after="240"/>
        <w:ind w:left="900" w:hanging="900"/>
        <w:rPr>
          <w:sz w:val="24"/>
          <w:szCs w:val="24"/>
        </w:rPr>
      </w:pPr>
      <w:r w:rsidRPr="008510AE">
        <w:rPr>
          <w:sz w:val="24"/>
          <w:szCs w:val="24"/>
        </w:rPr>
        <w:t xml:space="preserve">Khan, D., Jung, L. T., &amp; </w:t>
      </w:r>
      <w:proofErr w:type="spellStart"/>
      <w:r w:rsidRPr="008510AE">
        <w:rPr>
          <w:sz w:val="24"/>
          <w:szCs w:val="24"/>
        </w:rPr>
        <w:t>Hashmani</w:t>
      </w:r>
      <w:proofErr w:type="spellEnd"/>
      <w:r w:rsidRPr="008510AE">
        <w:rPr>
          <w:sz w:val="24"/>
          <w:szCs w:val="24"/>
        </w:rPr>
        <w:t xml:space="preserve">, M. A. (2021). Systematic Literature Review of Challenges in Blockchain Scalability. </w:t>
      </w:r>
      <w:r w:rsidRPr="008510AE">
        <w:rPr>
          <w:i/>
          <w:sz w:val="24"/>
          <w:szCs w:val="24"/>
        </w:rPr>
        <w:t>Applied Sciences</w:t>
      </w:r>
      <w:r w:rsidRPr="008510AE">
        <w:rPr>
          <w:sz w:val="24"/>
          <w:szCs w:val="24"/>
        </w:rPr>
        <w:t xml:space="preserve">, </w:t>
      </w:r>
      <w:r w:rsidRPr="008510AE">
        <w:rPr>
          <w:i/>
          <w:sz w:val="24"/>
          <w:szCs w:val="24"/>
        </w:rPr>
        <w:t>11</w:t>
      </w:r>
      <w:r w:rsidRPr="008510AE">
        <w:rPr>
          <w:sz w:val="24"/>
          <w:szCs w:val="24"/>
        </w:rPr>
        <w:t xml:space="preserve">(20), 9372. </w:t>
      </w:r>
      <w:hyperlink r:id="rId47">
        <w:r w:rsidRPr="008510AE">
          <w:rPr>
            <w:color w:val="1155CC"/>
            <w:sz w:val="24"/>
            <w:szCs w:val="24"/>
            <w:u w:val="single"/>
          </w:rPr>
          <w:t>https://www.mdpi.com/2076-3417/11/20/9372</w:t>
        </w:r>
      </w:hyperlink>
      <w:r w:rsidRPr="008510AE">
        <w:rPr>
          <w:sz w:val="24"/>
          <w:szCs w:val="24"/>
        </w:rPr>
        <w:t xml:space="preserve"> </w:t>
      </w:r>
    </w:p>
    <w:p w14:paraId="1AF3FEE4" w14:textId="77777777" w:rsidR="00015978" w:rsidRPr="008510AE" w:rsidRDefault="003903D0" w:rsidP="007D102C">
      <w:pPr>
        <w:spacing w:after="240"/>
        <w:ind w:left="900" w:hanging="900"/>
        <w:rPr>
          <w:sz w:val="24"/>
          <w:szCs w:val="24"/>
        </w:rPr>
      </w:pPr>
      <w:r w:rsidRPr="008510AE">
        <w:rPr>
          <w:sz w:val="24"/>
          <w:szCs w:val="24"/>
        </w:rPr>
        <w:t xml:space="preserve">Kolade, T. M., Obioha-Val, O. A., Balogun, A. Y., Gbadebo, M. O., &amp; Olaniyi, O. O. (2025). AI-Driven </w:t>
      </w:r>
      <w:proofErr w:type="gramStart"/>
      <w:r w:rsidRPr="008510AE">
        <w:rPr>
          <w:sz w:val="24"/>
          <w:szCs w:val="24"/>
        </w:rPr>
        <w:t>Open Source</w:t>
      </w:r>
      <w:proofErr w:type="gramEnd"/>
      <w:r w:rsidRPr="008510AE">
        <w:rPr>
          <w:sz w:val="24"/>
          <w:szCs w:val="24"/>
        </w:rPr>
        <w:t xml:space="preserve"> Intelligence in Cyber </w:t>
      </w:r>
      <w:proofErr w:type="spellStart"/>
      <w:r w:rsidRPr="008510AE">
        <w:rPr>
          <w:sz w:val="24"/>
          <w:szCs w:val="24"/>
        </w:rPr>
        <w:t>Defense</w:t>
      </w:r>
      <w:proofErr w:type="spellEnd"/>
      <w:r w:rsidRPr="008510AE">
        <w:rPr>
          <w:sz w:val="24"/>
          <w:szCs w:val="24"/>
        </w:rPr>
        <w:t xml:space="preserve">: A Double-edged Sword for National Security.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(1), 133–153. </w:t>
      </w:r>
      <w:hyperlink r:id="rId48">
        <w:r w:rsidRPr="008510AE">
          <w:rPr>
            <w:color w:val="1155CC"/>
            <w:sz w:val="24"/>
            <w:szCs w:val="24"/>
            <w:u w:val="single"/>
          </w:rPr>
          <w:t>https://doi.org/10.9734/ajrcos/2025/v18i1554</w:t>
        </w:r>
      </w:hyperlink>
      <w:r w:rsidRPr="008510AE">
        <w:rPr>
          <w:sz w:val="24"/>
          <w:szCs w:val="24"/>
        </w:rPr>
        <w:t xml:space="preserve"> </w:t>
      </w:r>
    </w:p>
    <w:p w14:paraId="1D8639E3" w14:textId="77777777" w:rsidR="00015978" w:rsidRPr="008510AE" w:rsidRDefault="003903D0" w:rsidP="007D102C">
      <w:pPr>
        <w:spacing w:after="240"/>
        <w:ind w:left="900" w:hanging="900"/>
        <w:rPr>
          <w:sz w:val="24"/>
          <w:szCs w:val="24"/>
        </w:rPr>
      </w:pPr>
      <w:r w:rsidRPr="008510AE">
        <w:rPr>
          <w:sz w:val="24"/>
          <w:szCs w:val="24"/>
        </w:rPr>
        <w:t xml:space="preserve">Kolo, F. H. O. (2025). Responsible AI for Cybersecurity: Assessing the Barriers, Biases and Governance Gaps in Implementation with E-commerce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510–532. </w:t>
      </w:r>
      <w:hyperlink r:id="rId49">
        <w:r w:rsidRPr="008510AE">
          <w:rPr>
            <w:color w:val="1155CC"/>
            <w:sz w:val="24"/>
            <w:szCs w:val="24"/>
            <w:u w:val="single"/>
          </w:rPr>
          <w:t>https://doi.org/10.9734/jerr/2025/v27i51520</w:t>
        </w:r>
      </w:hyperlink>
      <w:r w:rsidRPr="008510AE">
        <w:rPr>
          <w:sz w:val="24"/>
          <w:szCs w:val="24"/>
        </w:rPr>
        <w:t xml:space="preserve"> </w:t>
      </w:r>
    </w:p>
    <w:p w14:paraId="416770C3" w14:textId="77777777" w:rsidR="00015978" w:rsidRPr="008510AE" w:rsidRDefault="003903D0" w:rsidP="007D102C">
      <w:pPr>
        <w:spacing w:after="240"/>
        <w:ind w:left="900" w:hanging="900"/>
        <w:rPr>
          <w:sz w:val="24"/>
          <w:szCs w:val="24"/>
        </w:rPr>
      </w:pPr>
      <w:r w:rsidRPr="008510AE">
        <w:rPr>
          <w:sz w:val="24"/>
          <w:szCs w:val="24"/>
        </w:rPr>
        <w:t xml:space="preserve">Kolo, F. H. O., Joseph, S. A., </w:t>
      </w:r>
      <w:proofErr w:type="spellStart"/>
      <w:r w:rsidRPr="008510AE">
        <w:rPr>
          <w:sz w:val="24"/>
          <w:szCs w:val="24"/>
        </w:rPr>
        <w:t>Ogunmolu</w:t>
      </w:r>
      <w:proofErr w:type="spellEnd"/>
      <w:r w:rsidRPr="008510AE">
        <w:rPr>
          <w:sz w:val="24"/>
          <w:szCs w:val="24"/>
        </w:rPr>
        <w:t xml:space="preserve">, A. M., Ejiofor, V. O., &amp; </w:t>
      </w:r>
      <w:proofErr w:type="spellStart"/>
      <w:r w:rsidRPr="008510AE">
        <w:rPr>
          <w:sz w:val="24"/>
          <w:szCs w:val="24"/>
        </w:rPr>
        <w:t>Oyekunle</w:t>
      </w:r>
      <w:proofErr w:type="spellEnd"/>
      <w:r w:rsidRPr="008510AE">
        <w:rPr>
          <w:sz w:val="24"/>
          <w:szCs w:val="24"/>
        </w:rPr>
        <w:t xml:space="preserve">, S. M. (2025). Mitigating Cybersecurity Risks in Financial Institutions through Strategic Third- Party Risk Governance Frameworks.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173–193. </w:t>
      </w:r>
      <w:hyperlink r:id="rId50">
        <w:r w:rsidRPr="008510AE">
          <w:rPr>
            <w:color w:val="1155CC"/>
            <w:sz w:val="24"/>
            <w:szCs w:val="24"/>
            <w:u w:val="single"/>
          </w:rPr>
          <w:t>https://doi.org/10.9734/jerr/2025/v27i51501</w:t>
        </w:r>
      </w:hyperlink>
      <w:r w:rsidRPr="008510AE">
        <w:rPr>
          <w:sz w:val="24"/>
          <w:szCs w:val="24"/>
        </w:rPr>
        <w:t xml:space="preserve"> </w:t>
      </w:r>
    </w:p>
    <w:p w14:paraId="385DC4A1" w14:textId="77777777" w:rsidR="00015978" w:rsidRPr="008510AE" w:rsidRDefault="003903D0" w:rsidP="007D102C">
      <w:pPr>
        <w:spacing w:after="240"/>
        <w:ind w:left="900" w:hanging="900"/>
        <w:rPr>
          <w:sz w:val="24"/>
          <w:szCs w:val="24"/>
        </w:rPr>
      </w:pPr>
      <w:r w:rsidRPr="008510AE">
        <w:rPr>
          <w:sz w:val="24"/>
          <w:szCs w:val="24"/>
        </w:rPr>
        <w:t xml:space="preserve">Kumar, B. A., &amp; Sen, M. (2024). </w:t>
      </w:r>
      <w:r w:rsidRPr="008510AE">
        <w:rPr>
          <w:i/>
          <w:sz w:val="24"/>
          <w:szCs w:val="24"/>
        </w:rPr>
        <w:t>Strategic Roadmap for Quantum- Resistant Security: A Framework for Preparing Industries for the Quantum Threat</w:t>
      </w:r>
      <w:r w:rsidRPr="008510AE">
        <w:rPr>
          <w:sz w:val="24"/>
          <w:szCs w:val="24"/>
        </w:rPr>
        <w:t xml:space="preserve">. ArXiv.org. </w:t>
      </w:r>
      <w:hyperlink r:id="rId51">
        <w:r w:rsidRPr="008510AE">
          <w:rPr>
            <w:color w:val="1155CC"/>
            <w:sz w:val="24"/>
            <w:szCs w:val="24"/>
            <w:u w:val="single"/>
          </w:rPr>
          <w:t>https://arxiv.org/abs/2411.09995</w:t>
        </w:r>
      </w:hyperlink>
      <w:r w:rsidRPr="008510AE">
        <w:rPr>
          <w:sz w:val="24"/>
          <w:szCs w:val="24"/>
        </w:rPr>
        <w:t xml:space="preserve"> </w:t>
      </w:r>
    </w:p>
    <w:p w14:paraId="004D1B86" w14:textId="77777777" w:rsidR="00015978" w:rsidRPr="008510AE" w:rsidRDefault="003903D0" w:rsidP="007D102C">
      <w:pPr>
        <w:spacing w:after="240"/>
        <w:ind w:left="900" w:hanging="900"/>
        <w:rPr>
          <w:sz w:val="24"/>
          <w:szCs w:val="24"/>
        </w:rPr>
      </w:pPr>
      <w:r w:rsidRPr="008510AE">
        <w:rPr>
          <w:sz w:val="24"/>
          <w:szCs w:val="24"/>
        </w:rPr>
        <w:t xml:space="preserve">Kumari, A., &amp; Devi, N. C. (2022). The Impact of FinTech and Blockchain Technologies on Banking and Financial Services. </w:t>
      </w:r>
      <w:r w:rsidRPr="008510AE">
        <w:rPr>
          <w:i/>
          <w:sz w:val="24"/>
          <w:szCs w:val="24"/>
        </w:rPr>
        <w:t>Technology Innovation Management Review</w:t>
      </w:r>
      <w:r w:rsidRPr="008510AE">
        <w:rPr>
          <w:sz w:val="24"/>
          <w:szCs w:val="24"/>
        </w:rPr>
        <w:t xml:space="preserve">, </w:t>
      </w:r>
      <w:r w:rsidRPr="008510AE">
        <w:rPr>
          <w:i/>
          <w:sz w:val="24"/>
          <w:szCs w:val="24"/>
        </w:rPr>
        <w:t>12</w:t>
      </w:r>
      <w:r w:rsidRPr="008510AE">
        <w:rPr>
          <w:sz w:val="24"/>
          <w:szCs w:val="24"/>
        </w:rPr>
        <w:t xml:space="preserve">(1/2). </w:t>
      </w:r>
      <w:hyperlink r:id="rId52">
        <w:r w:rsidRPr="008510AE">
          <w:rPr>
            <w:color w:val="1155CC"/>
            <w:sz w:val="24"/>
            <w:szCs w:val="24"/>
            <w:u w:val="single"/>
          </w:rPr>
          <w:t>https://timreview.ca/article/1481</w:t>
        </w:r>
      </w:hyperlink>
      <w:r w:rsidRPr="008510AE">
        <w:rPr>
          <w:sz w:val="24"/>
          <w:szCs w:val="24"/>
        </w:rPr>
        <w:t xml:space="preserve"> </w:t>
      </w:r>
    </w:p>
    <w:p w14:paraId="29259EA6" w14:textId="77777777" w:rsidR="00015978" w:rsidRPr="008510AE" w:rsidRDefault="003903D0" w:rsidP="007D102C">
      <w:pPr>
        <w:spacing w:after="240"/>
        <w:ind w:left="900" w:hanging="900"/>
        <w:rPr>
          <w:sz w:val="24"/>
          <w:szCs w:val="24"/>
        </w:rPr>
      </w:pPr>
      <w:r w:rsidRPr="008510AE">
        <w:rPr>
          <w:sz w:val="24"/>
          <w:szCs w:val="24"/>
        </w:rPr>
        <w:t xml:space="preserve">Lawton, G. (2019). </w:t>
      </w:r>
      <w:r w:rsidRPr="008510AE">
        <w:rPr>
          <w:i/>
          <w:sz w:val="24"/>
          <w:szCs w:val="24"/>
        </w:rPr>
        <w:t>Barclays Bank takes a crack at IBM’s quantum computer</w:t>
      </w:r>
      <w:r w:rsidRPr="008510AE">
        <w:rPr>
          <w:sz w:val="24"/>
          <w:szCs w:val="24"/>
        </w:rPr>
        <w:t xml:space="preserve">. Search CIO; TechTarget. </w:t>
      </w:r>
      <w:hyperlink r:id="rId53">
        <w:r w:rsidRPr="008510AE">
          <w:rPr>
            <w:color w:val="1155CC"/>
            <w:sz w:val="24"/>
            <w:szCs w:val="24"/>
            <w:u w:val="single"/>
          </w:rPr>
          <w:t>https://www.techtarget.com/searchcio/feature/Barclays-Bank-takes-a-crack-at-IBMs-quantum-computer</w:t>
        </w:r>
      </w:hyperlink>
      <w:r w:rsidRPr="008510AE">
        <w:rPr>
          <w:sz w:val="24"/>
          <w:szCs w:val="24"/>
        </w:rPr>
        <w:t xml:space="preserve"> </w:t>
      </w:r>
    </w:p>
    <w:p w14:paraId="23441E46" w14:textId="77777777" w:rsidR="00015978" w:rsidRPr="008510AE" w:rsidRDefault="003903D0" w:rsidP="007D102C">
      <w:pPr>
        <w:spacing w:after="240"/>
        <w:ind w:left="900" w:hanging="900"/>
        <w:rPr>
          <w:sz w:val="24"/>
          <w:szCs w:val="24"/>
        </w:rPr>
      </w:pPr>
      <w:r w:rsidRPr="008510AE">
        <w:rPr>
          <w:sz w:val="24"/>
          <w:szCs w:val="24"/>
        </w:rPr>
        <w:lastRenderedPageBreak/>
        <w:t xml:space="preserve">Market Research Future. (2023). </w:t>
      </w:r>
      <w:r w:rsidRPr="008510AE">
        <w:rPr>
          <w:i/>
          <w:sz w:val="24"/>
          <w:szCs w:val="24"/>
        </w:rPr>
        <w:t>Market Research Future® - Industry Analysis Report, Business Consulting and Research</w:t>
      </w:r>
      <w:r w:rsidRPr="008510AE">
        <w:rPr>
          <w:sz w:val="24"/>
          <w:szCs w:val="24"/>
        </w:rPr>
        <w:t xml:space="preserve">. Marketresearchfuture.com. </w:t>
      </w:r>
      <w:hyperlink r:id="rId54">
        <w:r w:rsidRPr="008510AE">
          <w:rPr>
            <w:color w:val="1155CC"/>
            <w:sz w:val="24"/>
            <w:szCs w:val="24"/>
            <w:u w:val="single"/>
          </w:rPr>
          <w:t>https://www.marketresearchfuture.com/</w:t>
        </w:r>
      </w:hyperlink>
      <w:r w:rsidRPr="008510AE">
        <w:rPr>
          <w:sz w:val="24"/>
          <w:szCs w:val="24"/>
        </w:rPr>
        <w:t xml:space="preserve"> </w:t>
      </w:r>
    </w:p>
    <w:p w14:paraId="074A2EBD" w14:textId="77777777" w:rsidR="00015978" w:rsidRPr="008510AE" w:rsidRDefault="003903D0" w:rsidP="007D102C">
      <w:pPr>
        <w:spacing w:after="240"/>
        <w:ind w:left="900" w:hanging="900"/>
        <w:rPr>
          <w:sz w:val="24"/>
          <w:szCs w:val="24"/>
        </w:rPr>
      </w:pPr>
      <w:proofErr w:type="spellStart"/>
      <w:r w:rsidRPr="008510AE">
        <w:rPr>
          <w:sz w:val="24"/>
          <w:szCs w:val="24"/>
        </w:rPr>
        <w:t>Metibemu</w:t>
      </w:r>
      <w:proofErr w:type="spellEnd"/>
      <w:r w:rsidRPr="008510AE">
        <w:rPr>
          <w:sz w:val="24"/>
          <w:szCs w:val="24"/>
        </w:rPr>
        <w:t xml:space="preserve">, O. C., </w:t>
      </w:r>
      <w:proofErr w:type="spellStart"/>
      <w:r w:rsidRPr="008510AE">
        <w:rPr>
          <w:sz w:val="24"/>
          <w:szCs w:val="24"/>
        </w:rPr>
        <w:t>Adesokan</w:t>
      </w:r>
      <w:proofErr w:type="spellEnd"/>
      <w:r w:rsidRPr="008510AE">
        <w:rPr>
          <w:sz w:val="24"/>
          <w:szCs w:val="24"/>
        </w:rPr>
        <w:t xml:space="preserve">-Imran, T. O., Ajayi, A. J., </w:t>
      </w:r>
      <w:proofErr w:type="spellStart"/>
      <w:r w:rsidRPr="008510AE">
        <w:rPr>
          <w:sz w:val="24"/>
          <w:szCs w:val="24"/>
        </w:rPr>
        <w:t>Tiwo</w:t>
      </w:r>
      <w:proofErr w:type="spellEnd"/>
      <w:r w:rsidRPr="008510AE">
        <w:rPr>
          <w:sz w:val="24"/>
          <w:szCs w:val="24"/>
        </w:rPr>
        <w:t xml:space="preserve">, O. J., </w:t>
      </w:r>
      <w:proofErr w:type="spellStart"/>
      <w:r w:rsidRPr="008510AE">
        <w:rPr>
          <w:sz w:val="24"/>
          <w:szCs w:val="24"/>
        </w:rPr>
        <w:t>Olutimehin</w:t>
      </w:r>
      <w:proofErr w:type="spellEnd"/>
      <w:r w:rsidRPr="008510AE">
        <w:rPr>
          <w:sz w:val="24"/>
          <w:szCs w:val="24"/>
        </w:rPr>
        <w:t xml:space="preserve">, A. T., &amp; Olaniyi, O. O. (2025). Developing Proactive Threat Mitigation Strategies for Cloud Misconfiguration Risks in Financial SaaS Applications.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393–413. </w:t>
      </w:r>
      <w:hyperlink r:id="rId55">
        <w:r w:rsidRPr="008510AE">
          <w:rPr>
            <w:color w:val="1155CC"/>
            <w:sz w:val="24"/>
            <w:szCs w:val="24"/>
            <w:u w:val="single"/>
          </w:rPr>
          <w:t>https://doi.org/10.9734/jerr/2025/v27i31442</w:t>
        </w:r>
      </w:hyperlink>
      <w:r w:rsidRPr="008510AE">
        <w:rPr>
          <w:sz w:val="24"/>
          <w:szCs w:val="24"/>
        </w:rPr>
        <w:t xml:space="preserve"> </w:t>
      </w:r>
    </w:p>
    <w:p w14:paraId="43EFAAD4" w14:textId="77777777" w:rsidR="00015978" w:rsidRPr="008510AE" w:rsidRDefault="003903D0" w:rsidP="007D102C">
      <w:pPr>
        <w:spacing w:after="240"/>
        <w:ind w:left="900" w:hanging="900"/>
        <w:rPr>
          <w:sz w:val="24"/>
          <w:szCs w:val="24"/>
        </w:rPr>
      </w:pPr>
      <w:r w:rsidRPr="008510AE">
        <w:rPr>
          <w:sz w:val="24"/>
          <w:szCs w:val="24"/>
        </w:rPr>
        <w:t xml:space="preserve">Morgan, J. P. (2025). </w:t>
      </w:r>
      <w:proofErr w:type="spellStart"/>
      <w:r w:rsidRPr="008510AE">
        <w:rPr>
          <w:i/>
          <w:sz w:val="24"/>
          <w:szCs w:val="24"/>
        </w:rPr>
        <w:t>JPMorganChase</w:t>
      </w:r>
      <w:proofErr w:type="spellEnd"/>
      <w:r w:rsidRPr="008510AE">
        <w:rPr>
          <w:i/>
          <w:sz w:val="24"/>
          <w:szCs w:val="24"/>
        </w:rPr>
        <w:t xml:space="preserve">, </w:t>
      </w:r>
      <w:proofErr w:type="spellStart"/>
      <w:r w:rsidRPr="008510AE">
        <w:rPr>
          <w:i/>
          <w:sz w:val="24"/>
          <w:szCs w:val="24"/>
        </w:rPr>
        <w:t>Quantinuum</w:t>
      </w:r>
      <w:proofErr w:type="spellEnd"/>
      <w:r w:rsidRPr="008510AE">
        <w:rPr>
          <w:i/>
          <w:sz w:val="24"/>
          <w:szCs w:val="24"/>
        </w:rPr>
        <w:t>, Argonne National Laboratory, Oak Ridge National Laboratory and University of Texas at Austin advance the application of quantum computing to potential real-world use cases beyond the capabilities of classical computing</w:t>
      </w:r>
      <w:r w:rsidRPr="008510AE">
        <w:rPr>
          <w:sz w:val="24"/>
          <w:szCs w:val="24"/>
        </w:rPr>
        <w:t xml:space="preserve">. Jpmorgan.com; J.P. Morgan.  </w:t>
      </w:r>
      <w:hyperlink r:id="rId56">
        <w:r w:rsidRPr="008510AE">
          <w:rPr>
            <w:color w:val="1155CC"/>
            <w:sz w:val="24"/>
            <w:szCs w:val="24"/>
            <w:u w:val="single"/>
          </w:rPr>
          <w:t>https://www.jpmorgan.com/technology/news/certified-randomness</w:t>
        </w:r>
      </w:hyperlink>
      <w:r w:rsidRPr="008510AE">
        <w:rPr>
          <w:sz w:val="24"/>
          <w:szCs w:val="24"/>
        </w:rPr>
        <w:t xml:space="preserve"> </w:t>
      </w:r>
    </w:p>
    <w:p w14:paraId="5C795A42" w14:textId="77777777" w:rsidR="00015978" w:rsidRPr="008510AE" w:rsidRDefault="003903D0" w:rsidP="007D102C">
      <w:pPr>
        <w:spacing w:after="240"/>
        <w:ind w:left="900" w:hanging="900"/>
        <w:rPr>
          <w:sz w:val="24"/>
          <w:szCs w:val="24"/>
        </w:rPr>
      </w:pPr>
      <w:r w:rsidRPr="008510AE">
        <w:rPr>
          <w:sz w:val="24"/>
          <w:szCs w:val="24"/>
        </w:rPr>
        <w:t xml:space="preserve">Morgan, S. (2020). </w:t>
      </w:r>
      <w:r w:rsidRPr="008510AE">
        <w:rPr>
          <w:i/>
          <w:sz w:val="24"/>
          <w:szCs w:val="24"/>
        </w:rPr>
        <w:t xml:space="preserve">Cybercrime To Cost </w:t>
      </w:r>
      <w:proofErr w:type="gramStart"/>
      <w:r w:rsidRPr="008510AE">
        <w:rPr>
          <w:i/>
          <w:sz w:val="24"/>
          <w:szCs w:val="24"/>
        </w:rPr>
        <w:t>The</w:t>
      </w:r>
      <w:proofErr w:type="gramEnd"/>
      <w:r w:rsidRPr="008510AE">
        <w:rPr>
          <w:i/>
          <w:sz w:val="24"/>
          <w:szCs w:val="24"/>
        </w:rPr>
        <w:t xml:space="preserve"> World $10.5 Trillion Annually By 2025</w:t>
      </w:r>
      <w:r w:rsidRPr="008510AE">
        <w:rPr>
          <w:sz w:val="24"/>
          <w:szCs w:val="24"/>
        </w:rPr>
        <w:t xml:space="preserve">. Cybercrime Magazine. </w:t>
      </w:r>
      <w:hyperlink r:id="rId57">
        <w:r w:rsidRPr="008510AE">
          <w:rPr>
            <w:color w:val="1155CC"/>
            <w:sz w:val="24"/>
            <w:szCs w:val="24"/>
            <w:u w:val="single"/>
          </w:rPr>
          <w:t>https://cybersecurityventures.com/cybercrime-damage-costs-10-trillion-by-2025/</w:t>
        </w:r>
      </w:hyperlink>
      <w:r w:rsidRPr="008510AE">
        <w:rPr>
          <w:sz w:val="24"/>
          <w:szCs w:val="24"/>
        </w:rPr>
        <w:t xml:space="preserve"> </w:t>
      </w:r>
    </w:p>
    <w:p w14:paraId="36888E9D" w14:textId="77777777" w:rsidR="00015978" w:rsidRPr="008510AE" w:rsidRDefault="003903D0" w:rsidP="007D102C">
      <w:pPr>
        <w:spacing w:after="240"/>
        <w:ind w:left="900" w:hanging="900"/>
        <w:rPr>
          <w:sz w:val="24"/>
          <w:szCs w:val="24"/>
        </w:rPr>
      </w:pPr>
      <w:r w:rsidRPr="008510AE">
        <w:rPr>
          <w:sz w:val="24"/>
          <w:szCs w:val="24"/>
        </w:rPr>
        <w:t xml:space="preserve">Muhammadi, E. (2024). </w:t>
      </w:r>
      <w:r w:rsidRPr="008510AE">
        <w:rPr>
          <w:i/>
          <w:sz w:val="24"/>
          <w:szCs w:val="24"/>
        </w:rPr>
        <w:t>Kyber KEM: A Quantum-Resistant Lattice-Based Framework for Secure Key Encapsulation (Example in Golang)</w:t>
      </w:r>
      <w:r w:rsidRPr="008510AE">
        <w:rPr>
          <w:sz w:val="24"/>
          <w:szCs w:val="24"/>
        </w:rPr>
        <w:t xml:space="preserve">. Eminmuhammadi.com; EMINMUHAMMADI.COM. </w:t>
      </w:r>
      <w:hyperlink r:id="rId58">
        <w:r w:rsidRPr="008510AE">
          <w:rPr>
            <w:color w:val="1155CC"/>
            <w:sz w:val="24"/>
            <w:szCs w:val="24"/>
            <w:u w:val="single"/>
          </w:rPr>
          <w:t>https://eminmuhammadi.com/articles/kyber-kem-a-quantum-resistant-lattice-based-framework-for-secure-key-encapsulation-example-in-golang</w:t>
        </w:r>
      </w:hyperlink>
      <w:r w:rsidRPr="008510AE">
        <w:rPr>
          <w:sz w:val="24"/>
          <w:szCs w:val="24"/>
        </w:rPr>
        <w:t xml:space="preserve"> </w:t>
      </w:r>
    </w:p>
    <w:p w14:paraId="2FD3E172" w14:textId="77777777" w:rsidR="00015978" w:rsidRPr="008510AE" w:rsidRDefault="003903D0" w:rsidP="007D102C">
      <w:pPr>
        <w:spacing w:after="240"/>
        <w:ind w:left="900" w:hanging="900"/>
        <w:rPr>
          <w:sz w:val="24"/>
          <w:szCs w:val="24"/>
        </w:rPr>
      </w:pPr>
      <w:r w:rsidRPr="008510AE">
        <w:rPr>
          <w:sz w:val="24"/>
          <w:szCs w:val="24"/>
        </w:rPr>
        <w:t xml:space="preserve">Nandan Prasad, A. (2024). Future Trends and Emerging Challenges. </w:t>
      </w:r>
      <w:r w:rsidRPr="008510AE">
        <w:rPr>
          <w:i/>
          <w:sz w:val="24"/>
          <w:szCs w:val="24"/>
        </w:rPr>
        <w:t>Introduction to Data Governance for Machine Learning Systems</w:t>
      </w:r>
      <w:r w:rsidRPr="008510AE">
        <w:rPr>
          <w:sz w:val="24"/>
          <w:szCs w:val="24"/>
        </w:rPr>
        <w:t xml:space="preserve">, 679–710. </w:t>
      </w:r>
      <w:hyperlink r:id="rId59">
        <w:r w:rsidRPr="008510AE">
          <w:rPr>
            <w:color w:val="1155CC"/>
            <w:sz w:val="24"/>
            <w:szCs w:val="24"/>
            <w:u w:val="single"/>
          </w:rPr>
          <w:t>https://doi.org/10.1007/979-8-8688-1023-7_10</w:t>
        </w:r>
      </w:hyperlink>
      <w:r w:rsidRPr="008510AE">
        <w:rPr>
          <w:sz w:val="24"/>
          <w:szCs w:val="24"/>
        </w:rPr>
        <w:t xml:space="preserve"> </w:t>
      </w:r>
    </w:p>
    <w:p w14:paraId="6E7CA608" w14:textId="77777777" w:rsidR="00015978" w:rsidRPr="008510AE" w:rsidRDefault="003903D0" w:rsidP="007D102C">
      <w:pPr>
        <w:spacing w:after="240"/>
        <w:ind w:left="900" w:hanging="900"/>
        <w:rPr>
          <w:sz w:val="24"/>
          <w:szCs w:val="24"/>
        </w:rPr>
      </w:pPr>
      <w:r w:rsidRPr="008510AE">
        <w:rPr>
          <w:sz w:val="24"/>
          <w:szCs w:val="24"/>
        </w:rPr>
        <w:t xml:space="preserve">NIST. (2017). </w:t>
      </w:r>
      <w:r w:rsidRPr="008510AE">
        <w:rPr>
          <w:i/>
          <w:sz w:val="24"/>
          <w:szCs w:val="24"/>
        </w:rPr>
        <w:t>Post-Quantum Cryptography | CSRC | CSRC</w:t>
      </w:r>
      <w:r w:rsidRPr="008510AE">
        <w:rPr>
          <w:sz w:val="24"/>
          <w:szCs w:val="24"/>
        </w:rPr>
        <w:t xml:space="preserve">. CSRC | NIST. </w:t>
      </w:r>
      <w:hyperlink r:id="rId60">
        <w:r w:rsidRPr="008510AE">
          <w:rPr>
            <w:color w:val="1155CC"/>
            <w:sz w:val="24"/>
            <w:szCs w:val="24"/>
            <w:u w:val="single"/>
          </w:rPr>
          <w:t>https://csrc.nist.gov/projects/post-quantum-cryptography</w:t>
        </w:r>
      </w:hyperlink>
      <w:r w:rsidRPr="008510AE">
        <w:rPr>
          <w:sz w:val="24"/>
          <w:szCs w:val="24"/>
        </w:rPr>
        <w:t xml:space="preserve"> </w:t>
      </w:r>
    </w:p>
    <w:p w14:paraId="3EFA7605" w14:textId="77777777" w:rsidR="00015978" w:rsidRPr="008510AE" w:rsidRDefault="003903D0" w:rsidP="007D102C">
      <w:pPr>
        <w:spacing w:after="240"/>
        <w:ind w:left="900" w:hanging="900"/>
        <w:rPr>
          <w:sz w:val="24"/>
          <w:szCs w:val="24"/>
        </w:rPr>
      </w:pPr>
      <w:r w:rsidRPr="008510AE">
        <w:rPr>
          <w:sz w:val="24"/>
          <w:szCs w:val="24"/>
        </w:rPr>
        <w:t xml:space="preserve">NIST. (2024a). </w:t>
      </w:r>
      <w:r w:rsidRPr="008510AE">
        <w:rPr>
          <w:i/>
          <w:sz w:val="24"/>
          <w:szCs w:val="24"/>
        </w:rPr>
        <w:t>NIST Releases First 3 Finalized Post-Quantum Encryption Standards | NIST</w:t>
      </w:r>
      <w:r w:rsidRPr="008510AE">
        <w:rPr>
          <w:sz w:val="24"/>
          <w:szCs w:val="24"/>
        </w:rPr>
        <w:t xml:space="preserve">. NIST. </w:t>
      </w:r>
      <w:hyperlink r:id="rId61">
        <w:r w:rsidRPr="008510AE">
          <w:rPr>
            <w:color w:val="1155CC"/>
            <w:sz w:val="24"/>
            <w:szCs w:val="24"/>
            <w:u w:val="single"/>
          </w:rPr>
          <w:t>https://www.nist.gov/news-events/news/2024/08/nist-releases-first-3-finalized-post-quantum-encryption-standards</w:t>
        </w:r>
      </w:hyperlink>
      <w:r w:rsidRPr="008510AE">
        <w:rPr>
          <w:sz w:val="24"/>
          <w:szCs w:val="24"/>
        </w:rPr>
        <w:t xml:space="preserve">  </w:t>
      </w:r>
    </w:p>
    <w:p w14:paraId="298E7410" w14:textId="77777777" w:rsidR="00015978" w:rsidRPr="008510AE" w:rsidRDefault="003903D0" w:rsidP="007D102C">
      <w:pPr>
        <w:spacing w:after="240"/>
        <w:ind w:left="900" w:hanging="900"/>
        <w:rPr>
          <w:sz w:val="24"/>
          <w:szCs w:val="24"/>
        </w:rPr>
      </w:pPr>
      <w:r w:rsidRPr="008510AE">
        <w:rPr>
          <w:sz w:val="24"/>
          <w:szCs w:val="24"/>
        </w:rPr>
        <w:t xml:space="preserve">NIST. (2024b). </w:t>
      </w:r>
      <w:r w:rsidRPr="008510AE">
        <w:rPr>
          <w:i/>
          <w:sz w:val="24"/>
          <w:szCs w:val="24"/>
        </w:rPr>
        <w:t>Post-Quantum Cryptography FIPS Approved | CSRC</w:t>
      </w:r>
      <w:r w:rsidRPr="008510AE">
        <w:rPr>
          <w:sz w:val="24"/>
          <w:szCs w:val="24"/>
        </w:rPr>
        <w:t xml:space="preserve">. Nist.gov. </w:t>
      </w:r>
      <w:hyperlink r:id="rId62">
        <w:r w:rsidRPr="008510AE">
          <w:rPr>
            <w:color w:val="1155CC"/>
            <w:sz w:val="24"/>
            <w:szCs w:val="24"/>
            <w:u w:val="single"/>
          </w:rPr>
          <w:t>https://csrc.nist.gov/News/2024/postquantum-cryptography-fips-approved</w:t>
        </w:r>
      </w:hyperlink>
      <w:r w:rsidRPr="008510AE">
        <w:rPr>
          <w:sz w:val="24"/>
          <w:szCs w:val="24"/>
        </w:rPr>
        <w:t xml:space="preserve">  </w:t>
      </w:r>
    </w:p>
    <w:p w14:paraId="59073FE9" w14:textId="77777777" w:rsidR="00015978" w:rsidRPr="008510AE" w:rsidRDefault="003903D0" w:rsidP="007D102C">
      <w:pPr>
        <w:spacing w:after="240"/>
        <w:ind w:left="900" w:hanging="900"/>
        <w:rPr>
          <w:sz w:val="24"/>
          <w:szCs w:val="24"/>
        </w:rPr>
      </w:pPr>
      <w:proofErr w:type="spellStart"/>
      <w:r w:rsidRPr="008510AE">
        <w:rPr>
          <w:sz w:val="24"/>
          <w:szCs w:val="24"/>
        </w:rPr>
        <w:t>Ogunmolu</w:t>
      </w:r>
      <w:proofErr w:type="spellEnd"/>
      <w:r w:rsidRPr="008510AE">
        <w:rPr>
          <w:sz w:val="24"/>
          <w:szCs w:val="24"/>
        </w:rPr>
        <w:t xml:space="preserve">, A. M. (2025a). Enhancing Data Security in Artificial Intelligence Systems: A Cybersecurity and Information Governance Approach. </w:t>
      </w:r>
      <w:r w:rsidRPr="008510AE">
        <w:rPr>
          <w:i/>
          <w:sz w:val="24"/>
          <w:szCs w:val="24"/>
        </w:rPr>
        <w:t xml:space="preserve">Journal of Engineering </w:t>
      </w:r>
      <w:r w:rsidRPr="008510AE">
        <w:rPr>
          <w:i/>
          <w:sz w:val="24"/>
          <w:szCs w:val="24"/>
        </w:rPr>
        <w:lastRenderedPageBreak/>
        <w:t>Research and Reports</w:t>
      </w:r>
      <w:r w:rsidRPr="008510AE">
        <w:rPr>
          <w:sz w:val="24"/>
          <w:szCs w:val="24"/>
        </w:rPr>
        <w:t xml:space="preserve">, </w:t>
      </w:r>
      <w:r w:rsidRPr="008510AE">
        <w:rPr>
          <w:i/>
          <w:sz w:val="24"/>
          <w:szCs w:val="24"/>
        </w:rPr>
        <w:t>27</w:t>
      </w:r>
      <w:r w:rsidRPr="008510AE">
        <w:rPr>
          <w:sz w:val="24"/>
          <w:szCs w:val="24"/>
        </w:rPr>
        <w:t xml:space="preserve">(5), 154–172. </w:t>
      </w:r>
      <w:hyperlink r:id="rId63">
        <w:r w:rsidRPr="008510AE">
          <w:rPr>
            <w:color w:val="1155CC"/>
            <w:sz w:val="24"/>
            <w:szCs w:val="24"/>
            <w:u w:val="single"/>
          </w:rPr>
          <w:t>https://doi.org/10.9734/jerr/2025/v27i51500</w:t>
        </w:r>
      </w:hyperlink>
      <w:r w:rsidRPr="008510AE">
        <w:rPr>
          <w:sz w:val="24"/>
          <w:szCs w:val="24"/>
        </w:rPr>
        <w:t xml:space="preserve"> </w:t>
      </w:r>
    </w:p>
    <w:p w14:paraId="062BAD08" w14:textId="77777777" w:rsidR="00015978" w:rsidRPr="008510AE" w:rsidRDefault="003903D0" w:rsidP="007D102C">
      <w:pPr>
        <w:spacing w:after="240"/>
        <w:ind w:left="900" w:hanging="900"/>
        <w:rPr>
          <w:sz w:val="24"/>
          <w:szCs w:val="24"/>
        </w:rPr>
      </w:pPr>
      <w:proofErr w:type="spellStart"/>
      <w:r w:rsidRPr="008510AE">
        <w:rPr>
          <w:sz w:val="24"/>
          <w:szCs w:val="24"/>
        </w:rPr>
        <w:t>Ogunmolu</w:t>
      </w:r>
      <w:proofErr w:type="spellEnd"/>
      <w:r w:rsidRPr="008510AE">
        <w:rPr>
          <w:sz w:val="24"/>
          <w:szCs w:val="24"/>
        </w:rPr>
        <w:t xml:space="preserve">, A. M. (2025b). Leveraging Generative AI and </w:t>
      </w:r>
      <w:proofErr w:type="spellStart"/>
      <w:r w:rsidRPr="008510AE">
        <w:rPr>
          <w:sz w:val="24"/>
          <w:szCs w:val="24"/>
        </w:rPr>
        <w:t>Behavioral</w:t>
      </w:r>
      <w:proofErr w:type="spellEnd"/>
      <w:r w:rsidRPr="008510AE">
        <w:rPr>
          <w:sz w:val="24"/>
          <w:szCs w:val="24"/>
        </w:rPr>
        <w:t xml:space="preserve"> Biometrics to Strengthen Zero Trust Cybersecurity Architectures in Healthcare Systems.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194–213. </w:t>
      </w:r>
      <w:hyperlink r:id="rId64">
        <w:r w:rsidRPr="008510AE">
          <w:rPr>
            <w:color w:val="1155CC"/>
            <w:sz w:val="24"/>
            <w:szCs w:val="24"/>
            <w:u w:val="single"/>
          </w:rPr>
          <w:t>https://doi.org/10.9734/jerr/2025/v27i51502</w:t>
        </w:r>
      </w:hyperlink>
      <w:r w:rsidRPr="008510AE">
        <w:rPr>
          <w:sz w:val="24"/>
          <w:szCs w:val="24"/>
        </w:rPr>
        <w:t xml:space="preserve"> </w:t>
      </w:r>
    </w:p>
    <w:p w14:paraId="5499C826" w14:textId="77777777" w:rsidR="00015978" w:rsidRPr="008510AE" w:rsidRDefault="003903D0" w:rsidP="007D102C">
      <w:pPr>
        <w:spacing w:after="240"/>
        <w:ind w:left="900" w:hanging="900"/>
        <w:rPr>
          <w:sz w:val="24"/>
          <w:szCs w:val="24"/>
        </w:rPr>
      </w:pPr>
      <w:r w:rsidRPr="008510AE">
        <w:rPr>
          <w:sz w:val="24"/>
          <w:szCs w:val="24"/>
        </w:rPr>
        <w:t xml:space="preserve">Oliva del Moral, J., </w:t>
      </w:r>
      <w:proofErr w:type="spellStart"/>
      <w:r w:rsidRPr="008510AE">
        <w:rPr>
          <w:sz w:val="24"/>
          <w:szCs w:val="24"/>
        </w:rPr>
        <w:t>deMarti</w:t>
      </w:r>
      <w:proofErr w:type="spellEnd"/>
      <w:r w:rsidRPr="008510AE">
        <w:rPr>
          <w:sz w:val="24"/>
          <w:szCs w:val="24"/>
        </w:rPr>
        <w:t xml:space="preserve"> </w:t>
      </w:r>
      <w:proofErr w:type="spellStart"/>
      <w:r w:rsidRPr="008510AE">
        <w:rPr>
          <w:sz w:val="24"/>
          <w:szCs w:val="24"/>
        </w:rPr>
        <w:t>iOlius</w:t>
      </w:r>
      <w:proofErr w:type="spellEnd"/>
      <w:r w:rsidRPr="008510AE">
        <w:rPr>
          <w:sz w:val="24"/>
          <w:szCs w:val="24"/>
        </w:rPr>
        <w:t xml:space="preserve">, A., Vidal, G., Crespo, P. M., &amp; Etxezarreta Martinez, J. (2024). Cybersecurity in Critical Infrastructures: A Post-Quantum Cryptography Perspective. </w:t>
      </w:r>
      <w:r w:rsidRPr="008510AE">
        <w:rPr>
          <w:i/>
          <w:sz w:val="24"/>
          <w:szCs w:val="24"/>
        </w:rPr>
        <w:t>IEEE Internet of Things Journal</w:t>
      </w:r>
      <w:r w:rsidRPr="008510AE">
        <w:rPr>
          <w:sz w:val="24"/>
          <w:szCs w:val="24"/>
        </w:rPr>
        <w:t xml:space="preserve">, </w:t>
      </w:r>
      <w:r w:rsidRPr="008510AE">
        <w:rPr>
          <w:i/>
          <w:sz w:val="24"/>
          <w:szCs w:val="24"/>
        </w:rPr>
        <w:t>11</w:t>
      </w:r>
      <w:r w:rsidRPr="008510AE">
        <w:rPr>
          <w:sz w:val="24"/>
          <w:szCs w:val="24"/>
        </w:rPr>
        <w:t xml:space="preserve">(18), 30217–30244. </w:t>
      </w:r>
      <w:hyperlink r:id="rId65">
        <w:r w:rsidRPr="008510AE">
          <w:rPr>
            <w:color w:val="1155CC"/>
            <w:sz w:val="24"/>
            <w:szCs w:val="24"/>
            <w:u w:val="single"/>
          </w:rPr>
          <w:t>https://doi.org/10.1109/jiot.2024.3410702</w:t>
        </w:r>
      </w:hyperlink>
      <w:r w:rsidRPr="008510AE">
        <w:rPr>
          <w:sz w:val="24"/>
          <w:szCs w:val="24"/>
        </w:rPr>
        <w:t xml:space="preserve"> </w:t>
      </w:r>
    </w:p>
    <w:p w14:paraId="2AA03525" w14:textId="77777777" w:rsidR="00015978" w:rsidRPr="008510AE" w:rsidRDefault="003903D0" w:rsidP="007D102C">
      <w:pPr>
        <w:spacing w:after="240"/>
        <w:ind w:left="900" w:hanging="900"/>
        <w:rPr>
          <w:sz w:val="24"/>
          <w:szCs w:val="24"/>
        </w:rPr>
      </w:pPr>
      <w:proofErr w:type="spellStart"/>
      <w:r w:rsidRPr="008510AE">
        <w:rPr>
          <w:sz w:val="24"/>
          <w:szCs w:val="24"/>
        </w:rPr>
        <w:t>Olutimehin</w:t>
      </w:r>
      <w:proofErr w:type="spellEnd"/>
      <w:r w:rsidRPr="008510AE">
        <w:rPr>
          <w:sz w:val="24"/>
          <w:szCs w:val="24"/>
        </w:rPr>
        <w:t xml:space="preserve">, A. T. (2025a). Advancing Cloud Security in Digital Finance: AI-Driven Threat Detection, Cryptographic Solutions, and Privacy Challenges.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35–55. </w:t>
      </w:r>
      <w:hyperlink r:id="rId66">
        <w:r w:rsidRPr="008510AE">
          <w:rPr>
            <w:color w:val="1155CC"/>
            <w:sz w:val="24"/>
            <w:szCs w:val="24"/>
            <w:u w:val="single"/>
          </w:rPr>
          <w:t>https://doi.org/10.9734/jerr/2025/v27i31416</w:t>
        </w:r>
      </w:hyperlink>
      <w:r w:rsidRPr="008510AE">
        <w:rPr>
          <w:sz w:val="24"/>
          <w:szCs w:val="24"/>
        </w:rPr>
        <w:t xml:space="preserve"> </w:t>
      </w:r>
    </w:p>
    <w:p w14:paraId="5F239006" w14:textId="77777777" w:rsidR="00015978" w:rsidRPr="008510AE" w:rsidRDefault="003903D0" w:rsidP="007D102C">
      <w:pPr>
        <w:spacing w:after="240"/>
        <w:ind w:left="900" w:hanging="900"/>
        <w:rPr>
          <w:sz w:val="24"/>
          <w:szCs w:val="24"/>
        </w:rPr>
      </w:pPr>
      <w:proofErr w:type="spellStart"/>
      <w:r w:rsidRPr="008510AE">
        <w:rPr>
          <w:sz w:val="24"/>
          <w:szCs w:val="24"/>
        </w:rPr>
        <w:t>Olutimehin</w:t>
      </w:r>
      <w:proofErr w:type="spellEnd"/>
      <w:r w:rsidRPr="008510AE">
        <w:rPr>
          <w:sz w:val="24"/>
          <w:szCs w:val="24"/>
        </w:rPr>
        <w:t xml:space="preserve">, A. T. (2025b). Assessing the Effectiveness of Cybersecurity Frameworks in Mitigating Cyberattacks in the Banking Sector and its Applicability to Decentralized Finance (DeFi).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(3), 130–151. </w:t>
      </w:r>
      <w:hyperlink r:id="rId67">
        <w:r w:rsidRPr="008510AE">
          <w:rPr>
            <w:color w:val="1155CC"/>
            <w:sz w:val="24"/>
            <w:szCs w:val="24"/>
            <w:u w:val="single"/>
          </w:rPr>
          <w:t>https://doi.org/10.9734/ajrcos/2025/v18i3583</w:t>
        </w:r>
      </w:hyperlink>
      <w:r w:rsidRPr="008510AE">
        <w:rPr>
          <w:sz w:val="24"/>
          <w:szCs w:val="24"/>
        </w:rPr>
        <w:t xml:space="preserve"> </w:t>
      </w:r>
    </w:p>
    <w:p w14:paraId="7259303C" w14:textId="77777777" w:rsidR="00015978" w:rsidRPr="008510AE" w:rsidRDefault="003903D0" w:rsidP="007D102C">
      <w:pPr>
        <w:spacing w:after="240"/>
        <w:ind w:left="900" w:hanging="900"/>
        <w:rPr>
          <w:sz w:val="24"/>
          <w:szCs w:val="24"/>
        </w:rPr>
      </w:pPr>
      <w:proofErr w:type="spellStart"/>
      <w:r w:rsidRPr="008510AE">
        <w:rPr>
          <w:sz w:val="24"/>
          <w:szCs w:val="24"/>
        </w:rPr>
        <w:t>Olutimehin</w:t>
      </w:r>
      <w:proofErr w:type="spellEnd"/>
      <w:r w:rsidRPr="008510AE">
        <w:rPr>
          <w:sz w:val="24"/>
          <w:szCs w:val="24"/>
        </w:rPr>
        <w:t xml:space="preserve">, A. T. (2025c). The Synergistic Role of Machine Learning, Deep Learning, and Reinforcement Learning in Strengthening Cyber Security Measures for Crypto Currency Platforms.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(3), 190–212. </w:t>
      </w:r>
      <w:hyperlink r:id="rId68">
        <w:r w:rsidRPr="008510AE">
          <w:rPr>
            <w:color w:val="1155CC"/>
            <w:sz w:val="24"/>
            <w:szCs w:val="24"/>
            <w:u w:val="single"/>
          </w:rPr>
          <w:t>https://doi.org/10.9734/ajrcos/2025/v18i3586</w:t>
        </w:r>
      </w:hyperlink>
      <w:r w:rsidRPr="008510AE">
        <w:rPr>
          <w:sz w:val="24"/>
          <w:szCs w:val="24"/>
        </w:rPr>
        <w:t xml:space="preserve"> </w:t>
      </w:r>
    </w:p>
    <w:p w14:paraId="629C69E0" w14:textId="77777777" w:rsidR="00015978" w:rsidRPr="008510AE" w:rsidRDefault="003903D0" w:rsidP="007D102C">
      <w:pPr>
        <w:spacing w:after="240"/>
        <w:ind w:left="900" w:hanging="900"/>
        <w:rPr>
          <w:sz w:val="24"/>
          <w:szCs w:val="24"/>
        </w:rPr>
      </w:pPr>
      <w:proofErr w:type="spellStart"/>
      <w:r w:rsidRPr="008510AE">
        <w:rPr>
          <w:sz w:val="24"/>
          <w:szCs w:val="24"/>
        </w:rPr>
        <w:t>Otorbaev</w:t>
      </w:r>
      <w:proofErr w:type="spellEnd"/>
      <w:r w:rsidRPr="008510AE">
        <w:rPr>
          <w:sz w:val="24"/>
          <w:szCs w:val="24"/>
        </w:rPr>
        <w:t xml:space="preserve">, D. (2021). </w:t>
      </w:r>
      <w:r w:rsidRPr="008510AE">
        <w:rPr>
          <w:i/>
          <w:sz w:val="24"/>
          <w:szCs w:val="24"/>
        </w:rPr>
        <w:t>Quantum computers: The future on its way</w:t>
      </w:r>
      <w:r w:rsidRPr="008510AE">
        <w:rPr>
          <w:sz w:val="24"/>
          <w:szCs w:val="24"/>
        </w:rPr>
        <w:t xml:space="preserve">. Cgtn.com. </w:t>
      </w:r>
      <w:hyperlink r:id="rId69">
        <w:r w:rsidRPr="008510AE">
          <w:rPr>
            <w:color w:val="1155CC"/>
            <w:sz w:val="24"/>
            <w:szCs w:val="24"/>
            <w:u w:val="single"/>
          </w:rPr>
          <w:t>https://news.cgtn.com/news/2021-07-31/Quantum-computers-The-future-on-its-way-12jGFL8IVsk/index.html</w:t>
        </w:r>
      </w:hyperlink>
      <w:r w:rsidRPr="008510AE">
        <w:rPr>
          <w:sz w:val="24"/>
          <w:szCs w:val="24"/>
        </w:rPr>
        <w:t xml:space="preserve"> </w:t>
      </w:r>
    </w:p>
    <w:p w14:paraId="2596AEC9" w14:textId="77777777" w:rsidR="00015978" w:rsidRPr="008510AE" w:rsidRDefault="003903D0" w:rsidP="007D102C">
      <w:pPr>
        <w:spacing w:after="240"/>
        <w:ind w:left="900" w:hanging="900"/>
        <w:rPr>
          <w:sz w:val="24"/>
          <w:szCs w:val="24"/>
        </w:rPr>
      </w:pPr>
      <w:proofErr w:type="spellStart"/>
      <w:r w:rsidRPr="008510AE">
        <w:rPr>
          <w:sz w:val="24"/>
          <w:szCs w:val="24"/>
        </w:rPr>
        <w:t>Oyekunle</w:t>
      </w:r>
      <w:proofErr w:type="spellEnd"/>
      <w:r w:rsidRPr="008510AE">
        <w:rPr>
          <w:sz w:val="24"/>
          <w:szCs w:val="24"/>
        </w:rPr>
        <w:t xml:space="preserve">, S. M., Popoola, A. D., Kolo, F. H. O., </w:t>
      </w:r>
      <w:proofErr w:type="spellStart"/>
      <w:r w:rsidRPr="008510AE">
        <w:rPr>
          <w:sz w:val="24"/>
          <w:szCs w:val="24"/>
        </w:rPr>
        <w:t>Ogunmolu</w:t>
      </w:r>
      <w:proofErr w:type="spellEnd"/>
      <w:r w:rsidRPr="008510AE">
        <w:rPr>
          <w:sz w:val="24"/>
          <w:szCs w:val="24"/>
        </w:rPr>
        <w:t xml:space="preserve">, A. M., &amp; </w:t>
      </w:r>
      <w:proofErr w:type="spellStart"/>
      <w:r w:rsidRPr="008510AE">
        <w:rPr>
          <w:sz w:val="24"/>
          <w:szCs w:val="24"/>
        </w:rPr>
        <w:t>Adesokan</w:t>
      </w:r>
      <w:proofErr w:type="spellEnd"/>
      <w:r w:rsidRPr="008510AE">
        <w:rPr>
          <w:sz w:val="24"/>
          <w:szCs w:val="24"/>
        </w:rPr>
        <w:t xml:space="preserve">-Imran, T. O. (2025). Intelligent Fraud Prevention Information Banking: A Data Governance- Centric Approach Using Behavioural Biometrics.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(5), 525–543. </w:t>
      </w:r>
      <w:hyperlink r:id="rId70">
        <w:r w:rsidRPr="008510AE">
          <w:rPr>
            <w:color w:val="1155CC"/>
            <w:sz w:val="24"/>
            <w:szCs w:val="24"/>
            <w:u w:val="single"/>
          </w:rPr>
          <w:t>https://doi.org/10.9734/ajrcos/2025/v18i5672</w:t>
        </w:r>
      </w:hyperlink>
      <w:r w:rsidRPr="008510AE">
        <w:rPr>
          <w:sz w:val="24"/>
          <w:szCs w:val="24"/>
        </w:rPr>
        <w:t xml:space="preserve"> </w:t>
      </w:r>
    </w:p>
    <w:p w14:paraId="20BC2AE4" w14:textId="77777777" w:rsidR="00015978" w:rsidRPr="008510AE" w:rsidRDefault="003903D0" w:rsidP="007D102C">
      <w:pPr>
        <w:spacing w:after="240"/>
        <w:ind w:left="900" w:hanging="900"/>
        <w:rPr>
          <w:sz w:val="24"/>
          <w:szCs w:val="24"/>
        </w:rPr>
      </w:pPr>
      <w:proofErr w:type="spellStart"/>
      <w:r w:rsidRPr="008510AE">
        <w:rPr>
          <w:sz w:val="24"/>
          <w:szCs w:val="24"/>
        </w:rPr>
        <w:t>Oyekunle</w:t>
      </w:r>
      <w:proofErr w:type="spellEnd"/>
      <w:r w:rsidRPr="008510AE">
        <w:rPr>
          <w:sz w:val="24"/>
          <w:szCs w:val="24"/>
        </w:rPr>
        <w:t xml:space="preserve">, S. M., </w:t>
      </w:r>
      <w:proofErr w:type="spellStart"/>
      <w:r w:rsidRPr="008510AE">
        <w:rPr>
          <w:sz w:val="24"/>
          <w:szCs w:val="24"/>
        </w:rPr>
        <w:t>Tiwo</w:t>
      </w:r>
      <w:proofErr w:type="spellEnd"/>
      <w:r w:rsidRPr="008510AE">
        <w:rPr>
          <w:sz w:val="24"/>
          <w:szCs w:val="24"/>
        </w:rPr>
        <w:t xml:space="preserve">, O. J., </w:t>
      </w:r>
      <w:proofErr w:type="spellStart"/>
      <w:r w:rsidRPr="008510AE">
        <w:rPr>
          <w:sz w:val="24"/>
          <w:szCs w:val="24"/>
        </w:rPr>
        <w:t>Adesokan</w:t>
      </w:r>
      <w:proofErr w:type="spellEnd"/>
      <w:r w:rsidRPr="008510AE">
        <w:rPr>
          <w:sz w:val="24"/>
          <w:szCs w:val="24"/>
        </w:rPr>
        <w:t xml:space="preserve">-Imran, T. O., Ajayi, A. J., Salako, A. O., &amp; Olaniyi, O. O. (2025). Enhancing Data Resilience in Cloud-based Electronics Health Records through Ransomware Mitigation Strategies Using NIST and </w:t>
      </w:r>
      <w:r w:rsidRPr="008510AE">
        <w:rPr>
          <w:sz w:val="24"/>
          <w:szCs w:val="24"/>
        </w:rPr>
        <w:lastRenderedPageBreak/>
        <w:t xml:space="preserve">MITRE ATT&amp;CK Frameworks.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436–457. </w:t>
      </w:r>
      <w:hyperlink r:id="rId71">
        <w:r w:rsidRPr="008510AE">
          <w:rPr>
            <w:color w:val="1155CC"/>
            <w:sz w:val="24"/>
            <w:szCs w:val="24"/>
            <w:u w:val="single"/>
          </w:rPr>
          <w:t>https://doi.org/10.9734/jerr/2025/v27i31444</w:t>
        </w:r>
      </w:hyperlink>
      <w:r w:rsidRPr="008510AE">
        <w:rPr>
          <w:sz w:val="24"/>
          <w:szCs w:val="24"/>
        </w:rPr>
        <w:t xml:space="preserve"> </w:t>
      </w:r>
    </w:p>
    <w:p w14:paraId="6DC62672" w14:textId="77777777" w:rsidR="00015978" w:rsidRPr="008510AE" w:rsidRDefault="003903D0" w:rsidP="007D102C">
      <w:pPr>
        <w:spacing w:after="240"/>
        <w:ind w:left="900" w:hanging="900"/>
        <w:rPr>
          <w:sz w:val="24"/>
          <w:szCs w:val="24"/>
        </w:rPr>
      </w:pPr>
      <w:proofErr w:type="spellStart"/>
      <w:r w:rsidRPr="008510AE">
        <w:rPr>
          <w:sz w:val="24"/>
          <w:szCs w:val="24"/>
        </w:rPr>
        <w:t>PQShield</w:t>
      </w:r>
      <w:proofErr w:type="spellEnd"/>
      <w:r w:rsidRPr="008510AE">
        <w:rPr>
          <w:sz w:val="24"/>
          <w:szCs w:val="24"/>
        </w:rPr>
        <w:t xml:space="preserve">. (2024). </w:t>
      </w:r>
      <w:r w:rsidRPr="008510AE">
        <w:rPr>
          <w:i/>
          <w:sz w:val="24"/>
          <w:szCs w:val="24"/>
        </w:rPr>
        <w:t xml:space="preserve">European Commission Recommends PQC Roadmap for the whole EU | </w:t>
      </w:r>
      <w:proofErr w:type="spellStart"/>
      <w:r w:rsidRPr="008510AE">
        <w:rPr>
          <w:i/>
          <w:sz w:val="24"/>
          <w:szCs w:val="24"/>
        </w:rPr>
        <w:t>PQShield</w:t>
      </w:r>
      <w:proofErr w:type="spellEnd"/>
      <w:r w:rsidRPr="008510AE">
        <w:rPr>
          <w:sz w:val="24"/>
          <w:szCs w:val="24"/>
        </w:rPr>
        <w:t xml:space="preserve">. </w:t>
      </w:r>
      <w:proofErr w:type="spellStart"/>
      <w:r w:rsidRPr="008510AE">
        <w:rPr>
          <w:sz w:val="24"/>
          <w:szCs w:val="24"/>
        </w:rPr>
        <w:t>PQShield</w:t>
      </w:r>
      <w:proofErr w:type="spellEnd"/>
      <w:r w:rsidRPr="008510AE">
        <w:rPr>
          <w:sz w:val="24"/>
          <w:szCs w:val="24"/>
        </w:rPr>
        <w:t xml:space="preserve">.   </w:t>
      </w:r>
      <w:hyperlink r:id="rId72">
        <w:r w:rsidRPr="008510AE">
          <w:rPr>
            <w:color w:val="1155CC"/>
            <w:sz w:val="24"/>
            <w:szCs w:val="24"/>
            <w:u w:val="single"/>
          </w:rPr>
          <w:t>https://pqshield.com/european-commission-recommends-pqc-roadmap-for-the-eu/</w:t>
        </w:r>
      </w:hyperlink>
      <w:r w:rsidRPr="008510AE">
        <w:rPr>
          <w:sz w:val="24"/>
          <w:szCs w:val="24"/>
        </w:rPr>
        <w:t xml:space="preserve"> </w:t>
      </w:r>
    </w:p>
    <w:p w14:paraId="65BDD767" w14:textId="77777777" w:rsidR="00015978" w:rsidRPr="008510AE" w:rsidRDefault="003903D0" w:rsidP="007D102C">
      <w:pPr>
        <w:spacing w:after="240"/>
        <w:ind w:left="900" w:hanging="900"/>
        <w:rPr>
          <w:sz w:val="24"/>
          <w:szCs w:val="24"/>
        </w:rPr>
      </w:pPr>
      <w:proofErr w:type="spellStart"/>
      <w:r w:rsidRPr="008510AE">
        <w:rPr>
          <w:sz w:val="24"/>
          <w:szCs w:val="24"/>
        </w:rPr>
        <w:t>PQShield</w:t>
      </w:r>
      <w:proofErr w:type="spellEnd"/>
      <w:r w:rsidRPr="008510AE">
        <w:rPr>
          <w:sz w:val="24"/>
          <w:szCs w:val="24"/>
        </w:rPr>
        <w:t xml:space="preserve">. (2025). </w:t>
      </w:r>
      <w:r w:rsidRPr="008510AE">
        <w:rPr>
          <w:i/>
          <w:sz w:val="24"/>
          <w:szCs w:val="24"/>
        </w:rPr>
        <w:t xml:space="preserve">FS-ISAC: Building Cryptographic Agility in the Financial Sector | </w:t>
      </w:r>
      <w:proofErr w:type="spellStart"/>
      <w:r w:rsidRPr="008510AE">
        <w:rPr>
          <w:i/>
          <w:sz w:val="24"/>
          <w:szCs w:val="24"/>
        </w:rPr>
        <w:t>PQShield</w:t>
      </w:r>
      <w:proofErr w:type="spellEnd"/>
      <w:r w:rsidRPr="008510AE">
        <w:rPr>
          <w:sz w:val="24"/>
          <w:szCs w:val="24"/>
        </w:rPr>
        <w:t xml:space="preserve">. </w:t>
      </w:r>
      <w:proofErr w:type="spellStart"/>
      <w:r w:rsidRPr="008510AE">
        <w:rPr>
          <w:sz w:val="24"/>
          <w:szCs w:val="24"/>
        </w:rPr>
        <w:t>PQShield</w:t>
      </w:r>
      <w:proofErr w:type="spellEnd"/>
      <w:r w:rsidRPr="008510AE">
        <w:rPr>
          <w:sz w:val="24"/>
          <w:szCs w:val="24"/>
        </w:rPr>
        <w:t xml:space="preserve">. </w:t>
      </w:r>
      <w:hyperlink r:id="rId73">
        <w:r w:rsidRPr="008510AE">
          <w:rPr>
            <w:color w:val="1155CC"/>
            <w:sz w:val="24"/>
            <w:szCs w:val="24"/>
            <w:u w:val="single"/>
          </w:rPr>
          <w:t>https://pqshield.com/fs-isac-building-cryptographic-agility-in-the-financial-sector/</w:t>
        </w:r>
      </w:hyperlink>
      <w:r w:rsidRPr="008510AE">
        <w:rPr>
          <w:sz w:val="24"/>
          <w:szCs w:val="24"/>
        </w:rPr>
        <w:t xml:space="preserve"> </w:t>
      </w:r>
    </w:p>
    <w:p w14:paraId="3EFD6B27" w14:textId="77777777" w:rsidR="00015978" w:rsidRPr="008510AE" w:rsidRDefault="003903D0" w:rsidP="007D102C">
      <w:pPr>
        <w:spacing w:after="240"/>
        <w:ind w:left="900" w:hanging="900"/>
        <w:rPr>
          <w:sz w:val="24"/>
          <w:szCs w:val="24"/>
        </w:rPr>
      </w:pPr>
      <w:r w:rsidRPr="008510AE">
        <w:rPr>
          <w:sz w:val="24"/>
          <w:szCs w:val="24"/>
        </w:rPr>
        <w:t xml:space="preserve">Rahmawati, M. S. (2024). SYSTEMATIC ANALYSIS OF MATHEMATICAL FUNDAMENTALS IN ELLIPTIC CURVE CRYPTOGRAPHY: CONCEPTS, APPLICATIONS, AND CHALLENGES. </w:t>
      </w:r>
      <w:r w:rsidRPr="008510AE">
        <w:rPr>
          <w:i/>
          <w:sz w:val="24"/>
          <w:szCs w:val="24"/>
        </w:rPr>
        <w:t>International Conference on Engineering, Applied Sciences and Technology</w:t>
      </w:r>
      <w:r w:rsidRPr="008510AE">
        <w:rPr>
          <w:sz w:val="24"/>
          <w:szCs w:val="24"/>
        </w:rPr>
        <w:t xml:space="preserve">, </w:t>
      </w:r>
      <w:r w:rsidRPr="008510AE">
        <w:rPr>
          <w:i/>
          <w:sz w:val="24"/>
          <w:szCs w:val="24"/>
        </w:rPr>
        <w:t>1</w:t>
      </w:r>
      <w:r w:rsidRPr="008510AE">
        <w:rPr>
          <w:sz w:val="24"/>
          <w:szCs w:val="24"/>
        </w:rPr>
        <w:t xml:space="preserve">(1). </w:t>
      </w:r>
      <w:hyperlink r:id="rId74">
        <w:r w:rsidRPr="008510AE">
          <w:rPr>
            <w:color w:val="1155CC"/>
            <w:sz w:val="24"/>
            <w:szCs w:val="24"/>
            <w:u w:val="single"/>
          </w:rPr>
          <w:t>https://jurnal.umj.ac.id/index.php/ICEAST/article/view/24719</w:t>
        </w:r>
      </w:hyperlink>
      <w:r w:rsidRPr="008510AE">
        <w:rPr>
          <w:sz w:val="24"/>
          <w:szCs w:val="24"/>
        </w:rPr>
        <w:t xml:space="preserve"> </w:t>
      </w:r>
    </w:p>
    <w:p w14:paraId="1B047DC1" w14:textId="77777777" w:rsidR="00015978" w:rsidRPr="008510AE" w:rsidRDefault="003903D0" w:rsidP="007D102C">
      <w:pPr>
        <w:spacing w:after="240"/>
        <w:ind w:left="900" w:hanging="900"/>
        <w:rPr>
          <w:sz w:val="24"/>
          <w:szCs w:val="24"/>
        </w:rPr>
      </w:pPr>
      <w:r w:rsidRPr="008510AE">
        <w:rPr>
          <w:sz w:val="24"/>
          <w:szCs w:val="24"/>
        </w:rPr>
        <w:t xml:space="preserve">Rashid, F. B., </w:t>
      </w:r>
      <w:proofErr w:type="spellStart"/>
      <w:r w:rsidRPr="008510AE">
        <w:rPr>
          <w:sz w:val="24"/>
          <w:szCs w:val="24"/>
        </w:rPr>
        <w:t>Rankothge</w:t>
      </w:r>
      <w:proofErr w:type="spellEnd"/>
      <w:r w:rsidRPr="008510AE">
        <w:rPr>
          <w:sz w:val="24"/>
          <w:szCs w:val="24"/>
        </w:rPr>
        <w:t xml:space="preserve">, W., Sadeghi, S., Mohammadian, H., &amp; Ghorbani, A. (2024). </w:t>
      </w:r>
      <w:r w:rsidRPr="008510AE">
        <w:rPr>
          <w:i/>
          <w:sz w:val="24"/>
          <w:szCs w:val="24"/>
        </w:rPr>
        <w:t>Privacy-Preserving for Images in Satellite Communications: A Comprehensive Review of Chaos-Based Encryption</w:t>
      </w:r>
      <w:r w:rsidRPr="008510AE">
        <w:rPr>
          <w:sz w:val="24"/>
          <w:szCs w:val="24"/>
        </w:rPr>
        <w:t xml:space="preserve">. ArXiv.org. </w:t>
      </w:r>
      <w:hyperlink r:id="rId75">
        <w:r w:rsidRPr="008510AE">
          <w:rPr>
            <w:color w:val="1155CC"/>
            <w:sz w:val="24"/>
            <w:szCs w:val="24"/>
            <w:u w:val="single"/>
          </w:rPr>
          <w:t>https://arxiv.org/abs/2410.21177</w:t>
        </w:r>
      </w:hyperlink>
      <w:r w:rsidRPr="008510AE">
        <w:rPr>
          <w:sz w:val="24"/>
          <w:szCs w:val="24"/>
        </w:rPr>
        <w:t xml:space="preserve"> </w:t>
      </w:r>
    </w:p>
    <w:p w14:paraId="16590CA3" w14:textId="77777777" w:rsidR="00015978" w:rsidRPr="008510AE" w:rsidRDefault="003903D0" w:rsidP="007D102C">
      <w:pPr>
        <w:spacing w:after="240"/>
        <w:ind w:left="900" w:hanging="900"/>
        <w:rPr>
          <w:sz w:val="24"/>
          <w:szCs w:val="24"/>
        </w:rPr>
      </w:pPr>
      <w:r w:rsidRPr="008510AE">
        <w:rPr>
          <w:sz w:val="24"/>
          <w:szCs w:val="24"/>
        </w:rPr>
        <w:t xml:space="preserve">Salako, A. O., </w:t>
      </w:r>
      <w:proofErr w:type="spellStart"/>
      <w:r w:rsidRPr="008510AE">
        <w:rPr>
          <w:sz w:val="24"/>
          <w:szCs w:val="24"/>
        </w:rPr>
        <w:t>Adesokan</w:t>
      </w:r>
      <w:proofErr w:type="spellEnd"/>
      <w:r w:rsidRPr="008510AE">
        <w:rPr>
          <w:sz w:val="24"/>
          <w:szCs w:val="24"/>
        </w:rPr>
        <w:t xml:space="preserve">-Imran, T. O., </w:t>
      </w:r>
      <w:proofErr w:type="spellStart"/>
      <w:r w:rsidRPr="008510AE">
        <w:rPr>
          <w:sz w:val="24"/>
          <w:szCs w:val="24"/>
        </w:rPr>
        <w:t>Tiwo</w:t>
      </w:r>
      <w:proofErr w:type="spellEnd"/>
      <w:r w:rsidRPr="008510AE">
        <w:rPr>
          <w:sz w:val="24"/>
          <w:szCs w:val="24"/>
        </w:rPr>
        <w:t xml:space="preserve">, O. J., </w:t>
      </w:r>
      <w:proofErr w:type="spellStart"/>
      <w:r w:rsidRPr="008510AE">
        <w:rPr>
          <w:sz w:val="24"/>
          <w:szCs w:val="24"/>
        </w:rPr>
        <w:t>Metibemu</w:t>
      </w:r>
      <w:proofErr w:type="spellEnd"/>
      <w:r w:rsidRPr="008510AE">
        <w:rPr>
          <w:sz w:val="24"/>
          <w:szCs w:val="24"/>
        </w:rPr>
        <w:t xml:space="preserve">, O. C., </w:t>
      </w:r>
      <w:proofErr w:type="spellStart"/>
      <w:r w:rsidRPr="008510AE">
        <w:rPr>
          <w:sz w:val="24"/>
          <w:szCs w:val="24"/>
        </w:rPr>
        <w:t>Onyenaucheya</w:t>
      </w:r>
      <w:proofErr w:type="spellEnd"/>
      <w:r w:rsidRPr="008510AE">
        <w:rPr>
          <w:sz w:val="24"/>
          <w:szCs w:val="24"/>
        </w:rPr>
        <w:t xml:space="preserve">, O. S., &amp; Olaniyi, O. O. (2025). Securing Confidentiality in Distributed Ledger Systems with Secure Multi-party Computation for Financial Data Protection.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(3), 352–373. </w:t>
      </w:r>
      <w:hyperlink r:id="rId76">
        <w:r w:rsidRPr="008510AE">
          <w:rPr>
            <w:color w:val="1155CC"/>
            <w:sz w:val="24"/>
            <w:szCs w:val="24"/>
            <w:u w:val="single"/>
          </w:rPr>
          <w:t>https://doi.org/10.9734/jerr/2025/v27i31439</w:t>
        </w:r>
      </w:hyperlink>
      <w:r w:rsidRPr="008510AE">
        <w:rPr>
          <w:sz w:val="24"/>
          <w:szCs w:val="24"/>
        </w:rPr>
        <w:t xml:space="preserve"> </w:t>
      </w:r>
    </w:p>
    <w:p w14:paraId="7146938B" w14:textId="77777777" w:rsidR="00015978" w:rsidRPr="008510AE" w:rsidRDefault="003903D0" w:rsidP="007D102C">
      <w:pPr>
        <w:spacing w:after="240"/>
        <w:ind w:left="900" w:hanging="900"/>
        <w:rPr>
          <w:sz w:val="24"/>
          <w:szCs w:val="24"/>
        </w:rPr>
      </w:pPr>
      <w:r w:rsidRPr="008510AE">
        <w:rPr>
          <w:sz w:val="24"/>
          <w:szCs w:val="24"/>
        </w:rPr>
        <w:t xml:space="preserve">Salami, I. A. (2025). </w:t>
      </w:r>
      <w:proofErr w:type="spellStart"/>
      <w:r w:rsidRPr="008510AE">
        <w:rPr>
          <w:sz w:val="24"/>
          <w:szCs w:val="24"/>
        </w:rPr>
        <w:t>Modeling</w:t>
      </w:r>
      <w:proofErr w:type="spellEnd"/>
      <w:r w:rsidRPr="008510AE">
        <w:rPr>
          <w:sz w:val="24"/>
          <w:szCs w:val="24"/>
        </w:rPr>
        <w:t xml:space="preserve"> and Measuring the Cyber Resilience of Critical Healthcare Infrastructure against Ransomware: A Cyber-Physical Systems Risk Perspective. </w:t>
      </w:r>
      <w:r w:rsidRPr="008510AE">
        <w:rPr>
          <w:i/>
          <w:sz w:val="24"/>
          <w:szCs w:val="24"/>
        </w:rPr>
        <w:t>Journal of Engineering Research and Reports</w:t>
      </w:r>
      <w:r w:rsidRPr="008510AE">
        <w:rPr>
          <w:sz w:val="24"/>
          <w:szCs w:val="24"/>
        </w:rPr>
        <w:t xml:space="preserve">, </w:t>
      </w:r>
      <w:r w:rsidRPr="008510AE">
        <w:rPr>
          <w:i/>
          <w:sz w:val="24"/>
          <w:szCs w:val="24"/>
        </w:rPr>
        <w:t>27</w:t>
      </w:r>
      <w:r w:rsidRPr="008510AE">
        <w:rPr>
          <w:sz w:val="24"/>
          <w:szCs w:val="24"/>
        </w:rPr>
        <w:t xml:space="preserve">(5), 231–252. </w:t>
      </w:r>
      <w:hyperlink r:id="rId77">
        <w:r w:rsidRPr="008510AE">
          <w:rPr>
            <w:color w:val="1155CC"/>
            <w:sz w:val="24"/>
            <w:szCs w:val="24"/>
            <w:u w:val="single"/>
          </w:rPr>
          <w:t>https://doi.org/10.9734/jerr/2025/v27i51504</w:t>
        </w:r>
      </w:hyperlink>
      <w:r w:rsidRPr="008510AE">
        <w:rPr>
          <w:sz w:val="24"/>
          <w:szCs w:val="24"/>
        </w:rPr>
        <w:t xml:space="preserve"> </w:t>
      </w:r>
    </w:p>
    <w:p w14:paraId="3B971C87" w14:textId="77777777" w:rsidR="00015978" w:rsidRPr="008510AE" w:rsidRDefault="003903D0" w:rsidP="007D102C">
      <w:pPr>
        <w:spacing w:after="240"/>
        <w:ind w:left="900" w:hanging="900"/>
        <w:rPr>
          <w:sz w:val="24"/>
          <w:szCs w:val="24"/>
        </w:rPr>
      </w:pPr>
      <w:r w:rsidRPr="008510AE">
        <w:rPr>
          <w:sz w:val="24"/>
          <w:szCs w:val="24"/>
        </w:rPr>
        <w:t xml:space="preserve">Salami, I. A., </w:t>
      </w:r>
      <w:proofErr w:type="spellStart"/>
      <w:r w:rsidRPr="008510AE">
        <w:rPr>
          <w:sz w:val="24"/>
          <w:szCs w:val="24"/>
        </w:rPr>
        <w:t>Adesokan</w:t>
      </w:r>
      <w:proofErr w:type="spellEnd"/>
      <w:r w:rsidRPr="008510AE">
        <w:rPr>
          <w:sz w:val="24"/>
          <w:szCs w:val="24"/>
        </w:rPr>
        <w:t xml:space="preserve">-Imran, T. O., </w:t>
      </w:r>
      <w:proofErr w:type="spellStart"/>
      <w:r w:rsidRPr="008510AE">
        <w:rPr>
          <w:sz w:val="24"/>
          <w:szCs w:val="24"/>
        </w:rPr>
        <w:t>Tiwo</w:t>
      </w:r>
      <w:proofErr w:type="spellEnd"/>
      <w:r w:rsidRPr="008510AE">
        <w:rPr>
          <w:sz w:val="24"/>
          <w:szCs w:val="24"/>
        </w:rPr>
        <w:t xml:space="preserve">, O. J., </w:t>
      </w:r>
      <w:proofErr w:type="spellStart"/>
      <w:r w:rsidRPr="008510AE">
        <w:rPr>
          <w:sz w:val="24"/>
          <w:szCs w:val="24"/>
        </w:rPr>
        <w:t>Metibemu</w:t>
      </w:r>
      <w:proofErr w:type="spellEnd"/>
      <w:r w:rsidRPr="008510AE">
        <w:rPr>
          <w:sz w:val="24"/>
          <w:szCs w:val="24"/>
        </w:rPr>
        <w:t xml:space="preserve">, O. C., </w:t>
      </w:r>
      <w:proofErr w:type="spellStart"/>
      <w:r w:rsidRPr="008510AE">
        <w:rPr>
          <w:sz w:val="24"/>
          <w:szCs w:val="24"/>
        </w:rPr>
        <w:t>Olutimehin</w:t>
      </w:r>
      <w:proofErr w:type="spellEnd"/>
      <w:r w:rsidRPr="008510AE">
        <w:rPr>
          <w:sz w:val="24"/>
          <w:szCs w:val="24"/>
        </w:rPr>
        <w:t xml:space="preserve">, A. T., &amp; Olaniyi, O. O. (2025). Addressing Bias and Data Privacy Concerns in AI-Driven Credit Scoring Systems Through Cybersecurity Risk Assessment.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59–82. </w:t>
      </w:r>
      <w:hyperlink r:id="rId78">
        <w:r w:rsidRPr="008510AE">
          <w:rPr>
            <w:color w:val="1155CC"/>
            <w:sz w:val="24"/>
            <w:szCs w:val="24"/>
            <w:u w:val="single"/>
          </w:rPr>
          <w:t>https://doi.org/10.9734/ajrcos/2025/v18i4608</w:t>
        </w:r>
      </w:hyperlink>
      <w:r w:rsidRPr="008510AE">
        <w:rPr>
          <w:sz w:val="24"/>
          <w:szCs w:val="24"/>
        </w:rPr>
        <w:t xml:space="preserve"> </w:t>
      </w:r>
    </w:p>
    <w:p w14:paraId="2F2E4993" w14:textId="77777777" w:rsidR="00015978" w:rsidRPr="008510AE" w:rsidRDefault="003903D0" w:rsidP="007D102C">
      <w:pPr>
        <w:spacing w:after="240"/>
        <w:ind w:left="900" w:hanging="900"/>
        <w:rPr>
          <w:sz w:val="24"/>
          <w:szCs w:val="24"/>
        </w:rPr>
      </w:pPr>
      <w:r w:rsidRPr="008510AE">
        <w:rPr>
          <w:sz w:val="24"/>
          <w:szCs w:val="24"/>
        </w:rPr>
        <w:t xml:space="preserve">Salami, I. A., Popoola, A. D., Gbadebo, M. O., Kolo, F. H. O., &amp; </w:t>
      </w:r>
      <w:proofErr w:type="spellStart"/>
      <w:r w:rsidRPr="008510AE">
        <w:rPr>
          <w:sz w:val="24"/>
          <w:szCs w:val="24"/>
        </w:rPr>
        <w:t>Adesokan</w:t>
      </w:r>
      <w:proofErr w:type="spellEnd"/>
      <w:r w:rsidRPr="008510AE">
        <w:rPr>
          <w:sz w:val="24"/>
          <w:szCs w:val="24"/>
        </w:rPr>
        <w:t xml:space="preserve">-Imran, T. O. (2025). AI- Powered Behavioural Biometrics for Fraud Detection in Digital Banking: A Next-Generation Approach to Financial Cybersecurity. </w:t>
      </w:r>
      <w:r w:rsidRPr="008510AE">
        <w:rPr>
          <w:i/>
          <w:sz w:val="24"/>
          <w:szCs w:val="24"/>
        </w:rPr>
        <w:t xml:space="preserve">Asian </w:t>
      </w:r>
      <w:r w:rsidRPr="008510AE">
        <w:rPr>
          <w:i/>
          <w:sz w:val="24"/>
          <w:szCs w:val="24"/>
        </w:rPr>
        <w:lastRenderedPageBreak/>
        <w:t>Journal of Research in Computer Science</w:t>
      </w:r>
      <w:r w:rsidRPr="008510AE">
        <w:rPr>
          <w:sz w:val="24"/>
          <w:szCs w:val="24"/>
        </w:rPr>
        <w:t xml:space="preserve">, </w:t>
      </w:r>
      <w:r w:rsidRPr="008510AE">
        <w:rPr>
          <w:i/>
          <w:sz w:val="24"/>
          <w:szCs w:val="24"/>
        </w:rPr>
        <w:t>18</w:t>
      </w:r>
      <w:r w:rsidRPr="008510AE">
        <w:rPr>
          <w:sz w:val="24"/>
          <w:szCs w:val="24"/>
        </w:rPr>
        <w:t xml:space="preserve">(4), 473–494. </w:t>
      </w:r>
      <w:hyperlink r:id="rId79">
        <w:r w:rsidRPr="008510AE">
          <w:rPr>
            <w:color w:val="1155CC"/>
            <w:sz w:val="24"/>
            <w:szCs w:val="24"/>
            <w:u w:val="single"/>
          </w:rPr>
          <w:t>https://doi.org/10.9734/ajrcos/2025/v18i4632</w:t>
        </w:r>
      </w:hyperlink>
      <w:r w:rsidRPr="008510AE">
        <w:rPr>
          <w:sz w:val="24"/>
          <w:szCs w:val="24"/>
        </w:rPr>
        <w:t xml:space="preserve"> </w:t>
      </w:r>
    </w:p>
    <w:p w14:paraId="1DC960C6" w14:textId="77777777" w:rsidR="00015978" w:rsidRPr="008510AE" w:rsidRDefault="003903D0" w:rsidP="007D102C">
      <w:pPr>
        <w:spacing w:after="240"/>
        <w:ind w:left="900" w:hanging="900"/>
        <w:rPr>
          <w:sz w:val="24"/>
          <w:szCs w:val="24"/>
        </w:rPr>
      </w:pPr>
      <w:r w:rsidRPr="008510AE">
        <w:rPr>
          <w:sz w:val="24"/>
          <w:szCs w:val="24"/>
        </w:rPr>
        <w:t xml:space="preserve">Scalise, P., Boeding, M., Hempel, M., Sharif, H., </w:t>
      </w:r>
      <w:proofErr w:type="spellStart"/>
      <w:r w:rsidRPr="008510AE">
        <w:rPr>
          <w:sz w:val="24"/>
          <w:szCs w:val="24"/>
        </w:rPr>
        <w:t>Delloiacovo</w:t>
      </w:r>
      <w:proofErr w:type="spellEnd"/>
      <w:r w:rsidRPr="008510AE">
        <w:rPr>
          <w:sz w:val="24"/>
          <w:szCs w:val="24"/>
        </w:rPr>
        <w:t xml:space="preserve">, J., &amp; Reed, J. (2024). A Systematic Survey on 5G and 6G Security Considerations, Challenges, Trends, and Research Areas. </w:t>
      </w:r>
      <w:r w:rsidRPr="008510AE">
        <w:rPr>
          <w:i/>
          <w:sz w:val="24"/>
          <w:szCs w:val="24"/>
        </w:rPr>
        <w:t>Future Internet</w:t>
      </w:r>
      <w:r w:rsidRPr="008510AE">
        <w:rPr>
          <w:sz w:val="24"/>
          <w:szCs w:val="24"/>
        </w:rPr>
        <w:t xml:space="preserve">, </w:t>
      </w:r>
      <w:r w:rsidRPr="008510AE">
        <w:rPr>
          <w:i/>
          <w:sz w:val="24"/>
          <w:szCs w:val="24"/>
        </w:rPr>
        <w:t>16</w:t>
      </w:r>
      <w:r w:rsidRPr="008510AE">
        <w:rPr>
          <w:sz w:val="24"/>
          <w:szCs w:val="24"/>
        </w:rPr>
        <w:t xml:space="preserve">(3), 67. </w:t>
      </w:r>
      <w:hyperlink r:id="rId80">
        <w:r w:rsidRPr="008510AE">
          <w:rPr>
            <w:color w:val="1155CC"/>
            <w:sz w:val="24"/>
            <w:szCs w:val="24"/>
            <w:u w:val="single"/>
          </w:rPr>
          <w:t>https://doi.org/10.3390/fi16030067</w:t>
        </w:r>
      </w:hyperlink>
      <w:r w:rsidRPr="008510AE">
        <w:rPr>
          <w:sz w:val="24"/>
          <w:szCs w:val="24"/>
        </w:rPr>
        <w:t xml:space="preserve"> </w:t>
      </w:r>
    </w:p>
    <w:p w14:paraId="519253A3" w14:textId="77777777" w:rsidR="00015978" w:rsidRPr="008510AE" w:rsidRDefault="003903D0" w:rsidP="007D102C">
      <w:pPr>
        <w:spacing w:after="240"/>
        <w:ind w:left="900" w:hanging="900"/>
        <w:rPr>
          <w:sz w:val="24"/>
          <w:szCs w:val="24"/>
        </w:rPr>
      </w:pPr>
      <w:r w:rsidRPr="008510AE">
        <w:rPr>
          <w:sz w:val="24"/>
          <w:szCs w:val="24"/>
        </w:rPr>
        <w:t xml:space="preserve">Schwabe, P. (2020). </w:t>
      </w:r>
      <w:r w:rsidRPr="008510AE">
        <w:rPr>
          <w:i/>
          <w:sz w:val="24"/>
          <w:szCs w:val="24"/>
        </w:rPr>
        <w:t>Kyber</w:t>
      </w:r>
      <w:r w:rsidRPr="008510AE">
        <w:rPr>
          <w:sz w:val="24"/>
          <w:szCs w:val="24"/>
        </w:rPr>
        <w:t xml:space="preserve">. Pq-Crystals.org. </w:t>
      </w:r>
      <w:hyperlink r:id="rId81">
        <w:r w:rsidRPr="008510AE">
          <w:rPr>
            <w:color w:val="1155CC"/>
            <w:sz w:val="24"/>
            <w:szCs w:val="24"/>
            <w:u w:val="single"/>
          </w:rPr>
          <w:t>https://pq-crystals.org/kyber/</w:t>
        </w:r>
      </w:hyperlink>
      <w:r w:rsidRPr="008510AE">
        <w:rPr>
          <w:sz w:val="24"/>
          <w:szCs w:val="24"/>
        </w:rPr>
        <w:t xml:space="preserve"> </w:t>
      </w:r>
    </w:p>
    <w:p w14:paraId="759F6788" w14:textId="77777777" w:rsidR="00015978" w:rsidRPr="008510AE" w:rsidRDefault="003903D0" w:rsidP="007D102C">
      <w:pPr>
        <w:spacing w:after="240"/>
        <w:ind w:left="900" w:hanging="900"/>
        <w:rPr>
          <w:sz w:val="24"/>
          <w:szCs w:val="24"/>
        </w:rPr>
      </w:pPr>
      <w:r w:rsidRPr="008510AE">
        <w:rPr>
          <w:sz w:val="24"/>
          <w:szCs w:val="24"/>
        </w:rPr>
        <w:t xml:space="preserve">Shah, P., Prajapati, P., Patel, R., &amp; Patel, D. (2025). Post Quantum Cryptography: A Gentle Introduction of Lattice-Based Cryptography (Kyber, </w:t>
      </w:r>
      <w:proofErr w:type="spellStart"/>
      <w:r w:rsidRPr="008510AE">
        <w:rPr>
          <w:sz w:val="24"/>
          <w:szCs w:val="24"/>
        </w:rPr>
        <w:t>NTRUCrypto</w:t>
      </w:r>
      <w:proofErr w:type="spellEnd"/>
      <w:r w:rsidRPr="008510AE">
        <w:rPr>
          <w:sz w:val="24"/>
          <w:szCs w:val="24"/>
        </w:rPr>
        <w:t xml:space="preserve">). </w:t>
      </w:r>
      <w:r w:rsidRPr="008510AE">
        <w:rPr>
          <w:i/>
          <w:sz w:val="24"/>
          <w:szCs w:val="24"/>
        </w:rPr>
        <w:t>Lecture Notes in Networks and Systems</w:t>
      </w:r>
      <w:r w:rsidRPr="008510AE">
        <w:rPr>
          <w:sz w:val="24"/>
          <w:szCs w:val="24"/>
        </w:rPr>
        <w:t xml:space="preserve">, </w:t>
      </w:r>
      <w:r w:rsidRPr="008510AE">
        <w:rPr>
          <w:i/>
          <w:sz w:val="24"/>
          <w:szCs w:val="24"/>
        </w:rPr>
        <w:t>1161</w:t>
      </w:r>
      <w:r w:rsidRPr="008510AE">
        <w:rPr>
          <w:sz w:val="24"/>
          <w:szCs w:val="24"/>
        </w:rPr>
        <w:t xml:space="preserve">, 483–495. </w:t>
      </w:r>
      <w:hyperlink r:id="rId82">
        <w:r w:rsidRPr="008510AE">
          <w:rPr>
            <w:color w:val="1155CC"/>
            <w:sz w:val="24"/>
            <w:szCs w:val="24"/>
            <w:u w:val="single"/>
          </w:rPr>
          <w:t>https://doi.org/10.1007/978-981-97-8602-2_43</w:t>
        </w:r>
      </w:hyperlink>
      <w:r w:rsidRPr="008510AE">
        <w:rPr>
          <w:sz w:val="24"/>
          <w:szCs w:val="24"/>
        </w:rPr>
        <w:t xml:space="preserve"> </w:t>
      </w:r>
    </w:p>
    <w:p w14:paraId="7F53CC01" w14:textId="77777777" w:rsidR="00015978" w:rsidRPr="008510AE" w:rsidRDefault="003903D0" w:rsidP="007D102C">
      <w:pPr>
        <w:spacing w:after="240"/>
        <w:ind w:left="900" w:hanging="900"/>
        <w:rPr>
          <w:sz w:val="24"/>
          <w:szCs w:val="24"/>
        </w:rPr>
      </w:pPr>
      <w:proofErr w:type="spellStart"/>
      <w:r w:rsidRPr="008510AE">
        <w:rPr>
          <w:sz w:val="24"/>
          <w:szCs w:val="24"/>
        </w:rPr>
        <w:t>Shahanas</w:t>
      </w:r>
      <w:proofErr w:type="spellEnd"/>
      <w:r w:rsidRPr="008510AE">
        <w:rPr>
          <w:sz w:val="24"/>
          <w:szCs w:val="24"/>
        </w:rPr>
        <w:t xml:space="preserve">, I. N., &amp; Thampi, S. M. (2025). Secure Communication Protocols: Safeguarding Information in The Digital Age. </w:t>
      </w:r>
      <w:r w:rsidRPr="008510AE">
        <w:rPr>
          <w:i/>
          <w:sz w:val="24"/>
          <w:szCs w:val="24"/>
        </w:rPr>
        <w:t>Securing the Connected World</w:t>
      </w:r>
      <w:r w:rsidRPr="008510AE">
        <w:rPr>
          <w:sz w:val="24"/>
          <w:szCs w:val="24"/>
        </w:rPr>
        <w:t xml:space="preserve">, 157–221. </w:t>
      </w:r>
      <w:hyperlink r:id="rId83">
        <w:r w:rsidRPr="008510AE">
          <w:rPr>
            <w:color w:val="1155CC"/>
            <w:sz w:val="24"/>
            <w:szCs w:val="24"/>
            <w:u w:val="single"/>
          </w:rPr>
          <w:t>https://doi.org/10.1007/978-3-031-82826-3_6</w:t>
        </w:r>
      </w:hyperlink>
      <w:r w:rsidRPr="008510AE">
        <w:rPr>
          <w:sz w:val="24"/>
          <w:szCs w:val="24"/>
        </w:rPr>
        <w:t xml:space="preserve"> </w:t>
      </w:r>
    </w:p>
    <w:p w14:paraId="4CC64F74" w14:textId="77777777" w:rsidR="00015978" w:rsidRPr="008510AE" w:rsidRDefault="003903D0" w:rsidP="007D102C">
      <w:pPr>
        <w:spacing w:after="240"/>
        <w:ind w:left="900" w:hanging="900"/>
        <w:rPr>
          <w:sz w:val="24"/>
          <w:szCs w:val="24"/>
        </w:rPr>
      </w:pPr>
      <w:r w:rsidRPr="008510AE">
        <w:rPr>
          <w:sz w:val="24"/>
          <w:szCs w:val="24"/>
        </w:rPr>
        <w:t xml:space="preserve">Singh, A., </w:t>
      </w:r>
      <w:proofErr w:type="spellStart"/>
      <w:r w:rsidRPr="008510AE">
        <w:rPr>
          <w:sz w:val="24"/>
          <w:szCs w:val="24"/>
        </w:rPr>
        <w:t>Parizi</w:t>
      </w:r>
      <w:proofErr w:type="spellEnd"/>
      <w:r w:rsidRPr="008510AE">
        <w:rPr>
          <w:sz w:val="24"/>
          <w:szCs w:val="24"/>
        </w:rPr>
        <w:t xml:space="preserve">, R. M., Zhang, Q., Choo, K.-K. R., &amp; </w:t>
      </w:r>
      <w:proofErr w:type="spellStart"/>
      <w:r w:rsidRPr="008510AE">
        <w:rPr>
          <w:sz w:val="24"/>
          <w:szCs w:val="24"/>
        </w:rPr>
        <w:t>Dehghantanha</w:t>
      </w:r>
      <w:proofErr w:type="spellEnd"/>
      <w:r w:rsidRPr="008510AE">
        <w:rPr>
          <w:sz w:val="24"/>
          <w:szCs w:val="24"/>
        </w:rPr>
        <w:t xml:space="preserve">, A. (2020). Blockchain smart contracts formalization: Approaches and challenges to address vulnerabilities. </w:t>
      </w:r>
      <w:r w:rsidRPr="008510AE">
        <w:rPr>
          <w:i/>
          <w:sz w:val="24"/>
          <w:szCs w:val="24"/>
        </w:rPr>
        <w:t>Computers &amp; Security</w:t>
      </w:r>
      <w:r w:rsidRPr="008510AE">
        <w:rPr>
          <w:sz w:val="24"/>
          <w:szCs w:val="24"/>
        </w:rPr>
        <w:t xml:space="preserve">, </w:t>
      </w:r>
      <w:r w:rsidRPr="008510AE">
        <w:rPr>
          <w:i/>
          <w:sz w:val="24"/>
          <w:szCs w:val="24"/>
        </w:rPr>
        <w:t>88</w:t>
      </w:r>
      <w:r w:rsidRPr="008510AE">
        <w:rPr>
          <w:sz w:val="24"/>
          <w:szCs w:val="24"/>
        </w:rPr>
        <w:t xml:space="preserve">, 101654. </w:t>
      </w:r>
      <w:hyperlink r:id="rId84">
        <w:r w:rsidRPr="008510AE">
          <w:rPr>
            <w:color w:val="1155CC"/>
            <w:sz w:val="24"/>
            <w:szCs w:val="24"/>
            <w:u w:val="single"/>
          </w:rPr>
          <w:t>https://doi.org/10.1016/j.cose.2019.101654</w:t>
        </w:r>
      </w:hyperlink>
      <w:r w:rsidRPr="008510AE">
        <w:rPr>
          <w:sz w:val="24"/>
          <w:szCs w:val="24"/>
        </w:rPr>
        <w:t xml:space="preserve"> </w:t>
      </w:r>
    </w:p>
    <w:p w14:paraId="6EE2F02D" w14:textId="77777777" w:rsidR="00015978" w:rsidRPr="008510AE" w:rsidRDefault="003903D0" w:rsidP="007D102C">
      <w:pPr>
        <w:spacing w:after="240"/>
        <w:ind w:left="900" w:hanging="900"/>
        <w:rPr>
          <w:sz w:val="24"/>
          <w:szCs w:val="24"/>
        </w:rPr>
      </w:pPr>
      <w:proofErr w:type="spellStart"/>
      <w:r w:rsidRPr="008510AE">
        <w:rPr>
          <w:sz w:val="24"/>
          <w:szCs w:val="24"/>
        </w:rPr>
        <w:t>Sniatala</w:t>
      </w:r>
      <w:proofErr w:type="spellEnd"/>
      <w:r w:rsidRPr="008510AE">
        <w:rPr>
          <w:sz w:val="24"/>
          <w:szCs w:val="24"/>
        </w:rPr>
        <w:t xml:space="preserve">, P., Iyengar, S. S., &amp; Ramani, S. K. (2021). </w:t>
      </w:r>
      <w:r w:rsidRPr="008510AE">
        <w:rPr>
          <w:i/>
          <w:sz w:val="24"/>
          <w:szCs w:val="24"/>
        </w:rPr>
        <w:t>Evolution of Smart Sensing Ecosystems with Tamper Evident Security</w:t>
      </w:r>
      <w:r w:rsidRPr="008510AE">
        <w:rPr>
          <w:sz w:val="24"/>
          <w:szCs w:val="24"/>
        </w:rPr>
        <w:t xml:space="preserve">. Springer International Publishing. </w:t>
      </w:r>
      <w:hyperlink r:id="rId85">
        <w:r w:rsidRPr="008510AE">
          <w:rPr>
            <w:color w:val="1155CC"/>
            <w:sz w:val="24"/>
            <w:szCs w:val="24"/>
            <w:u w:val="single"/>
          </w:rPr>
          <w:t>https://doi.org/10.1007/978-3-030-77764-7</w:t>
        </w:r>
      </w:hyperlink>
      <w:r w:rsidRPr="008510AE">
        <w:rPr>
          <w:sz w:val="24"/>
          <w:szCs w:val="24"/>
        </w:rPr>
        <w:t xml:space="preserve"> </w:t>
      </w:r>
    </w:p>
    <w:p w14:paraId="1324E2CA" w14:textId="77777777" w:rsidR="00015978" w:rsidRPr="008510AE" w:rsidRDefault="003903D0" w:rsidP="007D102C">
      <w:pPr>
        <w:spacing w:after="240"/>
        <w:ind w:left="900" w:hanging="900"/>
        <w:rPr>
          <w:sz w:val="24"/>
          <w:szCs w:val="24"/>
        </w:rPr>
      </w:pPr>
      <w:proofErr w:type="spellStart"/>
      <w:r w:rsidRPr="008510AE">
        <w:rPr>
          <w:sz w:val="24"/>
          <w:szCs w:val="24"/>
        </w:rPr>
        <w:t>Spanca</w:t>
      </w:r>
      <w:proofErr w:type="spellEnd"/>
      <w:r w:rsidRPr="008510AE">
        <w:rPr>
          <w:sz w:val="24"/>
          <w:szCs w:val="24"/>
        </w:rPr>
        <w:t xml:space="preserve">, F., &amp; Salihu, A. (2024). Unveiling the Consequences of Data Breaches: Risks, Impacts, and Mitigation in the Digital Age. </w:t>
      </w:r>
      <w:r w:rsidRPr="008510AE">
        <w:rPr>
          <w:i/>
          <w:sz w:val="24"/>
          <w:szCs w:val="24"/>
        </w:rPr>
        <w:t>2019 International Conference on Electrical, Communication, and Computer Engineering (ICECCE)</w:t>
      </w:r>
      <w:r w:rsidRPr="008510AE">
        <w:rPr>
          <w:sz w:val="24"/>
          <w:szCs w:val="24"/>
        </w:rPr>
        <w:t xml:space="preserve">, 1–8. </w:t>
      </w:r>
      <w:hyperlink r:id="rId86">
        <w:r w:rsidRPr="008510AE">
          <w:rPr>
            <w:color w:val="1155CC"/>
            <w:sz w:val="24"/>
            <w:szCs w:val="24"/>
            <w:u w:val="single"/>
          </w:rPr>
          <w:t>https://doi.org/10.1109/icecce63537.2024.10823432</w:t>
        </w:r>
      </w:hyperlink>
      <w:r w:rsidRPr="008510AE">
        <w:rPr>
          <w:sz w:val="24"/>
          <w:szCs w:val="24"/>
        </w:rPr>
        <w:t xml:space="preserve"> </w:t>
      </w:r>
    </w:p>
    <w:p w14:paraId="091D1D5A" w14:textId="77777777" w:rsidR="00015978" w:rsidRPr="008510AE" w:rsidRDefault="003903D0" w:rsidP="007D102C">
      <w:pPr>
        <w:spacing w:after="240"/>
        <w:ind w:left="900" w:hanging="900"/>
        <w:rPr>
          <w:sz w:val="24"/>
          <w:szCs w:val="24"/>
        </w:rPr>
      </w:pPr>
      <w:proofErr w:type="spellStart"/>
      <w:r w:rsidRPr="008510AE">
        <w:rPr>
          <w:sz w:val="24"/>
          <w:szCs w:val="24"/>
        </w:rPr>
        <w:t>Tiwo</w:t>
      </w:r>
      <w:proofErr w:type="spellEnd"/>
      <w:r w:rsidRPr="008510AE">
        <w:rPr>
          <w:sz w:val="24"/>
          <w:szCs w:val="24"/>
        </w:rPr>
        <w:t xml:space="preserve">, O. J., </w:t>
      </w:r>
      <w:proofErr w:type="spellStart"/>
      <w:r w:rsidRPr="008510AE">
        <w:rPr>
          <w:sz w:val="24"/>
          <w:szCs w:val="24"/>
        </w:rPr>
        <w:t>Adesokan</w:t>
      </w:r>
      <w:proofErr w:type="spellEnd"/>
      <w:r w:rsidRPr="008510AE">
        <w:rPr>
          <w:sz w:val="24"/>
          <w:szCs w:val="24"/>
        </w:rPr>
        <w:t xml:space="preserve">-Imran, T. O., Babarinde, D. C., </w:t>
      </w:r>
      <w:proofErr w:type="spellStart"/>
      <w:r w:rsidRPr="008510AE">
        <w:rPr>
          <w:sz w:val="24"/>
          <w:szCs w:val="24"/>
        </w:rPr>
        <w:t>Oyekunle</w:t>
      </w:r>
      <w:proofErr w:type="spellEnd"/>
      <w:r w:rsidRPr="008510AE">
        <w:rPr>
          <w:sz w:val="24"/>
          <w:szCs w:val="24"/>
        </w:rPr>
        <w:t xml:space="preserve">, S. M., </w:t>
      </w:r>
      <w:proofErr w:type="spellStart"/>
      <w:r w:rsidRPr="008510AE">
        <w:rPr>
          <w:sz w:val="24"/>
          <w:szCs w:val="24"/>
        </w:rPr>
        <w:t>Olutimehin</w:t>
      </w:r>
      <w:proofErr w:type="spellEnd"/>
      <w:r w:rsidRPr="008510AE">
        <w:rPr>
          <w:sz w:val="24"/>
          <w:szCs w:val="24"/>
        </w:rPr>
        <w:t xml:space="preserve">, A. T., &amp; Olaniyi, O. O. (2025). Advancing Security in Cloud-based Patient Information Systems with Quantum-resistant Encryption for Healthcare Data. </w:t>
      </w:r>
      <w:r w:rsidRPr="008510AE">
        <w:rPr>
          <w:i/>
          <w:sz w:val="24"/>
          <w:szCs w:val="24"/>
        </w:rPr>
        <w:t>Asian Journal of Research in Computer Science</w:t>
      </w:r>
      <w:r w:rsidRPr="008510AE">
        <w:rPr>
          <w:sz w:val="24"/>
          <w:szCs w:val="24"/>
        </w:rPr>
        <w:t xml:space="preserve">, </w:t>
      </w:r>
      <w:r w:rsidRPr="008510AE">
        <w:rPr>
          <w:i/>
          <w:sz w:val="24"/>
          <w:szCs w:val="24"/>
        </w:rPr>
        <w:t>18</w:t>
      </w:r>
      <w:r w:rsidRPr="008510AE">
        <w:rPr>
          <w:sz w:val="24"/>
          <w:szCs w:val="24"/>
        </w:rPr>
        <w:t xml:space="preserve">(4), 187–208. </w:t>
      </w:r>
      <w:hyperlink r:id="rId87">
        <w:r w:rsidRPr="008510AE">
          <w:rPr>
            <w:color w:val="1155CC"/>
            <w:sz w:val="24"/>
            <w:szCs w:val="24"/>
            <w:u w:val="single"/>
          </w:rPr>
          <w:t>https://doi.org/10.9734/ajrcos/2025/v18i4615</w:t>
        </w:r>
      </w:hyperlink>
      <w:r w:rsidRPr="008510AE">
        <w:rPr>
          <w:sz w:val="24"/>
          <w:szCs w:val="24"/>
        </w:rPr>
        <w:t xml:space="preserve"> </w:t>
      </w:r>
    </w:p>
    <w:p w14:paraId="3CFBC17D" w14:textId="77777777" w:rsidR="00015978" w:rsidRPr="008510AE" w:rsidRDefault="003903D0" w:rsidP="007D102C">
      <w:pPr>
        <w:spacing w:after="240"/>
        <w:ind w:left="900" w:hanging="900"/>
        <w:rPr>
          <w:sz w:val="24"/>
          <w:szCs w:val="24"/>
        </w:rPr>
      </w:pPr>
      <w:proofErr w:type="spellStart"/>
      <w:r w:rsidRPr="008510AE">
        <w:rPr>
          <w:sz w:val="24"/>
          <w:szCs w:val="24"/>
        </w:rPr>
        <w:t>Tiwo</w:t>
      </w:r>
      <w:proofErr w:type="spellEnd"/>
      <w:r w:rsidRPr="008510AE">
        <w:rPr>
          <w:sz w:val="24"/>
          <w:szCs w:val="24"/>
        </w:rPr>
        <w:t xml:space="preserve">, O. J., </w:t>
      </w:r>
      <w:proofErr w:type="spellStart"/>
      <w:r w:rsidRPr="008510AE">
        <w:rPr>
          <w:sz w:val="24"/>
          <w:szCs w:val="24"/>
        </w:rPr>
        <w:t>Adesokan</w:t>
      </w:r>
      <w:proofErr w:type="spellEnd"/>
      <w:r w:rsidRPr="008510AE">
        <w:rPr>
          <w:sz w:val="24"/>
          <w:szCs w:val="24"/>
        </w:rPr>
        <w:t xml:space="preserve">-Imran, T. O., Babarinde, D. C., Salami, I. A., </w:t>
      </w:r>
      <w:proofErr w:type="spellStart"/>
      <w:r w:rsidRPr="008510AE">
        <w:rPr>
          <w:sz w:val="24"/>
          <w:szCs w:val="24"/>
        </w:rPr>
        <w:t>Onyenaucheya</w:t>
      </w:r>
      <w:proofErr w:type="spellEnd"/>
      <w:r w:rsidRPr="008510AE">
        <w:rPr>
          <w:sz w:val="24"/>
          <w:szCs w:val="24"/>
        </w:rPr>
        <w:t xml:space="preserve">, O. S., &amp; Olaniyi, O. O. (2025). Improving Patient Data Privacy and Authentication Protocols against AI-Powered Phishing Attacks in Telemedicine. </w:t>
      </w:r>
      <w:r w:rsidRPr="008510AE">
        <w:rPr>
          <w:i/>
          <w:sz w:val="24"/>
          <w:szCs w:val="24"/>
        </w:rPr>
        <w:t xml:space="preserve">Asian Journal </w:t>
      </w:r>
      <w:r w:rsidRPr="008510AE">
        <w:rPr>
          <w:i/>
          <w:sz w:val="24"/>
          <w:szCs w:val="24"/>
        </w:rPr>
        <w:lastRenderedPageBreak/>
        <w:t>of Research in Computer Science</w:t>
      </w:r>
      <w:r w:rsidRPr="008510AE">
        <w:rPr>
          <w:sz w:val="24"/>
          <w:szCs w:val="24"/>
        </w:rPr>
        <w:t xml:space="preserve">, </w:t>
      </w:r>
      <w:r w:rsidRPr="008510AE">
        <w:rPr>
          <w:i/>
          <w:sz w:val="24"/>
          <w:szCs w:val="24"/>
        </w:rPr>
        <w:t>18</w:t>
      </w:r>
      <w:r w:rsidRPr="008510AE">
        <w:rPr>
          <w:sz w:val="24"/>
          <w:szCs w:val="24"/>
        </w:rPr>
        <w:t xml:space="preserve">(4), 93–114. </w:t>
      </w:r>
      <w:hyperlink r:id="rId88">
        <w:r w:rsidRPr="008510AE">
          <w:rPr>
            <w:color w:val="1155CC"/>
            <w:sz w:val="24"/>
            <w:szCs w:val="24"/>
            <w:u w:val="single"/>
          </w:rPr>
          <w:t>https://doi.org/10.9734/ajrcos/2025/v18i4610</w:t>
        </w:r>
      </w:hyperlink>
      <w:r w:rsidRPr="008510AE">
        <w:rPr>
          <w:sz w:val="24"/>
          <w:szCs w:val="24"/>
        </w:rPr>
        <w:t xml:space="preserve"> </w:t>
      </w:r>
    </w:p>
    <w:p w14:paraId="213AB04E" w14:textId="77777777" w:rsidR="00015978" w:rsidRPr="008510AE" w:rsidRDefault="003903D0" w:rsidP="007D102C">
      <w:pPr>
        <w:spacing w:after="240"/>
        <w:ind w:left="900" w:hanging="900"/>
        <w:rPr>
          <w:sz w:val="24"/>
          <w:szCs w:val="24"/>
        </w:rPr>
      </w:pPr>
      <w:r w:rsidRPr="008510AE">
        <w:rPr>
          <w:sz w:val="24"/>
          <w:szCs w:val="24"/>
        </w:rPr>
        <w:t xml:space="preserve">Turnip, T. N., Andersen, B., &amp; Vargas-Rosales, C. (2025). Towards 6G Authentication and Key Agreement Protocol: A Survey on Hybrid Post Quantum Cryptography. </w:t>
      </w:r>
      <w:r w:rsidRPr="008510AE">
        <w:rPr>
          <w:i/>
          <w:sz w:val="24"/>
          <w:szCs w:val="24"/>
        </w:rPr>
        <w:t>IEEE Communications Surveys &amp; Tutorials</w:t>
      </w:r>
      <w:r w:rsidRPr="008510AE">
        <w:rPr>
          <w:sz w:val="24"/>
          <w:szCs w:val="24"/>
        </w:rPr>
        <w:t xml:space="preserve">, 1–1. </w:t>
      </w:r>
      <w:hyperlink r:id="rId89">
        <w:r w:rsidRPr="008510AE">
          <w:rPr>
            <w:color w:val="1155CC"/>
            <w:sz w:val="24"/>
            <w:szCs w:val="24"/>
            <w:u w:val="single"/>
          </w:rPr>
          <w:t>https://doi.org/10.1109/comst.2025.3567439</w:t>
        </w:r>
      </w:hyperlink>
      <w:r w:rsidRPr="008510AE">
        <w:rPr>
          <w:sz w:val="24"/>
          <w:szCs w:val="24"/>
        </w:rPr>
        <w:t xml:space="preserve"> </w:t>
      </w:r>
    </w:p>
    <w:p w14:paraId="638A5648" w14:textId="77777777" w:rsidR="00015978" w:rsidRPr="008510AE" w:rsidRDefault="003903D0" w:rsidP="007D102C">
      <w:pPr>
        <w:spacing w:after="240"/>
        <w:ind w:left="900" w:hanging="900"/>
        <w:rPr>
          <w:sz w:val="24"/>
          <w:szCs w:val="24"/>
        </w:rPr>
      </w:pPr>
      <w:proofErr w:type="spellStart"/>
      <w:r w:rsidRPr="008510AE">
        <w:rPr>
          <w:sz w:val="24"/>
          <w:szCs w:val="24"/>
        </w:rPr>
        <w:t>Vredendaal</w:t>
      </w:r>
      <w:proofErr w:type="spellEnd"/>
      <w:r w:rsidRPr="008510AE">
        <w:rPr>
          <w:sz w:val="24"/>
          <w:szCs w:val="24"/>
        </w:rPr>
        <w:t xml:space="preserve">, C. van, Dragone, S., Hess, B., </w:t>
      </w:r>
      <w:proofErr w:type="spellStart"/>
      <w:r w:rsidRPr="008510AE">
        <w:rPr>
          <w:sz w:val="24"/>
          <w:szCs w:val="24"/>
        </w:rPr>
        <w:t>Visegrady</w:t>
      </w:r>
      <w:proofErr w:type="spellEnd"/>
      <w:r w:rsidRPr="008510AE">
        <w:rPr>
          <w:sz w:val="24"/>
          <w:szCs w:val="24"/>
        </w:rPr>
        <w:t xml:space="preserve">, T., Osborne, M., Bong, D., &amp; Bos, J. (2022, October 23). </w:t>
      </w:r>
      <w:r w:rsidRPr="008510AE">
        <w:rPr>
          <w:i/>
          <w:sz w:val="24"/>
          <w:szCs w:val="24"/>
        </w:rPr>
        <w:t>Quantum Safe Cryptography Key Information for CRYSTALS-Kyber</w:t>
      </w:r>
      <w:r w:rsidRPr="008510AE">
        <w:rPr>
          <w:sz w:val="24"/>
          <w:szCs w:val="24"/>
        </w:rPr>
        <w:t xml:space="preserve">. Ietf.org. </w:t>
      </w:r>
      <w:hyperlink r:id="rId90">
        <w:r w:rsidRPr="008510AE">
          <w:rPr>
            <w:color w:val="1155CC"/>
            <w:sz w:val="24"/>
            <w:szCs w:val="24"/>
            <w:u w:val="single"/>
          </w:rPr>
          <w:t>https://www.ietf.org/archive/id/draft-uni-qsckeys-kyber-00.html</w:t>
        </w:r>
      </w:hyperlink>
      <w:r w:rsidRPr="008510AE">
        <w:rPr>
          <w:sz w:val="24"/>
          <w:szCs w:val="24"/>
        </w:rPr>
        <w:t xml:space="preserve"> </w:t>
      </w:r>
    </w:p>
    <w:p w14:paraId="4D1CFFF7" w14:textId="77777777" w:rsidR="00015978" w:rsidRPr="008510AE" w:rsidRDefault="003903D0" w:rsidP="007D102C">
      <w:pPr>
        <w:spacing w:after="240"/>
        <w:ind w:left="900" w:hanging="900"/>
        <w:rPr>
          <w:sz w:val="24"/>
          <w:szCs w:val="24"/>
        </w:rPr>
      </w:pPr>
      <w:r w:rsidRPr="008510AE">
        <w:rPr>
          <w:sz w:val="24"/>
          <w:szCs w:val="24"/>
        </w:rPr>
        <w:t xml:space="preserve">Wan, L., Zheng, F., Fan, G., Wei, R., Gao, L., Wang, Y., Lin, J., &amp; Dong, J. (2022). A Novel High-Performance Implementation of CRYSTALS-Kyber with AI Accelerator. </w:t>
      </w:r>
      <w:r w:rsidRPr="008510AE">
        <w:rPr>
          <w:i/>
          <w:sz w:val="24"/>
          <w:szCs w:val="24"/>
        </w:rPr>
        <w:t>Lecture Notes in Computer Science</w:t>
      </w:r>
      <w:r w:rsidRPr="008510AE">
        <w:rPr>
          <w:sz w:val="24"/>
          <w:szCs w:val="24"/>
        </w:rPr>
        <w:t xml:space="preserve">, 514–534. </w:t>
      </w:r>
      <w:hyperlink r:id="rId91">
        <w:r w:rsidRPr="008510AE">
          <w:rPr>
            <w:color w:val="1155CC"/>
            <w:sz w:val="24"/>
            <w:szCs w:val="24"/>
            <w:u w:val="single"/>
          </w:rPr>
          <w:t>https://doi.org/10.1007/978-3-031-17143-7_25</w:t>
        </w:r>
      </w:hyperlink>
      <w:r w:rsidRPr="008510AE">
        <w:rPr>
          <w:sz w:val="24"/>
          <w:szCs w:val="24"/>
        </w:rPr>
        <w:t xml:space="preserve"> </w:t>
      </w:r>
    </w:p>
    <w:p w14:paraId="6C949193" w14:textId="77777777" w:rsidR="00015978" w:rsidRPr="008510AE" w:rsidRDefault="003903D0" w:rsidP="007D102C">
      <w:pPr>
        <w:spacing w:after="240"/>
        <w:ind w:left="900" w:hanging="900"/>
        <w:rPr>
          <w:sz w:val="24"/>
          <w:szCs w:val="24"/>
        </w:rPr>
      </w:pPr>
      <w:r w:rsidRPr="008510AE">
        <w:rPr>
          <w:sz w:val="24"/>
          <w:szCs w:val="24"/>
        </w:rPr>
        <w:t xml:space="preserve">Zhang, W., Wei, L., Cheung, S.-C., Liu, Y., Li, S., Liu, L., &amp; Lyu, M. R. (2023). Combatting Front-Running in Smart Contracts: Attack Mining, Benchmark Construction and Vulnerability Detector Evaluation. </w:t>
      </w:r>
      <w:r w:rsidRPr="008510AE">
        <w:rPr>
          <w:i/>
          <w:sz w:val="24"/>
          <w:szCs w:val="24"/>
        </w:rPr>
        <w:t>IEEE Transactions on Software Engineering</w:t>
      </w:r>
      <w:r w:rsidRPr="008510AE">
        <w:rPr>
          <w:sz w:val="24"/>
          <w:szCs w:val="24"/>
        </w:rPr>
        <w:t xml:space="preserve">, </w:t>
      </w:r>
      <w:r w:rsidRPr="008510AE">
        <w:rPr>
          <w:i/>
          <w:sz w:val="24"/>
          <w:szCs w:val="24"/>
        </w:rPr>
        <w:t>49</w:t>
      </w:r>
      <w:r w:rsidRPr="008510AE">
        <w:rPr>
          <w:sz w:val="24"/>
          <w:szCs w:val="24"/>
        </w:rPr>
        <w:t xml:space="preserve">(6), 1–17. </w:t>
      </w:r>
      <w:hyperlink r:id="rId92">
        <w:r w:rsidRPr="008510AE">
          <w:rPr>
            <w:color w:val="1155CC"/>
            <w:sz w:val="24"/>
            <w:szCs w:val="24"/>
            <w:u w:val="single"/>
          </w:rPr>
          <w:t>https://doi.org/10.1109/TSE.2023.3270117</w:t>
        </w:r>
      </w:hyperlink>
      <w:r w:rsidRPr="008510AE">
        <w:rPr>
          <w:sz w:val="24"/>
          <w:szCs w:val="24"/>
        </w:rPr>
        <w:t xml:space="preserve"> </w:t>
      </w:r>
    </w:p>
    <w:p w14:paraId="1AA1B55B" w14:textId="77777777" w:rsidR="00015978" w:rsidRPr="008510AE" w:rsidRDefault="00015978">
      <w:pPr>
        <w:rPr>
          <w:sz w:val="24"/>
          <w:szCs w:val="24"/>
        </w:rPr>
      </w:pPr>
    </w:p>
    <w:sectPr w:rsidR="00015978" w:rsidRPr="008510AE">
      <w:headerReference w:type="even" r:id="rId93"/>
      <w:headerReference w:type="default" r:id="rId94"/>
      <w:footerReference w:type="even" r:id="rId95"/>
      <w:footerReference w:type="default" r:id="rId96"/>
      <w:headerReference w:type="first" r:id="rId97"/>
      <w:footerReference w:type="first" r:id="rId9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C74CC" w14:textId="77777777" w:rsidR="000F48F5" w:rsidRDefault="000F48F5" w:rsidP="0090754F">
      <w:pPr>
        <w:spacing w:line="240" w:lineRule="auto"/>
      </w:pPr>
      <w:r>
        <w:separator/>
      </w:r>
    </w:p>
  </w:endnote>
  <w:endnote w:type="continuationSeparator" w:id="0">
    <w:p w14:paraId="6EA611CF" w14:textId="77777777" w:rsidR="000F48F5" w:rsidRDefault="000F48F5" w:rsidP="00907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AB61" w14:textId="77777777" w:rsidR="00734EA5" w:rsidRDefault="00734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3147" w14:textId="77777777" w:rsidR="00734EA5" w:rsidRDefault="00734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431B" w14:textId="77777777" w:rsidR="00734EA5" w:rsidRDefault="00734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00D24" w14:textId="77777777" w:rsidR="000F48F5" w:rsidRDefault="000F48F5" w:rsidP="0090754F">
      <w:pPr>
        <w:spacing w:line="240" w:lineRule="auto"/>
      </w:pPr>
      <w:r>
        <w:separator/>
      </w:r>
    </w:p>
  </w:footnote>
  <w:footnote w:type="continuationSeparator" w:id="0">
    <w:p w14:paraId="2D9C255B" w14:textId="77777777" w:rsidR="000F48F5" w:rsidRDefault="000F48F5" w:rsidP="00907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ACDF" w14:textId="54E4C680" w:rsidR="00734EA5" w:rsidRDefault="00000000">
    <w:pPr>
      <w:pStyle w:val="Header"/>
    </w:pPr>
    <w:r>
      <w:rPr>
        <w:noProof/>
      </w:rPr>
      <w:pict w14:anchorId="518E2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E9EE" w14:textId="15C0CC9F" w:rsidR="00734EA5" w:rsidRDefault="00000000">
    <w:pPr>
      <w:pStyle w:val="Header"/>
    </w:pPr>
    <w:r>
      <w:rPr>
        <w:noProof/>
      </w:rPr>
      <w:pict w14:anchorId="568DB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0C0F" w14:textId="69703486" w:rsidR="00734EA5" w:rsidRDefault="00000000">
    <w:pPr>
      <w:pStyle w:val="Header"/>
    </w:pPr>
    <w:r>
      <w:rPr>
        <w:noProof/>
      </w:rPr>
      <w:pict w14:anchorId="5C70A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69106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03B"/>
    <w:multiLevelType w:val="multilevel"/>
    <w:tmpl w:val="4ED0E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A5A6860"/>
    <w:multiLevelType w:val="multilevel"/>
    <w:tmpl w:val="E8268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FF13677"/>
    <w:multiLevelType w:val="multilevel"/>
    <w:tmpl w:val="D0BEB5E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B87337"/>
    <w:multiLevelType w:val="multilevel"/>
    <w:tmpl w:val="AEA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867853">
    <w:abstractNumId w:val="1"/>
  </w:num>
  <w:num w:numId="2" w16cid:durableId="988248991">
    <w:abstractNumId w:val="0"/>
  </w:num>
  <w:num w:numId="3" w16cid:durableId="1374963120">
    <w:abstractNumId w:val="2"/>
  </w:num>
  <w:num w:numId="4" w16cid:durableId="48393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78"/>
    <w:rsid w:val="00002144"/>
    <w:rsid w:val="00015978"/>
    <w:rsid w:val="0008499B"/>
    <w:rsid w:val="000F48F5"/>
    <w:rsid w:val="00184911"/>
    <w:rsid w:val="0028433C"/>
    <w:rsid w:val="002D5AE6"/>
    <w:rsid w:val="002E110D"/>
    <w:rsid w:val="00301D23"/>
    <w:rsid w:val="00345B37"/>
    <w:rsid w:val="003903D0"/>
    <w:rsid w:val="00430B55"/>
    <w:rsid w:val="00430F2F"/>
    <w:rsid w:val="004542E8"/>
    <w:rsid w:val="0047564A"/>
    <w:rsid w:val="004F7FE7"/>
    <w:rsid w:val="006039B8"/>
    <w:rsid w:val="006527F1"/>
    <w:rsid w:val="006B32D7"/>
    <w:rsid w:val="006B3F12"/>
    <w:rsid w:val="006E17FB"/>
    <w:rsid w:val="00734EA5"/>
    <w:rsid w:val="0079703A"/>
    <w:rsid w:val="007D102C"/>
    <w:rsid w:val="00844A99"/>
    <w:rsid w:val="008510AE"/>
    <w:rsid w:val="008D2021"/>
    <w:rsid w:val="0090754F"/>
    <w:rsid w:val="009B4A48"/>
    <w:rsid w:val="00B47607"/>
    <w:rsid w:val="00C500AE"/>
    <w:rsid w:val="00C554C1"/>
    <w:rsid w:val="00C760DC"/>
    <w:rsid w:val="00CF782F"/>
    <w:rsid w:val="00DA20F1"/>
    <w:rsid w:val="00DF4267"/>
    <w:rsid w:val="00E139DE"/>
    <w:rsid w:val="00EB6D04"/>
    <w:rsid w:val="00ED2784"/>
    <w:rsid w:val="00F06E4A"/>
    <w:rsid w:val="00F10997"/>
    <w:rsid w:val="00F54BE3"/>
    <w:rsid w:val="00F93858"/>
    <w:rsid w:val="00FD45CB"/>
    <w:rsid w:val="00F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09264"/>
  <w15:docId w15:val="{E0106F5F-6C6E-46A6-B4F2-09B793CA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D27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0AE"/>
    <w:pPr>
      <w:ind w:left="720"/>
      <w:contextualSpacing/>
    </w:pPr>
  </w:style>
  <w:style w:type="paragraph" w:styleId="NormalWeb">
    <w:name w:val="Normal (Web)"/>
    <w:basedOn w:val="Normal"/>
    <w:uiPriority w:val="99"/>
    <w:semiHidden/>
    <w:unhideWhenUsed/>
    <w:rsid w:val="00DF42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F4267"/>
    <w:rPr>
      <w:b/>
      <w:bCs/>
    </w:rPr>
  </w:style>
  <w:style w:type="character" w:styleId="Emphasis">
    <w:name w:val="Emphasis"/>
    <w:basedOn w:val="DefaultParagraphFont"/>
    <w:uiPriority w:val="20"/>
    <w:qFormat/>
    <w:rsid w:val="00DF4267"/>
    <w:rPr>
      <w:i/>
      <w:iCs/>
    </w:rPr>
  </w:style>
  <w:style w:type="paragraph" w:styleId="NoSpacing">
    <w:name w:val="No Spacing"/>
    <w:uiPriority w:val="1"/>
    <w:qFormat/>
    <w:rsid w:val="00002144"/>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002144"/>
    <w:rPr>
      <w:color w:val="0000FF" w:themeColor="hyperlink"/>
      <w:u w:val="single"/>
    </w:rPr>
  </w:style>
  <w:style w:type="character" w:customStyle="1" w:styleId="UnresolvedMention1">
    <w:name w:val="Unresolved Mention1"/>
    <w:basedOn w:val="DefaultParagraphFont"/>
    <w:uiPriority w:val="99"/>
    <w:semiHidden/>
    <w:unhideWhenUsed/>
    <w:rsid w:val="00E139DE"/>
    <w:rPr>
      <w:color w:val="605E5C"/>
      <w:shd w:val="clear" w:color="auto" w:fill="E1DFDD"/>
    </w:rPr>
  </w:style>
  <w:style w:type="paragraph" w:styleId="Header">
    <w:name w:val="header"/>
    <w:basedOn w:val="Normal"/>
    <w:link w:val="HeaderChar"/>
    <w:uiPriority w:val="99"/>
    <w:unhideWhenUsed/>
    <w:rsid w:val="0090754F"/>
    <w:pPr>
      <w:tabs>
        <w:tab w:val="center" w:pos="4680"/>
        <w:tab w:val="right" w:pos="9360"/>
      </w:tabs>
      <w:spacing w:line="240" w:lineRule="auto"/>
    </w:pPr>
  </w:style>
  <w:style w:type="character" w:customStyle="1" w:styleId="HeaderChar">
    <w:name w:val="Header Char"/>
    <w:basedOn w:val="DefaultParagraphFont"/>
    <w:link w:val="Header"/>
    <w:uiPriority w:val="99"/>
    <w:rsid w:val="0090754F"/>
  </w:style>
  <w:style w:type="paragraph" w:styleId="Footer">
    <w:name w:val="footer"/>
    <w:basedOn w:val="Normal"/>
    <w:link w:val="FooterChar"/>
    <w:uiPriority w:val="99"/>
    <w:unhideWhenUsed/>
    <w:rsid w:val="0090754F"/>
    <w:pPr>
      <w:tabs>
        <w:tab w:val="center" w:pos="4680"/>
        <w:tab w:val="right" w:pos="9360"/>
      </w:tabs>
      <w:spacing w:line="240" w:lineRule="auto"/>
    </w:pPr>
  </w:style>
  <w:style w:type="character" w:customStyle="1" w:styleId="FooterChar">
    <w:name w:val="Footer Char"/>
    <w:basedOn w:val="DefaultParagraphFont"/>
    <w:link w:val="Footer"/>
    <w:uiPriority w:val="99"/>
    <w:rsid w:val="0090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06692">
      <w:bodyDiv w:val="1"/>
      <w:marLeft w:val="0"/>
      <w:marRight w:val="0"/>
      <w:marTop w:val="0"/>
      <w:marBottom w:val="0"/>
      <w:divBdr>
        <w:top w:val="none" w:sz="0" w:space="0" w:color="auto"/>
        <w:left w:val="none" w:sz="0" w:space="0" w:color="auto"/>
        <w:bottom w:val="none" w:sz="0" w:space="0" w:color="auto"/>
        <w:right w:val="none" w:sz="0" w:space="0" w:color="auto"/>
      </w:divBdr>
      <w:divsChild>
        <w:div w:id="405877436">
          <w:marLeft w:val="0"/>
          <w:marRight w:val="0"/>
          <w:marTop w:val="0"/>
          <w:marBottom w:val="0"/>
          <w:divBdr>
            <w:top w:val="none" w:sz="0" w:space="0" w:color="auto"/>
            <w:left w:val="none" w:sz="0" w:space="0" w:color="auto"/>
            <w:bottom w:val="none" w:sz="0" w:space="0" w:color="auto"/>
            <w:right w:val="none" w:sz="0" w:space="0" w:color="auto"/>
          </w:divBdr>
          <w:divsChild>
            <w:div w:id="1830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51594/ijarss.v7i3.1823" TargetMode="External"/><Relationship Id="rId21" Type="http://schemas.openxmlformats.org/officeDocument/2006/relationships/hyperlink" Target="https://doi.org/10.9734/ajeba/2024/v24i111542" TargetMode="External"/><Relationship Id="rId34" Type="http://schemas.openxmlformats.org/officeDocument/2006/relationships/hyperlink" Target="https://philpapers.org/rec/DASCCV" TargetMode="External"/><Relationship Id="rId42" Type="http://schemas.openxmlformats.org/officeDocument/2006/relationships/hyperlink" Target="https://www.encryptionconsulting.com/harvest-now-decrypt-later-preparing-for-the-quantum-threat/" TargetMode="External"/><Relationship Id="rId47" Type="http://schemas.openxmlformats.org/officeDocument/2006/relationships/hyperlink" Target="https://www.mdpi.com/2076-3417/11/20/9372" TargetMode="External"/><Relationship Id="rId50" Type="http://schemas.openxmlformats.org/officeDocument/2006/relationships/hyperlink" Target="https://doi.org/10.9734/jerr/2025/v27i51501" TargetMode="External"/><Relationship Id="rId55" Type="http://schemas.openxmlformats.org/officeDocument/2006/relationships/hyperlink" Target="https://doi.org/10.9734/jerr/2025/v27i31442" TargetMode="External"/><Relationship Id="rId63" Type="http://schemas.openxmlformats.org/officeDocument/2006/relationships/hyperlink" Target="https://doi.org/10.9734/jerr/2025/v27i51500" TargetMode="External"/><Relationship Id="rId68" Type="http://schemas.openxmlformats.org/officeDocument/2006/relationships/hyperlink" Target="https://doi.org/10.9734/ajrcos/2025/v18i3586" TargetMode="External"/><Relationship Id="rId76" Type="http://schemas.openxmlformats.org/officeDocument/2006/relationships/hyperlink" Target="https://doi.org/10.9734/jerr/2025/v27i31439" TargetMode="External"/><Relationship Id="rId84" Type="http://schemas.openxmlformats.org/officeDocument/2006/relationships/hyperlink" Target="https://doi.org/10.1016/j.cose.2019.101654" TargetMode="External"/><Relationship Id="rId89" Type="http://schemas.openxmlformats.org/officeDocument/2006/relationships/hyperlink" Target="https://doi.org/10.1109/comst.2025.3567439"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doi.org/10.9734/jerr/2025/v27i31444" TargetMode="External"/><Relationship Id="rId92" Type="http://schemas.openxmlformats.org/officeDocument/2006/relationships/hyperlink" Target="https://doi.org/10.1109/TSE.2023.3270117"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decrypt.co/140082/microsoft-goldman-sachs-and-other-big-firms-back-launch-of-financial-blockchain" TargetMode="External"/><Relationship Id="rId11" Type="http://schemas.openxmlformats.org/officeDocument/2006/relationships/image" Target="media/image2.png"/><Relationship Id="rId24" Type="http://schemas.openxmlformats.org/officeDocument/2006/relationships/hyperlink" Target="https://doi.org/10.1109/nof62948.2024.10741441" TargetMode="External"/><Relationship Id="rId32" Type="http://schemas.openxmlformats.org/officeDocument/2006/relationships/hyperlink" Target="https://www.researchgate.net/publication/384885336_Network_Security_and_Quantum_Cryptography_Challenges_and_Opportunities" TargetMode="External"/><Relationship Id="rId37" Type="http://schemas.openxmlformats.org/officeDocument/2006/relationships/hyperlink" Target="https://doi.org/10.3390/fi17060246" TargetMode="External"/><Relationship Id="rId40" Type="http://schemas.openxmlformats.org/officeDocument/2006/relationships/hyperlink" Target="https://doi.org/10.9734/ajrcos/2025/v18i4605" TargetMode="External"/><Relationship Id="rId45" Type="http://schemas.openxmlformats.org/officeDocument/2006/relationships/hyperlink" Target="https://www.imda.gov.sg/about-imda/emerging-technologies-and-research/national-quantum-safe-network-plus" TargetMode="External"/><Relationship Id="rId53" Type="http://schemas.openxmlformats.org/officeDocument/2006/relationships/hyperlink" Target="https://www.techtarget.com/searchcio/feature/Barclays-Bank-takes-a-crack-at-IBMs-quantum-computer" TargetMode="External"/><Relationship Id="rId58" Type="http://schemas.openxmlformats.org/officeDocument/2006/relationships/hyperlink" Target="https://eminmuhammadi.com/articles/kyber-kem-a-quantum-resistant-lattice-based-framework-for-secure-key-encapsulation-example-in-golang" TargetMode="External"/><Relationship Id="rId66" Type="http://schemas.openxmlformats.org/officeDocument/2006/relationships/hyperlink" Target="https://doi.org/10.9734/jerr/2025/v27i31416" TargetMode="External"/><Relationship Id="rId74" Type="http://schemas.openxmlformats.org/officeDocument/2006/relationships/hyperlink" Target="https://jurnal.umj.ac.id/index.php/ICEAST/article/view/24719" TargetMode="External"/><Relationship Id="rId79" Type="http://schemas.openxmlformats.org/officeDocument/2006/relationships/hyperlink" Target="https://doi.org/10.9734/ajrcos/2025/v18i4632" TargetMode="External"/><Relationship Id="rId87" Type="http://schemas.openxmlformats.org/officeDocument/2006/relationships/hyperlink" Target="https://doi.org/10.9734/ajrcos/2025/v18i4615" TargetMode="External"/><Relationship Id="rId5" Type="http://schemas.openxmlformats.org/officeDocument/2006/relationships/webSettings" Target="webSettings.xml"/><Relationship Id="rId61" Type="http://schemas.openxmlformats.org/officeDocument/2006/relationships/hyperlink" Target="https://www.nist.gov/news-events/news/2024/08/nist-releases-first-3-finalized-post-quantum-encryption-standards" TargetMode="External"/><Relationship Id="rId82" Type="http://schemas.openxmlformats.org/officeDocument/2006/relationships/hyperlink" Target="https://doi.org/10.1007/978-981-97-8602-2_43" TargetMode="External"/><Relationship Id="rId90" Type="http://schemas.openxmlformats.org/officeDocument/2006/relationships/hyperlink" Target="https://www.ietf.org/archive/id/draft-uni-qsckeys-kyber-00.html" TargetMode="External"/><Relationship Id="rId95" Type="http://schemas.openxmlformats.org/officeDocument/2006/relationships/footer" Target="footer1.xml"/><Relationship Id="rId19" Type="http://schemas.openxmlformats.org/officeDocument/2006/relationships/hyperlink" Target="https://doi.org/10.9734/acri/2025/v25i21090" TargetMode="External"/><Relationship Id="rId14" Type="http://schemas.openxmlformats.org/officeDocument/2006/relationships/image" Target="media/image5.png"/><Relationship Id="rId22" Type="http://schemas.openxmlformats.org/officeDocument/2006/relationships/hyperlink" Target="https://www.forbes.com/sites/digital-assets/2024/05/29/the-us-financial-innovation-and-technology-act-initial-overview/" TargetMode="External"/><Relationship Id="rId27" Type="http://schemas.openxmlformats.org/officeDocument/2006/relationships/hyperlink" Target="https://www.researchgate.net/publication/373864693_Three_Central_Bank_Digital_Currency_CBDC_Pilot_Project_Proposals_for_Developing_Economies_Policies_and_Prospects" TargetMode="External"/><Relationship Id="rId30" Type="http://schemas.openxmlformats.org/officeDocument/2006/relationships/hyperlink" Target="https://doi.org/10.4018/979-8-3693-3824-7.ch006" TargetMode="External"/><Relationship Id="rId35" Type="http://schemas.openxmlformats.org/officeDocument/2006/relationships/hyperlink" Target="https://arxiv.org/html/2503.12952v1" TargetMode="External"/><Relationship Id="rId43" Type="http://schemas.openxmlformats.org/officeDocument/2006/relationships/hyperlink" Target="https://doi.org/10.3390/fi14110341" TargetMode="External"/><Relationship Id="rId48" Type="http://schemas.openxmlformats.org/officeDocument/2006/relationships/hyperlink" Target="https://doi.org/10.9734/ajrcos/2025/v18i1554" TargetMode="External"/><Relationship Id="rId56" Type="http://schemas.openxmlformats.org/officeDocument/2006/relationships/hyperlink" Target="https://www.jpmorgan.com/technology/news/certified-randomness" TargetMode="External"/><Relationship Id="rId64" Type="http://schemas.openxmlformats.org/officeDocument/2006/relationships/hyperlink" Target="https://doi.org/10.9734/jerr/2025/v27i51502" TargetMode="External"/><Relationship Id="rId69" Type="http://schemas.openxmlformats.org/officeDocument/2006/relationships/hyperlink" Target="https://news.cgtn.com/news/2021-07-31/Quantum-computers-The-future-on-its-way-12jGFL8IVsk/index.html" TargetMode="External"/><Relationship Id="rId77" Type="http://schemas.openxmlformats.org/officeDocument/2006/relationships/hyperlink" Target="https://doi.org/10.9734/jerr/2025/v27i51504" TargetMode="External"/><Relationship Id="rId100" Type="http://schemas.openxmlformats.org/officeDocument/2006/relationships/theme" Target="theme/theme1.xml"/><Relationship Id="rId8" Type="http://schemas.openxmlformats.org/officeDocument/2006/relationships/hyperlink" Target="https://www.marketresearchfuture.com/" TargetMode="External"/><Relationship Id="rId51" Type="http://schemas.openxmlformats.org/officeDocument/2006/relationships/hyperlink" Target="https://arxiv.org/abs/2411.09995" TargetMode="External"/><Relationship Id="rId72" Type="http://schemas.openxmlformats.org/officeDocument/2006/relationships/hyperlink" Target="https://pqshield.com/european-commission-recommends-pqc-roadmap-for-the-eu/" TargetMode="External"/><Relationship Id="rId80" Type="http://schemas.openxmlformats.org/officeDocument/2006/relationships/hyperlink" Target="https://doi.org/10.3390/fi16030067" TargetMode="External"/><Relationship Id="rId85" Type="http://schemas.openxmlformats.org/officeDocument/2006/relationships/hyperlink" Target="https://doi.org/10.1007/978-3-030-77764-7"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9734/jerr/2025/v27i41463" TargetMode="External"/><Relationship Id="rId25" Type="http://schemas.openxmlformats.org/officeDocument/2006/relationships/hyperlink" Target="https://doi.org/10.51594/csitrj.v6i2.1824" TargetMode="External"/><Relationship Id="rId33" Type="http://schemas.openxmlformats.org/officeDocument/2006/relationships/hyperlink" Target="https://www.techtarget.com/searchsecurity/tip/Expert-advice-Encryption-101-Triple-DES-explained" TargetMode="External"/><Relationship Id="rId38" Type="http://schemas.openxmlformats.org/officeDocument/2006/relationships/hyperlink" Target="https://www.europol.europa.eu/media-press/newsroom/news/call-for-action-urgent-plan-needed-to-transition-to-post-quantum-cryptography-together" TargetMode="External"/><Relationship Id="rId46" Type="http://schemas.openxmlformats.org/officeDocument/2006/relationships/hyperlink" Target="https://doi.org/10.3390/jrfm17020058" TargetMode="External"/><Relationship Id="rId59" Type="http://schemas.openxmlformats.org/officeDocument/2006/relationships/hyperlink" Target="https://doi.org/10.1007/979-8-8688-1023-7_10" TargetMode="External"/><Relationship Id="rId67" Type="http://schemas.openxmlformats.org/officeDocument/2006/relationships/hyperlink" Target="https://doi.org/10.9734/ajrcos/2025/v18i3583" TargetMode="External"/><Relationship Id="rId20" Type="http://schemas.openxmlformats.org/officeDocument/2006/relationships/hyperlink" Target="https://doi.org/10.3390/fi16030076" TargetMode="External"/><Relationship Id="rId41" Type="http://schemas.openxmlformats.org/officeDocument/2006/relationships/hyperlink" Target="https://doi.org/10.1109/comst.2024.3355222" TargetMode="External"/><Relationship Id="rId54" Type="http://schemas.openxmlformats.org/officeDocument/2006/relationships/hyperlink" Target="https://www.marketresearchfuture.com/" TargetMode="External"/><Relationship Id="rId62" Type="http://schemas.openxmlformats.org/officeDocument/2006/relationships/hyperlink" Target="https://csrc.nist.gov/News/2024/postquantum-cryptography-fips-approved" TargetMode="External"/><Relationship Id="rId70" Type="http://schemas.openxmlformats.org/officeDocument/2006/relationships/hyperlink" Target="https://doi.org/10.9734/ajrcos/2025/v18i5672" TargetMode="External"/><Relationship Id="rId75" Type="http://schemas.openxmlformats.org/officeDocument/2006/relationships/hyperlink" Target="https://arxiv.org/abs/2410.21177" TargetMode="External"/><Relationship Id="rId83" Type="http://schemas.openxmlformats.org/officeDocument/2006/relationships/hyperlink" Target="https://doi.org/10.1007/978-3-031-82826-3_6" TargetMode="External"/><Relationship Id="rId88" Type="http://schemas.openxmlformats.org/officeDocument/2006/relationships/hyperlink" Target="https://doi.org/10.9734/ajrcos/2025/v18i4610" TargetMode="External"/><Relationship Id="rId91" Type="http://schemas.openxmlformats.org/officeDocument/2006/relationships/hyperlink" Target="https://doi.org/10.1007/978-3-031-17143-7_25"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doi.org/10.2139/ssrn.5246652" TargetMode="External"/><Relationship Id="rId28" Type="http://schemas.openxmlformats.org/officeDocument/2006/relationships/hyperlink" Target="https://doi.org/10.48550/arXiv.2404.10659" TargetMode="External"/><Relationship Id="rId36" Type="http://schemas.openxmlformats.org/officeDocument/2006/relationships/hyperlink" Target="https://doi.org/10.9734/jerr/2025/v27i51498" TargetMode="External"/><Relationship Id="rId49" Type="http://schemas.openxmlformats.org/officeDocument/2006/relationships/hyperlink" Target="https://doi.org/10.9734/jerr/2025/v27i51520" TargetMode="External"/><Relationship Id="rId57" Type="http://schemas.openxmlformats.org/officeDocument/2006/relationships/hyperlink" Target="https://cybersecurityventures.com/cybercrime-damage-costs-10-trillion-by-2025/" TargetMode="External"/><Relationship Id="rId10" Type="http://schemas.openxmlformats.org/officeDocument/2006/relationships/image" Target="media/image1.png"/><Relationship Id="rId31" Type="http://schemas.openxmlformats.org/officeDocument/2006/relationships/hyperlink" Target="https://cybersecurityventures.com/official-cybercrime-report-2025/" TargetMode="External"/><Relationship Id="rId44" Type="http://schemas.openxmlformats.org/officeDocument/2006/relationships/hyperlink" Target="https://www.csoonline.com/article/567697/what-is-the-cost-of-a-data-breach-3.html" TargetMode="External"/><Relationship Id="rId52" Type="http://schemas.openxmlformats.org/officeDocument/2006/relationships/hyperlink" Target="https://timreview.ca/article/1481" TargetMode="External"/><Relationship Id="rId60" Type="http://schemas.openxmlformats.org/officeDocument/2006/relationships/hyperlink" Target="https://csrc.nist.gov/projects/post-quantum-cryptography" TargetMode="External"/><Relationship Id="rId65" Type="http://schemas.openxmlformats.org/officeDocument/2006/relationships/hyperlink" Target="https://doi.org/10.1109/jiot.2024.3410702" TargetMode="External"/><Relationship Id="rId73" Type="http://schemas.openxmlformats.org/officeDocument/2006/relationships/hyperlink" Target="https://pqshield.com/fs-isac-building-cryptographic-agility-in-the-financial-sector/" TargetMode="External"/><Relationship Id="rId78" Type="http://schemas.openxmlformats.org/officeDocument/2006/relationships/hyperlink" Target="https://doi.org/10.9734/ajrcos/2025/v18i4608" TargetMode="External"/><Relationship Id="rId81" Type="http://schemas.openxmlformats.org/officeDocument/2006/relationships/hyperlink" Target="https://pq-crystals.org/kyber/" TargetMode="External"/><Relationship Id="rId86" Type="http://schemas.openxmlformats.org/officeDocument/2006/relationships/hyperlink" Target="https://doi.org/10.1109/icecce63537.2024.10823432"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qshield.com/" TargetMode="External"/><Relationship Id="rId13" Type="http://schemas.openxmlformats.org/officeDocument/2006/relationships/image" Target="media/image4.png"/><Relationship Id="rId18" Type="http://schemas.openxmlformats.org/officeDocument/2006/relationships/hyperlink" Target="https://doi.org/10.9734/jerr/2025/v27i41469" TargetMode="External"/><Relationship Id="rId39" Type="http://schemas.openxmlformats.org/officeDocument/2006/relationships/hyperlink" Target="https://financesonline.com/blockchain-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A6E4-1F0F-40F9-9E12-C368D1AF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10847</Words>
  <Characters>61829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3</cp:revision>
  <dcterms:created xsi:type="dcterms:W3CDTF">2025-07-03T22:50:00Z</dcterms:created>
  <dcterms:modified xsi:type="dcterms:W3CDTF">2025-07-05T08:25:00Z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af75645a-e3f4-49c8-bd72-2913c9a508a9</vt:lpwstr>
  </property>
</Properties>
</file>