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AEA2" w14:textId="753F8957" w:rsidR="008B5E4A" w:rsidRPr="008B5E4A" w:rsidRDefault="008B5E4A" w:rsidP="00E86C3C">
      <w:pPr>
        <w:shd w:val="clear" w:color="auto" w:fill="FFFFFF"/>
        <w:spacing w:after="120" w:line="240" w:lineRule="auto"/>
        <w:jc w:val="right"/>
        <w:rPr>
          <w:rFonts w:ascii="Arial" w:hAnsi="Arial" w:cs="Arial"/>
          <w:b/>
          <w:bCs/>
          <w:sz w:val="24"/>
          <w:szCs w:val="24"/>
        </w:rPr>
      </w:pPr>
      <w:r w:rsidRPr="008B5E4A">
        <w:rPr>
          <w:rFonts w:ascii="Arial" w:hAnsi="Arial" w:cs="Arial"/>
          <w:b/>
          <w:bCs/>
          <w:sz w:val="24"/>
          <w:szCs w:val="24"/>
        </w:rPr>
        <w:t>CLIMATE-SMART AGRICULTURE PRACTICES IN THE INDO-GANGETIC PLAIN: A MICRO-LEVEL COST-BENEFIT PERSPECTIVE</w:t>
      </w:r>
    </w:p>
    <w:p w14:paraId="40086E73" w14:textId="77777777" w:rsidR="004C6AC4" w:rsidRDefault="004C6AC4" w:rsidP="004350D3">
      <w:pPr>
        <w:pBdr>
          <w:bottom w:val="single" w:sz="12" w:space="1" w:color="auto"/>
        </w:pBdr>
        <w:shd w:val="clear" w:color="auto" w:fill="FFFFFF"/>
        <w:spacing w:after="0" w:line="240" w:lineRule="auto"/>
        <w:jc w:val="right"/>
        <w:rPr>
          <w:rFonts w:ascii="Arial" w:hAnsi="Arial" w:cs="Arial"/>
          <w:sz w:val="24"/>
          <w:szCs w:val="24"/>
          <w:shd w:val="clear" w:color="auto" w:fill="FFFFFF"/>
        </w:rPr>
      </w:pPr>
    </w:p>
    <w:p w14:paraId="134452B1" w14:textId="6AF47A65" w:rsidR="0009576B" w:rsidRPr="00415B4C" w:rsidRDefault="0009576B" w:rsidP="004350D3">
      <w:pPr>
        <w:pBdr>
          <w:bottom w:val="single" w:sz="12" w:space="1" w:color="auto"/>
        </w:pBdr>
        <w:shd w:val="clear" w:color="auto" w:fill="FFFFFF"/>
        <w:spacing w:after="0" w:line="240" w:lineRule="auto"/>
        <w:jc w:val="right"/>
        <w:rPr>
          <w:rFonts w:ascii="Arial" w:hAnsi="Arial" w:cs="Arial"/>
          <w:sz w:val="24"/>
          <w:szCs w:val="24"/>
          <w:shd w:val="clear" w:color="auto" w:fill="FFFFFF"/>
        </w:rPr>
      </w:pPr>
      <w:r>
        <w:rPr>
          <w:rFonts w:ascii="Arial" w:hAnsi="Arial" w:cs="Arial"/>
          <w:sz w:val="24"/>
          <w:szCs w:val="24"/>
          <w:shd w:val="clear" w:color="auto" w:fill="FFFFFF"/>
        </w:rPr>
        <w:t xml:space="preserve"> </w:t>
      </w:r>
    </w:p>
    <w:p w14:paraId="76E05EE9" w14:textId="77777777" w:rsidR="0063756E" w:rsidRDefault="0063756E" w:rsidP="008B5E4A">
      <w:pPr>
        <w:spacing w:after="0" w:line="240" w:lineRule="auto"/>
        <w:jc w:val="both"/>
        <w:rPr>
          <w:rFonts w:ascii="Arial" w:hAnsi="Arial" w:cs="Arial"/>
          <w:b/>
          <w:bCs/>
          <w:sz w:val="20"/>
          <w:szCs w:val="20"/>
        </w:rPr>
      </w:pPr>
    </w:p>
    <w:p w14:paraId="0F822BC2" w14:textId="061F3928" w:rsidR="00415B4C" w:rsidRPr="008B5E4A" w:rsidRDefault="00415B4C" w:rsidP="008B5E4A">
      <w:pPr>
        <w:spacing w:after="0" w:line="240" w:lineRule="auto"/>
        <w:jc w:val="both"/>
        <w:rPr>
          <w:rFonts w:ascii="Arial" w:hAnsi="Arial" w:cs="Arial"/>
          <w:b/>
          <w:bCs/>
          <w:sz w:val="20"/>
          <w:szCs w:val="20"/>
        </w:rPr>
      </w:pPr>
      <w:r w:rsidRPr="008B5E4A">
        <w:rPr>
          <w:rFonts w:ascii="Arial" w:hAnsi="Arial" w:cs="Arial"/>
          <w:b/>
          <w:bCs/>
          <w:sz w:val="20"/>
          <w:szCs w:val="20"/>
        </w:rPr>
        <w:t>ABSTRACT</w:t>
      </w:r>
    </w:p>
    <w:p w14:paraId="58C9A9FE" w14:textId="3E882C4F" w:rsidR="008A3322" w:rsidRDefault="003314FB" w:rsidP="008B5E4A">
      <w:pPr>
        <w:spacing w:after="0" w:line="240" w:lineRule="auto"/>
        <w:jc w:val="both"/>
        <w:rPr>
          <w:rFonts w:ascii="Arial" w:hAnsi="Arial" w:cs="Arial"/>
          <w:sz w:val="20"/>
          <w:szCs w:val="20"/>
        </w:rPr>
      </w:pPr>
      <w:r w:rsidRPr="008B5E4A">
        <w:rPr>
          <w:rFonts w:ascii="Arial" w:hAnsi="Arial" w:cs="Arial"/>
          <w:b/>
          <w:bCs/>
          <w:sz w:val="20"/>
          <w:szCs w:val="20"/>
        </w:rPr>
        <w:t>Aims:</w:t>
      </w:r>
      <w:r w:rsidRPr="008B5E4A">
        <w:rPr>
          <w:rFonts w:ascii="Arial" w:hAnsi="Arial" w:cs="Arial"/>
          <w:sz w:val="20"/>
          <w:szCs w:val="20"/>
        </w:rPr>
        <w:t xml:space="preserve"> </w:t>
      </w:r>
      <w:r w:rsidR="008A3322" w:rsidRPr="008A3322">
        <w:rPr>
          <w:rFonts w:ascii="Arial" w:hAnsi="Arial" w:cs="Arial"/>
          <w:sz w:val="20"/>
          <w:szCs w:val="20"/>
        </w:rPr>
        <w:t xml:space="preserve">This study </w:t>
      </w:r>
      <w:r w:rsidR="008A3322">
        <w:rPr>
          <w:rFonts w:ascii="Arial" w:hAnsi="Arial" w:cs="Arial"/>
          <w:sz w:val="20"/>
          <w:szCs w:val="20"/>
        </w:rPr>
        <w:t xml:space="preserve">assesses the economic </w:t>
      </w:r>
      <w:r w:rsidR="00284022">
        <w:rPr>
          <w:rFonts w:ascii="Arial" w:hAnsi="Arial" w:cs="Arial"/>
          <w:sz w:val="20"/>
          <w:szCs w:val="20"/>
        </w:rPr>
        <w:t>rationality</w:t>
      </w:r>
      <w:r w:rsidR="008A3322">
        <w:rPr>
          <w:rFonts w:ascii="Arial" w:hAnsi="Arial" w:cs="Arial"/>
          <w:sz w:val="20"/>
          <w:szCs w:val="20"/>
        </w:rPr>
        <w:t xml:space="preserve"> of climate-smart agriculture (CSA) practices implemented by </w:t>
      </w:r>
      <w:r w:rsidR="00284022">
        <w:rPr>
          <w:rFonts w:ascii="Arial" w:hAnsi="Arial" w:cs="Arial"/>
          <w:sz w:val="20"/>
          <w:szCs w:val="20"/>
        </w:rPr>
        <w:t>cultivators</w:t>
      </w:r>
      <w:r w:rsidR="008A3322">
        <w:rPr>
          <w:rFonts w:ascii="Arial" w:hAnsi="Arial" w:cs="Arial"/>
          <w:sz w:val="20"/>
          <w:szCs w:val="20"/>
        </w:rPr>
        <w:t xml:space="preserve"> in the Indo-Gangetic Plain (IGP) region of India</w:t>
      </w:r>
      <w:r w:rsidR="00284022">
        <w:rPr>
          <w:rFonts w:ascii="Arial" w:hAnsi="Arial" w:cs="Arial"/>
          <w:sz w:val="20"/>
          <w:szCs w:val="20"/>
        </w:rPr>
        <w:t>.</w:t>
      </w:r>
      <w:r w:rsidR="00D974DA">
        <w:rPr>
          <w:rFonts w:ascii="Arial" w:hAnsi="Arial" w:cs="Arial"/>
          <w:sz w:val="20"/>
          <w:szCs w:val="20"/>
        </w:rPr>
        <w:t xml:space="preserve"> </w:t>
      </w:r>
      <w:r w:rsidR="00D974DA" w:rsidRPr="00F011F0">
        <w:rPr>
          <w:rFonts w:ascii="Arial" w:hAnsi="Arial" w:cs="Arial"/>
          <w:sz w:val="20"/>
          <w:szCs w:val="20"/>
        </w:rPr>
        <w:t>Despite th</w:t>
      </w:r>
      <w:r w:rsidR="003B0E47">
        <w:rPr>
          <w:rFonts w:ascii="Arial" w:hAnsi="Arial" w:cs="Arial"/>
          <w:sz w:val="20"/>
          <w:szCs w:val="20"/>
        </w:rPr>
        <w:t>e</w:t>
      </w:r>
      <w:r w:rsidR="00D974DA" w:rsidRPr="00F011F0">
        <w:rPr>
          <w:rFonts w:ascii="Arial" w:hAnsi="Arial" w:cs="Arial"/>
          <w:sz w:val="20"/>
          <w:szCs w:val="20"/>
        </w:rPr>
        <w:t xml:space="preserve"> growing body of international literature, the economic feasibility of CSA practices in the Indian IGP context remains underexplored. </w:t>
      </w:r>
    </w:p>
    <w:p w14:paraId="6AB3E7BF" w14:textId="49ABEEBC" w:rsidR="008A3322" w:rsidRDefault="003314FB" w:rsidP="008A3322">
      <w:pPr>
        <w:spacing w:after="0" w:line="240" w:lineRule="auto"/>
        <w:jc w:val="both"/>
        <w:rPr>
          <w:rFonts w:ascii="Arial" w:hAnsi="Arial" w:cs="Arial"/>
          <w:sz w:val="20"/>
          <w:szCs w:val="20"/>
          <w:shd w:val="clear" w:color="auto" w:fill="FFFFFF"/>
        </w:rPr>
      </w:pPr>
      <w:r w:rsidRPr="008B5E4A">
        <w:rPr>
          <w:rFonts w:ascii="Arial" w:hAnsi="Arial" w:cs="Arial"/>
          <w:b/>
          <w:bCs/>
          <w:sz w:val="20"/>
          <w:szCs w:val="20"/>
        </w:rPr>
        <w:t>Methodology:</w:t>
      </w:r>
      <w:r w:rsidRPr="008B5E4A">
        <w:rPr>
          <w:rFonts w:ascii="Arial" w:hAnsi="Arial" w:cs="Arial"/>
          <w:sz w:val="20"/>
          <w:szCs w:val="20"/>
        </w:rPr>
        <w:t xml:space="preserve"> </w:t>
      </w:r>
      <w:r w:rsidR="008A3322" w:rsidRPr="008A3322">
        <w:rPr>
          <w:rFonts w:ascii="Arial" w:hAnsi="Arial" w:cs="Arial"/>
          <w:sz w:val="20"/>
          <w:szCs w:val="20"/>
          <w:shd w:val="clear" w:color="auto" w:fill="FFFFFF"/>
        </w:rPr>
        <w:t xml:space="preserve">The analysis is based on primary data collected </w:t>
      </w:r>
      <w:r w:rsidR="008A3322">
        <w:rPr>
          <w:rFonts w:ascii="Arial" w:hAnsi="Arial" w:cs="Arial"/>
          <w:sz w:val="20"/>
          <w:szCs w:val="20"/>
          <w:shd w:val="clear" w:color="auto" w:fill="FFFFFF"/>
        </w:rPr>
        <w:t xml:space="preserve">in 2024, </w:t>
      </w:r>
      <w:r w:rsidR="008A3322" w:rsidRPr="008A3322">
        <w:rPr>
          <w:rFonts w:ascii="Arial" w:hAnsi="Arial" w:cs="Arial"/>
          <w:sz w:val="20"/>
          <w:szCs w:val="20"/>
          <w:shd w:val="clear" w:color="auto" w:fill="FFFFFF"/>
        </w:rPr>
        <w:t xml:space="preserve">from a survey of 400 randomly selected farmers across five districts in </w:t>
      </w:r>
      <w:r w:rsidR="008A3322">
        <w:rPr>
          <w:rFonts w:ascii="Arial" w:hAnsi="Arial" w:cs="Arial"/>
          <w:sz w:val="20"/>
          <w:szCs w:val="20"/>
          <w:shd w:val="clear" w:color="auto" w:fill="FFFFFF"/>
        </w:rPr>
        <w:t xml:space="preserve">the state of </w:t>
      </w:r>
      <w:r w:rsidR="008A3322" w:rsidRPr="008A3322">
        <w:rPr>
          <w:rFonts w:ascii="Arial" w:hAnsi="Arial" w:cs="Arial"/>
          <w:sz w:val="20"/>
          <w:szCs w:val="20"/>
          <w:shd w:val="clear" w:color="auto" w:fill="FFFFFF"/>
        </w:rPr>
        <w:t xml:space="preserve">Uttar Pradesh. </w:t>
      </w:r>
    </w:p>
    <w:p w14:paraId="23CC4F75" w14:textId="54C103F3" w:rsidR="003E61EE" w:rsidRDefault="003314FB" w:rsidP="003E61EE">
      <w:pPr>
        <w:spacing w:after="0" w:line="240" w:lineRule="auto"/>
        <w:jc w:val="both"/>
        <w:rPr>
          <w:rFonts w:ascii="Arial" w:hAnsi="Arial" w:cs="Arial"/>
          <w:sz w:val="20"/>
          <w:szCs w:val="20"/>
        </w:rPr>
      </w:pPr>
      <w:r w:rsidRPr="008B5E4A">
        <w:rPr>
          <w:rFonts w:ascii="Arial" w:hAnsi="Arial" w:cs="Arial"/>
          <w:b/>
          <w:bCs/>
          <w:sz w:val="20"/>
          <w:szCs w:val="20"/>
        </w:rPr>
        <w:t>Results:</w:t>
      </w:r>
      <w:r w:rsidRPr="008B5E4A">
        <w:rPr>
          <w:rFonts w:ascii="Arial" w:hAnsi="Arial" w:cs="Arial"/>
          <w:sz w:val="20"/>
          <w:szCs w:val="20"/>
        </w:rPr>
        <w:t xml:space="preserve"> </w:t>
      </w:r>
      <w:r w:rsidR="008A3322" w:rsidRPr="008A3322">
        <w:rPr>
          <w:rFonts w:ascii="Arial" w:hAnsi="Arial" w:cs="Arial"/>
          <w:sz w:val="20"/>
          <w:szCs w:val="20"/>
        </w:rPr>
        <w:t>The findings indicate a high level of awareness and widespread adoption of CSA practices among the respondents</w:t>
      </w:r>
      <w:r w:rsidR="003E61EE">
        <w:rPr>
          <w:rFonts w:ascii="Arial" w:hAnsi="Arial" w:cs="Arial"/>
          <w:sz w:val="20"/>
          <w:szCs w:val="20"/>
        </w:rPr>
        <w:t xml:space="preserve">. </w:t>
      </w:r>
      <w:r w:rsidR="003E61EE" w:rsidRPr="003E61EE">
        <w:rPr>
          <w:rFonts w:ascii="Arial" w:hAnsi="Arial" w:cs="Arial"/>
          <w:sz w:val="20"/>
          <w:szCs w:val="20"/>
        </w:rPr>
        <w:t>The empirical estimates derived from the Benefit-Cost Ratio (BCR) and Net Present Value (NPV) analyses suggest that, with the exception of conventional fertilizer application and Site-Specific Integrated Nutrient Management (SSINM), all assessed Climate-Smart Agriculture (CSA) interventions exhibit positive net economic returns and satisfy the threshold criteria for financial viability.</w:t>
      </w:r>
    </w:p>
    <w:p w14:paraId="47AB0F1F" w14:textId="5CC2448A" w:rsidR="008A3322" w:rsidRDefault="003314FB" w:rsidP="003E61EE">
      <w:pPr>
        <w:spacing w:after="0" w:line="240" w:lineRule="auto"/>
        <w:jc w:val="both"/>
        <w:rPr>
          <w:rFonts w:ascii="Arial" w:eastAsia="Times New Roman" w:hAnsi="Arial" w:cs="Arial"/>
          <w:kern w:val="0"/>
          <w:sz w:val="20"/>
          <w:szCs w:val="20"/>
          <w:lang w:eastAsia="en-IN" w:bidi="hi-IN"/>
          <w14:ligatures w14:val="none"/>
        </w:rPr>
      </w:pPr>
      <w:r w:rsidRPr="008B5E4A">
        <w:rPr>
          <w:rFonts w:ascii="Arial" w:hAnsi="Arial" w:cs="Arial"/>
          <w:b/>
          <w:bCs/>
          <w:sz w:val="20"/>
          <w:szCs w:val="20"/>
        </w:rPr>
        <w:t>Conclusion:</w:t>
      </w:r>
      <w:r w:rsidR="0099569B" w:rsidRPr="008B5E4A">
        <w:rPr>
          <w:rFonts w:ascii="Arial" w:hAnsi="Arial" w:cs="Arial"/>
          <w:sz w:val="20"/>
          <w:szCs w:val="20"/>
        </w:rPr>
        <w:t xml:space="preserve"> </w:t>
      </w:r>
      <w:r w:rsidR="008A3322" w:rsidRPr="008A3322">
        <w:rPr>
          <w:rFonts w:ascii="Arial" w:eastAsia="Times New Roman" w:hAnsi="Arial" w:cs="Arial"/>
          <w:kern w:val="0"/>
          <w:sz w:val="20"/>
          <w:szCs w:val="20"/>
          <w:lang w:eastAsia="en-IN" w:bidi="hi-IN"/>
          <w14:ligatures w14:val="none"/>
        </w:rPr>
        <w:t>These findings underscore the critical role of CSA in enhancing farm-level resilience and agricultural productivity under changing climatic conditions.</w:t>
      </w:r>
    </w:p>
    <w:p w14:paraId="0236E641" w14:textId="20B4804F" w:rsidR="00913D2D" w:rsidRPr="008B5E4A" w:rsidRDefault="008F2C91" w:rsidP="008B5E4A">
      <w:pPr>
        <w:widowControl w:val="0"/>
        <w:spacing w:after="0" w:line="240" w:lineRule="auto"/>
        <w:jc w:val="both"/>
        <w:rPr>
          <w:rFonts w:ascii="Arial" w:hAnsi="Arial" w:cs="Arial"/>
          <w:b/>
          <w:bCs/>
          <w:sz w:val="20"/>
          <w:szCs w:val="20"/>
          <w:shd w:val="clear" w:color="auto" w:fill="FFFFFF"/>
        </w:rPr>
      </w:pPr>
      <w:r w:rsidRPr="008B5E4A">
        <w:rPr>
          <w:rFonts w:ascii="Arial" w:hAnsi="Arial" w:cs="Arial"/>
          <w:b/>
          <w:bCs/>
          <w:sz w:val="20"/>
          <w:szCs w:val="20"/>
        </w:rPr>
        <w:t>Keywords</w:t>
      </w:r>
      <w:r w:rsidRPr="008B5E4A">
        <w:rPr>
          <w:rFonts w:ascii="Arial" w:hAnsi="Arial" w:cs="Arial"/>
          <w:sz w:val="20"/>
          <w:szCs w:val="20"/>
        </w:rPr>
        <w:t>:</w:t>
      </w:r>
      <w:r w:rsidR="00E1670B" w:rsidRPr="008B5E4A">
        <w:rPr>
          <w:rFonts w:ascii="Arial" w:hAnsi="Arial" w:cs="Arial"/>
          <w:sz w:val="20"/>
          <w:szCs w:val="20"/>
        </w:rPr>
        <w:t xml:space="preserve"> </w:t>
      </w:r>
      <w:r w:rsidR="008B5E4A" w:rsidRPr="008B5E4A">
        <w:rPr>
          <w:rFonts w:ascii="Arial" w:hAnsi="Arial" w:cs="Arial"/>
          <w:b/>
          <w:bCs/>
          <w:sz w:val="20"/>
          <w:szCs w:val="20"/>
        </w:rPr>
        <w:t>Climate-smart agriculture, Indo-Gangetic plain, Adaptation, Economic evaluation,</w:t>
      </w:r>
      <w:r w:rsidR="008B5E4A" w:rsidRPr="008B5E4A">
        <w:rPr>
          <w:rFonts w:ascii="Arial" w:hAnsi="Arial" w:cs="Arial"/>
          <w:b/>
          <w:bCs/>
          <w:iCs/>
          <w:sz w:val="20"/>
          <w:szCs w:val="20"/>
        </w:rPr>
        <w:t xml:space="preserve"> </w:t>
      </w:r>
      <w:r w:rsidR="008B5E4A" w:rsidRPr="008B5E4A">
        <w:rPr>
          <w:rFonts w:ascii="Arial" w:hAnsi="Arial" w:cs="Arial"/>
          <w:b/>
          <w:bCs/>
          <w:sz w:val="20"/>
          <w:szCs w:val="20"/>
        </w:rPr>
        <w:t>Cost-benefit analysis.</w:t>
      </w:r>
    </w:p>
    <w:p w14:paraId="65272E18" w14:textId="3F455D7A" w:rsidR="00415B4C" w:rsidRPr="008B5E4A" w:rsidRDefault="00350011" w:rsidP="008B5E4A">
      <w:pPr>
        <w:pStyle w:val="ListParagraph"/>
        <w:numPr>
          <w:ilvl w:val="0"/>
          <w:numId w:val="5"/>
        </w:numPr>
        <w:spacing w:after="0" w:line="240" w:lineRule="auto"/>
        <w:jc w:val="both"/>
        <w:rPr>
          <w:rFonts w:ascii="Arial" w:hAnsi="Arial" w:cs="Arial"/>
          <w:b/>
          <w:bCs/>
          <w:sz w:val="20"/>
          <w:szCs w:val="20"/>
        </w:rPr>
      </w:pPr>
      <w:r w:rsidRPr="008B5E4A">
        <w:rPr>
          <w:rFonts w:ascii="Arial" w:hAnsi="Arial" w:cs="Arial"/>
          <w:b/>
          <w:bCs/>
          <w:sz w:val="20"/>
          <w:szCs w:val="20"/>
        </w:rPr>
        <w:t xml:space="preserve">INTRODUCTION </w:t>
      </w:r>
    </w:p>
    <w:p w14:paraId="3D889D8B" w14:textId="71DD1F59" w:rsidR="00F011F0" w:rsidRDefault="00F011F0" w:rsidP="008B5E4A">
      <w:pPr>
        <w:widowControl w:val="0"/>
        <w:spacing w:after="0" w:line="240" w:lineRule="auto"/>
        <w:jc w:val="both"/>
        <w:rPr>
          <w:rFonts w:ascii="Arial" w:hAnsi="Arial" w:cs="Arial"/>
          <w:sz w:val="20"/>
          <w:szCs w:val="20"/>
          <w:shd w:val="clear" w:color="auto" w:fill="FFFFFF"/>
        </w:rPr>
      </w:pPr>
      <w:r w:rsidRPr="00F011F0">
        <w:rPr>
          <w:rFonts w:ascii="Arial" w:hAnsi="Arial" w:cs="Arial"/>
          <w:sz w:val="20"/>
          <w:szCs w:val="20"/>
          <w:shd w:val="clear" w:color="auto" w:fill="FFFFFF"/>
        </w:rPr>
        <w:t xml:space="preserve">The </w:t>
      </w:r>
      <w:r w:rsidR="009F2C31">
        <w:rPr>
          <w:rFonts w:ascii="Arial" w:hAnsi="Arial" w:cs="Arial"/>
          <w:sz w:val="20"/>
          <w:szCs w:val="20"/>
          <w:shd w:val="clear" w:color="auto" w:fill="FFFFFF"/>
        </w:rPr>
        <w:t>detrimental</w:t>
      </w:r>
      <w:r w:rsidRPr="00F011F0">
        <w:rPr>
          <w:rFonts w:ascii="Arial" w:hAnsi="Arial" w:cs="Arial"/>
          <w:sz w:val="20"/>
          <w:szCs w:val="20"/>
          <w:shd w:val="clear" w:color="auto" w:fill="FFFFFF"/>
        </w:rPr>
        <w:t xml:space="preserve"> effects of climate change on </w:t>
      </w:r>
      <w:r w:rsidR="009F2C31">
        <w:rPr>
          <w:rFonts w:ascii="Arial" w:hAnsi="Arial" w:cs="Arial"/>
          <w:sz w:val="20"/>
          <w:szCs w:val="20"/>
          <w:shd w:val="clear" w:color="auto" w:fill="FFFFFF"/>
        </w:rPr>
        <w:t>farming</w:t>
      </w:r>
      <w:r w:rsidRPr="00F011F0">
        <w:rPr>
          <w:rFonts w:ascii="Arial" w:hAnsi="Arial" w:cs="Arial"/>
          <w:sz w:val="20"/>
          <w:szCs w:val="20"/>
          <w:shd w:val="clear" w:color="auto" w:fill="FFFFFF"/>
        </w:rPr>
        <w:t xml:space="preserve"> </w:t>
      </w:r>
      <w:r w:rsidR="009F2C31">
        <w:rPr>
          <w:rFonts w:ascii="Arial" w:hAnsi="Arial" w:cs="Arial"/>
          <w:sz w:val="20"/>
          <w:szCs w:val="20"/>
          <w:shd w:val="clear" w:color="auto" w:fill="FFFFFF"/>
        </w:rPr>
        <w:t>fertility</w:t>
      </w:r>
      <w:r w:rsidRPr="00F011F0">
        <w:rPr>
          <w:rFonts w:ascii="Arial" w:hAnsi="Arial" w:cs="Arial"/>
          <w:sz w:val="20"/>
          <w:szCs w:val="20"/>
          <w:shd w:val="clear" w:color="auto" w:fill="FFFFFF"/>
        </w:rPr>
        <w:t xml:space="preserve"> have led to an urgent need for effective adaptation and mitigation strategies. Adaptation serves as a risk management tool to reduce the impacts of climate change through modifications in existing agricultural practices, while mitigation involves the adoption of innovative technologies aimed at reducing the severity of climate-induced disruptions (Saxena and Kumar, 2019).</w:t>
      </w:r>
    </w:p>
    <w:p w14:paraId="0615E556" w14:textId="4960E76F" w:rsidR="00F011F0" w:rsidRDefault="00F011F0" w:rsidP="003E61EE">
      <w:pPr>
        <w:widowControl w:val="0"/>
        <w:spacing w:after="0"/>
        <w:jc w:val="both"/>
        <w:rPr>
          <w:rFonts w:ascii="Arial" w:hAnsi="Arial" w:cs="Arial"/>
          <w:sz w:val="20"/>
          <w:szCs w:val="20"/>
        </w:rPr>
      </w:pPr>
      <w:r w:rsidRPr="00F011F0">
        <w:rPr>
          <w:rFonts w:ascii="Arial" w:hAnsi="Arial" w:cs="Arial"/>
          <w:sz w:val="20"/>
          <w:szCs w:val="20"/>
        </w:rPr>
        <w:t xml:space="preserve">In India, agriculture is a cornerstone of the economy, engaging more than half of the population. The Indo-Gangetic Plain (IGP), one of the </w:t>
      </w:r>
      <w:r w:rsidR="003E61EE">
        <w:rPr>
          <w:rFonts w:ascii="Arial" w:hAnsi="Arial" w:cs="Arial"/>
          <w:sz w:val="20"/>
          <w:szCs w:val="20"/>
        </w:rPr>
        <w:t>remarkably</w:t>
      </w:r>
      <w:r w:rsidRPr="00F011F0">
        <w:rPr>
          <w:rFonts w:ascii="Arial" w:hAnsi="Arial" w:cs="Arial"/>
          <w:sz w:val="20"/>
          <w:szCs w:val="20"/>
        </w:rPr>
        <w:t xml:space="preserve"> fertile and agriculturally </w:t>
      </w:r>
      <w:r w:rsidR="003E61EE" w:rsidRPr="003E61EE">
        <w:rPr>
          <w:rFonts w:ascii="Arial" w:hAnsi="Arial" w:cs="Arial"/>
          <w:sz w:val="20"/>
          <w:szCs w:val="20"/>
        </w:rPr>
        <w:t>substantial</w:t>
      </w:r>
      <w:r w:rsidRPr="00F011F0">
        <w:rPr>
          <w:rFonts w:ascii="Arial" w:hAnsi="Arial" w:cs="Arial"/>
          <w:sz w:val="20"/>
          <w:szCs w:val="20"/>
        </w:rPr>
        <w:t xml:space="preserve"> </w:t>
      </w:r>
      <w:r w:rsidR="00A940CC">
        <w:rPr>
          <w:rFonts w:ascii="Arial" w:hAnsi="Arial" w:cs="Arial"/>
          <w:sz w:val="20"/>
          <w:szCs w:val="20"/>
        </w:rPr>
        <w:t>zones</w:t>
      </w:r>
      <w:r w:rsidRPr="00F011F0">
        <w:rPr>
          <w:rFonts w:ascii="Arial" w:hAnsi="Arial" w:cs="Arial"/>
          <w:sz w:val="20"/>
          <w:szCs w:val="20"/>
        </w:rPr>
        <w:t xml:space="preserve"> in the country, is experiencing climate-related challenges such as erratic rainfall and rising temperatures. These changes have prompted both researchers and farmers to explore adaptive measures. Farmers in the region are increasingly adopting climate-smart agriculture (CSA) practices, which combine traditional knowledge and modern techniques. However, despite increased awareness, the adoption of CSA practices remains relatively low due to high implementation costs and limited resilience among farming communities.</w:t>
      </w:r>
    </w:p>
    <w:p w14:paraId="19E452C9" w14:textId="48BA2378" w:rsidR="00F011F0" w:rsidRDefault="00F011F0" w:rsidP="008B5E4A">
      <w:pPr>
        <w:widowControl w:val="0"/>
        <w:spacing w:after="0" w:line="240" w:lineRule="auto"/>
        <w:jc w:val="both"/>
        <w:rPr>
          <w:rFonts w:ascii="Arial" w:hAnsi="Arial" w:cs="Arial"/>
          <w:sz w:val="20"/>
          <w:szCs w:val="20"/>
        </w:rPr>
      </w:pPr>
      <w:r w:rsidRPr="00F011F0">
        <w:rPr>
          <w:rFonts w:ascii="Arial" w:hAnsi="Arial" w:cs="Arial"/>
          <w:sz w:val="20"/>
          <w:szCs w:val="20"/>
        </w:rPr>
        <w:t xml:space="preserve">While a number of studies have assessed the adaptation levels of CSA practices in various contexts, there is a noticeable lack of research focused on their economic viability, particularly in the IGP region. For example, Khatri et al. (2016) </w:t>
      </w:r>
      <w:r w:rsidR="003E61EE">
        <w:rPr>
          <w:rFonts w:ascii="Arial" w:hAnsi="Arial" w:cs="Arial"/>
          <w:sz w:val="20"/>
          <w:szCs w:val="20"/>
        </w:rPr>
        <w:t>raise</w:t>
      </w:r>
      <w:r w:rsidRPr="00F011F0">
        <w:rPr>
          <w:rFonts w:ascii="Arial" w:hAnsi="Arial" w:cs="Arial"/>
          <w:sz w:val="20"/>
          <w:szCs w:val="20"/>
        </w:rPr>
        <w:t xml:space="preserve"> that practices such as crop diversification and zero tillage enhanced farmers' net returns in parts of India. Similarly, Sain et al. (2017), using CBA in Guatemala, concluded that seven out of eight CSA practices were profitable, with agroforestry and conservation tillage among the most beneficial.</w:t>
      </w:r>
    </w:p>
    <w:p w14:paraId="03DD10BE" w14:textId="2C7653B9" w:rsidR="00F011F0" w:rsidRDefault="00F011F0" w:rsidP="00662168">
      <w:pPr>
        <w:widowControl w:val="0"/>
        <w:spacing w:after="0"/>
        <w:jc w:val="both"/>
        <w:rPr>
          <w:rFonts w:ascii="Arial" w:hAnsi="Arial" w:cs="Arial"/>
          <w:sz w:val="20"/>
          <w:szCs w:val="20"/>
        </w:rPr>
      </w:pPr>
      <w:r w:rsidRPr="00F011F0">
        <w:rPr>
          <w:rFonts w:ascii="Arial" w:hAnsi="Arial" w:cs="Arial"/>
          <w:sz w:val="20"/>
          <w:szCs w:val="20"/>
        </w:rPr>
        <w:t xml:space="preserve">Aryal et al. (2018) identified factors influencing CSA adoption, such as land characteristics, market access, and climate risk perception, through a survey of farmers in Haryana and Bihar. Azumah et al. (2020) in Ghana, and Ng'ang'a et al. (2021) using BCR and NPV techniques reported that zero tillage and strip cropping were economically promising. Studies by Branca et al. (2021) in Malawi and Zambia, and </w:t>
      </w:r>
      <w:proofErr w:type="spellStart"/>
      <w:r w:rsidRPr="00F011F0">
        <w:rPr>
          <w:rFonts w:ascii="Arial" w:hAnsi="Arial" w:cs="Arial"/>
          <w:sz w:val="20"/>
          <w:szCs w:val="20"/>
        </w:rPr>
        <w:t>Mujeyi</w:t>
      </w:r>
      <w:proofErr w:type="spellEnd"/>
      <w:r w:rsidRPr="00F011F0">
        <w:rPr>
          <w:rFonts w:ascii="Arial" w:hAnsi="Arial" w:cs="Arial"/>
          <w:sz w:val="20"/>
          <w:szCs w:val="20"/>
        </w:rPr>
        <w:t xml:space="preserve"> and </w:t>
      </w:r>
      <w:proofErr w:type="spellStart"/>
      <w:r w:rsidRPr="00F011F0">
        <w:rPr>
          <w:rFonts w:ascii="Arial" w:hAnsi="Arial" w:cs="Arial"/>
          <w:sz w:val="20"/>
          <w:szCs w:val="20"/>
        </w:rPr>
        <w:t>Mudhara</w:t>
      </w:r>
      <w:proofErr w:type="spellEnd"/>
      <w:r w:rsidRPr="00F011F0">
        <w:rPr>
          <w:rFonts w:ascii="Arial" w:hAnsi="Arial" w:cs="Arial"/>
          <w:sz w:val="20"/>
          <w:szCs w:val="20"/>
        </w:rPr>
        <w:t xml:space="preserve"> (2021) in Zimbabwe, confirmed the </w:t>
      </w:r>
      <w:r w:rsidR="00662168" w:rsidRPr="00662168">
        <w:rPr>
          <w:rFonts w:ascii="Arial" w:hAnsi="Arial" w:cs="Arial"/>
          <w:sz w:val="20"/>
          <w:szCs w:val="20"/>
        </w:rPr>
        <w:t>affirmative</w:t>
      </w:r>
      <w:r w:rsidRPr="00F011F0">
        <w:rPr>
          <w:rFonts w:ascii="Arial" w:hAnsi="Arial" w:cs="Arial"/>
          <w:sz w:val="20"/>
          <w:szCs w:val="20"/>
        </w:rPr>
        <w:t xml:space="preserve"> impact of CSA practices on farm income, particularly those related to land and soil management.</w:t>
      </w:r>
    </w:p>
    <w:p w14:paraId="014A2319" w14:textId="4B18E984" w:rsidR="00F011F0" w:rsidRDefault="00F011F0" w:rsidP="008B5E4A">
      <w:pPr>
        <w:widowControl w:val="0"/>
        <w:spacing w:after="0" w:line="240" w:lineRule="auto"/>
        <w:jc w:val="both"/>
        <w:rPr>
          <w:rFonts w:ascii="Arial" w:hAnsi="Arial" w:cs="Arial"/>
          <w:sz w:val="20"/>
          <w:szCs w:val="20"/>
        </w:rPr>
      </w:pPr>
      <w:r w:rsidRPr="00F011F0">
        <w:rPr>
          <w:rFonts w:ascii="Arial" w:hAnsi="Arial" w:cs="Arial"/>
          <w:sz w:val="20"/>
          <w:szCs w:val="20"/>
        </w:rPr>
        <w:t xml:space="preserve">More recently, Mogaka et al. (2022) observed in Kenya that agroforestry yielded the highest NPV among CSA options. Akinyi et al. (2022) similarly found </w:t>
      </w:r>
      <w:r w:rsidR="001A72E7">
        <w:rPr>
          <w:rFonts w:ascii="Arial" w:hAnsi="Arial" w:cs="Arial"/>
          <w:sz w:val="20"/>
          <w:szCs w:val="20"/>
        </w:rPr>
        <w:t>that improved seed varieties and conservation agriculture are both popular and economically viable among smallholder farmers in Sub-Saharan Africa; similar results were also found in the Gandaki River Basin in Nepal (Poudel, Thapa &amp; Mishra,2024).</w:t>
      </w:r>
    </w:p>
    <w:p w14:paraId="7FE6DBF1" w14:textId="77777777" w:rsidR="00F011F0" w:rsidRDefault="00F011F0" w:rsidP="00F011F0">
      <w:pPr>
        <w:spacing w:after="0" w:line="240" w:lineRule="auto"/>
        <w:jc w:val="both"/>
        <w:rPr>
          <w:rFonts w:ascii="Arial" w:hAnsi="Arial" w:cs="Arial"/>
          <w:sz w:val="20"/>
          <w:szCs w:val="20"/>
        </w:rPr>
      </w:pPr>
      <w:r w:rsidRPr="00F011F0">
        <w:rPr>
          <w:rFonts w:ascii="Arial" w:hAnsi="Arial" w:cs="Arial"/>
          <w:sz w:val="20"/>
          <w:szCs w:val="20"/>
        </w:rPr>
        <w:t>Despite this growing body of international literature, the economic feasibility of CSA practices in the Indian IGP context remains underexplored. This study fills that gap by evaluating the economic returns of various CSA practices based on primary data collected from 400 farmers in Uttar Pradesh.</w:t>
      </w:r>
    </w:p>
    <w:p w14:paraId="287269AD" w14:textId="749585F5" w:rsidR="00913D2D" w:rsidRPr="00F011F0" w:rsidRDefault="00350011" w:rsidP="00F011F0">
      <w:pPr>
        <w:pStyle w:val="ListParagraph"/>
        <w:numPr>
          <w:ilvl w:val="0"/>
          <w:numId w:val="5"/>
        </w:numPr>
        <w:spacing w:after="0" w:line="240" w:lineRule="auto"/>
        <w:jc w:val="both"/>
        <w:rPr>
          <w:rFonts w:ascii="Arial" w:hAnsi="Arial" w:cs="Arial"/>
          <w:b/>
          <w:bCs/>
          <w:sz w:val="20"/>
          <w:szCs w:val="20"/>
        </w:rPr>
      </w:pPr>
      <w:r w:rsidRPr="00F011F0">
        <w:rPr>
          <w:rFonts w:ascii="Arial" w:hAnsi="Arial" w:cs="Arial"/>
          <w:b/>
          <w:bCs/>
          <w:sz w:val="20"/>
          <w:szCs w:val="20"/>
        </w:rPr>
        <w:t>M</w:t>
      </w:r>
      <w:r w:rsidR="00415B4C" w:rsidRPr="00F011F0">
        <w:rPr>
          <w:rFonts w:ascii="Arial" w:hAnsi="Arial" w:cs="Arial"/>
          <w:b/>
          <w:bCs/>
          <w:sz w:val="20"/>
          <w:szCs w:val="20"/>
        </w:rPr>
        <w:t>ETHODOLOGY</w:t>
      </w:r>
    </w:p>
    <w:p w14:paraId="09E58176" w14:textId="3C23C38B" w:rsidR="008B5E4A" w:rsidRPr="008B5E4A" w:rsidRDefault="00F011F0" w:rsidP="00662168">
      <w:pPr>
        <w:widowControl w:val="0"/>
        <w:spacing w:after="0"/>
        <w:jc w:val="both"/>
        <w:rPr>
          <w:rFonts w:ascii="Arial" w:hAnsi="Arial" w:cs="Arial"/>
          <w:sz w:val="20"/>
          <w:szCs w:val="20"/>
        </w:rPr>
      </w:pPr>
      <w:r w:rsidRPr="00F011F0">
        <w:rPr>
          <w:rFonts w:ascii="Arial" w:hAnsi="Arial" w:cs="Arial"/>
          <w:sz w:val="20"/>
          <w:szCs w:val="20"/>
        </w:rPr>
        <w:t xml:space="preserve">Cost–benefit analysis (CBA) is </w:t>
      </w:r>
      <w:r w:rsidR="00662168">
        <w:rPr>
          <w:rFonts w:ascii="Arial" w:hAnsi="Arial" w:cs="Arial"/>
          <w:sz w:val="20"/>
          <w:szCs w:val="20"/>
        </w:rPr>
        <w:t>applied</w:t>
      </w:r>
      <w:r w:rsidRPr="00F011F0">
        <w:rPr>
          <w:rFonts w:ascii="Arial" w:hAnsi="Arial" w:cs="Arial"/>
          <w:sz w:val="20"/>
          <w:szCs w:val="20"/>
        </w:rPr>
        <w:t xml:space="preserve"> to evaluate the economic viability of CSA practices. CBA is a </w:t>
      </w:r>
      <w:r w:rsidR="00662168" w:rsidRPr="00662168">
        <w:rPr>
          <w:rFonts w:ascii="Arial" w:hAnsi="Arial" w:cs="Arial"/>
          <w:sz w:val="20"/>
          <w:szCs w:val="20"/>
        </w:rPr>
        <w:t>standardized</w:t>
      </w:r>
      <w:r w:rsidR="00662168">
        <w:rPr>
          <w:rFonts w:ascii="Arial" w:hAnsi="Arial" w:cs="Arial"/>
          <w:sz w:val="20"/>
          <w:szCs w:val="20"/>
        </w:rPr>
        <w:t xml:space="preserve"> path</w:t>
      </w:r>
      <w:r w:rsidRPr="00F011F0">
        <w:rPr>
          <w:rFonts w:ascii="Arial" w:hAnsi="Arial" w:cs="Arial"/>
          <w:sz w:val="20"/>
          <w:szCs w:val="20"/>
        </w:rPr>
        <w:t xml:space="preserve"> that compares the expected benefits and costs of a project or intervention. Following the methodology proposed by </w:t>
      </w:r>
      <w:proofErr w:type="spellStart"/>
      <w:r w:rsidRPr="00F011F0">
        <w:rPr>
          <w:rFonts w:ascii="Arial" w:hAnsi="Arial" w:cs="Arial"/>
          <w:sz w:val="20"/>
          <w:szCs w:val="20"/>
        </w:rPr>
        <w:t>Mujeyi</w:t>
      </w:r>
      <w:proofErr w:type="spellEnd"/>
      <w:r w:rsidRPr="00F011F0">
        <w:rPr>
          <w:rFonts w:ascii="Arial" w:hAnsi="Arial" w:cs="Arial"/>
          <w:sz w:val="20"/>
          <w:szCs w:val="20"/>
        </w:rPr>
        <w:t xml:space="preserve"> and </w:t>
      </w:r>
      <w:proofErr w:type="spellStart"/>
      <w:r w:rsidRPr="00F011F0">
        <w:rPr>
          <w:rFonts w:ascii="Arial" w:hAnsi="Arial" w:cs="Arial"/>
          <w:sz w:val="20"/>
          <w:szCs w:val="20"/>
        </w:rPr>
        <w:t>Mudhara</w:t>
      </w:r>
      <w:proofErr w:type="spellEnd"/>
      <w:r w:rsidRPr="00F011F0">
        <w:rPr>
          <w:rFonts w:ascii="Arial" w:hAnsi="Arial" w:cs="Arial"/>
          <w:sz w:val="20"/>
          <w:szCs w:val="20"/>
        </w:rPr>
        <w:t xml:space="preserve"> (2021), this study calculates benefits as the revenue from the main agricultural product and its by-products. Costs include variable cultivation expenditures such as </w:t>
      </w:r>
      <w:proofErr w:type="spellStart"/>
      <w:r w:rsidRPr="00F011F0">
        <w:rPr>
          <w:rFonts w:ascii="Arial" w:hAnsi="Arial" w:cs="Arial"/>
          <w:sz w:val="20"/>
          <w:szCs w:val="20"/>
        </w:rPr>
        <w:t>labor</w:t>
      </w:r>
      <w:proofErr w:type="spellEnd"/>
      <w:r w:rsidRPr="00F011F0">
        <w:rPr>
          <w:rFonts w:ascii="Arial" w:hAnsi="Arial" w:cs="Arial"/>
          <w:sz w:val="20"/>
          <w:szCs w:val="20"/>
        </w:rPr>
        <w:t>, seeds, irrigation, and inputs. Fixed costs such as land rent and interest on capital are excluded to focus solely on operational profitability.</w:t>
      </w:r>
    </w:p>
    <w:p w14:paraId="44A445F0" w14:textId="77777777" w:rsidR="008B5E4A" w:rsidRPr="008B5E4A" w:rsidRDefault="008B5E4A" w:rsidP="008B5E4A">
      <w:pPr>
        <w:pStyle w:val="ListParagraph"/>
        <w:widowControl w:val="0"/>
        <w:spacing w:after="0" w:line="240" w:lineRule="auto"/>
        <w:ind w:left="360"/>
        <w:jc w:val="both"/>
        <w:rPr>
          <w:rFonts w:ascii="Arial" w:hAnsi="Arial" w:cs="Arial"/>
          <w:sz w:val="20"/>
          <w:szCs w:val="20"/>
          <w:lang w:bidi="hi-IN"/>
        </w:rPr>
      </w:pPr>
      <w:r w:rsidRPr="008B5E4A">
        <w:rPr>
          <w:rFonts w:ascii="Arial" w:hAnsi="Arial" w:cs="Arial"/>
          <w:noProof/>
          <w:sz w:val="20"/>
          <w:szCs w:val="20"/>
        </w:rPr>
        <w:lastRenderedPageBreak/>
        <mc:AlternateContent>
          <mc:Choice Requires="wpg">
            <w:drawing>
              <wp:inline distT="0" distB="0" distL="0" distR="0" wp14:anchorId="30637A47" wp14:editId="36043460">
                <wp:extent cx="6489700" cy="2235200"/>
                <wp:effectExtent l="0" t="0" r="25400" b="12700"/>
                <wp:docPr id="2098662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235200"/>
                          <a:chOff x="-930" y="-885"/>
                          <a:chExt cx="57774" cy="18772"/>
                        </a:xfrm>
                      </wpg:grpSpPr>
                      <wps:wsp>
                        <wps:cNvPr id="331573969" name="Rectangle: Rounded Corners 1"/>
                        <wps:cNvSpPr>
                          <a:spLocks noChangeArrowheads="1"/>
                        </wps:cNvSpPr>
                        <wps:spPr bwMode="auto">
                          <a:xfrm>
                            <a:off x="11676" y="-885"/>
                            <a:ext cx="28774" cy="4718"/>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7989E21B" w14:textId="29116BB1" w:rsidR="008B5E4A" w:rsidRPr="00662168" w:rsidRDefault="008B5E4A" w:rsidP="00662168">
                              <w:pPr>
                                <w:spacing w:after="0" w:line="276" w:lineRule="auto"/>
                                <w:jc w:val="center"/>
                                <w:rPr>
                                  <w:rFonts w:ascii="Times New Roman" w:hAnsi="Times New Roman" w:cs="Times New Roman"/>
                                  <w:b/>
                                  <w:bCs/>
                                  <w:color w:val="833C0B" w:themeColor="accent2" w:themeShade="80"/>
                                  <w:lang w:bidi="hi-IN"/>
                                </w:rPr>
                              </w:pPr>
                              <w:r w:rsidRPr="0020255A">
                                <w:rPr>
                                  <w:rFonts w:ascii="Times New Roman" w:hAnsi="Times New Roman" w:cs="Times New Roman"/>
                                  <w:b/>
                                  <w:bCs/>
                                  <w:color w:val="833C0B" w:themeColor="accent2" w:themeShade="80"/>
                                  <w:lang w:bidi="hi-IN"/>
                                </w:rPr>
                                <w:t>Figure 1</w:t>
                              </w:r>
                              <w:r>
                                <w:rPr>
                                  <w:rFonts w:ascii="Times New Roman" w:hAnsi="Times New Roman" w:cs="Times New Roman"/>
                                  <w:b/>
                                  <w:bCs/>
                                  <w:color w:val="833C0B" w:themeColor="accent2" w:themeShade="80"/>
                                  <w:lang w:bidi="hi-IN"/>
                                </w:rPr>
                                <w:t xml:space="preserve">Components of </w:t>
                              </w:r>
                              <w:r w:rsidRPr="0020255A">
                                <w:rPr>
                                  <w:rFonts w:ascii="Times New Roman" w:hAnsi="Times New Roman" w:cs="Times New Roman"/>
                                  <w:b/>
                                  <w:bCs/>
                                  <w:color w:val="833C0B" w:themeColor="accent2" w:themeShade="80"/>
                                  <w:lang w:bidi="hi-IN"/>
                                </w:rPr>
                                <w:t>Cost of Cultivation</w:t>
                              </w:r>
                            </w:p>
                          </w:txbxContent>
                        </wps:txbx>
                        <wps:bodyPr rot="0" vert="horz" wrap="square" lIns="91440" tIns="45720" rIns="91440" bIns="45720" anchor="ctr" anchorCtr="0" upright="1">
                          <a:noAutofit/>
                        </wps:bodyPr>
                      </wps:wsp>
                      <wps:wsp>
                        <wps:cNvPr id="1738691504" name="Rectangle: Rounded Corners 1"/>
                        <wps:cNvSpPr>
                          <a:spLocks noChangeArrowheads="1"/>
                        </wps:cNvSpPr>
                        <wps:spPr bwMode="auto">
                          <a:xfrm>
                            <a:off x="-930" y="5992"/>
                            <a:ext cx="17754" cy="8609"/>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4E769A98" w14:textId="77777777" w:rsidR="008B5E4A" w:rsidRPr="0020255A" w:rsidRDefault="008B5E4A" w:rsidP="008B5E4A">
                              <w:pPr>
                                <w:spacing w:after="0" w:line="276" w:lineRule="auto"/>
                                <w:ind w:right="-198"/>
                                <w:rPr>
                                  <w:rFonts w:ascii="Times New Roman" w:hAnsi="Times New Roman" w:cs="Times New Roman"/>
                                  <w:b/>
                                  <w:bCs/>
                                  <w:color w:val="1F4E79" w:themeColor="accent5" w:themeShade="80"/>
                                  <w:lang w:bidi="hi-IN"/>
                                </w:rPr>
                              </w:pPr>
                              <w:r w:rsidRPr="0020255A">
                                <w:rPr>
                                  <w:rFonts w:ascii="Times New Roman" w:hAnsi="Times New Roman" w:cs="Times New Roman"/>
                                  <w:b/>
                                  <w:bCs/>
                                  <w:color w:val="1F4E79" w:themeColor="accent5" w:themeShade="80"/>
                                </w:rPr>
                                <w:t>Operational</w:t>
                              </w:r>
                              <w:r w:rsidRPr="0020255A">
                                <w:rPr>
                                  <w:rFonts w:ascii="Times New Roman" w:hAnsi="Times New Roman" w:cs="Times New Roman"/>
                                  <w:b/>
                                  <w:bCs/>
                                  <w:color w:val="1F4E79" w:themeColor="accent5" w:themeShade="80"/>
                                  <w:lang w:bidi="hi-IN"/>
                                </w:rPr>
                                <w:t xml:space="preserve"> Cost (OC)</w:t>
                              </w:r>
                            </w:p>
                            <w:p w14:paraId="3715AAA9" w14:textId="77777777" w:rsidR="008B5E4A" w:rsidRPr="0020255A" w:rsidRDefault="008B5E4A" w:rsidP="008B5E4A">
                              <w:pPr>
                                <w:pStyle w:val="ListParagraph"/>
                                <w:numPr>
                                  <w:ilvl w:val="0"/>
                                  <w:numId w:val="14"/>
                                </w:numPr>
                                <w:spacing w:after="0" w:line="276" w:lineRule="auto"/>
                                <w:ind w:left="142" w:right="-198" w:hanging="284"/>
                                <w:contextualSpacing w:val="0"/>
                                <w:rPr>
                                  <w:rFonts w:ascii="Times New Roman" w:hAnsi="Times New Roman" w:cs="Times New Roman"/>
                                </w:rPr>
                              </w:pPr>
                              <w:r w:rsidRPr="0020255A">
                                <w:rPr>
                                  <w:rFonts w:ascii="Times New Roman" w:hAnsi="Times New Roman" w:cs="Times New Roman"/>
                                </w:rPr>
                                <w:t>Bullock/ Machine power</w:t>
                              </w:r>
                            </w:p>
                            <w:p w14:paraId="5540EF62" w14:textId="77777777" w:rsidR="008B5E4A" w:rsidRPr="0020255A" w:rsidRDefault="008B5E4A" w:rsidP="008B5E4A">
                              <w:pPr>
                                <w:pStyle w:val="ListParagraph"/>
                                <w:numPr>
                                  <w:ilvl w:val="0"/>
                                  <w:numId w:val="14"/>
                                </w:numPr>
                                <w:spacing w:after="0" w:line="276" w:lineRule="auto"/>
                                <w:ind w:left="142" w:right="-198" w:hanging="284"/>
                                <w:contextualSpacing w:val="0"/>
                                <w:rPr>
                                  <w:rFonts w:ascii="Times New Roman" w:hAnsi="Times New Roman" w:cs="Times New Roman"/>
                                </w:rPr>
                              </w:pPr>
                              <w:r w:rsidRPr="0020255A">
                                <w:rPr>
                                  <w:rFonts w:ascii="Times New Roman" w:hAnsi="Times New Roman" w:cs="Times New Roman"/>
                                </w:rPr>
                                <w:t>Plant Protection</w:t>
                              </w:r>
                            </w:p>
                            <w:p w14:paraId="372C6236" w14:textId="77777777" w:rsidR="008B5E4A" w:rsidRPr="0020255A" w:rsidRDefault="008B5E4A" w:rsidP="008B5E4A">
                              <w:pPr>
                                <w:pStyle w:val="ListParagraph"/>
                                <w:numPr>
                                  <w:ilvl w:val="0"/>
                                  <w:numId w:val="14"/>
                                </w:numPr>
                                <w:spacing w:after="0" w:line="276" w:lineRule="auto"/>
                                <w:ind w:left="142" w:right="-200" w:hanging="284"/>
                                <w:contextualSpacing w:val="0"/>
                                <w:rPr>
                                  <w:rFonts w:ascii="Times New Roman" w:hAnsi="Times New Roman" w:cs="Times New Roman"/>
                                </w:rPr>
                              </w:pPr>
                              <w:r w:rsidRPr="0020255A">
                                <w:rPr>
                                  <w:rFonts w:ascii="Times New Roman" w:hAnsi="Times New Roman" w:cs="Times New Roman"/>
                                </w:rPr>
                                <w:t>Harvesting/ Threshing</w:t>
                              </w:r>
                            </w:p>
                          </w:txbxContent>
                        </wps:txbx>
                        <wps:bodyPr rot="0" vert="horz" wrap="square" lIns="91440" tIns="45720" rIns="91440" bIns="45720" anchor="ctr" anchorCtr="0" upright="1">
                          <a:noAutofit/>
                        </wps:bodyPr>
                      </wps:wsp>
                      <wps:wsp>
                        <wps:cNvPr id="24850334" name="Rectangle: Rounded Corners 1"/>
                        <wps:cNvSpPr>
                          <a:spLocks noChangeArrowheads="1"/>
                        </wps:cNvSpPr>
                        <wps:spPr bwMode="auto">
                          <a:xfrm>
                            <a:off x="18908" y="8138"/>
                            <a:ext cx="18911" cy="9749"/>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4065682E" w14:textId="77777777" w:rsidR="008B5E4A" w:rsidRPr="0020255A" w:rsidRDefault="008B5E4A" w:rsidP="008B5E4A">
                              <w:pPr>
                                <w:spacing w:after="0" w:line="276" w:lineRule="auto"/>
                                <w:ind w:right="-198"/>
                                <w:jc w:val="both"/>
                                <w:rPr>
                                  <w:rFonts w:ascii="Times New Roman" w:hAnsi="Times New Roman" w:cs="Times New Roman"/>
                                  <w:b/>
                                  <w:bCs/>
                                  <w:color w:val="1F4E79" w:themeColor="accent5" w:themeShade="80"/>
                                </w:rPr>
                              </w:pPr>
                              <w:r w:rsidRPr="0020255A">
                                <w:rPr>
                                  <w:rFonts w:ascii="Times New Roman" w:hAnsi="Times New Roman" w:cs="Times New Roman"/>
                                  <w:b/>
                                  <w:bCs/>
                                  <w:color w:val="1F4E79" w:themeColor="accent5" w:themeShade="80"/>
                                </w:rPr>
                                <w:t>Input Cost (IC)</w:t>
                              </w:r>
                            </w:p>
                            <w:p w14:paraId="0D5A716C"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Seeding</w:t>
                              </w:r>
                            </w:p>
                            <w:p w14:paraId="61BE055D"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Irrigation</w:t>
                              </w:r>
                            </w:p>
                            <w:p w14:paraId="51E0A56A"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Manuring/ Fertilizer</w:t>
                              </w:r>
                            </w:p>
                            <w:p w14:paraId="3236AB2D" w14:textId="77777777" w:rsidR="008B5E4A" w:rsidRPr="0020255A" w:rsidRDefault="008B5E4A" w:rsidP="008B5E4A">
                              <w:pPr>
                                <w:pStyle w:val="ListParagraph"/>
                                <w:numPr>
                                  <w:ilvl w:val="0"/>
                                  <w:numId w:val="15"/>
                                </w:numPr>
                                <w:spacing w:after="0" w:line="276" w:lineRule="auto"/>
                                <w:ind w:left="142" w:right="-198" w:hanging="284"/>
                                <w:contextualSpacing w:val="0"/>
                                <w:jc w:val="both"/>
                                <w:rPr>
                                  <w:rFonts w:ascii="Times New Roman" w:hAnsi="Times New Roman" w:cs="Times New Roman"/>
                                </w:rPr>
                              </w:pPr>
                              <w:r w:rsidRPr="0020255A">
                                <w:rPr>
                                  <w:rFonts w:ascii="Times New Roman" w:hAnsi="Times New Roman" w:cs="Times New Roman"/>
                                </w:rPr>
                                <w:t>Depreciation</w:t>
                              </w:r>
                            </w:p>
                          </w:txbxContent>
                        </wps:txbx>
                        <wps:bodyPr rot="0" vert="horz" wrap="square" lIns="91440" tIns="45720" rIns="91440" bIns="45720" anchor="ctr" anchorCtr="0" upright="1">
                          <a:noAutofit/>
                        </wps:bodyPr>
                      </wps:wsp>
                      <wps:wsp>
                        <wps:cNvPr id="1176960104" name="Rectangle: Rounded Corners 1"/>
                        <wps:cNvSpPr>
                          <a:spLocks noChangeArrowheads="1"/>
                        </wps:cNvSpPr>
                        <wps:spPr bwMode="auto">
                          <a:xfrm>
                            <a:off x="39089" y="5749"/>
                            <a:ext cx="17755" cy="8689"/>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352A5DED" w14:textId="77777777" w:rsidR="008B5E4A" w:rsidRPr="0020255A" w:rsidRDefault="008B5E4A" w:rsidP="008B5E4A">
                              <w:pPr>
                                <w:spacing w:after="0" w:line="276" w:lineRule="auto"/>
                                <w:ind w:right="-198"/>
                                <w:rPr>
                                  <w:rFonts w:ascii="Times New Roman" w:hAnsi="Times New Roman" w:cs="Times New Roman"/>
                                  <w:b/>
                                  <w:bCs/>
                                  <w:color w:val="1F4E79" w:themeColor="accent5" w:themeShade="80"/>
                                  <w:lang w:bidi="hi-IN"/>
                                </w:rPr>
                              </w:pPr>
                              <w:r w:rsidRPr="0020255A">
                                <w:rPr>
                                  <w:rFonts w:ascii="Times New Roman" w:hAnsi="Times New Roman" w:cs="Times New Roman"/>
                                  <w:b/>
                                  <w:bCs/>
                                  <w:color w:val="1F4E79" w:themeColor="accent5" w:themeShade="80"/>
                                </w:rPr>
                                <w:t>Labour</w:t>
                              </w:r>
                              <w:r w:rsidRPr="0020255A">
                                <w:rPr>
                                  <w:rFonts w:ascii="Times New Roman" w:hAnsi="Times New Roman" w:cs="Times New Roman"/>
                                  <w:b/>
                                  <w:bCs/>
                                  <w:color w:val="1F4E79" w:themeColor="accent5" w:themeShade="80"/>
                                  <w:lang w:bidi="hi-IN"/>
                                </w:rPr>
                                <w:t xml:space="preserve"> Cost (LC)</w:t>
                              </w:r>
                            </w:p>
                            <w:p w14:paraId="35621076" w14:textId="77777777" w:rsidR="008B5E4A" w:rsidRPr="0020255A" w:rsidRDefault="008B5E4A" w:rsidP="008B5E4A">
                              <w:pPr>
                                <w:pStyle w:val="ListParagraph"/>
                                <w:numPr>
                                  <w:ilvl w:val="0"/>
                                  <w:numId w:val="14"/>
                                </w:numPr>
                                <w:spacing w:after="0" w:line="276" w:lineRule="auto"/>
                                <w:ind w:left="142" w:right="-198" w:hanging="284"/>
                                <w:contextualSpacing w:val="0"/>
                                <w:jc w:val="both"/>
                                <w:rPr>
                                  <w:rFonts w:ascii="Times New Roman" w:hAnsi="Times New Roman" w:cs="Times New Roman"/>
                                </w:rPr>
                              </w:pPr>
                              <w:r w:rsidRPr="0020255A">
                                <w:rPr>
                                  <w:rFonts w:ascii="Times New Roman" w:hAnsi="Times New Roman" w:cs="Times New Roman"/>
                                </w:rPr>
                                <w:t>Hired labour.</w:t>
                              </w:r>
                            </w:p>
                            <w:p w14:paraId="0E1E3DA9" w14:textId="77777777" w:rsidR="008B5E4A" w:rsidRPr="0020255A" w:rsidRDefault="008B5E4A" w:rsidP="008B5E4A">
                              <w:pPr>
                                <w:pStyle w:val="ListParagraph"/>
                                <w:numPr>
                                  <w:ilvl w:val="0"/>
                                  <w:numId w:val="14"/>
                                </w:numPr>
                                <w:spacing w:after="0" w:line="276" w:lineRule="auto"/>
                                <w:ind w:left="142" w:right="48" w:hanging="284"/>
                                <w:contextualSpacing w:val="0"/>
                                <w:rPr>
                                  <w:rFonts w:ascii="Times New Roman" w:hAnsi="Times New Roman" w:cs="Times New Roman"/>
                                </w:rPr>
                              </w:pPr>
                              <w:r w:rsidRPr="0020255A">
                                <w:rPr>
                                  <w:rFonts w:ascii="Times New Roman" w:hAnsi="Times New Roman" w:cs="Times New Roman"/>
                                </w:rPr>
                                <w:t xml:space="preserve">Imputed cost/ value of family labour </w:t>
                              </w:r>
                            </w:p>
                          </w:txbxContent>
                        </wps:txbx>
                        <wps:bodyPr rot="0" vert="horz" wrap="square" lIns="91440" tIns="45720" rIns="91440" bIns="45720" anchor="ctr" anchorCtr="0" upright="1">
                          <a:noAutofit/>
                        </wps:bodyPr>
                      </wps:wsp>
                      <wps:wsp>
                        <wps:cNvPr id="261770198" name="Straight Arrow Connector 2"/>
                        <wps:cNvCnPr>
                          <a:cxnSpLocks noChangeShapeType="1"/>
                        </wps:cNvCnPr>
                        <wps:spPr bwMode="auto">
                          <a:xfrm flipH="1">
                            <a:off x="27581" y="3961"/>
                            <a:ext cx="76" cy="4196"/>
                          </a:xfrm>
                          <a:prstGeom prst="straightConnector1">
                            <a:avLst/>
                          </a:prstGeom>
                          <a:noFill/>
                          <a:ln w="12700">
                            <a:solidFill>
                              <a:schemeClr val="accent3">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14789362" name="Straight Arrow Connector 3"/>
                        <wps:cNvCnPr>
                          <a:cxnSpLocks noChangeShapeType="1"/>
                        </wps:cNvCnPr>
                        <wps:spPr bwMode="auto">
                          <a:xfrm flipH="1">
                            <a:off x="16824" y="4037"/>
                            <a:ext cx="10760" cy="3816"/>
                          </a:xfrm>
                          <a:prstGeom prst="straightConnector1">
                            <a:avLst/>
                          </a:prstGeom>
                          <a:noFill/>
                          <a:ln w="12700">
                            <a:solidFill>
                              <a:schemeClr val="accent3">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7365052" name="Straight Arrow Connector 4"/>
                        <wps:cNvCnPr>
                          <a:cxnSpLocks noChangeShapeType="1"/>
                        </wps:cNvCnPr>
                        <wps:spPr bwMode="auto">
                          <a:xfrm>
                            <a:off x="27660" y="4037"/>
                            <a:ext cx="11429" cy="3573"/>
                          </a:xfrm>
                          <a:prstGeom prst="straightConnector1">
                            <a:avLst/>
                          </a:prstGeom>
                          <a:noFill/>
                          <a:ln w="12700">
                            <a:solidFill>
                              <a:schemeClr val="accent3">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0637A47" id="Group 1" o:spid="_x0000_s1026" style="width:511pt;height:176pt;mso-position-horizontal-relative:char;mso-position-vertical-relative:line" coordorigin="-930,-885" coordsize="57774,18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">
                <v:roundrect id="Rectangle: Rounded Corners 1" o:spid="_x0000_s1027" style="position:absolute;left:11676;top:-885;width:28774;height:4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" fillcolor="white [3201]" strokecolor="black [3200]" strokeweight="1pt">
                  <v:stroke joinstyle="miter"/>
                  <v:textbox>
                    <w:txbxContent>
                      <w:p w14:paraId="7989E21B" w14:textId="29116BB1" w:rsidR="008B5E4A" w:rsidRPr="00662168" w:rsidRDefault="008B5E4A" w:rsidP="00662168">
                        <w:pPr>
                          <w:spacing w:after="0" w:line="276" w:lineRule="auto"/>
                          <w:jc w:val="center"/>
                          <w:rPr>
                            <w:rFonts w:ascii="Times New Roman" w:hAnsi="Times New Roman" w:cs="Times New Roman"/>
                            <w:b/>
                            <w:bCs/>
                            <w:color w:val="833C0B" w:themeColor="accent2" w:themeShade="80"/>
                            <w:lang w:bidi="hi-IN"/>
                          </w:rPr>
                        </w:pPr>
                        <w:r w:rsidRPr="0020255A">
                          <w:rPr>
                            <w:rFonts w:ascii="Times New Roman" w:hAnsi="Times New Roman" w:cs="Times New Roman"/>
                            <w:b/>
                            <w:bCs/>
                            <w:color w:val="833C0B" w:themeColor="accent2" w:themeShade="80"/>
                            <w:lang w:bidi="hi-IN"/>
                          </w:rPr>
                          <w:t>Figure 1</w:t>
                        </w:r>
                        <w:r>
                          <w:rPr>
                            <w:rFonts w:ascii="Times New Roman" w:hAnsi="Times New Roman" w:cs="Times New Roman"/>
                            <w:b/>
                            <w:bCs/>
                            <w:color w:val="833C0B" w:themeColor="accent2" w:themeShade="80"/>
                            <w:lang w:bidi="hi-IN"/>
                          </w:rPr>
                          <w:t xml:space="preserve">Components of </w:t>
                        </w:r>
                        <w:r w:rsidRPr="0020255A">
                          <w:rPr>
                            <w:rFonts w:ascii="Times New Roman" w:hAnsi="Times New Roman" w:cs="Times New Roman"/>
                            <w:b/>
                            <w:bCs/>
                            <w:color w:val="833C0B" w:themeColor="accent2" w:themeShade="80"/>
                            <w:lang w:bidi="hi-IN"/>
                          </w:rPr>
                          <w:t>Cost of Cultivation</w:t>
                        </w:r>
                      </w:p>
                    </w:txbxContent>
                  </v:textbox>
                </v:roundrect>
                <v:roundrect id="Rectangle: Rounded Corners 1" o:spid="_x0000_s1028" style="position:absolute;left:-930;top:5992;width:17754;height:8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" fillcolor="white [3201]" strokecolor="black [3200]" strokeweight="1pt">
                  <v:stroke joinstyle="miter"/>
                  <v:textbox>
                    <w:txbxContent>
                      <w:p w14:paraId="4E769A98" w14:textId="77777777" w:rsidR="008B5E4A" w:rsidRPr="0020255A" w:rsidRDefault="008B5E4A" w:rsidP="008B5E4A">
                        <w:pPr>
                          <w:spacing w:after="0" w:line="276" w:lineRule="auto"/>
                          <w:ind w:right="-198"/>
                          <w:rPr>
                            <w:rFonts w:ascii="Times New Roman" w:hAnsi="Times New Roman" w:cs="Times New Roman"/>
                            <w:b/>
                            <w:bCs/>
                            <w:color w:val="1F4E79" w:themeColor="accent5" w:themeShade="80"/>
                            <w:lang w:bidi="hi-IN"/>
                          </w:rPr>
                        </w:pPr>
                        <w:r w:rsidRPr="0020255A">
                          <w:rPr>
                            <w:rFonts w:ascii="Times New Roman" w:hAnsi="Times New Roman" w:cs="Times New Roman"/>
                            <w:b/>
                            <w:bCs/>
                            <w:color w:val="1F4E79" w:themeColor="accent5" w:themeShade="80"/>
                          </w:rPr>
                          <w:t>Operational</w:t>
                        </w:r>
                        <w:r w:rsidRPr="0020255A">
                          <w:rPr>
                            <w:rFonts w:ascii="Times New Roman" w:hAnsi="Times New Roman" w:cs="Times New Roman"/>
                            <w:b/>
                            <w:bCs/>
                            <w:color w:val="1F4E79" w:themeColor="accent5" w:themeShade="80"/>
                            <w:lang w:bidi="hi-IN"/>
                          </w:rPr>
                          <w:t xml:space="preserve"> Cost (OC)</w:t>
                        </w:r>
                      </w:p>
                      <w:p w14:paraId="3715AAA9" w14:textId="77777777" w:rsidR="008B5E4A" w:rsidRPr="0020255A" w:rsidRDefault="008B5E4A" w:rsidP="008B5E4A">
                        <w:pPr>
                          <w:pStyle w:val="ListParagraph"/>
                          <w:numPr>
                            <w:ilvl w:val="0"/>
                            <w:numId w:val="14"/>
                          </w:numPr>
                          <w:spacing w:after="0" w:line="276" w:lineRule="auto"/>
                          <w:ind w:left="142" w:right="-198" w:hanging="284"/>
                          <w:contextualSpacing w:val="0"/>
                          <w:rPr>
                            <w:rFonts w:ascii="Times New Roman" w:hAnsi="Times New Roman" w:cs="Times New Roman"/>
                          </w:rPr>
                        </w:pPr>
                        <w:r w:rsidRPr="0020255A">
                          <w:rPr>
                            <w:rFonts w:ascii="Times New Roman" w:hAnsi="Times New Roman" w:cs="Times New Roman"/>
                          </w:rPr>
                          <w:t>Bullock/ Machine power</w:t>
                        </w:r>
                      </w:p>
                      <w:p w14:paraId="5540EF62" w14:textId="77777777" w:rsidR="008B5E4A" w:rsidRPr="0020255A" w:rsidRDefault="008B5E4A" w:rsidP="008B5E4A">
                        <w:pPr>
                          <w:pStyle w:val="ListParagraph"/>
                          <w:numPr>
                            <w:ilvl w:val="0"/>
                            <w:numId w:val="14"/>
                          </w:numPr>
                          <w:spacing w:after="0" w:line="276" w:lineRule="auto"/>
                          <w:ind w:left="142" w:right="-198" w:hanging="284"/>
                          <w:contextualSpacing w:val="0"/>
                          <w:rPr>
                            <w:rFonts w:ascii="Times New Roman" w:hAnsi="Times New Roman" w:cs="Times New Roman"/>
                          </w:rPr>
                        </w:pPr>
                        <w:r w:rsidRPr="0020255A">
                          <w:rPr>
                            <w:rFonts w:ascii="Times New Roman" w:hAnsi="Times New Roman" w:cs="Times New Roman"/>
                          </w:rPr>
                          <w:t>Plant Protection</w:t>
                        </w:r>
                      </w:p>
                      <w:p w14:paraId="372C6236" w14:textId="77777777" w:rsidR="008B5E4A" w:rsidRPr="0020255A" w:rsidRDefault="008B5E4A" w:rsidP="008B5E4A">
                        <w:pPr>
                          <w:pStyle w:val="ListParagraph"/>
                          <w:numPr>
                            <w:ilvl w:val="0"/>
                            <w:numId w:val="14"/>
                          </w:numPr>
                          <w:spacing w:after="0" w:line="276" w:lineRule="auto"/>
                          <w:ind w:left="142" w:right="-200" w:hanging="284"/>
                          <w:contextualSpacing w:val="0"/>
                          <w:rPr>
                            <w:rFonts w:ascii="Times New Roman" w:hAnsi="Times New Roman" w:cs="Times New Roman"/>
                          </w:rPr>
                        </w:pPr>
                        <w:r w:rsidRPr="0020255A">
                          <w:rPr>
                            <w:rFonts w:ascii="Times New Roman" w:hAnsi="Times New Roman" w:cs="Times New Roman"/>
                          </w:rPr>
                          <w:t>Harvesting/ Threshing</w:t>
                        </w:r>
                      </w:p>
                    </w:txbxContent>
                  </v:textbox>
                </v:roundrect>
                <v:roundrect id="Rectangle: Rounded Corners 1" o:spid="_x0000_s1029" style="position:absolute;left:18908;top:8138;width:18911;height:9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" fillcolor="white [3201]" strokecolor="black [3200]" strokeweight="1pt">
                  <v:stroke joinstyle="miter"/>
                  <v:textbox>
                    <w:txbxContent>
                      <w:p w14:paraId="4065682E" w14:textId="77777777" w:rsidR="008B5E4A" w:rsidRPr="0020255A" w:rsidRDefault="008B5E4A" w:rsidP="008B5E4A">
                        <w:pPr>
                          <w:spacing w:after="0" w:line="276" w:lineRule="auto"/>
                          <w:ind w:right="-198"/>
                          <w:jc w:val="both"/>
                          <w:rPr>
                            <w:rFonts w:ascii="Times New Roman" w:hAnsi="Times New Roman" w:cs="Times New Roman"/>
                            <w:b/>
                            <w:bCs/>
                            <w:color w:val="1F4E79" w:themeColor="accent5" w:themeShade="80"/>
                          </w:rPr>
                        </w:pPr>
                        <w:r w:rsidRPr="0020255A">
                          <w:rPr>
                            <w:rFonts w:ascii="Times New Roman" w:hAnsi="Times New Roman" w:cs="Times New Roman"/>
                            <w:b/>
                            <w:bCs/>
                            <w:color w:val="1F4E79" w:themeColor="accent5" w:themeShade="80"/>
                          </w:rPr>
                          <w:t>Input Cost (IC)</w:t>
                        </w:r>
                      </w:p>
                      <w:p w14:paraId="0D5A716C"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Seeding</w:t>
                        </w:r>
                      </w:p>
                      <w:p w14:paraId="61BE055D"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Irrigation</w:t>
                        </w:r>
                      </w:p>
                      <w:p w14:paraId="51E0A56A"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Manuring/ Fertilizer</w:t>
                        </w:r>
                      </w:p>
                      <w:p w14:paraId="3236AB2D" w14:textId="77777777" w:rsidR="008B5E4A" w:rsidRPr="0020255A" w:rsidRDefault="008B5E4A" w:rsidP="008B5E4A">
                        <w:pPr>
                          <w:pStyle w:val="ListParagraph"/>
                          <w:numPr>
                            <w:ilvl w:val="0"/>
                            <w:numId w:val="15"/>
                          </w:numPr>
                          <w:spacing w:after="0" w:line="276" w:lineRule="auto"/>
                          <w:ind w:left="142" w:right="-198" w:hanging="284"/>
                          <w:contextualSpacing w:val="0"/>
                          <w:jc w:val="both"/>
                          <w:rPr>
                            <w:rFonts w:ascii="Times New Roman" w:hAnsi="Times New Roman" w:cs="Times New Roman"/>
                          </w:rPr>
                        </w:pPr>
                        <w:r w:rsidRPr="0020255A">
                          <w:rPr>
                            <w:rFonts w:ascii="Times New Roman" w:hAnsi="Times New Roman" w:cs="Times New Roman"/>
                          </w:rPr>
                          <w:t>Depreciation</w:t>
                        </w:r>
                      </w:p>
                    </w:txbxContent>
                  </v:textbox>
                </v:roundrect>
                <v:roundrect id="Rectangle: Rounded Corners 1" o:spid="_x0000_s1030" style="position:absolute;left:39089;top:5749;width:17755;height:8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" fillcolor="white [3201]" strokecolor="black [3200]" strokeweight="1pt">
                  <v:stroke joinstyle="miter"/>
                  <v:textbox>
                    <w:txbxContent>
                      <w:p w14:paraId="352A5DED" w14:textId="77777777" w:rsidR="008B5E4A" w:rsidRPr="0020255A" w:rsidRDefault="008B5E4A" w:rsidP="008B5E4A">
                        <w:pPr>
                          <w:spacing w:after="0" w:line="276" w:lineRule="auto"/>
                          <w:ind w:right="-198"/>
                          <w:rPr>
                            <w:rFonts w:ascii="Times New Roman" w:hAnsi="Times New Roman" w:cs="Times New Roman"/>
                            <w:b/>
                            <w:bCs/>
                            <w:color w:val="1F4E79" w:themeColor="accent5" w:themeShade="80"/>
                            <w:lang w:bidi="hi-IN"/>
                          </w:rPr>
                        </w:pPr>
                        <w:r w:rsidRPr="0020255A">
                          <w:rPr>
                            <w:rFonts w:ascii="Times New Roman" w:hAnsi="Times New Roman" w:cs="Times New Roman"/>
                            <w:b/>
                            <w:bCs/>
                            <w:color w:val="1F4E79" w:themeColor="accent5" w:themeShade="80"/>
                          </w:rPr>
                          <w:t>Labour</w:t>
                        </w:r>
                        <w:r w:rsidRPr="0020255A">
                          <w:rPr>
                            <w:rFonts w:ascii="Times New Roman" w:hAnsi="Times New Roman" w:cs="Times New Roman"/>
                            <w:b/>
                            <w:bCs/>
                            <w:color w:val="1F4E79" w:themeColor="accent5" w:themeShade="80"/>
                            <w:lang w:bidi="hi-IN"/>
                          </w:rPr>
                          <w:t xml:space="preserve"> Cost (LC)</w:t>
                        </w:r>
                      </w:p>
                      <w:p w14:paraId="35621076" w14:textId="77777777" w:rsidR="008B5E4A" w:rsidRPr="0020255A" w:rsidRDefault="008B5E4A" w:rsidP="008B5E4A">
                        <w:pPr>
                          <w:pStyle w:val="ListParagraph"/>
                          <w:numPr>
                            <w:ilvl w:val="0"/>
                            <w:numId w:val="14"/>
                          </w:numPr>
                          <w:spacing w:after="0" w:line="276" w:lineRule="auto"/>
                          <w:ind w:left="142" w:right="-198" w:hanging="284"/>
                          <w:contextualSpacing w:val="0"/>
                          <w:jc w:val="both"/>
                          <w:rPr>
                            <w:rFonts w:ascii="Times New Roman" w:hAnsi="Times New Roman" w:cs="Times New Roman"/>
                          </w:rPr>
                        </w:pPr>
                        <w:r w:rsidRPr="0020255A">
                          <w:rPr>
                            <w:rFonts w:ascii="Times New Roman" w:hAnsi="Times New Roman" w:cs="Times New Roman"/>
                          </w:rPr>
                          <w:t>Hired labour.</w:t>
                        </w:r>
                      </w:p>
                      <w:p w14:paraId="0E1E3DA9" w14:textId="77777777" w:rsidR="008B5E4A" w:rsidRPr="0020255A" w:rsidRDefault="008B5E4A" w:rsidP="008B5E4A">
                        <w:pPr>
                          <w:pStyle w:val="ListParagraph"/>
                          <w:numPr>
                            <w:ilvl w:val="0"/>
                            <w:numId w:val="14"/>
                          </w:numPr>
                          <w:spacing w:after="0" w:line="276" w:lineRule="auto"/>
                          <w:ind w:left="142" w:right="48" w:hanging="284"/>
                          <w:contextualSpacing w:val="0"/>
                          <w:rPr>
                            <w:rFonts w:ascii="Times New Roman" w:hAnsi="Times New Roman" w:cs="Times New Roman"/>
                          </w:rPr>
                        </w:pPr>
                        <w:r w:rsidRPr="0020255A">
                          <w:rPr>
                            <w:rFonts w:ascii="Times New Roman" w:hAnsi="Times New Roman" w:cs="Times New Roman"/>
                          </w:rPr>
                          <w:t xml:space="preserve">Imputed cost/ value of family labour </w:t>
                        </w:r>
                      </w:p>
                    </w:txbxContent>
                  </v:textbox>
                </v:roundrect>
                <v:shapetype id="_x0000_t32" coordsize="21600,21600" o:spt="32" o:oned="t" path="m,l21600,21600e" filled="f">
                  <v:path arrowok="t" fillok="f" o:connecttype="none"/>
                  <o:lock v:ext="edit" shapetype="t"/>
                </v:shapetype>
                <v:shape id="Straight Arrow Connector 2" o:spid="_x0000_s1031" type="#_x0000_t32" style="position:absolute;left:27581;top:3961;width:76;height:41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" strokecolor="#a5a5a5 [3206]" strokeweight="1pt">
                  <v:stroke endarrow="block" joinstyle="miter"/>
                </v:shape>
                <v:shape id="Straight Arrow Connector 3" o:spid="_x0000_s1032" type="#_x0000_t32" style="position:absolute;left:16824;top:4037;width:10760;height:38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" strokecolor="#a5a5a5 [3206]" strokeweight="1pt">
                  <v:stroke endarrow="block" joinstyle="miter"/>
                </v:shape>
                <v:shape id="Straight Arrow Connector 4" o:spid="_x0000_s1033" type="#_x0000_t32" style="position:absolute;left:27660;top:4037;width:11429;height:3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" strokecolor="#a5a5a5 [3206]" strokeweight="1pt">
                  <v:stroke endarrow="block" joinstyle="miter"/>
                </v:shape>
                <w10:anchorlock/>
              </v:group>
            </w:pict>
          </mc:Fallback>
        </mc:AlternateContent>
      </w:r>
    </w:p>
    <w:p w14:paraId="6D1BD942" w14:textId="77777777" w:rsidR="008B5E4A" w:rsidRPr="008B5E4A" w:rsidRDefault="008B5E4A" w:rsidP="009C4405">
      <w:pPr>
        <w:pStyle w:val="ListParagraph"/>
        <w:spacing w:after="0" w:line="240" w:lineRule="auto"/>
        <w:ind w:left="360"/>
        <w:rPr>
          <w:rFonts w:ascii="Arial" w:hAnsi="Arial" w:cs="Arial"/>
          <w:b/>
          <w:bCs/>
          <w:sz w:val="20"/>
          <w:szCs w:val="20"/>
          <w:lang w:bidi="hi-IN"/>
        </w:rPr>
      </w:pPr>
      <w:r w:rsidRPr="008B5E4A">
        <w:rPr>
          <w:rFonts w:ascii="Arial" w:hAnsi="Arial" w:cs="Arial"/>
          <w:b/>
          <w:bCs/>
          <w:sz w:val="20"/>
          <w:szCs w:val="20"/>
          <w:lang w:bidi="hi-IN"/>
        </w:rPr>
        <w:t>Figure 1: Components of Cost of Cultivation</w:t>
      </w:r>
    </w:p>
    <w:p w14:paraId="76A2CA3C" w14:textId="2B6278CD" w:rsidR="008B5E4A" w:rsidRPr="008B5E4A" w:rsidRDefault="008B5E4A" w:rsidP="009C4405">
      <w:pPr>
        <w:widowControl w:val="0"/>
        <w:spacing w:before="120" w:after="0" w:line="240" w:lineRule="auto"/>
        <w:jc w:val="both"/>
        <w:rPr>
          <w:rFonts w:ascii="Arial" w:hAnsi="Arial" w:cs="Arial"/>
          <w:sz w:val="20"/>
          <w:szCs w:val="20"/>
        </w:rPr>
      </w:pPr>
      <w:r w:rsidRPr="008B5E4A">
        <w:rPr>
          <w:rFonts w:ascii="Arial" w:hAnsi="Arial" w:cs="Arial"/>
          <w:sz w:val="20"/>
          <w:szCs w:val="20"/>
        </w:rPr>
        <w:t xml:space="preserve">  </w:t>
      </w:r>
      <w:r w:rsidR="009C4405">
        <w:rPr>
          <w:rFonts w:ascii="Arial" w:hAnsi="Arial" w:cs="Arial"/>
          <w:sz w:val="20"/>
          <w:szCs w:val="20"/>
        </w:rPr>
        <w:t xml:space="preserve"> </w:t>
      </w:r>
      <w:r w:rsidRPr="008B5E4A">
        <w:rPr>
          <w:rFonts w:ascii="Arial" w:hAnsi="Arial" w:cs="Arial"/>
          <w:sz w:val="20"/>
          <w:szCs w:val="20"/>
        </w:rPr>
        <w:t xml:space="preserve">   Source: Author</w:t>
      </w:r>
      <w:r w:rsidR="00647891">
        <w:rPr>
          <w:rFonts w:ascii="Arial" w:hAnsi="Arial" w:cs="Arial"/>
          <w:sz w:val="20"/>
          <w:szCs w:val="20"/>
        </w:rPr>
        <w:t>’</w:t>
      </w:r>
      <w:r w:rsidRPr="008B5E4A">
        <w:rPr>
          <w:rFonts w:ascii="Arial" w:hAnsi="Arial" w:cs="Arial"/>
          <w:sz w:val="20"/>
          <w:szCs w:val="20"/>
        </w:rPr>
        <w:t>s Generated</w:t>
      </w:r>
    </w:p>
    <w:p w14:paraId="46DC3ED1" w14:textId="2D296C35" w:rsidR="00284022" w:rsidRPr="00284022" w:rsidRDefault="001A72E7" w:rsidP="00284022">
      <w:pPr>
        <w:widowControl w:val="0"/>
        <w:spacing w:after="0" w:line="240" w:lineRule="auto"/>
        <w:jc w:val="both"/>
        <w:rPr>
          <w:rFonts w:ascii="Arial" w:hAnsi="Arial" w:cs="Arial"/>
          <w:sz w:val="20"/>
          <w:szCs w:val="20"/>
        </w:rPr>
      </w:pPr>
      <w:r>
        <w:rPr>
          <w:rFonts w:ascii="Arial" w:hAnsi="Arial" w:cs="Arial"/>
          <w:sz w:val="20"/>
          <w:szCs w:val="20"/>
        </w:rPr>
        <w:t>The entire</w:t>
      </w:r>
      <w:r w:rsidR="00284022" w:rsidRPr="00284022">
        <w:rPr>
          <w:rFonts w:ascii="Arial" w:hAnsi="Arial" w:cs="Arial"/>
          <w:sz w:val="20"/>
          <w:szCs w:val="20"/>
        </w:rPr>
        <w:t xml:space="preserve"> cost and benefit components related to cultivation have been monetized and expressed on a per-hectare basis in Indian Rupees (INR). The total cost of cultivation is disaggregated into three major components: operational expenditure, material input costs, and human labour costs.</w:t>
      </w:r>
    </w:p>
    <w:p w14:paraId="0A62C3FA" w14:textId="49990AE0" w:rsidR="00284022" w:rsidRPr="00284022" w:rsidRDefault="00284022" w:rsidP="00284022">
      <w:pPr>
        <w:widowControl w:val="0"/>
        <w:spacing w:after="0" w:line="240" w:lineRule="auto"/>
        <w:jc w:val="both"/>
        <w:rPr>
          <w:rFonts w:ascii="Arial" w:hAnsi="Arial" w:cs="Arial"/>
          <w:sz w:val="20"/>
          <w:szCs w:val="20"/>
        </w:rPr>
      </w:pPr>
      <w:r w:rsidRPr="00284022">
        <w:rPr>
          <w:rFonts w:ascii="Arial" w:hAnsi="Arial" w:cs="Arial"/>
          <w:sz w:val="20"/>
          <w:szCs w:val="20"/>
        </w:rPr>
        <w:t xml:space="preserve">Several empirical studies (e.g., Banjara et al., 2021; Aryal et al., 2018) have previously employed the Cost-Benefit Analysis (CBA) framework to evaluate the economic feasibility and adoptability of Climate-Smart Agriculture (CSA) technologies under diverse </w:t>
      </w:r>
      <w:proofErr w:type="spellStart"/>
      <w:r w:rsidRPr="00284022">
        <w:rPr>
          <w:rFonts w:ascii="Arial" w:hAnsi="Arial" w:cs="Arial"/>
          <w:sz w:val="20"/>
          <w:szCs w:val="20"/>
        </w:rPr>
        <w:t>agro</w:t>
      </w:r>
      <w:proofErr w:type="spellEnd"/>
      <w:r w:rsidRPr="00284022">
        <w:rPr>
          <w:rFonts w:ascii="Arial" w:hAnsi="Arial" w:cs="Arial"/>
          <w:sz w:val="20"/>
          <w:szCs w:val="20"/>
        </w:rPr>
        <w:t xml:space="preserve">-ecological and socio-economic conditions. In </w:t>
      </w:r>
      <w:r>
        <w:rPr>
          <w:rFonts w:ascii="Arial" w:hAnsi="Arial" w:cs="Arial"/>
          <w:sz w:val="20"/>
          <w:szCs w:val="20"/>
        </w:rPr>
        <w:t>line with this analytical precedent, the present study employs the CBA methodology to evaluate the economic efficiency of selected</w:t>
      </w:r>
      <w:r w:rsidRPr="00284022">
        <w:rPr>
          <w:rFonts w:ascii="Arial" w:hAnsi="Arial" w:cs="Arial"/>
          <w:sz w:val="20"/>
          <w:szCs w:val="20"/>
        </w:rPr>
        <w:t xml:space="preserve"> CSA interventions within the rice–wheat cropping system of the Indo-Gangetic Plain (IGP) region in northern India.</w:t>
      </w:r>
    </w:p>
    <w:p w14:paraId="3F2CA322" w14:textId="46C06557" w:rsidR="008B5E4A" w:rsidRPr="008B5E4A" w:rsidRDefault="008B5E4A" w:rsidP="008B5E4A">
      <w:pPr>
        <w:widowControl w:val="0"/>
        <w:spacing w:after="0" w:line="240" w:lineRule="auto"/>
        <w:jc w:val="both"/>
        <w:rPr>
          <w:rFonts w:ascii="Arial" w:hAnsi="Arial" w:cs="Arial"/>
          <w:b/>
          <w:bCs/>
          <w:sz w:val="20"/>
          <w:szCs w:val="20"/>
        </w:rPr>
      </w:pPr>
      <w:r w:rsidRPr="008B5E4A">
        <w:rPr>
          <w:rFonts w:ascii="Arial" w:hAnsi="Arial" w:cs="Arial"/>
          <w:b/>
          <w:bCs/>
          <w:sz w:val="20"/>
          <w:szCs w:val="20"/>
        </w:rPr>
        <w:t xml:space="preserve">2.1 </w:t>
      </w:r>
      <w:r w:rsidRPr="008B5E4A">
        <w:rPr>
          <w:rFonts w:ascii="Arial" w:hAnsi="Arial" w:cs="Arial"/>
          <w:b/>
          <w:bCs/>
          <w:sz w:val="20"/>
          <w:szCs w:val="20"/>
        </w:rPr>
        <w:tab/>
      </w:r>
      <w:r w:rsidR="00284022">
        <w:rPr>
          <w:rFonts w:ascii="Arial" w:hAnsi="Arial" w:cs="Arial"/>
          <w:b/>
          <w:bCs/>
          <w:sz w:val="20"/>
          <w:szCs w:val="20"/>
        </w:rPr>
        <w:t>Analytical Framework</w:t>
      </w:r>
    </w:p>
    <w:p w14:paraId="6B441173" w14:textId="77777777" w:rsidR="00284022" w:rsidRPr="00284022" w:rsidRDefault="00284022" w:rsidP="00284022">
      <w:pPr>
        <w:widowControl w:val="0"/>
        <w:spacing w:after="0" w:line="240" w:lineRule="auto"/>
        <w:jc w:val="both"/>
        <w:rPr>
          <w:rFonts w:ascii="Arial" w:hAnsi="Arial" w:cs="Arial"/>
          <w:sz w:val="20"/>
          <w:szCs w:val="20"/>
        </w:rPr>
      </w:pPr>
      <w:r w:rsidRPr="00284022">
        <w:rPr>
          <w:rFonts w:ascii="Arial" w:hAnsi="Arial" w:cs="Arial"/>
          <w:sz w:val="20"/>
          <w:szCs w:val="20"/>
        </w:rPr>
        <w:t>The study applies the Cost-Benefit Analysis (CBA) approach to quantify the economic viability of selected CSA practices using the following financial indicators:</w:t>
      </w:r>
    </w:p>
    <w:p w14:paraId="2D5E5C65" w14:textId="77777777" w:rsidR="00284022" w:rsidRPr="00284022" w:rsidRDefault="00284022" w:rsidP="00284022">
      <w:pPr>
        <w:widowControl w:val="0"/>
        <w:numPr>
          <w:ilvl w:val="0"/>
          <w:numId w:val="17"/>
        </w:numPr>
        <w:spacing w:after="0" w:line="240" w:lineRule="auto"/>
        <w:jc w:val="both"/>
        <w:rPr>
          <w:rFonts w:ascii="Arial" w:hAnsi="Arial" w:cs="Arial"/>
          <w:sz w:val="20"/>
          <w:szCs w:val="20"/>
        </w:rPr>
      </w:pPr>
      <w:r w:rsidRPr="00284022">
        <w:rPr>
          <w:rFonts w:ascii="Arial" w:hAnsi="Arial" w:cs="Arial"/>
          <w:sz w:val="20"/>
          <w:szCs w:val="20"/>
        </w:rPr>
        <w:t>Benefit–Cost Ratio (BCR): A relative measure of profitability indicating the return per unit of cost incurred.</w:t>
      </w:r>
    </w:p>
    <w:p w14:paraId="180B4CA9" w14:textId="77777777" w:rsidR="00284022" w:rsidRPr="00284022" w:rsidRDefault="00284022" w:rsidP="00284022">
      <w:pPr>
        <w:widowControl w:val="0"/>
        <w:numPr>
          <w:ilvl w:val="0"/>
          <w:numId w:val="17"/>
        </w:numPr>
        <w:spacing w:after="0" w:line="240" w:lineRule="auto"/>
        <w:jc w:val="both"/>
        <w:rPr>
          <w:rFonts w:ascii="Arial" w:hAnsi="Arial" w:cs="Arial"/>
          <w:sz w:val="20"/>
          <w:szCs w:val="20"/>
        </w:rPr>
      </w:pPr>
      <w:r w:rsidRPr="00284022">
        <w:rPr>
          <w:rFonts w:ascii="Arial" w:hAnsi="Arial" w:cs="Arial"/>
          <w:sz w:val="20"/>
          <w:szCs w:val="20"/>
        </w:rPr>
        <w:t>Net Present Value (NPV): A discounted metric that captures the present value of net economic returns over time.</w:t>
      </w:r>
    </w:p>
    <w:p w14:paraId="42F9D03A" w14:textId="77777777" w:rsidR="008B5E4A" w:rsidRPr="008B5E4A" w:rsidRDefault="008B5E4A" w:rsidP="008B5E4A">
      <w:pPr>
        <w:widowControl w:val="0"/>
        <w:spacing w:after="0" w:line="240" w:lineRule="auto"/>
        <w:jc w:val="both"/>
        <w:rPr>
          <w:rFonts w:ascii="Arial" w:hAnsi="Arial" w:cs="Arial"/>
          <w:b/>
          <w:bCs/>
          <w:sz w:val="20"/>
          <w:szCs w:val="20"/>
        </w:rPr>
      </w:pPr>
      <w:r w:rsidRPr="008B5E4A">
        <w:rPr>
          <w:rFonts w:ascii="Arial" w:hAnsi="Arial" w:cs="Arial"/>
          <w:b/>
          <w:bCs/>
          <w:sz w:val="20"/>
          <w:szCs w:val="20"/>
        </w:rPr>
        <w:t xml:space="preserve">2.2 </w:t>
      </w:r>
      <w:r w:rsidRPr="008B5E4A">
        <w:rPr>
          <w:rFonts w:ascii="Arial" w:hAnsi="Arial" w:cs="Arial"/>
          <w:b/>
          <w:bCs/>
          <w:sz w:val="20"/>
          <w:szCs w:val="20"/>
        </w:rPr>
        <w:tab/>
        <w:t>Study Location</w:t>
      </w:r>
    </w:p>
    <w:p w14:paraId="0C9BBB2E" w14:textId="71DD47DE" w:rsidR="00217ABD" w:rsidRPr="00217ABD" w:rsidRDefault="00217ABD" w:rsidP="00217ABD">
      <w:pPr>
        <w:widowControl w:val="0"/>
        <w:autoSpaceDE w:val="0"/>
        <w:autoSpaceDN w:val="0"/>
        <w:adjustRightInd w:val="0"/>
        <w:spacing w:after="0" w:line="240" w:lineRule="auto"/>
        <w:jc w:val="both"/>
        <w:rPr>
          <w:rFonts w:ascii="Arial" w:hAnsi="Arial" w:cs="Arial"/>
          <w:sz w:val="20"/>
          <w:szCs w:val="20"/>
        </w:rPr>
      </w:pPr>
      <w:r w:rsidRPr="00217ABD">
        <w:rPr>
          <w:rFonts w:ascii="Arial" w:hAnsi="Arial" w:cs="Arial"/>
          <w:sz w:val="20"/>
          <w:szCs w:val="20"/>
        </w:rPr>
        <w:t xml:space="preserve">India’s physiographic divisions include six major regions, with the Indo-Gangetic Plain (IGP) forming a crucial part of northern India. This region </w:t>
      </w:r>
      <w:r w:rsidR="00284022">
        <w:rPr>
          <w:rFonts w:ascii="Arial" w:hAnsi="Arial" w:cs="Arial"/>
          <w:sz w:val="20"/>
          <w:szCs w:val="20"/>
        </w:rPr>
        <w:t>encompasses the states of Punjab, Haryana, Uttar Pradesh, Bihar, and West Bengal, covering nearly 15% of the country's geographical area (Koshal, 2014) and accounting for</w:t>
      </w:r>
      <w:r w:rsidRPr="00217ABD">
        <w:rPr>
          <w:rFonts w:ascii="Arial" w:hAnsi="Arial" w:cs="Arial"/>
          <w:sz w:val="20"/>
          <w:szCs w:val="20"/>
        </w:rPr>
        <w:t xml:space="preserve"> 38.4% of the population (Census, 2011). Major river systems such as the Indus, Ganga, and Brahmaputra flow through this region, contributing to its rich alluvial soils and abundant water resources.</w:t>
      </w:r>
    </w:p>
    <w:p w14:paraId="4D68895C" w14:textId="77777777" w:rsidR="00217ABD" w:rsidRPr="00217ABD" w:rsidRDefault="00217ABD" w:rsidP="00217ABD">
      <w:pPr>
        <w:widowControl w:val="0"/>
        <w:autoSpaceDE w:val="0"/>
        <w:autoSpaceDN w:val="0"/>
        <w:adjustRightInd w:val="0"/>
        <w:spacing w:after="0" w:line="240" w:lineRule="auto"/>
        <w:jc w:val="both"/>
        <w:rPr>
          <w:rFonts w:ascii="Arial" w:hAnsi="Arial" w:cs="Arial"/>
          <w:sz w:val="20"/>
          <w:szCs w:val="20"/>
        </w:rPr>
      </w:pPr>
      <w:r w:rsidRPr="00217ABD">
        <w:rPr>
          <w:rFonts w:ascii="Arial" w:hAnsi="Arial" w:cs="Arial"/>
          <w:sz w:val="20"/>
          <w:szCs w:val="20"/>
        </w:rPr>
        <w:t>The IGP is one of India’s most agriculturally productive regions, contributing 15.3% of the total land area, producing 40% of the country’s foodgrains, and accounting for nearly 80% of groundwater-based irrigation (Patil et al., 2014). The dominant cropping pattern includes rice–wheat rotation, with other crops like maize, millet, sugarcane, and cotton. This region plays a critical role in ensuring food security and employment across South Asia (Kumar &amp; Saxena, 2021).</w:t>
      </w:r>
    </w:p>
    <w:p w14:paraId="35181365" w14:textId="77777777" w:rsidR="008B5E4A" w:rsidRDefault="008B5E4A" w:rsidP="008B5E4A">
      <w:pPr>
        <w:widowControl w:val="0"/>
        <w:autoSpaceDE w:val="0"/>
        <w:autoSpaceDN w:val="0"/>
        <w:adjustRightInd w:val="0"/>
        <w:spacing w:after="0" w:line="240" w:lineRule="auto"/>
        <w:jc w:val="both"/>
        <w:rPr>
          <w:rFonts w:ascii="Arial" w:hAnsi="Arial" w:cs="Arial"/>
          <w:b/>
          <w:bCs/>
          <w:sz w:val="20"/>
          <w:szCs w:val="20"/>
          <w:lang w:bidi="hi-IN"/>
        </w:rPr>
      </w:pPr>
      <w:r w:rsidRPr="008B5E4A">
        <w:rPr>
          <w:rFonts w:ascii="Arial" w:hAnsi="Arial" w:cs="Arial"/>
          <w:b/>
          <w:bCs/>
          <w:sz w:val="20"/>
          <w:szCs w:val="20"/>
          <w:lang w:bidi="hi-IN"/>
        </w:rPr>
        <w:t xml:space="preserve">2.3 </w:t>
      </w:r>
      <w:r w:rsidRPr="008B5E4A">
        <w:rPr>
          <w:rFonts w:ascii="Arial" w:hAnsi="Arial" w:cs="Arial"/>
          <w:b/>
          <w:bCs/>
          <w:sz w:val="20"/>
          <w:szCs w:val="20"/>
          <w:lang w:bidi="hi-IN"/>
        </w:rPr>
        <w:tab/>
        <w:t>The Data</w:t>
      </w:r>
    </w:p>
    <w:p w14:paraId="56737B64" w14:textId="79237C9B" w:rsidR="0019762A" w:rsidRPr="0019762A" w:rsidRDefault="0019762A" w:rsidP="0019762A">
      <w:pPr>
        <w:widowControl w:val="0"/>
        <w:autoSpaceDE w:val="0"/>
        <w:autoSpaceDN w:val="0"/>
        <w:adjustRightInd w:val="0"/>
        <w:spacing w:after="0" w:line="240" w:lineRule="auto"/>
        <w:jc w:val="both"/>
        <w:rPr>
          <w:rFonts w:ascii="Arial" w:eastAsiaTheme="minorEastAsia" w:hAnsi="Arial" w:cs="Arial"/>
          <w:sz w:val="20"/>
          <w:szCs w:val="20"/>
        </w:rPr>
      </w:pPr>
      <w:r w:rsidRPr="0019762A">
        <w:rPr>
          <w:rFonts w:ascii="Arial" w:hAnsi="Arial" w:cs="Arial"/>
          <w:sz w:val="20"/>
          <w:szCs w:val="20"/>
          <w:lang w:bidi="hi-IN"/>
        </w:rPr>
        <w:t xml:space="preserve">Uttar Pradesh is </w:t>
      </w:r>
      <w:r>
        <w:rPr>
          <w:rFonts w:ascii="Arial" w:hAnsi="Arial" w:cs="Arial"/>
          <w:sz w:val="20"/>
          <w:szCs w:val="20"/>
          <w:lang w:bidi="hi-IN"/>
        </w:rPr>
        <w:t xml:space="preserve">the </w:t>
      </w:r>
      <w:r w:rsidRPr="0019762A">
        <w:rPr>
          <w:rFonts w:ascii="Arial" w:hAnsi="Arial" w:cs="Arial"/>
          <w:sz w:val="20"/>
          <w:szCs w:val="20"/>
          <w:lang w:bidi="hi-IN"/>
        </w:rPr>
        <w:t xml:space="preserve">largest state of </w:t>
      </w:r>
      <w:r>
        <w:rPr>
          <w:rFonts w:ascii="Arial" w:hAnsi="Arial" w:cs="Arial"/>
          <w:sz w:val="20"/>
          <w:szCs w:val="20"/>
          <w:lang w:bidi="hi-IN"/>
        </w:rPr>
        <w:t xml:space="preserve">the </w:t>
      </w:r>
      <w:r w:rsidRPr="0019762A">
        <w:rPr>
          <w:rFonts w:ascii="Arial" w:hAnsi="Arial" w:cs="Arial"/>
          <w:sz w:val="20"/>
          <w:szCs w:val="20"/>
          <w:lang w:bidi="hi-IN"/>
        </w:rPr>
        <w:t>IGP region, and the districts included in the sample yield</w:t>
      </w:r>
      <w:r w:rsidRPr="0019762A">
        <w:rPr>
          <w:rFonts w:ascii="Arial" w:hAnsi="Arial" w:cs="Arial"/>
          <w:sz w:val="20"/>
          <w:szCs w:val="20"/>
        </w:rPr>
        <w:t xml:space="preserve"> </w:t>
      </w:r>
      <w:r>
        <w:rPr>
          <w:rFonts w:ascii="Arial" w:hAnsi="Arial" w:cs="Arial"/>
          <w:sz w:val="20"/>
          <w:szCs w:val="20"/>
        </w:rPr>
        <w:t xml:space="preserve">the </w:t>
      </w:r>
      <w:r w:rsidRPr="0019762A">
        <w:rPr>
          <w:rFonts w:ascii="Arial" w:hAnsi="Arial" w:cs="Arial"/>
          <w:sz w:val="20"/>
          <w:szCs w:val="20"/>
        </w:rPr>
        <w:t xml:space="preserve">highest </w:t>
      </w:r>
      <w:r>
        <w:rPr>
          <w:rFonts w:ascii="Arial" w:hAnsi="Arial" w:cs="Arial"/>
          <w:sz w:val="20"/>
          <w:szCs w:val="20"/>
        </w:rPr>
        <w:t>agricultural</w:t>
      </w:r>
      <w:r w:rsidRPr="0019762A">
        <w:rPr>
          <w:rFonts w:ascii="Arial" w:hAnsi="Arial" w:cs="Arial"/>
          <w:sz w:val="20"/>
          <w:szCs w:val="20"/>
        </w:rPr>
        <w:t xml:space="preserve"> (wheat and rice) produce in the state. </w:t>
      </w:r>
      <w:r w:rsidRPr="0019762A">
        <w:rPr>
          <w:rFonts w:ascii="Arial" w:hAnsi="Arial" w:cs="Arial"/>
          <w:sz w:val="20"/>
          <w:szCs w:val="20"/>
          <w:lang w:bidi="hi-IN"/>
        </w:rPr>
        <w:t xml:space="preserve">The sample size </w:t>
      </w:r>
      <w:r>
        <w:rPr>
          <w:rFonts w:ascii="Arial" w:hAnsi="Arial" w:cs="Arial"/>
          <w:sz w:val="20"/>
          <w:szCs w:val="20"/>
          <w:lang w:bidi="hi-IN"/>
        </w:rPr>
        <w:t>o</w:t>
      </w:r>
      <w:r w:rsidRPr="0019762A">
        <w:rPr>
          <w:rFonts w:ascii="Arial" w:hAnsi="Arial" w:cs="Arial"/>
          <w:sz w:val="20"/>
          <w:szCs w:val="20"/>
          <w:lang w:bidi="hi-IN"/>
        </w:rPr>
        <w:t xml:space="preserve">f 384 respondents was estimated by using </w:t>
      </w:r>
      <w:r w:rsidRPr="0019762A">
        <w:rPr>
          <w:rFonts w:ascii="Arial" w:hAnsi="Arial" w:cs="Arial"/>
          <w:sz w:val="20"/>
          <w:szCs w:val="20"/>
        </w:rPr>
        <w:t xml:space="preserve">Cochran’s (1977) sampling methodology. Accordingly, </w:t>
      </w:r>
      <w:r>
        <w:rPr>
          <w:rFonts w:ascii="Arial" w:hAnsi="Arial" w:cs="Arial"/>
          <w:sz w:val="20"/>
          <w:szCs w:val="20"/>
        </w:rPr>
        <w:t xml:space="preserve">a </w:t>
      </w:r>
      <w:r w:rsidRPr="0019762A">
        <w:rPr>
          <w:rFonts w:ascii="Arial" w:hAnsi="Arial" w:cs="Arial"/>
          <w:sz w:val="20"/>
          <w:szCs w:val="20"/>
        </w:rPr>
        <w:t xml:space="preserve">sample size of 400 informants was considered for </w:t>
      </w:r>
      <w:r>
        <w:rPr>
          <w:rFonts w:ascii="Arial" w:hAnsi="Arial" w:cs="Arial"/>
          <w:sz w:val="20"/>
          <w:szCs w:val="20"/>
        </w:rPr>
        <w:t xml:space="preserve">the </w:t>
      </w:r>
      <w:r w:rsidRPr="0019762A">
        <w:rPr>
          <w:rFonts w:ascii="Arial" w:hAnsi="Arial" w:cs="Arial"/>
          <w:sz w:val="20"/>
          <w:szCs w:val="20"/>
        </w:rPr>
        <w:t xml:space="preserve">present study. </w:t>
      </w:r>
    </w:p>
    <w:p w14:paraId="32868676" w14:textId="2AA48517" w:rsidR="00284022" w:rsidRPr="00284022" w:rsidRDefault="00284022" w:rsidP="00284022">
      <w:pPr>
        <w:widowControl w:val="0"/>
        <w:spacing w:after="0" w:line="240" w:lineRule="auto"/>
        <w:jc w:val="both"/>
        <w:rPr>
          <w:rFonts w:ascii="Arial" w:hAnsi="Arial" w:cs="Arial"/>
          <w:sz w:val="20"/>
          <w:szCs w:val="20"/>
          <w:lang w:bidi="hi-IN"/>
        </w:rPr>
      </w:pPr>
      <w:r w:rsidRPr="00284022">
        <w:rPr>
          <w:rFonts w:ascii="Arial" w:hAnsi="Arial" w:cs="Arial"/>
          <w:sz w:val="20"/>
          <w:szCs w:val="20"/>
          <w:lang w:bidi="hi-IN"/>
        </w:rPr>
        <w:t>Primary data on cultivation costs and gross returns for both conventional and CSA-based production</w:t>
      </w:r>
      <w:r w:rsidR="0019762A">
        <w:rPr>
          <w:rFonts w:ascii="Arial" w:hAnsi="Arial" w:cs="Arial"/>
          <w:sz w:val="20"/>
          <w:szCs w:val="20"/>
          <w:lang w:bidi="hi-IN"/>
        </w:rPr>
        <w:t xml:space="preserve"> rice-wheat</w:t>
      </w:r>
      <w:r w:rsidRPr="00284022">
        <w:rPr>
          <w:rFonts w:ascii="Arial" w:hAnsi="Arial" w:cs="Arial"/>
          <w:sz w:val="20"/>
          <w:szCs w:val="20"/>
          <w:lang w:bidi="hi-IN"/>
        </w:rPr>
        <w:t xml:space="preserve"> systems (excluding the sugarcane–wheat cropping model) were gathered through structured interviews with 400 randomly selected farm households and personnel from Kisan Seva </w:t>
      </w:r>
      <w:proofErr w:type="spellStart"/>
      <w:r w:rsidRPr="00284022">
        <w:rPr>
          <w:rFonts w:ascii="Arial" w:hAnsi="Arial" w:cs="Arial"/>
          <w:sz w:val="20"/>
          <w:szCs w:val="20"/>
          <w:lang w:bidi="hi-IN"/>
        </w:rPr>
        <w:t>Kendras</w:t>
      </w:r>
      <w:proofErr w:type="spellEnd"/>
      <w:r w:rsidRPr="00284022">
        <w:rPr>
          <w:rFonts w:ascii="Arial" w:hAnsi="Arial" w:cs="Arial"/>
          <w:sz w:val="20"/>
          <w:szCs w:val="20"/>
          <w:lang w:bidi="hi-IN"/>
        </w:rPr>
        <w:t xml:space="preserve"> (Farmer Service </w:t>
      </w:r>
      <w:proofErr w:type="spellStart"/>
      <w:r w:rsidRPr="00284022">
        <w:rPr>
          <w:rFonts w:ascii="Arial" w:hAnsi="Arial" w:cs="Arial"/>
          <w:sz w:val="20"/>
          <w:szCs w:val="20"/>
          <w:lang w:bidi="hi-IN"/>
        </w:rPr>
        <w:t>Centers</w:t>
      </w:r>
      <w:proofErr w:type="spellEnd"/>
      <w:r w:rsidRPr="00284022">
        <w:rPr>
          <w:rFonts w:ascii="Arial" w:hAnsi="Arial" w:cs="Arial"/>
          <w:sz w:val="20"/>
          <w:szCs w:val="20"/>
          <w:lang w:bidi="hi-IN"/>
        </w:rPr>
        <w:t xml:space="preserve">). The stratified distribution of sampled respondents across selected </w:t>
      </w:r>
      <w:r w:rsidR="00647891">
        <w:rPr>
          <w:rFonts w:ascii="Arial" w:hAnsi="Arial" w:cs="Arial"/>
          <w:sz w:val="20"/>
          <w:szCs w:val="20"/>
          <w:lang w:bidi="hi-IN"/>
        </w:rPr>
        <w:t>districts</w:t>
      </w:r>
      <w:r w:rsidRPr="00284022">
        <w:rPr>
          <w:rFonts w:ascii="Arial" w:hAnsi="Arial" w:cs="Arial"/>
          <w:sz w:val="20"/>
          <w:szCs w:val="20"/>
          <w:lang w:bidi="hi-IN"/>
        </w:rPr>
        <w:t xml:space="preserve"> is presented in Table 1</w:t>
      </w:r>
      <w:r w:rsidR="00647891">
        <w:rPr>
          <w:rFonts w:ascii="Arial" w:hAnsi="Arial" w:cs="Arial"/>
          <w:sz w:val="20"/>
          <w:szCs w:val="20"/>
          <w:lang w:bidi="hi-IN"/>
        </w:rPr>
        <w:t>:</w:t>
      </w:r>
    </w:p>
    <w:p w14:paraId="3D9EF5B8" w14:textId="491B2C7D" w:rsidR="008B5E4A" w:rsidRPr="008B5E4A" w:rsidRDefault="008B5E4A" w:rsidP="008B5E4A">
      <w:pPr>
        <w:widowControl w:val="0"/>
        <w:spacing w:after="0" w:line="240" w:lineRule="auto"/>
        <w:rPr>
          <w:rFonts w:ascii="Arial" w:hAnsi="Arial" w:cs="Arial"/>
          <w:b/>
          <w:bCs/>
          <w:sz w:val="20"/>
          <w:szCs w:val="20"/>
          <w:lang w:bidi="hi-IN"/>
        </w:rPr>
      </w:pPr>
      <w:r w:rsidRPr="008B5E4A">
        <w:rPr>
          <w:rFonts w:ascii="Arial" w:hAnsi="Arial" w:cs="Arial"/>
          <w:sz w:val="20"/>
          <w:szCs w:val="20"/>
        </w:rPr>
        <w:t xml:space="preserve">           </w:t>
      </w:r>
      <w:r w:rsidRPr="008B5E4A">
        <w:rPr>
          <w:rFonts w:ascii="Arial" w:hAnsi="Arial" w:cs="Arial"/>
          <w:b/>
          <w:bCs/>
          <w:sz w:val="20"/>
          <w:szCs w:val="20"/>
        </w:rPr>
        <w:t>Table 1: Sample distribution</w:t>
      </w:r>
    </w:p>
    <w:tbl>
      <w:tblPr>
        <w:tblStyle w:val="TableGrid"/>
        <w:tblW w:w="8784" w:type="dxa"/>
        <w:jc w:val="center"/>
        <w:tblLook w:val="04A0" w:firstRow="1" w:lastRow="0" w:firstColumn="1" w:lastColumn="0" w:noHBand="0" w:noVBand="1"/>
      </w:tblPr>
      <w:tblGrid>
        <w:gridCol w:w="1555"/>
        <w:gridCol w:w="2268"/>
        <w:gridCol w:w="2268"/>
        <w:gridCol w:w="2693"/>
      </w:tblGrid>
      <w:tr w:rsidR="00D974DA" w:rsidRPr="008B5E4A" w14:paraId="59FEF468" w14:textId="77777777" w:rsidTr="0019762A">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6456080" w14:textId="77777777"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District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517AD2" w14:textId="2E867F7B" w:rsidR="00D974DA" w:rsidRPr="0019762A" w:rsidRDefault="00D974DA" w:rsidP="0019762A">
            <w:pPr>
              <w:widowControl w:val="0"/>
              <w:jc w:val="center"/>
              <w:rPr>
                <w:rFonts w:ascii="Arial" w:hAnsi="Arial" w:cs="Arial"/>
                <w:sz w:val="20"/>
                <w:szCs w:val="20"/>
              </w:rPr>
            </w:pPr>
            <w:r w:rsidRPr="0019762A">
              <w:rPr>
                <w:rFonts w:ascii="Arial" w:hAnsi="Arial" w:cs="Arial"/>
                <w:sz w:val="20"/>
                <w:szCs w:val="20"/>
              </w:rPr>
              <w:t>No. of Cultivators*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E93BB01" w14:textId="1E7CAEFA"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No. of Respondents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47A1186" w14:textId="77777777"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 of Respondents</w:t>
            </w:r>
          </w:p>
        </w:tc>
      </w:tr>
      <w:tr w:rsidR="00D974DA" w:rsidRPr="008B5E4A" w14:paraId="64D522AA" w14:textId="77777777" w:rsidTr="0019762A">
        <w:trPr>
          <w:jc w:val="center"/>
        </w:trPr>
        <w:tc>
          <w:tcPr>
            <w:tcW w:w="1555" w:type="dxa"/>
            <w:tcBorders>
              <w:top w:val="single" w:sz="4" w:space="0" w:color="auto"/>
              <w:left w:val="single" w:sz="4" w:space="0" w:color="auto"/>
              <w:bottom w:val="single" w:sz="4" w:space="0" w:color="auto"/>
              <w:right w:val="single" w:sz="4" w:space="0" w:color="auto"/>
            </w:tcBorders>
            <w:hideMark/>
          </w:tcPr>
          <w:p w14:paraId="24F31280" w14:textId="77777777" w:rsidR="00D974DA" w:rsidRPr="008B5E4A" w:rsidRDefault="00D974DA" w:rsidP="008B5E4A">
            <w:pPr>
              <w:widowControl w:val="0"/>
              <w:rPr>
                <w:rFonts w:ascii="Arial" w:hAnsi="Arial" w:cs="Arial"/>
                <w:sz w:val="20"/>
                <w:szCs w:val="20"/>
              </w:rPr>
            </w:pPr>
            <w:r w:rsidRPr="008B5E4A">
              <w:rPr>
                <w:rFonts w:ascii="Arial" w:hAnsi="Arial" w:cs="Arial"/>
                <w:sz w:val="20"/>
                <w:szCs w:val="20"/>
              </w:rPr>
              <w:t>Agra</w:t>
            </w:r>
          </w:p>
        </w:tc>
        <w:tc>
          <w:tcPr>
            <w:tcW w:w="2268" w:type="dxa"/>
            <w:tcBorders>
              <w:top w:val="single" w:sz="4" w:space="0" w:color="auto"/>
              <w:left w:val="single" w:sz="4" w:space="0" w:color="auto"/>
              <w:bottom w:val="single" w:sz="4" w:space="0" w:color="auto"/>
              <w:right w:val="single" w:sz="4" w:space="0" w:color="auto"/>
            </w:tcBorders>
          </w:tcPr>
          <w:p w14:paraId="595A38A7" w14:textId="312F8939" w:rsidR="00D974DA" w:rsidRPr="0019762A" w:rsidRDefault="0019762A" w:rsidP="0019762A">
            <w:pPr>
              <w:widowControl w:val="0"/>
              <w:jc w:val="center"/>
              <w:rPr>
                <w:rFonts w:ascii="Arial" w:hAnsi="Arial" w:cs="Arial"/>
                <w:sz w:val="20"/>
                <w:szCs w:val="20"/>
              </w:rPr>
            </w:pPr>
            <w:r w:rsidRPr="0019762A">
              <w:rPr>
                <w:rFonts w:ascii="Arial" w:hAnsi="Arial" w:cs="Arial"/>
                <w:sz w:val="20"/>
                <w:szCs w:val="20"/>
              </w:rPr>
              <w:t>2,85,471</w:t>
            </w:r>
          </w:p>
        </w:tc>
        <w:tc>
          <w:tcPr>
            <w:tcW w:w="2268" w:type="dxa"/>
            <w:tcBorders>
              <w:top w:val="single" w:sz="4" w:space="0" w:color="auto"/>
              <w:left w:val="single" w:sz="4" w:space="0" w:color="auto"/>
              <w:bottom w:val="single" w:sz="4" w:space="0" w:color="auto"/>
              <w:right w:val="single" w:sz="4" w:space="0" w:color="auto"/>
            </w:tcBorders>
          </w:tcPr>
          <w:p w14:paraId="1C196E60" w14:textId="0B01A66C"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103</w:t>
            </w:r>
          </w:p>
        </w:tc>
        <w:tc>
          <w:tcPr>
            <w:tcW w:w="2693" w:type="dxa"/>
            <w:tcBorders>
              <w:top w:val="single" w:sz="4" w:space="0" w:color="auto"/>
              <w:left w:val="single" w:sz="4" w:space="0" w:color="auto"/>
              <w:bottom w:val="single" w:sz="4" w:space="0" w:color="auto"/>
              <w:right w:val="single" w:sz="4" w:space="0" w:color="auto"/>
            </w:tcBorders>
          </w:tcPr>
          <w:p w14:paraId="16AC235B" w14:textId="77777777"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25.75</w:t>
            </w:r>
          </w:p>
        </w:tc>
      </w:tr>
      <w:tr w:rsidR="00D974DA" w:rsidRPr="008B5E4A" w14:paraId="4583B89A" w14:textId="77777777" w:rsidTr="0019762A">
        <w:trPr>
          <w:jc w:val="center"/>
        </w:trPr>
        <w:tc>
          <w:tcPr>
            <w:tcW w:w="1555" w:type="dxa"/>
            <w:tcBorders>
              <w:top w:val="single" w:sz="4" w:space="0" w:color="auto"/>
              <w:left w:val="single" w:sz="4" w:space="0" w:color="auto"/>
              <w:bottom w:val="single" w:sz="4" w:space="0" w:color="auto"/>
              <w:right w:val="single" w:sz="4" w:space="0" w:color="auto"/>
            </w:tcBorders>
            <w:hideMark/>
          </w:tcPr>
          <w:p w14:paraId="5F9FADF8" w14:textId="77777777" w:rsidR="00D974DA" w:rsidRPr="008B5E4A" w:rsidRDefault="00D974DA" w:rsidP="008B5E4A">
            <w:pPr>
              <w:widowControl w:val="0"/>
              <w:rPr>
                <w:rFonts w:ascii="Arial" w:hAnsi="Arial" w:cs="Arial"/>
                <w:sz w:val="20"/>
                <w:szCs w:val="20"/>
              </w:rPr>
            </w:pPr>
            <w:proofErr w:type="spellStart"/>
            <w:r w:rsidRPr="008B5E4A">
              <w:rPr>
                <w:rFonts w:ascii="Arial" w:hAnsi="Arial" w:cs="Arial"/>
                <w:sz w:val="20"/>
                <w:szCs w:val="20"/>
              </w:rPr>
              <w:t>Bulandshahar</w:t>
            </w:r>
            <w:proofErr w:type="spellEnd"/>
          </w:p>
        </w:tc>
        <w:tc>
          <w:tcPr>
            <w:tcW w:w="2268" w:type="dxa"/>
            <w:tcBorders>
              <w:top w:val="single" w:sz="4" w:space="0" w:color="auto"/>
              <w:left w:val="single" w:sz="4" w:space="0" w:color="auto"/>
              <w:bottom w:val="single" w:sz="4" w:space="0" w:color="auto"/>
              <w:right w:val="single" w:sz="4" w:space="0" w:color="auto"/>
            </w:tcBorders>
          </w:tcPr>
          <w:p w14:paraId="11006071" w14:textId="64C613B1" w:rsidR="00D974DA" w:rsidRPr="0019762A" w:rsidRDefault="0019762A" w:rsidP="0019762A">
            <w:pPr>
              <w:widowControl w:val="0"/>
              <w:jc w:val="center"/>
              <w:rPr>
                <w:rFonts w:ascii="Arial" w:hAnsi="Arial" w:cs="Arial"/>
                <w:sz w:val="20"/>
                <w:szCs w:val="20"/>
              </w:rPr>
            </w:pPr>
            <w:r w:rsidRPr="0019762A">
              <w:rPr>
                <w:rFonts w:ascii="Arial" w:hAnsi="Arial" w:cs="Arial"/>
                <w:sz w:val="20"/>
                <w:szCs w:val="20"/>
              </w:rPr>
              <w:t>2,92,901</w:t>
            </w:r>
          </w:p>
        </w:tc>
        <w:tc>
          <w:tcPr>
            <w:tcW w:w="2268" w:type="dxa"/>
            <w:tcBorders>
              <w:top w:val="single" w:sz="4" w:space="0" w:color="auto"/>
              <w:left w:val="single" w:sz="4" w:space="0" w:color="auto"/>
              <w:bottom w:val="single" w:sz="4" w:space="0" w:color="auto"/>
              <w:right w:val="single" w:sz="4" w:space="0" w:color="auto"/>
            </w:tcBorders>
          </w:tcPr>
          <w:p w14:paraId="0BE1F79C" w14:textId="1F7CC78E"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107</w:t>
            </w:r>
          </w:p>
        </w:tc>
        <w:tc>
          <w:tcPr>
            <w:tcW w:w="2693" w:type="dxa"/>
            <w:tcBorders>
              <w:top w:val="single" w:sz="4" w:space="0" w:color="auto"/>
              <w:left w:val="single" w:sz="4" w:space="0" w:color="auto"/>
              <w:bottom w:val="single" w:sz="4" w:space="0" w:color="auto"/>
              <w:right w:val="single" w:sz="4" w:space="0" w:color="auto"/>
            </w:tcBorders>
          </w:tcPr>
          <w:p w14:paraId="76E4E074" w14:textId="77777777"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26.75</w:t>
            </w:r>
          </w:p>
        </w:tc>
      </w:tr>
      <w:tr w:rsidR="00D974DA" w:rsidRPr="008B5E4A" w14:paraId="40B652C6" w14:textId="77777777" w:rsidTr="0019762A">
        <w:trPr>
          <w:jc w:val="center"/>
        </w:trPr>
        <w:tc>
          <w:tcPr>
            <w:tcW w:w="1555" w:type="dxa"/>
            <w:tcBorders>
              <w:top w:val="single" w:sz="4" w:space="0" w:color="auto"/>
              <w:left w:val="single" w:sz="4" w:space="0" w:color="auto"/>
              <w:bottom w:val="single" w:sz="4" w:space="0" w:color="auto"/>
              <w:right w:val="single" w:sz="4" w:space="0" w:color="auto"/>
            </w:tcBorders>
            <w:hideMark/>
          </w:tcPr>
          <w:p w14:paraId="694DCC87" w14:textId="77777777" w:rsidR="00D974DA" w:rsidRPr="008B5E4A" w:rsidRDefault="00D974DA" w:rsidP="008B5E4A">
            <w:pPr>
              <w:widowControl w:val="0"/>
              <w:rPr>
                <w:rFonts w:ascii="Arial" w:hAnsi="Arial" w:cs="Arial"/>
                <w:sz w:val="20"/>
                <w:szCs w:val="20"/>
              </w:rPr>
            </w:pPr>
            <w:r w:rsidRPr="008B5E4A">
              <w:rPr>
                <w:rFonts w:ascii="Arial" w:hAnsi="Arial" w:cs="Arial"/>
                <w:sz w:val="20"/>
                <w:szCs w:val="20"/>
              </w:rPr>
              <w:t>Etawah</w:t>
            </w:r>
          </w:p>
        </w:tc>
        <w:tc>
          <w:tcPr>
            <w:tcW w:w="2268" w:type="dxa"/>
            <w:tcBorders>
              <w:top w:val="single" w:sz="4" w:space="0" w:color="auto"/>
              <w:left w:val="single" w:sz="4" w:space="0" w:color="auto"/>
              <w:bottom w:val="single" w:sz="4" w:space="0" w:color="auto"/>
              <w:right w:val="single" w:sz="4" w:space="0" w:color="auto"/>
            </w:tcBorders>
          </w:tcPr>
          <w:p w14:paraId="25A04D53" w14:textId="36071DEA" w:rsidR="00D974DA" w:rsidRPr="0019762A" w:rsidRDefault="0019762A" w:rsidP="0019762A">
            <w:pPr>
              <w:widowControl w:val="0"/>
              <w:jc w:val="center"/>
              <w:rPr>
                <w:rFonts w:ascii="Arial" w:hAnsi="Arial" w:cs="Arial"/>
                <w:sz w:val="20"/>
                <w:szCs w:val="20"/>
              </w:rPr>
            </w:pPr>
            <w:r w:rsidRPr="0019762A">
              <w:rPr>
                <w:rFonts w:ascii="Arial" w:hAnsi="Arial" w:cs="Arial"/>
                <w:sz w:val="20"/>
                <w:szCs w:val="20"/>
              </w:rPr>
              <w:t>1,70,828</w:t>
            </w:r>
          </w:p>
        </w:tc>
        <w:tc>
          <w:tcPr>
            <w:tcW w:w="2268" w:type="dxa"/>
            <w:tcBorders>
              <w:top w:val="single" w:sz="4" w:space="0" w:color="auto"/>
              <w:left w:val="single" w:sz="4" w:space="0" w:color="auto"/>
              <w:bottom w:val="single" w:sz="4" w:space="0" w:color="auto"/>
              <w:right w:val="single" w:sz="4" w:space="0" w:color="auto"/>
            </w:tcBorders>
          </w:tcPr>
          <w:p w14:paraId="68AC360D" w14:textId="2222A1A7"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62</w:t>
            </w:r>
          </w:p>
        </w:tc>
        <w:tc>
          <w:tcPr>
            <w:tcW w:w="2693" w:type="dxa"/>
            <w:tcBorders>
              <w:top w:val="single" w:sz="4" w:space="0" w:color="auto"/>
              <w:left w:val="single" w:sz="4" w:space="0" w:color="auto"/>
              <w:bottom w:val="single" w:sz="4" w:space="0" w:color="auto"/>
              <w:right w:val="single" w:sz="4" w:space="0" w:color="auto"/>
            </w:tcBorders>
          </w:tcPr>
          <w:p w14:paraId="31A276DA" w14:textId="77777777"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15.50</w:t>
            </w:r>
          </w:p>
        </w:tc>
      </w:tr>
      <w:tr w:rsidR="00D974DA" w:rsidRPr="008B5E4A" w14:paraId="765D38F8" w14:textId="77777777" w:rsidTr="0019762A">
        <w:trPr>
          <w:jc w:val="center"/>
        </w:trPr>
        <w:tc>
          <w:tcPr>
            <w:tcW w:w="1555" w:type="dxa"/>
            <w:tcBorders>
              <w:top w:val="single" w:sz="4" w:space="0" w:color="auto"/>
              <w:left w:val="single" w:sz="4" w:space="0" w:color="auto"/>
              <w:bottom w:val="single" w:sz="4" w:space="0" w:color="auto"/>
              <w:right w:val="single" w:sz="4" w:space="0" w:color="auto"/>
            </w:tcBorders>
            <w:hideMark/>
          </w:tcPr>
          <w:p w14:paraId="2D925E02" w14:textId="77777777" w:rsidR="00D974DA" w:rsidRPr="008B5E4A" w:rsidRDefault="00D974DA" w:rsidP="008B5E4A">
            <w:pPr>
              <w:widowControl w:val="0"/>
              <w:rPr>
                <w:rFonts w:ascii="Arial" w:hAnsi="Arial" w:cs="Arial"/>
                <w:sz w:val="20"/>
                <w:szCs w:val="20"/>
              </w:rPr>
            </w:pPr>
            <w:proofErr w:type="spellStart"/>
            <w:r w:rsidRPr="008B5E4A">
              <w:rPr>
                <w:rFonts w:ascii="Arial" w:hAnsi="Arial" w:cs="Arial"/>
                <w:sz w:val="20"/>
                <w:szCs w:val="20"/>
              </w:rPr>
              <w:t>Hapur</w:t>
            </w:r>
            <w:proofErr w:type="spellEnd"/>
          </w:p>
        </w:tc>
        <w:tc>
          <w:tcPr>
            <w:tcW w:w="2268" w:type="dxa"/>
            <w:tcBorders>
              <w:top w:val="single" w:sz="4" w:space="0" w:color="auto"/>
              <w:left w:val="single" w:sz="4" w:space="0" w:color="auto"/>
              <w:bottom w:val="single" w:sz="4" w:space="0" w:color="auto"/>
              <w:right w:val="single" w:sz="4" w:space="0" w:color="auto"/>
            </w:tcBorders>
          </w:tcPr>
          <w:p w14:paraId="189E3ECD" w14:textId="6309A39B" w:rsidR="00D974DA" w:rsidRPr="0019762A" w:rsidRDefault="0019762A" w:rsidP="0019762A">
            <w:pPr>
              <w:widowControl w:val="0"/>
              <w:jc w:val="center"/>
              <w:rPr>
                <w:rFonts w:ascii="Arial" w:hAnsi="Arial" w:cs="Arial"/>
                <w:sz w:val="20"/>
                <w:szCs w:val="20"/>
              </w:rPr>
            </w:pPr>
            <w:r w:rsidRPr="0019762A">
              <w:rPr>
                <w:rFonts w:ascii="Arial" w:hAnsi="Arial" w:cs="Arial"/>
                <w:sz w:val="20"/>
                <w:szCs w:val="20"/>
              </w:rPr>
              <w:t>80,836</w:t>
            </w:r>
          </w:p>
        </w:tc>
        <w:tc>
          <w:tcPr>
            <w:tcW w:w="2268" w:type="dxa"/>
            <w:tcBorders>
              <w:top w:val="single" w:sz="4" w:space="0" w:color="auto"/>
              <w:left w:val="single" w:sz="4" w:space="0" w:color="auto"/>
              <w:bottom w:val="single" w:sz="4" w:space="0" w:color="auto"/>
              <w:right w:val="single" w:sz="4" w:space="0" w:color="auto"/>
            </w:tcBorders>
          </w:tcPr>
          <w:p w14:paraId="632D31AA" w14:textId="2AB90FC2"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30</w:t>
            </w:r>
          </w:p>
        </w:tc>
        <w:tc>
          <w:tcPr>
            <w:tcW w:w="2693" w:type="dxa"/>
            <w:tcBorders>
              <w:top w:val="single" w:sz="4" w:space="0" w:color="auto"/>
              <w:left w:val="single" w:sz="4" w:space="0" w:color="auto"/>
              <w:bottom w:val="single" w:sz="4" w:space="0" w:color="auto"/>
              <w:right w:val="single" w:sz="4" w:space="0" w:color="auto"/>
            </w:tcBorders>
          </w:tcPr>
          <w:p w14:paraId="57D736C6" w14:textId="77777777"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7.50</w:t>
            </w:r>
          </w:p>
        </w:tc>
      </w:tr>
      <w:tr w:rsidR="00D974DA" w:rsidRPr="008B5E4A" w14:paraId="50FA24CB" w14:textId="77777777" w:rsidTr="0019762A">
        <w:trPr>
          <w:jc w:val="center"/>
        </w:trPr>
        <w:tc>
          <w:tcPr>
            <w:tcW w:w="1555" w:type="dxa"/>
            <w:tcBorders>
              <w:top w:val="single" w:sz="4" w:space="0" w:color="auto"/>
              <w:left w:val="single" w:sz="4" w:space="0" w:color="auto"/>
              <w:bottom w:val="single" w:sz="4" w:space="0" w:color="auto"/>
              <w:right w:val="single" w:sz="4" w:space="0" w:color="auto"/>
            </w:tcBorders>
          </w:tcPr>
          <w:p w14:paraId="715F89A3" w14:textId="77777777" w:rsidR="00D974DA" w:rsidRPr="008B5E4A" w:rsidRDefault="00D974DA" w:rsidP="008B5E4A">
            <w:pPr>
              <w:widowControl w:val="0"/>
              <w:rPr>
                <w:rFonts w:ascii="Arial" w:hAnsi="Arial" w:cs="Arial"/>
                <w:sz w:val="20"/>
                <w:szCs w:val="20"/>
              </w:rPr>
            </w:pPr>
            <w:r w:rsidRPr="008B5E4A">
              <w:rPr>
                <w:rFonts w:ascii="Arial" w:hAnsi="Arial" w:cs="Arial"/>
                <w:sz w:val="20"/>
                <w:szCs w:val="20"/>
              </w:rPr>
              <w:t>Meerut</w:t>
            </w:r>
          </w:p>
        </w:tc>
        <w:tc>
          <w:tcPr>
            <w:tcW w:w="2268" w:type="dxa"/>
            <w:tcBorders>
              <w:top w:val="single" w:sz="4" w:space="0" w:color="auto"/>
              <w:left w:val="single" w:sz="4" w:space="0" w:color="auto"/>
              <w:bottom w:val="single" w:sz="4" w:space="0" w:color="auto"/>
              <w:right w:val="single" w:sz="4" w:space="0" w:color="auto"/>
            </w:tcBorders>
          </w:tcPr>
          <w:p w14:paraId="2EBC7A1C" w14:textId="5406361D" w:rsidR="00D974DA" w:rsidRPr="0019762A" w:rsidRDefault="0019762A" w:rsidP="0019762A">
            <w:pPr>
              <w:widowControl w:val="0"/>
              <w:jc w:val="center"/>
              <w:rPr>
                <w:rFonts w:ascii="Arial" w:hAnsi="Arial" w:cs="Arial"/>
                <w:sz w:val="20"/>
                <w:szCs w:val="20"/>
              </w:rPr>
            </w:pPr>
            <w:r w:rsidRPr="0019762A">
              <w:rPr>
                <w:rFonts w:ascii="Arial" w:hAnsi="Arial" w:cs="Arial"/>
                <w:sz w:val="20"/>
                <w:szCs w:val="20"/>
              </w:rPr>
              <w:t>2,70,888</w:t>
            </w:r>
          </w:p>
        </w:tc>
        <w:tc>
          <w:tcPr>
            <w:tcW w:w="2268" w:type="dxa"/>
            <w:tcBorders>
              <w:top w:val="single" w:sz="4" w:space="0" w:color="auto"/>
              <w:left w:val="single" w:sz="4" w:space="0" w:color="auto"/>
              <w:bottom w:val="single" w:sz="4" w:space="0" w:color="auto"/>
              <w:right w:val="single" w:sz="4" w:space="0" w:color="auto"/>
            </w:tcBorders>
          </w:tcPr>
          <w:p w14:paraId="793022AE" w14:textId="1F44D56D"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98</w:t>
            </w:r>
          </w:p>
        </w:tc>
        <w:tc>
          <w:tcPr>
            <w:tcW w:w="2693" w:type="dxa"/>
            <w:tcBorders>
              <w:top w:val="single" w:sz="4" w:space="0" w:color="auto"/>
              <w:left w:val="single" w:sz="4" w:space="0" w:color="auto"/>
              <w:bottom w:val="single" w:sz="4" w:space="0" w:color="auto"/>
              <w:right w:val="single" w:sz="4" w:space="0" w:color="auto"/>
            </w:tcBorders>
          </w:tcPr>
          <w:p w14:paraId="46AF5FC7" w14:textId="77777777"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24.50</w:t>
            </w:r>
          </w:p>
        </w:tc>
      </w:tr>
      <w:tr w:rsidR="00D974DA" w:rsidRPr="008B5E4A" w14:paraId="78175E88" w14:textId="77777777" w:rsidTr="0019762A">
        <w:trPr>
          <w:jc w:val="center"/>
        </w:trPr>
        <w:tc>
          <w:tcPr>
            <w:tcW w:w="1555" w:type="dxa"/>
            <w:tcBorders>
              <w:top w:val="single" w:sz="4" w:space="0" w:color="auto"/>
              <w:left w:val="single" w:sz="4" w:space="0" w:color="auto"/>
              <w:bottom w:val="single" w:sz="4" w:space="0" w:color="auto"/>
              <w:right w:val="single" w:sz="4" w:space="0" w:color="auto"/>
            </w:tcBorders>
            <w:hideMark/>
          </w:tcPr>
          <w:p w14:paraId="27624EDF" w14:textId="77777777" w:rsidR="00D974DA" w:rsidRPr="008B5E4A" w:rsidRDefault="00D974DA" w:rsidP="008B5E4A">
            <w:pPr>
              <w:widowControl w:val="0"/>
              <w:rPr>
                <w:rFonts w:ascii="Arial" w:hAnsi="Arial" w:cs="Arial"/>
                <w:sz w:val="20"/>
                <w:szCs w:val="20"/>
              </w:rPr>
            </w:pPr>
            <w:r w:rsidRPr="008B5E4A">
              <w:rPr>
                <w:rFonts w:ascii="Arial" w:hAnsi="Arial" w:cs="Arial"/>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574F7B0E" w14:textId="2F5C8D67" w:rsidR="00D974DA" w:rsidRPr="0019762A" w:rsidRDefault="0019762A" w:rsidP="0019762A">
            <w:pPr>
              <w:widowControl w:val="0"/>
              <w:jc w:val="center"/>
              <w:rPr>
                <w:rFonts w:ascii="Arial" w:hAnsi="Arial" w:cs="Arial"/>
                <w:sz w:val="20"/>
                <w:szCs w:val="20"/>
              </w:rPr>
            </w:pPr>
            <w:r w:rsidRPr="0019762A">
              <w:rPr>
                <w:rFonts w:ascii="Arial" w:hAnsi="Arial" w:cs="Arial"/>
                <w:sz w:val="20"/>
                <w:szCs w:val="20"/>
              </w:rPr>
              <w:t>11,00,924</w:t>
            </w:r>
          </w:p>
        </w:tc>
        <w:tc>
          <w:tcPr>
            <w:tcW w:w="2268" w:type="dxa"/>
            <w:tcBorders>
              <w:top w:val="single" w:sz="4" w:space="0" w:color="auto"/>
              <w:left w:val="single" w:sz="4" w:space="0" w:color="auto"/>
              <w:bottom w:val="single" w:sz="4" w:space="0" w:color="auto"/>
              <w:right w:val="single" w:sz="4" w:space="0" w:color="auto"/>
            </w:tcBorders>
          </w:tcPr>
          <w:p w14:paraId="017893A9" w14:textId="27BB4B96"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400</w:t>
            </w:r>
          </w:p>
        </w:tc>
        <w:tc>
          <w:tcPr>
            <w:tcW w:w="2693" w:type="dxa"/>
            <w:tcBorders>
              <w:top w:val="single" w:sz="4" w:space="0" w:color="auto"/>
              <w:left w:val="single" w:sz="4" w:space="0" w:color="auto"/>
              <w:bottom w:val="single" w:sz="4" w:space="0" w:color="auto"/>
              <w:right w:val="single" w:sz="4" w:space="0" w:color="auto"/>
            </w:tcBorders>
          </w:tcPr>
          <w:p w14:paraId="09C57B49" w14:textId="77777777" w:rsidR="00D974DA" w:rsidRPr="008B5E4A" w:rsidRDefault="00D974DA" w:rsidP="008B5E4A">
            <w:pPr>
              <w:widowControl w:val="0"/>
              <w:jc w:val="center"/>
              <w:rPr>
                <w:rFonts w:ascii="Arial" w:hAnsi="Arial" w:cs="Arial"/>
                <w:sz w:val="20"/>
                <w:szCs w:val="20"/>
              </w:rPr>
            </w:pPr>
            <w:r w:rsidRPr="008B5E4A">
              <w:rPr>
                <w:rFonts w:ascii="Arial" w:hAnsi="Arial" w:cs="Arial"/>
                <w:sz w:val="20"/>
                <w:szCs w:val="20"/>
              </w:rPr>
              <w:t>100.00</w:t>
            </w:r>
          </w:p>
        </w:tc>
      </w:tr>
      <w:tr w:rsidR="0019762A" w:rsidRPr="008B5E4A" w14:paraId="4A68D36C" w14:textId="77777777" w:rsidTr="005A4DCF">
        <w:trPr>
          <w:jc w:val="center"/>
        </w:trPr>
        <w:tc>
          <w:tcPr>
            <w:tcW w:w="8784" w:type="dxa"/>
            <w:gridSpan w:val="4"/>
            <w:tcBorders>
              <w:top w:val="single" w:sz="4" w:space="0" w:color="auto"/>
              <w:left w:val="single" w:sz="4" w:space="0" w:color="auto"/>
              <w:bottom w:val="single" w:sz="4" w:space="0" w:color="auto"/>
              <w:right w:val="single" w:sz="4" w:space="0" w:color="auto"/>
            </w:tcBorders>
          </w:tcPr>
          <w:p w14:paraId="49973F6B" w14:textId="3A824B59" w:rsidR="0019762A" w:rsidRPr="0019762A" w:rsidRDefault="0019762A" w:rsidP="0019762A">
            <w:pPr>
              <w:pStyle w:val="Default"/>
              <w:widowControl w:val="0"/>
              <w:jc w:val="both"/>
              <w:rPr>
                <w:rFonts w:ascii="Arial" w:hAnsi="Arial" w:cs="Arial"/>
                <w:b/>
                <w:bCs/>
                <w:color w:val="auto"/>
                <w:sz w:val="22"/>
                <w:szCs w:val="22"/>
                <w:lang w:bidi="hi-IN"/>
              </w:rPr>
            </w:pPr>
            <w:r w:rsidRPr="0019762A">
              <w:rPr>
                <w:rFonts w:ascii="Arial" w:hAnsi="Arial" w:cs="Arial"/>
                <w:b/>
                <w:bCs/>
                <w:sz w:val="20"/>
                <w:szCs w:val="20"/>
              </w:rPr>
              <w:t xml:space="preserve">* </w:t>
            </w:r>
            <w:r w:rsidRPr="0019762A">
              <w:rPr>
                <w:rFonts w:ascii="Arial" w:hAnsi="Arial" w:cs="Arial"/>
                <w:sz w:val="20"/>
                <w:szCs w:val="20"/>
              </w:rPr>
              <w:t xml:space="preserve">Census-2011, (Compiled), </w:t>
            </w:r>
            <w:hyperlink r:id="rId7" w:history="1">
              <w:r w:rsidRPr="0019762A">
                <w:rPr>
                  <w:rStyle w:val="Hyperlink"/>
                  <w:rFonts w:ascii="Arial" w:hAnsi="Arial" w:cs="Arial"/>
                  <w:color w:val="auto"/>
                  <w:sz w:val="20"/>
                  <w:szCs w:val="20"/>
                </w:rPr>
                <w:t>www.censusindia.gov.in</w:t>
              </w:r>
            </w:hyperlink>
            <w:r w:rsidRPr="0019762A">
              <w:rPr>
                <w:rFonts w:ascii="Arial" w:hAnsi="Arial" w:cs="Arial"/>
                <w:sz w:val="20"/>
                <w:szCs w:val="20"/>
              </w:rPr>
              <w:t>. Cultivators in West UP: 53, 75,301.</w:t>
            </w:r>
          </w:p>
        </w:tc>
      </w:tr>
    </w:tbl>
    <w:p w14:paraId="339289E5" w14:textId="2B13ADA3" w:rsidR="008B5E4A" w:rsidRPr="008B5E4A" w:rsidRDefault="008B5E4A" w:rsidP="008B5E4A">
      <w:pPr>
        <w:pStyle w:val="ListParagraph"/>
        <w:widowControl w:val="0"/>
        <w:spacing w:before="120" w:after="0" w:line="240" w:lineRule="auto"/>
        <w:ind w:left="360"/>
        <w:rPr>
          <w:rFonts w:ascii="Arial" w:hAnsi="Arial" w:cs="Arial"/>
          <w:i/>
          <w:iCs/>
          <w:sz w:val="20"/>
          <w:szCs w:val="20"/>
        </w:rPr>
      </w:pPr>
      <w:r w:rsidRPr="008B5E4A">
        <w:rPr>
          <w:rFonts w:ascii="Arial" w:hAnsi="Arial" w:cs="Arial"/>
          <w:i/>
          <w:iCs/>
          <w:sz w:val="20"/>
          <w:szCs w:val="20"/>
        </w:rPr>
        <w:t xml:space="preserve">       Source:</w:t>
      </w:r>
      <w:r w:rsidRPr="008B5E4A">
        <w:rPr>
          <w:rFonts w:ascii="Arial" w:hAnsi="Arial" w:cs="Arial"/>
          <w:b/>
          <w:bCs/>
          <w:i/>
          <w:iCs/>
          <w:sz w:val="20"/>
          <w:szCs w:val="20"/>
        </w:rPr>
        <w:t xml:space="preserve"> </w:t>
      </w:r>
      <w:r w:rsidRPr="008B5E4A">
        <w:rPr>
          <w:rFonts w:ascii="Arial" w:hAnsi="Arial" w:cs="Arial"/>
          <w:i/>
          <w:iCs/>
          <w:sz w:val="20"/>
          <w:szCs w:val="20"/>
        </w:rPr>
        <w:t>Primary data</w:t>
      </w:r>
    </w:p>
    <w:p w14:paraId="17C0E971" w14:textId="77777777" w:rsidR="008B5E4A" w:rsidRPr="008B5E4A" w:rsidRDefault="008B5E4A" w:rsidP="008B5E4A">
      <w:pPr>
        <w:widowControl w:val="0"/>
        <w:autoSpaceDE w:val="0"/>
        <w:autoSpaceDN w:val="0"/>
        <w:adjustRightInd w:val="0"/>
        <w:spacing w:after="0" w:line="240" w:lineRule="auto"/>
        <w:jc w:val="both"/>
        <w:rPr>
          <w:rFonts w:ascii="Arial" w:hAnsi="Arial" w:cs="Arial"/>
          <w:sz w:val="20"/>
          <w:szCs w:val="20"/>
          <w:lang w:bidi="hi-IN"/>
        </w:rPr>
      </w:pPr>
      <w:r w:rsidRPr="008B5E4A">
        <w:rPr>
          <w:rFonts w:ascii="Arial" w:hAnsi="Arial" w:cs="Arial"/>
          <w:sz w:val="20"/>
          <w:szCs w:val="20"/>
          <w:lang w:bidi="hi-IN"/>
        </w:rPr>
        <w:lastRenderedPageBreak/>
        <w:t xml:space="preserve">Based on collected information, it was found that non-adaptation of CSA practice reduces revenue by 10% on average. </w:t>
      </w:r>
    </w:p>
    <w:p w14:paraId="434A84C7" w14:textId="77777777" w:rsidR="008B5E4A" w:rsidRPr="008B5E4A" w:rsidRDefault="008B5E4A" w:rsidP="008B5E4A">
      <w:pPr>
        <w:widowControl w:val="0"/>
        <w:autoSpaceDE w:val="0"/>
        <w:autoSpaceDN w:val="0"/>
        <w:adjustRightInd w:val="0"/>
        <w:spacing w:after="0" w:line="240" w:lineRule="auto"/>
        <w:jc w:val="both"/>
        <w:rPr>
          <w:rFonts w:ascii="Arial" w:hAnsi="Arial" w:cs="Arial"/>
          <w:sz w:val="20"/>
          <w:szCs w:val="20"/>
        </w:rPr>
      </w:pPr>
      <w:r w:rsidRPr="008B5E4A">
        <w:rPr>
          <w:rFonts w:ascii="Arial" w:hAnsi="Arial" w:cs="Arial"/>
          <w:sz w:val="20"/>
          <w:szCs w:val="20"/>
        </w:rPr>
        <w:t>For calculating Benefit–to–Cost Ratio (BCR), firstly, the benefit from each CSA practice is calculated using the following equation.</w:t>
      </w:r>
    </w:p>
    <w:p w14:paraId="1CD499EA" w14:textId="77777777" w:rsidR="008B5E4A" w:rsidRPr="008B5E4A" w:rsidRDefault="008B5E4A" w:rsidP="008B5E4A">
      <w:pPr>
        <w:pStyle w:val="ListParagraph"/>
        <w:widowControl w:val="0"/>
        <w:autoSpaceDE w:val="0"/>
        <w:autoSpaceDN w:val="0"/>
        <w:adjustRightInd w:val="0"/>
        <w:spacing w:after="0" w:line="240" w:lineRule="auto"/>
        <w:ind w:left="360"/>
        <w:jc w:val="both"/>
        <w:rPr>
          <w:rFonts w:ascii="Arial" w:hAnsi="Arial" w:cs="Arial"/>
          <w:iCs/>
          <w:sz w:val="20"/>
          <w:szCs w:val="20"/>
        </w:rPr>
      </w:pPr>
      <m:oMathPara>
        <m:oMath>
          <m:r>
            <m:rPr>
              <m:sty m:val="p"/>
            </m:rPr>
            <w:rPr>
              <w:rFonts w:ascii="Cambria Math" w:hAnsi="Cambria Math" w:cs="Arial"/>
              <w:sz w:val="20"/>
              <w:szCs w:val="20"/>
            </w:rPr>
            <m:t>BCSAP</m:t>
          </m:r>
          <m:r>
            <m:rPr>
              <m:sty m:val="p"/>
            </m:rPr>
            <w:rPr>
              <w:rFonts w:ascii="Cambria Math" w:hAnsi="Cambria Math" w:cs="Arial"/>
              <w:sz w:val="20"/>
              <w:szCs w:val="20"/>
              <w:vertAlign w:val="subscript"/>
            </w:rPr>
            <m:t>n=(</m:t>
          </m:r>
          <m:r>
            <m:rPr>
              <m:sty m:val="p"/>
            </m:rPr>
            <w:rPr>
              <w:rFonts w:ascii="Cambria Math" w:hAnsi="Cambria Math" w:cs="Arial"/>
              <w:sz w:val="20"/>
              <w:szCs w:val="20"/>
            </w:rPr>
            <m:t>RCSAP</m:t>
          </m:r>
          <m:r>
            <m:rPr>
              <m:sty m:val="p"/>
            </m:rPr>
            <w:rPr>
              <w:rFonts w:ascii="Cambria Math" w:hAnsi="Cambria Math" w:cs="Arial"/>
              <w:sz w:val="20"/>
              <w:szCs w:val="20"/>
              <w:vertAlign w:val="subscript"/>
            </w:rPr>
            <m:t xml:space="preserve">nt </m:t>
          </m:r>
          <m:r>
            <m:rPr>
              <m:sty m:val="p"/>
            </m:rPr>
            <w:rPr>
              <w:rFonts w:ascii="Cambria Math" w:hAnsi="Cambria Math" w:cs="Arial"/>
              <w:sz w:val="20"/>
              <w:szCs w:val="20"/>
            </w:rPr>
            <m:t>- TVCSAP</m:t>
          </m:r>
          <m:r>
            <m:rPr>
              <m:sty m:val="p"/>
            </m:rPr>
            <w:rPr>
              <w:rFonts w:ascii="Cambria Math" w:hAnsi="Cambria Math" w:cs="Arial"/>
              <w:sz w:val="20"/>
              <w:szCs w:val="20"/>
              <w:vertAlign w:val="subscript"/>
            </w:rPr>
            <m:t>nt</m:t>
          </m:r>
          <m:r>
            <m:rPr>
              <m:sty m:val="p"/>
            </m:rPr>
            <w:rPr>
              <w:rFonts w:ascii="Cambria Math" w:hAnsi="Cambria Math" w:cs="Arial"/>
              <w:sz w:val="20"/>
              <w:szCs w:val="20"/>
            </w:rPr>
            <m:t xml:space="preserve">) </m:t>
          </m:r>
        </m:oMath>
      </m:oMathPara>
    </w:p>
    <w:p w14:paraId="232174C2" w14:textId="77777777" w:rsidR="008B5E4A" w:rsidRPr="008B5E4A" w:rsidRDefault="008B5E4A" w:rsidP="008B5E4A">
      <w:pPr>
        <w:widowControl w:val="0"/>
        <w:spacing w:after="0" w:line="240" w:lineRule="auto"/>
        <w:jc w:val="both"/>
        <w:rPr>
          <w:rFonts w:ascii="Arial" w:hAnsi="Arial" w:cs="Arial"/>
          <w:sz w:val="20"/>
          <w:szCs w:val="20"/>
        </w:rPr>
      </w:pPr>
      <w:r w:rsidRPr="008B5E4A">
        <w:rPr>
          <w:rFonts w:ascii="Arial" w:hAnsi="Arial" w:cs="Arial"/>
          <w:sz w:val="20"/>
          <w:szCs w:val="20"/>
        </w:rPr>
        <w:t xml:space="preserve">Where: </w:t>
      </w:r>
      <w:proofErr w:type="spellStart"/>
      <w:r w:rsidRPr="008B5E4A">
        <w:rPr>
          <w:rFonts w:ascii="Arial" w:hAnsi="Arial" w:cs="Arial"/>
          <w:sz w:val="20"/>
          <w:szCs w:val="20"/>
        </w:rPr>
        <w:t>BCSAP</w:t>
      </w:r>
      <w:r w:rsidRPr="008B5E4A">
        <w:rPr>
          <w:rFonts w:ascii="Arial" w:hAnsi="Arial" w:cs="Arial"/>
          <w:sz w:val="20"/>
          <w:szCs w:val="20"/>
          <w:vertAlign w:val="subscript"/>
        </w:rPr>
        <w:t>n</w:t>
      </w:r>
      <w:proofErr w:type="spellEnd"/>
      <w:r w:rsidRPr="008B5E4A">
        <w:rPr>
          <w:rFonts w:ascii="Arial" w:hAnsi="Arial" w:cs="Arial"/>
          <w:sz w:val="20"/>
          <w:szCs w:val="20"/>
        </w:rPr>
        <w:t xml:space="preserve"> represents the benefit from the n</w:t>
      </w:r>
      <w:r w:rsidRPr="008B5E4A">
        <w:rPr>
          <w:rFonts w:ascii="Arial" w:hAnsi="Arial" w:cs="Arial"/>
          <w:sz w:val="20"/>
          <w:szCs w:val="20"/>
          <w:vertAlign w:val="superscript"/>
        </w:rPr>
        <w:t>th</w:t>
      </w:r>
      <w:r w:rsidRPr="008B5E4A">
        <w:rPr>
          <w:rFonts w:ascii="Arial" w:hAnsi="Arial" w:cs="Arial"/>
          <w:sz w:val="20"/>
          <w:szCs w:val="20"/>
        </w:rPr>
        <w:t xml:space="preserve"> climate-smart agriculture practice, </w:t>
      </w:r>
      <w:proofErr w:type="spellStart"/>
      <w:r w:rsidRPr="008B5E4A">
        <w:rPr>
          <w:rFonts w:ascii="Arial" w:hAnsi="Arial" w:cs="Arial"/>
          <w:sz w:val="20"/>
          <w:szCs w:val="20"/>
          <w:lang w:bidi="hi-IN"/>
        </w:rPr>
        <w:t>RCSAP</w:t>
      </w:r>
      <w:r w:rsidRPr="008B5E4A">
        <w:rPr>
          <w:rFonts w:ascii="Arial" w:hAnsi="Arial" w:cs="Arial"/>
          <w:sz w:val="20"/>
          <w:szCs w:val="20"/>
          <w:vertAlign w:val="subscript"/>
          <w:lang w:bidi="hi-IN"/>
        </w:rPr>
        <w:t>nt</w:t>
      </w:r>
      <w:proofErr w:type="spellEnd"/>
      <w:r w:rsidRPr="008B5E4A">
        <w:rPr>
          <w:rFonts w:ascii="Arial" w:hAnsi="Arial" w:cs="Arial"/>
          <w:sz w:val="20"/>
          <w:szCs w:val="20"/>
          <w:vertAlign w:val="subscript"/>
          <w:lang w:bidi="hi-IN"/>
        </w:rPr>
        <w:t xml:space="preserve"> </w:t>
      </w:r>
      <w:r w:rsidRPr="008B5E4A">
        <w:rPr>
          <w:rFonts w:ascii="Arial" w:hAnsi="Arial" w:cs="Arial"/>
          <w:sz w:val="20"/>
          <w:szCs w:val="20"/>
        </w:rPr>
        <w:t>is revenue from the n</w:t>
      </w:r>
      <w:r w:rsidRPr="008B5E4A">
        <w:rPr>
          <w:rFonts w:ascii="Arial" w:hAnsi="Arial" w:cs="Arial"/>
          <w:sz w:val="20"/>
          <w:szCs w:val="20"/>
          <w:vertAlign w:val="superscript"/>
        </w:rPr>
        <w:t>th</w:t>
      </w:r>
      <w:r w:rsidRPr="008B5E4A">
        <w:rPr>
          <w:rFonts w:ascii="Arial" w:hAnsi="Arial" w:cs="Arial"/>
          <w:sz w:val="20"/>
          <w:szCs w:val="20"/>
        </w:rPr>
        <w:t xml:space="preserve"> climate-smart agriculture practice in year t, and </w:t>
      </w:r>
      <w:proofErr w:type="spellStart"/>
      <w:r w:rsidRPr="008B5E4A">
        <w:rPr>
          <w:rFonts w:ascii="Arial" w:hAnsi="Arial" w:cs="Arial"/>
          <w:sz w:val="20"/>
          <w:szCs w:val="20"/>
          <w:lang w:bidi="hi-IN"/>
        </w:rPr>
        <w:t>TVCSAP</w:t>
      </w:r>
      <w:r w:rsidRPr="008B5E4A">
        <w:rPr>
          <w:rFonts w:ascii="Arial" w:hAnsi="Arial" w:cs="Arial"/>
          <w:sz w:val="20"/>
          <w:szCs w:val="20"/>
          <w:vertAlign w:val="subscript"/>
          <w:lang w:bidi="hi-IN"/>
        </w:rPr>
        <w:t>nt</w:t>
      </w:r>
      <w:proofErr w:type="spellEnd"/>
      <w:r w:rsidRPr="008B5E4A">
        <w:rPr>
          <w:rFonts w:ascii="Arial" w:hAnsi="Arial" w:cs="Arial"/>
          <w:sz w:val="20"/>
          <w:szCs w:val="20"/>
          <w:vertAlign w:val="subscript"/>
          <w:lang w:bidi="hi-IN"/>
        </w:rPr>
        <w:t xml:space="preserve"> </w:t>
      </w:r>
      <w:r w:rsidRPr="008B5E4A">
        <w:rPr>
          <w:rFonts w:ascii="Arial" w:hAnsi="Arial" w:cs="Arial"/>
          <w:sz w:val="20"/>
          <w:szCs w:val="20"/>
          <w:lang w:bidi="hi-IN"/>
        </w:rPr>
        <w:t>represents</w:t>
      </w:r>
      <w:r w:rsidRPr="008B5E4A">
        <w:rPr>
          <w:rFonts w:ascii="Arial" w:hAnsi="Arial" w:cs="Arial"/>
          <w:sz w:val="20"/>
          <w:szCs w:val="20"/>
        </w:rPr>
        <w:t xml:space="preserve"> the total variable cost of the n</w:t>
      </w:r>
      <w:r w:rsidRPr="008B5E4A">
        <w:rPr>
          <w:rFonts w:ascii="Arial" w:hAnsi="Arial" w:cs="Arial"/>
          <w:sz w:val="20"/>
          <w:szCs w:val="20"/>
          <w:vertAlign w:val="superscript"/>
        </w:rPr>
        <w:t>th</w:t>
      </w:r>
      <w:r w:rsidRPr="008B5E4A">
        <w:rPr>
          <w:rFonts w:ascii="Arial" w:hAnsi="Arial" w:cs="Arial"/>
          <w:sz w:val="20"/>
          <w:szCs w:val="20"/>
        </w:rPr>
        <w:t xml:space="preserve"> climate-smart agriculture practice in year t.</w:t>
      </w:r>
    </w:p>
    <w:p w14:paraId="55890CA5" w14:textId="77777777" w:rsidR="008B5E4A" w:rsidRPr="008B5E4A" w:rsidRDefault="008B5E4A" w:rsidP="008B5E4A">
      <w:pPr>
        <w:widowControl w:val="0"/>
        <w:autoSpaceDE w:val="0"/>
        <w:autoSpaceDN w:val="0"/>
        <w:adjustRightInd w:val="0"/>
        <w:spacing w:after="0" w:line="240" w:lineRule="auto"/>
        <w:jc w:val="both"/>
        <w:rPr>
          <w:rFonts w:ascii="Arial" w:hAnsi="Arial" w:cs="Arial"/>
          <w:sz w:val="20"/>
          <w:szCs w:val="20"/>
        </w:rPr>
      </w:pPr>
      <w:r w:rsidRPr="008B5E4A">
        <w:rPr>
          <w:rFonts w:ascii="Arial" w:hAnsi="Arial" w:cs="Arial"/>
          <w:sz w:val="20"/>
          <w:szCs w:val="20"/>
        </w:rPr>
        <w:t>The benefit-to-cost ratio (BCR), which is a financial ratio used to determine whether the amount of money made through a project will be greater than the costs incurred in its execution, is calculated by using the following formula.</w:t>
      </w:r>
    </w:p>
    <w:p w14:paraId="05B6EB70" w14:textId="77777777" w:rsidR="008B5E4A" w:rsidRPr="008B5E4A" w:rsidRDefault="008B5E4A" w:rsidP="008B5E4A">
      <w:pPr>
        <w:pStyle w:val="ListParagraph"/>
        <w:widowControl w:val="0"/>
        <w:autoSpaceDE w:val="0"/>
        <w:autoSpaceDN w:val="0"/>
        <w:adjustRightInd w:val="0"/>
        <w:spacing w:after="0" w:line="240" w:lineRule="auto"/>
        <w:ind w:left="360"/>
        <w:jc w:val="both"/>
        <w:rPr>
          <w:rFonts w:ascii="Arial" w:eastAsiaTheme="minorEastAsia" w:hAnsi="Arial" w:cs="Arial"/>
          <w:iCs/>
          <w:sz w:val="20"/>
          <w:szCs w:val="20"/>
        </w:rPr>
      </w:pPr>
      <m:oMathPara>
        <m:oMathParaPr>
          <m:jc m:val="center"/>
        </m:oMathParaPr>
        <m:oMath>
          <m:r>
            <m:rPr>
              <m:sty m:val="p"/>
            </m:rPr>
            <w:rPr>
              <w:rFonts w:ascii="Cambria Math" w:hAnsi="Cambria Math" w:cs="Arial"/>
              <w:sz w:val="20"/>
              <w:szCs w:val="20"/>
            </w:rPr>
            <m:t>BCR=</m:t>
          </m:r>
          <m:f>
            <m:fPr>
              <m:ctrlPr>
                <w:rPr>
                  <w:rFonts w:ascii="Cambria Math" w:hAnsi="Cambria Math" w:cs="Arial"/>
                  <w:iCs/>
                  <w:sz w:val="20"/>
                  <w:szCs w:val="20"/>
                </w:rPr>
              </m:ctrlPr>
            </m:fPr>
            <m:num>
              <m:r>
                <m:rPr>
                  <m:sty m:val="p"/>
                </m:rPr>
                <w:rPr>
                  <w:rFonts w:ascii="Cambria Math" w:hAnsi="Cambria Math" w:cs="Arial"/>
                  <w:sz w:val="20"/>
                  <w:szCs w:val="20"/>
                </w:rPr>
                <m:t>Benefit</m:t>
              </m:r>
            </m:num>
            <m:den>
              <m:r>
                <m:rPr>
                  <m:sty m:val="p"/>
                </m:rPr>
                <w:rPr>
                  <w:rFonts w:ascii="Cambria Math" w:hAnsi="Cambria Math" w:cs="Arial"/>
                  <w:sz w:val="20"/>
                  <w:szCs w:val="20"/>
                </w:rPr>
                <m:t>Total Costs</m:t>
              </m:r>
            </m:den>
          </m:f>
        </m:oMath>
      </m:oMathPara>
    </w:p>
    <w:p w14:paraId="7793E117" w14:textId="77777777" w:rsidR="00284022" w:rsidRPr="00284022" w:rsidRDefault="00284022" w:rsidP="00284022">
      <w:pPr>
        <w:widowControl w:val="0"/>
        <w:spacing w:after="0"/>
        <w:jc w:val="both"/>
        <w:rPr>
          <w:rFonts w:ascii="Arial" w:hAnsi="Arial" w:cs="Arial"/>
          <w:sz w:val="20"/>
          <w:szCs w:val="20"/>
        </w:rPr>
      </w:pPr>
      <w:r w:rsidRPr="00284022">
        <w:rPr>
          <w:rFonts w:ascii="Arial" w:hAnsi="Arial" w:cs="Arial"/>
          <w:sz w:val="20"/>
          <w:szCs w:val="20"/>
        </w:rPr>
        <w:t>In the domain of economic evaluation, NPV and Internal Rate of Return (IRR) are among the most widely adopted discounted cash flow techniques to ascertain the long-term profitability of agricultural interventions. However, the present analysis employs only the Net Present Value (NPV) criterion to estimate the cumulative discounted net benefits attributable to the adoption of CSA technologies.</w:t>
      </w:r>
    </w:p>
    <w:p w14:paraId="7F2F2B49" w14:textId="77777777" w:rsidR="00284022" w:rsidRPr="00284022" w:rsidRDefault="00284022" w:rsidP="00284022">
      <w:pPr>
        <w:widowControl w:val="0"/>
        <w:spacing w:after="0"/>
        <w:jc w:val="both"/>
        <w:rPr>
          <w:rFonts w:ascii="Arial" w:hAnsi="Arial" w:cs="Arial"/>
          <w:sz w:val="20"/>
          <w:szCs w:val="20"/>
        </w:rPr>
      </w:pPr>
      <w:r w:rsidRPr="00284022">
        <w:rPr>
          <w:rFonts w:ascii="Arial" w:hAnsi="Arial" w:cs="Arial"/>
          <w:sz w:val="20"/>
          <w:szCs w:val="20"/>
        </w:rPr>
        <w:t>The net economic benefit derived from each CSA intervention is computed using the standard NPV formulation:</w:t>
      </w:r>
    </w:p>
    <w:p w14:paraId="33C17B3F" w14:textId="77777777" w:rsidR="008B5E4A" w:rsidRPr="008B5E4A" w:rsidRDefault="008B5E4A" w:rsidP="008B5E4A">
      <w:pPr>
        <w:pStyle w:val="ListParagraph"/>
        <w:widowControl w:val="0"/>
        <w:spacing w:after="0" w:line="240" w:lineRule="auto"/>
        <w:ind w:left="360"/>
        <w:jc w:val="both"/>
        <w:rPr>
          <w:rFonts w:ascii="Arial" w:eastAsiaTheme="minorEastAsia" w:hAnsi="Arial" w:cs="Arial"/>
          <w:iCs/>
          <w:sz w:val="20"/>
          <w:szCs w:val="20"/>
        </w:rPr>
      </w:pPr>
      <m:oMathPara>
        <m:oMathParaPr>
          <m:jc m:val="center"/>
        </m:oMathParaPr>
        <m:oMath>
          <m:r>
            <m:rPr>
              <m:sty m:val="p"/>
            </m:rPr>
            <w:rPr>
              <w:rFonts w:ascii="Cambria Math" w:hAnsi="Cambria Math" w:cs="Arial"/>
              <w:sz w:val="20"/>
              <w:szCs w:val="20"/>
            </w:rPr>
            <m:t>Net Benefit</m:t>
          </m:r>
          <m:r>
            <m:rPr>
              <m:sty m:val="p"/>
            </m:rPr>
            <w:rPr>
              <w:rFonts w:ascii="Cambria Math" w:hAnsi="Cambria Math" w:cs="Arial"/>
              <w:sz w:val="20"/>
              <w:szCs w:val="20"/>
              <w:vertAlign w:val="subscript"/>
            </w:rPr>
            <m:t>=</m:t>
          </m:r>
          <m:d>
            <m:dPr>
              <m:ctrlPr>
                <w:rPr>
                  <w:rFonts w:ascii="Cambria Math" w:hAnsi="Cambria Math" w:cs="Arial"/>
                  <w:iCs/>
                  <w:sz w:val="20"/>
                  <w:szCs w:val="20"/>
                  <w:vertAlign w:val="subscript"/>
                </w:rPr>
              </m:ctrlPr>
            </m:dPr>
            <m:e>
              <m:r>
                <m:rPr>
                  <m:sty m:val="p"/>
                </m:rPr>
                <w:rPr>
                  <w:rFonts w:ascii="Cambria Math" w:hAnsi="Cambria Math" w:cs="Arial"/>
                  <w:sz w:val="20"/>
                  <w:szCs w:val="20"/>
                </w:rPr>
                <m:t>Benefit with use of CSA Practice -Benefit without use of CSA Practice</m:t>
              </m:r>
              <m:ctrlPr>
                <w:rPr>
                  <w:rFonts w:ascii="Cambria Math" w:hAnsi="Cambria Math" w:cs="Arial"/>
                  <w:iCs/>
                  <w:sz w:val="20"/>
                  <w:szCs w:val="20"/>
                </w:rPr>
              </m:ctrlPr>
            </m:e>
          </m:d>
        </m:oMath>
      </m:oMathPara>
    </w:p>
    <w:p w14:paraId="20A1FEC0" w14:textId="77777777" w:rsidR="008B5E4A" w:rsidRPr="008B5E4A" w:rsidRDefault="008B5E4A" w:rsidP="008B5E4A">
      <w:pPr>
        <w:widowControl w:val="0"/>
        <w:spacing w:after="0" w:line="240" w:lineRule="auto"/>
        <w:jc w:val="both"/>
        <w:rPr>
          <w:rFonts w:ascii="Arial" w:eastAsiaTheme="minorEastAsia" w:hAnsi="Arial" w:cs="Arial"/>
          <w:sz w:val="20"/>
          <w:szCs w:val="20"/>
        </w:rPr>
      </w:pPr>
      <w:r w:rsidRPr="008B5E4A">
        <w:rPr>
          <w:rFonts w:ascii="Arial" w:hAnsi="Arial" w:cs="Arial"/>
          <w:sz w:val="20"/>
          <w:szCs w:val="20"/>
        </w:rPr>
        <w:t>NPV of each CSA practice is calculated by using the following formula.</w:t>
      </w:r>
    </w:p>
    <w:p w14:paraId="01B6BD95" w14:textId="77777777" w:rsidR="008B5E4A" w:rsidRPr="008B5E4A" w:rsidRDefault="008B5E4A" w:rsidP="008B5E4A">
      <w:pPr>
        <w:pStyle w:val="ListParagraph"/>
        <w:widowControl w:val="0"/>
        <w:autoSpaceDE w:val="0"/>
        <w:autoSpaceDN w:val="0"/>
        <w:adjustRightInd w:val="0"/>
        <w:spacing w:after="0" w:line="240" w:lineRule="auto"/>
        <w:ind w:left="360"/>
        <w:contextualSpacing w:val="0"/>
        <w:jc w:val="both"/>
        <w:rPr>
          <w:rFonts w:ascii="Arial" w:hAnsi="Arial" w:cs="Arial"/>
          <w:iCs/>
          <w:sz w:val="20"/>
          <w:szCs w:val="20"/>
        </w:rPr>
      </w:pPr>
      <m:oMathPara>
        <m:oMathParaPr>
          <m:jc m:val="center"/>
        </m:oMathParaPr>
        <m:oMath>
          <m:r>
            <m:rPr>
              <m:sty m:val="p"/>
            </m:rPr>
            <w:rPr>
              <w:rFonts w:ascii="Cambria Math" w:hAnsi="Cambria Math" w:cs="Arial"/>
              <w:sz w:val="20"/>
              <w:szCs w:val="20"/>
            </w:rPr>
            <m:t xml:space="preserve">NPV= </m:t>
          </m:r>
          <m:nary>
            <m:naryPr>
              <m:chr m:val="∑"/>
              <m:limLoc m:val="subSup"/>
              <m:ctrlPr>
                <w:rPr>
                  <w:rFonts w:ascii="Cambria Math" w:hAnsi="Cambria Math" w:cs="Arial"/>
                  <w:iCs/>
                  <w:sz w:val="20"/>
                  <w:szCs w:val="20"/>
                  <w:lang w:val="en-US"/>
                </w:rPr>
              </m:ctrlPr>
            </m:naryPr>
            <m:sub>
              <m:r>
                <m:rPr>
                  <m:sty m:val="p"/>
                </m:rPr>
                <w:rPr>
                  <w:rFonts w:ascii="Cambria Math" w:hAnsi="Cambria Math" w:cs="Arial"/>
                  <w:sz w:val="20"/>
                  <w:szCs w:val="20"/>
                </w:rPr>
                <m:t>t</m:t>
              </m:r>
            </m:sub>
            <m:sup>
              <m:r>
                <m:rPr>
                  <m:sty m:val="p"/>
                </m:rPr>
                <w:rPr>
                  <w:rFonts w:ascii="Cambria Math" w:hAnsi="Cambria Math" w:cs="Arial"/>
                  <w:sz w:val="20"/>
                  <w:szCs w:val="20"/>
                </w:rPr>
                <m:t>n</m:t>
              </m:r>
            </m:sup>
            <m:e>
              <m:r>
                <m:rPr>
                  <m:sty m:val="p"/>
                </m:rPr>
                <w:rPr>
                  <w:rFonts w:ascii="Cambria Math" w:hAnsi="Cambria Math" w:cs="Arial"/>
                  <w:sz w:val="20"/>
                  <w:szCs w:val="20"/>
                </w:rPr>
                <m:t>PVF(Bt-Ct)</m:t>
              </m:r>
            </m:e>
          </m:nary>
          <m:r>
            <m:rPr>
              <m:sty m:val="p"/>
            </m:rPr>
            <w:rPr>
              <w:rFonts w:ascii="Cambria Math" w:hAnsi="Cambria Math" w:cs="Arial"/>
              <w:sz w:val="20"/>
              <w:szCs w:val="20"/>
            </w:rPr>
            <m:t xml:space="preserve"> </m:t>
          </m:r>
        </m:oMath>
      </m:oMathPara>
    </w:p>
    <w:p w14:paraId="5A93A896" w14:textId="77777777" w:rsidR="008B5E4A" w:rsidRPr="008B5E4A" w:rsidRDefault="008B5E4A" w:rsidP="008B5E4A">
      <w:pPr>
        <w:widowControl w:val="0"/>
        <w:autoSpaceDE w:val="0"/>
        <w:autoSpaceDN w:val="0"/>
        <w:adjustRightInd w:val="0"/>
        <w:spacing w:after="0" w:line="240" w:lineRule="auto"/>
        <w:jc w:val="both"/>
        <w:rPr>
          <w:rFonts w:ascii="Arial" w:eastAsiaTheme="minorEastAsia" w:hAnsi="Arial" w:cs="Arial"/>
          <w:sz w:val="20"/>
          <w:szCs w:val="20"/>
        </w:rPr>
      </w:pPr>
      <w:r w:rsidRPr="008B5E4A">
        <w:rPr>
          <w:rFonts w:ascii="Arial" w:eastAsiaTheme="minorEastAsia" w:hAnsi="Arial" w:cs="Arial"/>
          <w:sz w:val="20"/>
          <w:szCs w:val="20"/>
        </w:rPr>
        <w:t xml:space="preserve">Where: </w:t>
      </w:r>
      <w:proofErr w:type="spellStart"/>
      <w:r w:rsidRPr="008B5E4A">
        <w:rPr>
          <w:rFonts w:ascii="Arial" w:eastAsiaTheme="minorEastAsia" w:hAnsi="Arial" w:cs="Arial"/>
          <w:sz w:val="20"/>
          <w:szCs w:val="20"/>
        </w:rPr>
        <w:t>Bt</w:t>
      </w:r>
      <w:proofErr w:type="spellEnd"/>
      <w:r w:rsidRPr="008B5E4A">
        <w:rPr>
          <w:rFonts w:ascii="Arial" w:eastAsiaTheme="minorEastAsia" w:hAnsi="Arial" w:cs="Arial"/>
          <w:sz w:val="20"/>
          <w:szCs w:val="20"/>
        </w:rPr>
        <w:t xml:space="preserve"> = Net benefit from CSA practice at time t, Ct = Additional cost from CSA practice at time t, t = Time horizon of CSA technique (assumed 1 year for all CSA techniques), r = Discounting rate (i.e., Average marginal cost of funds) is considered at 11.70% (State Bank of India’s lending rate for farm mechanization as on 15</w:t>
      </w:r>
      <w:r w:rsidRPr="008B5E4A">
        <w:rPr>
          <w:rFonts w:ascii="Arial" w:eastAsiaTheme="minorEastAsia" w:hAnsi="Arial" w:cs="Arial"/>
          <w:sz w:val="20"/>
          <w:szCs w:val="20"/>
          <w:vertAlign w:val="superscript"/>
        </w:rPr>
        <w:t xml:space="preserve"> </w:t>
      </w:r>
      <w:r w:rsidRPr="008B5E4A">
        <w:rPr>
          <w:rFonts w:ascii="Arial" w:eastAsiaTheme="minorEastAsia" w:hAnsi="Arial" w:cs="Arial"/>
          <w:sz w:val="20"/>
          <w:szCs w:val="20"/>
        </w:rPr>
        <w:t xml:space="preserve">February 2024. PVF = Present value factor of the Rupee. The present value factor of the Rupee is calculated by using the following formula. </w:t>
      </w:r>
    </w:p>
    <w:p w14:paraId="55D9EE97" w14:textId="0D9471F4" w:rsidR="008B5E4A" w:rsidRPr="008B5E4A" w:rsidRDefault="008B5E4A" w:rsidP="008B5E4A">
      <w:pPr>
        <w:spacing w:after="0" w:line="240" w:lineRule="auto"/>
        <w:jc w:val="both"/>
        <w:rPr>
          <w:rFonts w:ascii="Arial" w:eastAsiaTheme="minorEastAsia" w:hAnsi="Arial" w:cs="Arial"/>
          <w:iCs/>
          <w:sz w:val="20"/>
          <w:szCs w:val="20"/>
        </w:rPr>
      </w:pPr>
      <m:oMathPara>
        <m:oMath>
          <m:r>
            <m:rPr>
              <m:sty m:val="p"/>
            </m:rPr>
            <w:rPr>
              <w:rFonts w:ascii="Cambria Math" w:hAnsi="Cambria Math" w:cs="Arial"/>
              <w:sz w:val="20"/>
              <w:szCs w:val="20"/>
            </w:rPr>
            <m:t xml:space="preserve">PVF = </m:t>
          </m:r>
          <m:sSup>
            <m:sSupPr>
              <m:ctrlPr>
                <w:rPr>
                  <w:rFonts w:ascii="Cambria Math" w:hAnsi="Cambria Math" w:cs="Arial"/>
                  <w:iCs/>
                  <w:sz w:val="20"/>
                  <w:szCs w:val="20"/>
                </w:rPr>
              </m:ctrlPr>
            </m:sSupPr>
            <m:e>
              <m:d>
                <m:dPr>
                  <m:begChr m:val=""/>
                  <m:ctrlPr>
                    <w:rPr>
                      <w:rFonts w:ascii="Cambria Math" w:hAnsi="Cambria Math" w:cs="Arial"/>
                      <w:iCs/>
                      <w:sz w:val="20"/>
                      <w:szCs w:val="20"/>
                    </w:rPr>
                  </m:ctrlPr>
                </m:dPr>
                <m:e>
                  <m:d>
                    <m:dPr>
                      <m:endChr m:val=""/>
                      <m:ctrlPr>
                        <w:rPr>
                          <w:rFonts w:ascii="Cambria Math" w:hAnsi="Cambria Math" w:cs="Arial"/>
                          <w:iCs/>
                          <w:sz w:val="20"/>
                          <w:szCs w:val="20"/>
                        </w:rPr>
                      </m:ctrlPr>
                    </m:dPr>
                    <m:e>
                      <m:r>
                        <m:rPr>
                          <m:sty m:val="p"/>
                        </m:rPr>
                        <w:rPr>
                          <w:rFonts w:ascii="Cambria Math" w:hAnsi="Cambria Math" w:cs="Arial"/>
                          <w:sz w:val="20"/>
                          <w:szCs w:val="20"/>
                        </w:rPr>
                        <m:t xml:space="preserve"> </m:t>
                      </m:r>
                      <m:f>
                        <m:fPr>
                          <m:ctrlPr>
                            <w:rPr>
                              <w:rFonts w:ascii="Cambria Math" w:hAnsi="Cambria Math" w:cs="Arial"/>
                              <w:iCs/>
                              <w:sz w:val="20"/>
                              <w:szCs w:val="20"/>
                            </w:rPr>
                          </m:ctrlPr>
                        </m:fPr>
                        <m:num>
                          <m:r>
                            <m:rPr>
                              <m:sty m:val="p"/>
                            </m:rPr>
                            <w:rPr>
                              <w:rFonts w:ascii="Cambria Math" w:hAnsi="Cambria Math" w:cs="Arial"/>
                              <w:sz w:val="20"/>
                              <w:szCs w:val="20"/>
                            </w:rPr>
                            <m:t>1</m:t>
                          </m:r>
                        </m:num>
                        <m:den>
                          <m:r>
                            <m:rPr>
                              <m:sty m:val="p"/>
                            </m:rPr>
                            <w:rPr>
                              <w:rFonts w:ascii="Cambria Math" w:hAnsi="Cambria Math" w:cs="Arial"/>
                              <w:sz w:val="20"/>
                              <w:szCs w:val="20"/>
                            </w:rPr>
                            <m:t>1+r</m:t>
                          </m:r>
                        </m:den>
                      </m:f>
                    </m:e>
                  </m:d>
                </m:e>
              </m:d>
            </m:e>
            <m:sup>
              <m:r>
                <m:rPr>
                  <m:sty m:val="p"/>
                </m:rPr>
                <w:rPr>
                  <w:rFonts w:ascii="Cambria Math" w:hAnsi="Cambria Math" w:cs="Arial"/>
                  <w:sz w:val="20"/>
                  <w:szCs w:val="20"/>
                </w:rPr>
                <m:t>n</m:t>
              </m:r>
            </m:sup>
          </m:sSup>
        </m:oMath>
      </m:oMathPara>
    </w:p>
    <w:p w14:paraId="171D82B1" w14:textId="5C44FB03" w:rsidR="00D724D1" w:rsidRPr="00801BD1" w:rsidRDefault="00415B4C" w:rsidP="00801BD1">
      <w:pPr>
        <w:pStyle w:val="ListParagraph"/>
        <w:numPr>
          <w:ilvl w:val="0"/>
          <w:numId w:val="5"/>
        </w:numPr>
        <w:spacing w:after="0" w:line="240" w:lineRule="auto"/>
        <w:jc w:val="both"/>
        <w:rPr>
          <w:rFonts w:ascii="Arial" w:hAnsi="Arial" w:cs="Arial"/>
          <w:sz w:val="20"/>
          <w:szCs w:val="20"/>
        </w:rPr>
      </w:pPr>
      <w:r w:rsidRPr="00801BD1">
        <w:rPr>
          <w:rFonts w:ascii="Arial" w:hAnsi="Arial" w:cs="Arial"/>
          <w:b/>
          <w:bCs/>
          <w:sz w:val="20"/>
          <w:szCs w:val="20"/>
        </w:rPr>
        <w:t>Results And Discussion</w:t>
      </w:r>
    </w:p>
    <w:p w14:paraId="522F406E" w14:textId="77777777" w:rsidR="008B5E4A" w:rsidRPr="00801BD1" w:rsidRDefault="008B5E4A" w:rsidP="00801BD1">
      <w:pPr>
        <w:pStyle w:val="ListParagraph"/>
        <w:widowControl w:val="0"/>
        <w:numPr>
          <w:ilvl w:val="1"/>
          <w:numId w:val="5"/>
        </w:numPr>
        <w:autoSpaceDE w:val="0"/>
        <w:autoSpaceDN w:val="0"/>
        <w:adjustRightInd w:val="0"/>
        <w:spacing w:after="0" w:line="240" w:lineRule="auto"/>
        <w:jc w:val="both"/>
        <w:rPr>
          <w:rFonts w:ascii="Arial" w:hAnsi="Arial" w:cs="Arial"/>
          <w:b/>
          <w:bCs/>
          <w:sz w:val="20"/>
          <w:szCs w:val="20"/>
          <w:lang w:bidi="hi-IN"/>
        </w:rPr>
      </w:pPr>
      <w:r w:rsidRPr="00801BD1">
        <w:rPr>
          <w:rFonts w:ascii="Arial" w:hAnsi="Arial" w:cs="Arial"/>
          <w:b/>
          <w:bCs/>
          <w:sz w:val="20"/>
          <w:szCs w:val="20"/>
          <w:lang w:bidi="hi-IN"/>
        </w:rPr>
        <w:t xml:space="preserve">Cost-benefit analysis of CSA practices </w:t>
      </w:r>
    </w:p>
    <w:p w14:paraId="19731537" w14:textId="5C71B376" w:rsidR="00217ABD" w:rsidRDefault="00217ABD" w:rsidP="00801BD1">
      <w:pPr>
        <w:widowControl w:val="0"/>
        <w:spacing w:after="0" w:line="240" w:lineRule="auto"/>
        <w:jc w:val="both"/>
        <w:rPr>
          <w:rFonts w:ascii="Arial" w:hAnsi="Arial" w:cs="Arial"/>
          <w:sz w:val="20"/>
          <w:szCs w:val="20"/>
          <w:lang w:bidi="hi-IN"/>
        </w:rPr>
      </w:pPr>
      <w:r w:rsidRPr="00217ABD">
        <w:rPr>
          <w:rFonts w:ascii="Arial" w:hAnsi="Arial" w:cs="Arial"/>
          <w:sz w:val="20"/>
          <w:szCs w:val="20"/>
          <w:lang w:bidi="hi-IN"/>
        </w:rPr>
        <w:t xml:space="preserve">Crop rotation, the practice of alternating </w:t>
      </w:r>
      <w:r w:rsidR="00A940CC">
        <w:rPr>
          <w:rFonts w:ascii="Arial" w:hAnsi="Arial" w:cs="Arial"/>
          <w:sz w:val="20"/>
          <w:szCs w:val="20"/>
          <w:lang w:bidi="hi-IN"/>
        </w:rPr>
        <w:t>the flora</w:t>
      </w:r>
      <w:r w:rsidRPr="00217ABD">
        <w:rPr>
          <w:rFonts w:ascii="Arial" w:hAnsi="Arial" w:cs="Arial"/>
          <w:sz w:val="20"/>
          <w:szCs w:val="20"/>
          <w:lang w:bidi="hi-IN"/>
        </w:rPr>
        <w:t xml:space="preserve"> of </w:t>
      </w:r>
      <w:r w:rsidR="00A940CC">
        <w:rPr>
          <w:rFonts w:ascii="Arial" w:hAnsi="Arial" w:cs="Arial"/>
          <w:sz w:val="20"/>
          <w:szCs w:val="20"/>
          <w:lang w:bidi="hi-IN"/>
        </w:rPr>
        <w:t>diverse</w:t>
      </w:r>
      <w:r w:rsidRPr="00217ABD">
        <w:rPr>
          <w:rFonts w:ascii="Arial" w:hAnsi="Arial" w:cs="Arial"/>
          <w:sz w:val="20"/>
          <w:szCs w:val="20"/>
          <w:lang w:bidi="hi-IN"/>
        </w:rPr>
        <w:t xml:space="preserve"> </w:t>
      </w:r>
      <w:r w:rsidR="00A940CC">
        <w:rPr>
          <w:rFonts w:ascii="Arial" w:hAnsi="Arial" w:cs="Arial"/>
          <w:sz w:val="20"/>
          <w:szCs w:val="20"/>
          <w:lang w:bidi="hi-IN"/>
        </w:rPr>
        <w:t>breeds</w:t>
      </w:r>
      <w:r w:rsidRPr="00217ABD">
        <w:rPr>
          <w:rFonts w:ascii="Arial" w:hAnsi="Arial" w:cs="Arial"/>
          <w:sz w:val="20"/>
          <w:szCs w:val="20"/>
          <w:lang w:bidi="hi-IN"/>
        </w:rPr>
        <w:t xml:space="preserve"> on the same land across seasons, helps in controlling pests, enhancing soil health, and boosting productivity. In the IGP, rice–wheat and sugarcane–wheat rotations are common. The sugarcane–wheat system yields an additional net benefit of ₹91,272 over the rice–wheat system. With a BCR of 1.9 and net present value (NPV) of ₹67,092, this system demonstrates superior economic viability.</w:t>
      </w:r>
    </w:p>
    <w:p w14:paraId="6D5B1134" w14:textId="5C0255B3" w:rsidR="008B5E4A" w:rsidRPr="00217ABD" w:rsidRDefault="00217ABD" w:rsidP="00801BD1">
      <w:pPr>
        <w:widowControl w:val="0"/>
        <w:spacing w:after="0" w:line="240" w:lineRule="auto"/>
        <w:jc w:val="both"/>
        <w:rPr>
          <w:rFonts w:ascii="Arial" w:hAnsi="Arial" w:cs="Arial"/>
          <w:sz w:val="20"/>
          <w:szCs w:val="20"/>
        </w:rPr>
      </w:pPr>
      <w:r w:rsidRPr="00217ABD">
        <w:rPr>
          <w:rFonts w:ascii="Arial" w:hAnsi="Arial" w:cs="Arial"/>
          <w:sz w:val="20"/>
          <w:szCs w:val="20"/>
        </w:rPr>
        <w:t>Climate change has strained water availability for agriculture. Adoption of modern irrigation technologies mitigates this issue and enhances yield. Results indicate an additional net benefit of ₹18,695, a BCR of 1.56, and an NPV of ₹8,309, confirming the productivity and feasibility of these practices (Okyere and Usman, 2021; Mukherji, 2022</w:t>
      </w:r>
      <w:proofErr w:type="gramStart"/>
      <w:r w:rsidRPr="00217ABD">
        <w:rPr>
          <w:rFonts w:ascii="Arial" w:hAnsi="Arial" w:cs="Arial"/>
          <w:sz w:val="20"/>
          <w:szCs w:val="20"/>
        </w:rPr>
        <w:t>).</w:t>
      </w:r>
      <w:r w:rsidR="008B5E4A" w:rsidRPr="00217ABD">
        <w:rPr>
          <w:rFonts w:ascii="Arial" w:hAnsi="Arial" w:cs="Arial"/>
          <w:sz w:val="20"/>
          <w:szCs w:val="20"/>
        </w:rPr>
        <w:t>.</w:t>
      </w:r>
      <w:proofErr w:type="gramEnd"/>
      <w:r w:rsidR="008B5E4A" w:rsidRPr="00217ABD">
        <w:rPr>
          <w:rFonts w:ascii="Arial" w:hAnsi="Arial" w:cs="Arial"/>
          <w:sz w:val="20"/>
          <w:szCs w:val="20"/>
        </w:rPr>
        <w:t xml:space="preserve"> </w:t>
      </w:r>
    </w:p>
    <w:p w14:paraId="59AFD793" w14:textId="77777777" w:rsidR="008B5E4A" w:rsidRPr="00801BD1" w:rsidRDefault="008B5E4A" w:rsidP="00801BD1">
      <w:pPr>
        <w:widowControl w:val="0"/>
        <w:spacing w:after="0" w:line="240" w:lineRule="auto"/>
        <w:rPr>
          <w:rFonts w:ascii="Arial" w:hAnsi="Arial" w:cs="Arial"/>
          <w:b/>
          <w:bCs/>
          <w:sz w:val="20"/>
          <w:szCs w:val="20"/>
        </w:rPr>
      </w:pPr>
      <w:r w:rsidRPr="00801BD1">
        <w:rPr>
          <w:rFonts w:ascii="Arial" w:eastAsia="Times New Roman" w:hAnsi="Arial" w:cs="Arial"/>
          <w:b/>
          <w:bCs/>
          <w:kern w:val="0"/>
          <w:sz w:val="20"/>
          <w:szCs w:val="20"/>
          <w:lang w:eastAsia="en-IN" w:bidi="hi-IN"/>
          <w14:ligatures w14:val="none"/>
        </w:rPr>
        <w:t>Table 2: Benefit–Cost Ratio for adaptation and non-adaptation of CSA practices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062"/>
        <w:gridCol w:w="1140"/>
        <w:gridCol w:w="1140"/>
        <w:gridCol w:w="1148"/>
        <w:gridCol w:w="1146"/>
        <w:gridCol w:w="1146"/>
        <w:gridCol w:w="1150"/>
      </w:tblGrid>
      <w:tr w:rsidR="008B5E4A" w:rsidRPr="00801BD1" w14:paraId="49A1261D" w14:textId="77777777" w:rsidTr="006561ED">
        <w:trPr>
          <w:trHeight w:val="19"/>
          <w:jc w:val="center"/>
        </w:trPr>
        <w:tc>
          <w:tcPr>
            <w:tcW w:w="1110" w:type="pct"/>
            <w:shd w:val="clear" w:color="auto" w:fill="auto"/>
            <w:hideMark/>
          </w:tcPr>
          <w:p w14:paraId="49EDFA98"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bookmarkStart w:id="0" w:name="_Hlk144890886"/>
            <w:r w:rsidRPr="00801BD1">
              <w:rPr>
                <w:rFonts w:ascii="Arial" w:eastAsia="Times New Roman" w:hAnsi="Arial" w:cs="Arial"/>
                <w:b/>
                <w:bCs/>
                <w:kern w:val="0"/>
                <w:sz w:val="20"/>
                <w:szCs w:val="20"/>
                <w:lang w:eastAsia="en-IN" w:bidi="hi-IN"/>
                <w14:ligatures w14:val="none"/>
              </w:rPr>
              <w:t>Farming Practices</w:t>
            </w:r>
          </w:p>
        </w:tc>
        <w:tc>
          <w:tcPr>
            <w:tcW w:w="521" w:type="pct"/>
            <w:shd w:val="clear" w:color="auto" w:fill="auto"/>
            <w:hideMark/>
          </w:tcPr>
          <w:p w14:paraId="49B36B0A"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OC</w:t>
            </w:r>
          </w:p>
        </w:tc>
        <w:tc>
          <w:tcPr>
            <w:tcW w:w="559" w:type="pct"/>
            <w:shd w:val="clear" w:color="auto" w:fill="auto"/>
            <w:hideMark/>
          </w:tcPr>
          <w:p w14:paraId="031E45F7"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IC</w:t>
            </w:r>
          </w:p>
        </w:tc>
        <w:tc>
          <w:tcPr>
            <w:tcW w:w="559" w:type="pct"/>
            <w:shd w:val="clear" w:color="auto" w:fill="auto"/>
            <w:hideMark/>
          </w:tcPr>
          <w:p w14:paraId="3B6EB45A"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LC</w:t>
            </w:r>
          </w:p>
        </w:tc>
        <w:tc>
          <w:tcPr>
            <w:tcW w:w="563" w:type="pct"/>
            <w:shd w:val="clear" w:color="auto" w:fill="auto"/>
            <w:hideMark/>
          </w:tcPr>
          <w:p w14:paraId="2109AD34"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TC</w:t>
            </w:r>
          </w:p>
        </w:tc>
        <w:tc>
          <w:tcPr>
            <w:tcW w:w="562" w:type="pct"/>
            <w:shd w:val="clear" w:color="auto" w:fill="auto"/>
            <w:hideMark/>
          </w:tcPr>
          <w:p w14:paraId="0B465978"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TR</w:t>
            </w:r>
          </w:p>
        </w:tc>
        <w:tc>
          <w:tcPr>
            <w:tcW w:w="562" w:type="pct"/>
            <w:shd w:val="clear" w:color="auto" w:fill="auto"/>
            <w:hideMark/>
          </w:tcPr>
          <w:p w14:paraId="24E2FF33"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BF</w:t>
            </w:r>
          </w:p>
        </w:tc>
        <w:tc>
          <w:tcPr>
            <w:tcW w:w="564" w:type="pct"/>
            <w:shd w:val="clear" w:color="auto" w:fill="auto"/>
            <w:hideMark/>
          </w:tcPr>
          <w:p w14:paraId="3365209E"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BCR</w:t>
            </w:r>
          </w:p>
        </w:tc>
      </w:tr>
      <w:tr w:rsidR="008B5E4A" w:rsidRPr="00801BD1" w14:paraId="20B73069" w14:textId="77777777" w:rsidTr="006561ED">
        <w:trPr>
          <w:trHeight w:val="19"/>
          <w:jc w:val="center"/>
        </w:trPr>
        <w:tc>
          <w:tcPr>
            <w:tcW w:w="5000" w:type="pct"/>
            <w:gridSpan w:val="8"/>
            <w:shd w:val="clear" w:color="auto" w:fill="auto"/>
            <w:vAlign w:val="center"/>
            <w:hideMark/>
          </w:tcPr>
          <w:p w14:paraId="464002C6"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Crop Rotation (From Rice - Wheat to Sugarcane - Wheat)</w:t>
            </w:r>
          </w:p>
        </w:tc>
      </w:tr>
      <w:tr w:rsidR="008B5E4A" w:rsidRPr="00801BD1" w14:paraId="750FF563" w14:textId="77777777" w:rsidTr="006561ED">
        <w:trPr>
          <w:trHeight w:val="19"/>
          <w:jc w:val="center"/>
        </w:trPr>
        <w:tc>
          <w:tcPr>
            <w:tcW w:w="1110" w:type="pct"/>
            <w:shd w:val="clear" w:color="auto" w:fill="auto"/>
            <w:vAlign w:val="center"/>
            <w:hideMark/>
          </w:tcPr>
          <w:p w14:paraId="2EC8F4C0"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hideMark/>
          </w:tcPr>
          <w:p w14:paraId="6E6243F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52426</w:t>
            </w:r>
          </w:p>
        </w:tc>
        <w:tc>
          <w:tcPr>
            <w:tcW w:w="559" w:type="pct"/>
            <w:shd w:val="clear" w:color="auto" w:fill="auto"/>
            <w:vAlign w:val="center"/>
            <w:hideMark/>
          </w:tcPr>
          <w:p w14:paraId="4AD628E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31220</w:t>
            </w:r>
          </w:p>
        </w:tc>
        <w:tc>
          <w:tcPr>
            <w:tcW w:w="559" w:type="pct"/>
            <w:shd w:val="clear" w:color="auto" w:fill="auto"/>
            <w:vAlign w:val="center"/>
            <w:hideMark/>
          </w:tcPr>
          <w:p w14:paraId="14EB2AF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49446</w:t>
            </w:r>
          </w:p>
        </w:tc>
        <w:tc>
          <w:tcPr>
            <w:tcW w:w="563" w:type="pct"/>
            <w:shd w:val="clear" w:color="auto" w:fill="auto"/>
            <w:vAlign w:val="center"/>
            <w:hideMark/>
          </w:tcPr>
          <w:p w14:paraId="1CDBF67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133092</w:t>
            </w:r>
          </w:p>
        </w:tc>
        <w:tc>
          <w:tcPr>
            <w:tcW w:w="562" w:type="pct"/>
            <w:shd w:val="clear" w:color="auto" w:fill="auto"/>
            <w:vAlign w:val="center"/>
            <w:hideMark/>
          </w:tcPr>
          <w:p w14:paraId="3D89DCB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385869</w:t>
            </w:r>
          </w:p>
        </w:tc>
        <w:tc>
          <w:tcPr>
            <w:tcW w:w="562" w:type="pct"/>
            <w:shd w:val="clear" w:color="auto" w:fill="auto"/>
            <w:vAlign w:val="center"/>
            <w:hideMark/>
          </w:tcPr>
          <w:p w14:paraId="6CE50A8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252777</w:t>
            </w:r>
          </w:p>
        </w:tc>
        <w:tc>
          <w:tcPr>
            <w:tcW w:w="564" w:type="pct"/>
            <w:shd w:val="clear" w:color="auto" w:fill="auto"/>
            <w:vAlign w:val="center"/>
            <w:hideMark/>
          </w:tcPr>
          <w:p w14:paraId="29D1EA2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1.90</w:t>
            </w:r>
          </w:p>
        </w:tc>
      </w:tr>
      <w:tr w:rsidR="008B5E4A" w:rsidRPr="00801BD1" w14:paraId="6BDD9D34" w14:textId="77777777" w:rsidTr="006561ED">
        <w:trPr>
          <w:trHeight w:val="19"/>
          <w:jc w:val="center"/>
        </w:trPr>
        <w:tc>
          <w:tcPr>
            <w:tcW w:w="1110" w:type="pct"/>
            <w:shd w:val="clear" w:color="auto" w:fill="auto"/>
            <w:vAlign w:val="center"/>
            <w:hideMark/>
          </w:tcPr>
          <w:p w14:paraId="0045CB68"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hideMark/>
          </w:tcPr>
          <w:p w14:paraId="109912C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34435</w:t>
            </w:r>
          </w:p>
        </w:tc>
        <w:tc>
          <w:tcPr>
            <w:tcW w:w="559" w:type="pct"/>
            <w:shd w:val="clear" w:color="auto" w:fill="auto"/>
            <w:vAlign w:val="center"/>
            <w:hideMark/>
          </w:tcPr>
          <w:p w14:paraId="5B710B8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45955</w:t>
            </w:r>
          </w:p>
        </w:tc>
        <w:tc>
          <w:tcPr>
            <w:tcW w:w="559" w:type="pct"/>
            <w:shd w:val="clear" w:color="auto" w:fill="auto"/>
            <w:vAlign w:val="center"/>
            <w:hideMark/>
          </w:tcPr>
          <w:p w14:paraId="1AD4B9C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36372</w:t>
            </w:r>
          </w:p>
        </w:tc>
        <w:tc>
          <w:tcPr>
            <w:tcW w:w="563" w:type="pct"/>
            <w:shd w:val="clear" w:color="auto" w:fill="auto"/>
            <w:vAlign w:val="center"/>
            <w:hideMark/>
          </w:tcPr>
          <w:p w14:paraId="6DE7007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116762</w:t>
            </w:r>
          </w:p>
        </w:tc>
        <w:tc>
          <w:tcPr>
            <w:tcW w:w="562" w:type="pct"/>
            <w:shd w:val="clear" w:color="auto" w:fill="auto"/>
            <w:vAlign w:val="center"/>
            <w:hideMark/>
          </w:tcPr>
          <w:p w14:paraId="520AEAB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278267</w:t>
            </w:r>
          </w:p>
        </w:tc>
        <w:tc>
          <w:tcPr>
            <w:tcW w:w="562" w:type="pct"/>
            <w:shd w:val="clear" w:color="auto" w:fill="auto"/>
            <w:vAlign w:val="center"/>
            <w:hideMark/>
          </w:tcPr>
          <w:p w14:paraId="07DC565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161505</w:t>
            </w:r>
          </w:p>
        </w:tc>
        <w:tc>
          <w:tcPr>
            <w:tcW w:w="564" w:type="pct"/>
            <w:shd w:val="clear" w:color="auto" w:fill="auto"/>
            <w:vAlign w:val="center"/>
            <w:hideMark/>
          </w:tcPr>
          <w:p w14:paraId="2AE9F15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1.38</w:t>
            </w:r>
          </w:p>
        </w:tc>
      </w:tr>
      <w:tr w:rsidR="008B5E4A" w:rsidRPr="00801BD1" w14:paraId="780B5580" w14:textId="77777777" w:rsidTr="006561ED">
        <w:trPr>
          <w:trHeight w:val="19"/>
          <w:jc w:val="center"/>
        </w:trPr>
        <w:tc>
          <w:tcPr>
            <w:tcW w:w="5000" w:type="pct"/>
            <w:gridSpan w:val="8"/>
            <w:shd w:val="clear" w:color="auto" w:fill="auto"/>
            <w:vAlign w:val="center"/>
          </w:tcPr>
          <w:p w14:paraId="2FE4CFF9"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Modern Irrigation Practices</w:t>
            </w:r>
          </w:p>
        </w:tc>
      </w:tr>
      <w:tr w:rsidR="008B5E4A" w:rsidRPr="00801BD1" w14:paraId="77284B30" w14:textId="77777777" w:rsidTr="006561ED">
        <w:trPr>
          <w:trHeight w:val="19"/>
          <w:jc w:val="center"/>
        </w:trPr>
        <w:tc>
          <w:tcPr>
            <w:tcW w:w="1110" w:type="pct"/>
            <w:shd w:val="clear" w:color="auto" w:fill="auto"/>
            <w:vAlign w:val="center"/>
          </w:tcPr>
          <w:p w14:paraId="65DC0BBB"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45BAE51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2DF298B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4EDA632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2B1A968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vAlign w:val="center"/>
          </w:tcPr>
          <w:p w14:paraId="360C835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tcPr>
          <w:p w14:paraId="19178E7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171108</w:t>
            </w:r>
          </w:p>
        </w:tc>
        <w:tc>
          <w:tcPr>
            <w:tcW w:w="564" w:type="pct"/>
            <w:shd w:val="clear" w:color="auto" w:fill="auto"/>
            <w:vAlign w:val="center"/>
          </w:tcPr>
          <w:p w14:paraId="37C0B68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1.56</w:t>
            </w:r>
          </w:p>
        </w:tc>
      </w:tr>
      <w:tr w:rsidR="008B5E4A" w:rsidRPr="00801BD1" w14:paraId="09FF825B" w14:textId="77777777" w:rsidTr="006561ED">
        <w:trPr>
          <w:trHeight w:val="19"/>
          <w:jc w:val="center"/>
        </w:trPr>
        <w:tc>
          <w:tcPr>
            <w:tcW w:w="1110" w:type="pct"/>
            <w:shd w:val="clear" w:color="auto" w:fill="auto"/>
            <w:vAlign w:val="center"/>
          </w:tcPr>
          <w:p w14:paraId="5FD955F7"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2FC3C35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042AB07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32495</w:t>
            </w:r>
          </w:p>
        </w:tc>
        <w:tc>
          <w:tcPr>
            <w:tcW w:w="559" w:type="pct"/>
            <w:shd w:val="clear" w:color="auto" w:fill="auto"/>
            <w:vAlign w:val="center"/>
          </w:tcPr>
          <w:p w14:paraId="74BF708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6F4C116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100565</w:t>
            </w:r>
          </w:p>
        </w:tc>
        <w:tc>
          <w:tcPr>
            <w:tcW w:w="562" w:type="pct"/>
            <w:shd w:val="clear" w:color="auto" w:fill="auto"/>
            <w:vAlign w:val="center"/>
          </w:tcPr>
          <w:p w14:paraId="5445798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252978</w:t>
            </w:r>
          </w:p>
        </w:tc>
        <w:tc>
          <w:tcPr>
            <w:tcW w:w="562" w:type="pct"/>
            <w:shd w:val="clear" w:color="auto" w:fill="auto"/>
            <w:vAlign w:val="center"/>
          </w:tcPr>
          <w:p w14:paraId="0853544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152413</w:t>
            </w:r>
          </w:p>
        </w:tc>
        <w:tc>
          <w:tcPr>
            <w:tcW w:w="564" w:type="pct"/>
            <w:shd w:val="clear" w:color="auto" w:fill="auto"/>
            <w:vAlign w:val="center"/>
          </w:tcPr>
          <w:p w14:paraId="7FD42E4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1.52</w:t>
            </w:r>
          </w:p>
        </w:tc>
      </w:tr>
      <w:tr w:rsidR="008B5E4A" w:rsidRPr="00801BD1" w14:paraId="5735E7A1" w14:textId="77777777" w:rsidTr="006561ED">
        <w:trPr>
          <w:trHeight w:val="19"/>
          <w:jc w:val="center"/>
        </w:trPr>
        <w:tc>
          <w:tcPr>
            <w:tcW w:w="5000" w:type="pct"/>
            <w:gridSpan w:val="8"/>
            <w:shd w:val="clear" w:color="auto" w:fill="auto"/>
            <w:vAlign w:val="center"/>
          </w:tcPr>
          <w:p w14:paraId="2A389196"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Fertilizers and Pest Management</w:t>
            </w:r>
          </w:p>
        </w:tc>
      </w:tr>
      <w:tr w:rsidR="008B5E4A" w:rsidRPr="00801BD1" w14:paraId="477BCC51" w14:textId="77777777" w:rsidTr="006561ED">
        <w:trPr>
          <w:trHeight w:val="19"/>
          <w:jc w:val="center"/>
        </w:trPr>
        <w:tc>
          <w:tcPr>
            <w:tcW w:w="1110" w:type="pct"/>
            <w:shd w:val="clear" w:color="auto" w:fill="auto"/>
            <w:vAlign w:val="center"/>
          </w:tcPr>
          <w:p w14:paraId="4A03F7E9"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154A791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651534B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7994088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12105</w:t>
            </w:r>
          </w:p>
        </w:tc>
        <w:tc>
          <w:tcPr>
            <w:tcW w:w="563" w:type="pct"/>
            <w:shd w:val="clear" w:color="auto" w:fill="auto"/>
            <w:vAlign w:val="center"/>
          </w:tcPr>
          <w:p w14:paraId="3F17F7C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86282</w:t>
            </w:r>
          </w:p>
        </w:tc>
        <w:tc>
          <w:tcPr>
            <w:tcW w:w="562" w:type="pct"/>
            <w:shd w:val="clear" w:color="auto" w:fill="auto"/>
            <w:vAlign w:val="center"/>
          </w:tcPr>
          <w:p w14:paraId="1589C4A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tcPr>
          <w:p w14:paraId="6149B39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194805</w:t>
            </w:r>
          </w:p>
        </w:tc>
        <w:tc>
          <w:tcPr>
            <w:tcW w:w="564" w:type="pct"/>
            <w:shd w:val="clear" w:color="auto" w:fill="auto"/>
            <w:vAlign w:val="center"/>
          </w:tcPr>
          <w:p w14:paraId="637CD81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2.26</w:t>
            </w:r>
          </w:p>
        </w:tc>
      </w:tr>
      <w:tr w:rsidR="008B5E4A" w:rsidRPr="00801BD1" w14:paraId="6DA58197" w14:textId="77777777" w:rsidTr="006561ED">
        <w:trPr>
          <w:trHeight w:val="19"/>
          <w:jc w:val="center"/>
        </w:trPr>
        <w:tc>
          <w:tcPr>
            <w:tcW w:w="1110" w:type="pct"/>
            <w:shd w:val="clear" w:color="auto" w:fill="auto"/>
            <w:vAlign w:val="center"/>
          </w:tcPr>
          <w:p w14:paraId="735A1BF6"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62EF92B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1BDC7B7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18867</w:t>
            </w:r>
          </w:p>
        </w:tc>
        <w:tc>
          <w:tcPr>
            <w:tcW w:w="559" w:type="pct"/>
            <w:shd w:val="clear" w:color="auto" w:fill="auto"/>
            <w:vAlign w:val="center"/>
          </w:tcPr>
          <w:p w14:paraId="7479E0F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12105</w:t>
            </w:r>
          </w:p>
        </w:tc>
        <w:tc>
          <w:tcPr>
            <w:tcW w:w="563" w:type="pct"/>
            <w:shd w:val="clear" w:color="auto" w:fill="auto"/>
            <w:vAlign w:val="center"/>
          </w:tcPr>
          <w:p w14:paraId="02B8684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63240</w:t>
            </w:r>
          </w:p>
        </w:tc>
        <w:tc>
          <w:tcPr>
            <w:tcW w:w="562" w:type="pct"/>
            <w:shd w:val="clear" w:color="auto" w:fill="auto"/>
            <w:vAlign w:val="center"/>
          </w:tcPr>
          <w:p w14:paraId="7785521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251978</w:t>
            </w:r>
          </w:p>
        </w:tc>
        <w:tc>
          <w:tcPr>
            <w:tcW w:w="562" w:type="pct"/>
            <w:shd w:val="clear" w:color="auto" w:fill="auto"/>
            <w:vAlign w:val="center"/>
          </w:tcPr>
          <w:p w14:paraId="50AA540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188738</w:t>
            </w:r>
          </w:p>
        </w:tc>
        <w:tc>
          <w:tcPr>
            <w:tcW w:w="564" w:type="pct"/>
            <w:shd w:val="clear" w:color="auto" w:fill="auto"/>
            <w:vAlign w:val="center"/>
          </w:tcPr>
          <w:p w14:paraId="3167940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2.98</w:t>
            </w:r>
          </w:p>
        </w:tc>
      </w:tr>
      <w:tr w:rsidR="008B5E4A" w:rsidRPr="00801BD1" w14:paraId="431C44FA" w14:textId="77777777" w:rsidTr="006561ED">
        <w:trPr>
          <w:trHeight w:val="19"/>
          <w:jc w:val="center"/>
        </w:trPr>
        <w:tc>
          <w:tcPr>
            <w:tcW w:w="5000" w:type="pct"/>
            <w:gridSpan w:val="8"/>
            <w:shd w:val="clear" w:color="auto" w:fill="auto"/>
            <w:vAlign w:val="center"/>
          </w:tcPr>
          <w:p w14:paraId="0169638A"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Change in Crop Varieties</w:t>
            </w:r>
          </w:p>
        </w:tc>
      </w:tr>
      <w:tr w:rsidR="008B5E4A" w:rsidRPr="00801BD1" w14:paraId="73FD9DBA" w14:textId="77777777" w:rsidTr="006561ED">
        <w:trPr>
          <w:trHeight w:val="19"/>
          <w:jc w:val="center"/>
        </w:trPr>
        <w:tc>
          <w:tcPr>
            <w:tcW w:w="1110" w:type="pct"/>
            <w:shd w:val="clear" w:color="auto" w:fill="auto"/>
            <w:vAlign w:val="center"/>
          </w:tcPr>
          <w:p w14:paraId="2E8F0C3B"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40D4F77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45268DB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42106</w:t>
            </w:r>
          </w:p>
        </w:tc>
        <w:tc>
          <w:tcPr>
            <w:tcW w:w="559" w:type="pct"/>
            <w:shd w:val="clear" w:color="auto" w:fill="auto"/>
            <w:vAlign w:val="center"/>
          </w:tcPr>
          <w:p w14:paraId="731848A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05A802F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110176</w:t>
            </w:r>
          </w:p>
        </w:tc>
        <w:tc>
          <w:tcPr>
            <w:tcW w:w="562" w:type="pct"/>
            <w:shd w:val="clear" w:color="auto" w:fill="auto"/>
            <w:vAlign w:val="center"/>
          </w:tcPr>
          <w:p w14:paraId="19867E8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tcPr>
          <w:p w14:paraId="57B178E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170911</w:t>
            </w:r>
          </w:p>
        </w:tc>
        <w:tc>
          <w:tcPr>
            <w:tcW w:w="564" w:type="pct"/>
            <w:shd w:val="clear" w:color="auto" w:fill="auto"/>
            <w:vAlign w:val="center"/>
          </w:tcPr>
          <w:p w14:paraId="4E78310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1.55</w:t>
            </w:r>
          </w:p>
        </w:tc>
      </w:tr>
      <w:tr w:rsidR="008B5E4A" w:rsidRPr="00801BD1" w14:paraId="5424F30E" w14:textId="77777777" w:rsidTr="006561ED">
        <w:trPr>
          <w:trHeight w:val="19"/>
          <w:jc w:val="center"/>
        </w:trPr>
        <w:tc>
          <w:tcPr>
            <w:tcW w:w="1110" w:type="pct"/>
            <w:shd w:val="clear" w:color="auto" w:fill="auto"/>
            <w:vAlign w:val="center"/>
          </w:tcPr>
          <w:p w14:paraId="6398CDA6"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7816347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06E8A1C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259377F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256DC6F9"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vAlign w:val="center"/>
          </w:tcPr>
          <w:p w14:paraId="7F77178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252978</w:t>
            </w:r>
          </w:p>
        </w:tc>
        <w:tc>
          <w:tcPr>
            <w:tcW w:w="562" w:type="pct"/>
            <w:shd w:val="clear" w:color="auto" w:fill="auto"/>
            <w:vAlign w:val="center"/>
          </w:tcPr>
          <w:p w14:paraId="16CF2E9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142999</w:t>
            </w:r>
          </w:p>
        </w:tc>
        <w:tc>
          <w:tcPr>
            <w:tcW w:w="564" w:type="pct"/>
            <w:shd w:val="clear" w:color="auto" w:fill="auto"/>
            <w:vAlign w:val="center"/>
          </w:tcPr>
          <w:p w14:paraId="253A99A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1.30</w:t>
            </w:r>
          </w:p>
        </w:tc>
      </w:tr>
      <w:tr w:rsidR="008B5E4A" w:rsidRPr="00801BD1" w14:paraId="501EA64D" w14:textId="77777777" w:rsidTr="006561ED">
        <w:trPr>
          <w:trHeight w:val="19"/>
          <w:jc w:val="center"/>
        </w:trPr>
        <w:tc>
          <w:tcPr>
            <w:tcW w:w="5000" w:type="pct"/>
            <w:gridSpan w:val="8"/>
            <w:shd w:val="clear" w:color="auto" w:fill="auto"/>
            <w:vAlign w:val="center"/>
          </w:tcPr>
          <w:p w14:paraId="288D4F0E"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 xml:space="preserve">Modification in Timing of Sowing, Planting, </w:t>
            </w:r>
            <w:r w:rsidRPr="00801BD1">
              <w:rPr>
                <w:rFonts w:ascii="Arial" w:hAnsi="Arial" w:cs="Arial"/>
                <w:b/>
                <w:bCs/>
                <w:i/>
                <w:iCs/>
                <w:sz w:val="20"/>
                <w:szCs w:val="20"/>
              </w:rPr>
              <w:t>Fertilizing, and Harvesting Practices</w:t>
            </w:r>
          </w:p>
        </w:tc>
      </w:tr>
      <w:tr w:rsidR="008B5E4A" w:rsidRPr="00801BD1" w14:paraId="533A52AE" w14:textId="77777777" w:rsidTr="006561ED">
        <w:trPr>
          <w:trHeight w:val="19"/>
          <w:jc w:val="center"/>
        </w:trPr>
        <w:tc>
          <w:tcPr>
            <w:tcW w:w="1110" w:type="pct"/>
            <w:shd w:val="clear" w:color="auto" w:fill="auto"/>
            <w:vAlign w:val="center"/>
          </w:tcPr>
          <w:p w14:paraId="42DEA61F"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7297DE6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473C323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32495</w:t>
            </w:r>
          </w:p>
        </w:tc>
        <w:tc>
          <w:tcPr>
            <w:tcW w:w="559" w:type="pct"/>
            <w:shd w:val="clear" w:color="auto" w:fill="auto"/>
            <w:vAlign w:val="center"/>
          </w:tcPr>
          <w:p w14:paraId="6B60551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69ADCBD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100565</w:t>
            </w:r>
          </w:p>
        </w:tc>
        <w:tc>
          <w:tcPr>
            <w:tcW w:w="562" w:type="pct"/>
            <w:shd w:val="clear" w:color="auto" w:fill="auto"/>
            <w:vAlign w:val="center"/>
          </w:tcPr>
          <w:p w14:paraId="4B70F70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tcPr>
          <w:p w14:paraId="47C29DA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180522</w:t>
            </w:r>
          </w:p>
        </w:tc>
        <w:tc>
          <w:tcPr>
            <w:tcW w:w="564" w:type="pct"/>
            <w:shd w:val="clear" w:color="auto" w:fill="auto"/>
            <w:vAlign w:val="center"/>
          </w:tcPr>
          <w:p w14:paraId="10276AD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1.80</w:t>
            </w:r>
          </w:p>
        </w:tc>
      </w:tr>
      <w:tr w:rsidR="008B5E4A" w:rsidRPr="00801BD1" w14:paraId="41CB1011" w14:textId="77777777" w:rsidTr="006561ED">
        <w:trPr>
          <w:trHeight w:val="19"/>
          <w:jc w:val="center"/>
        </w:trPr>
        <w:tc>
          <w:tcPr>
            <w:tcW w:w="1110" w:type="pct"/>
            <w:shd w:val="clear" w:color="auto" w:fill="auto"/>
            <w:vAlign w:val="center"/>
          </w:tcPr>
          <w:p w14:paraId="7F82CD3A"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5808191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49B84ED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3EB6729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7857D45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vAlign w:val="center"/>
          </w:tcPr>
          <w:p w14:paraId="5C78F4C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252978</w:t>
            </w:r>
          </w:p>
        </w:tc>
        <w:tc>
          <w:tcPr>
            <w:tcW w:w="562" w:type="pct"/>
            <w:shd w:val="clear" w:color="auto" w:fill="auto"/>
            <w:vAlign w:val="center"/>
          </w:tcPr>
          <w:p w14:paraId="275254F9"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142999</w:t>
            </w:r>
          </w:p>
        </w:tc>
        <w:tc>
          <w:tcPr>
            <w:tcW w:w="564" w:type="pct"/>
            <w:shd w:val="clear" w:color="auto" w:fill="auto"/>
            <w:vAlign w:val="center"/>
          </w:tcPr>
          <w:p w14:paraId="1C92AB8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1.30</w:t>
            </w:r>
          </w:p>
        </w:tc>
      </w:tr>
      <w:tr w:rsidR="008B5E4A" w:rsidRPr="00801BD1" w14:paraId="3BD26B95" w14:textId="77777777" w:rsidTr="006561ED">
        <w:trPr>
          <w:trHeight w:val="19"/>
          <w:jc w:val="center"/>
        </w:trPr>
        <w:tc>
          <w:tcPr>
            <w:tcW w:w="5000" w:type="pct"/>
            <w:gridSpan w:val="8"/>
            <w:shd w:val="clear" w:color="auto" w:fill="auto"/>
            <w:vAlign w:val="center"/>
          </w:tcPr>
          <w:p w14:paraId="26343498"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Site-Specific Integrated Nutrient Management</w:t>
            </w:r>
          </w:p>
        </w:tc>
      </w:tr>
      <w:tr w:rsidR="008B5E4A" w:rsidRPr="00801BD1" w14:paraId="151734D3" w14:textId="77777777" w:rsidTr="006561ED">
        <w:trPr>
          <w:trHeight w:val="19"/>
          <w:jc w:val="center"/>
        </w:trPr>
        <w:tc>
          <w:tcPr>
            <w:tcW w:w="1110" w:type="pct"/>
            <w:shd w:val="clear" w:color="auto" w:fill="auto"/>
            <w:vAlign w:val="center"/>
          </w:tcPr>
          <w:p w14:paraId="12760E18"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560775D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774007F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6E7DEF7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23697</w:t>
            </w:r>
          </w:p>
        </w:tc>
        <w:tc>
          <w:tcPr>
            <w:tcW w:w="563" w:type="pct"/>
            <w:shd w:val="clear" w:color="auto" w:fill="auto"/>
            <w:vAlign w:val="center"/>
          </w:tcPr>
          <w:p w14:paraId="70594BC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97874</w:t>
            </w:r>
          </w:p>
        </w:tc>
        <w:tc>
          <w:tcPr>
            <w:tcW w:w="562" w:type="pct"/>
            <w:shd w:val="clear" w:color="auto" w:fill="auto"/>
            <w:vAlign w:val="center"/>
          </w:tcPr>
          <w:p w14:paraId="2CBCE22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281087</w:t>
            </w:r>
          </w:p>
        </w:tc>
        <w:tc>
          <w:tcPr>
            <w:tcW w:w="562" w:type="pct"/>
            <w:shd w:val="clear" w:color="auto" w:fill="auto"/>
            <w:vAlign w:val="center"/>
          </w:tcPr>
          <w:p w14:paraId="653C589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183213</w:t>
            </w:r>
          </w:p>
        </w:tc>
        <w:tc>
          <w:tcPr>
            <w:tcW w:w="564" w:type="pct"/>
            <w:shd w:val="clear" w:color="auto" w:fill="auto"/>
            <w:vAlign w:val="center"/>
          </w:tcPr>
          <w:p w14:paraId="5720818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1.87</w:t>
            </w:r>
          </w:p>
        </w:tc>
      </w:tr>
      <w:tr w:rsidR="008B5E4A" w:rsidRPr="00801BD1" w14:paraId="582E3482" w14:textId="77777777" w:rsidTr="006561ED">
        <w:trPr>
          <w:trHeight w:val="19"/>
          <w:jc w:val="center"/>
        </w:trPr>
        <w:tc>
          <w:tcPr>
            <w:tcW w:w="1110" w:type="pct"/>
            <w:shd w:val="clear" w:color="auto" w:fill="auto"/>
            <w:vAlign w:val="center"/>
          </w:tcPr>
          <w:p w14:paraId="36524F61"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0EBC161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60A7CEF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23252</w:t>
            </w:r>
          </w:p>
        </w:tc>
        <w:tc>
          <w:tcPr>
            <w:tcW w:w="559" w:type="pct"/>
            <w:shd w:val="clear" w:color="auto" w:fill="auto"/>
            <w:vAlign w:val="center"/>
          </w:tcPr>
          <w:p w14:paraId="20BAA69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12105</w:t>
            </w:r>
          </w:p>
        </w:tc>
        <w:tc>
          <w:tcPr>
            <w:tcW w:w="563" w:type="pct"/>
            <w:shd w:val="clear" w:color="auto" w:fill="auto"/>
            <w:vAlign w:val="center"/>
          </w:tcPr>
          <w:p w14:paraId="339549F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67625</w:t>
            </w:r>
          </w:p>
        </w:tc>
        <w:tc>
          <w:tcPr>
            <w:tcW w:w="562" w:type="pct"/>
            <w:shd w:val="clear" w:color="auto" w:fill="auto"/>
            <w:vAlign w:val="center"/>
          </w:tcPr>
          <w:p w14:paraId="0144610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252978</w:t>
            </w:r>
          </w:p>
        </w:tc>
        <w:tc>
          <w:tcPr>
            <w:tcW w:w="562" w:type="pct"/>
            <w:shd w:val="clear" w:color="auto" w:fill="auto"/>
            <w:vAlign w:val="center"/>
          </w:tcPr>
          <w:p w14:paraId="374B158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185353</w:t>
            </w:r>
          </w:p>
        </w:tc>
        <w:tc>
          <w:tcPr>
            <w:tcW w:w="564" w:type="pct"/>
            <w:shd w:val="clear" w:color="auto" w:fill="auto"/>
            <w:vAlign w:val="center"/>
          </w:tcPr>
          <w:p w14:paraId="5685703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2.74</w:t>
            </w:r>
          </w:p>
        </w:tc>
      </w:tr>
      <w:tr w:rsidR="008B5E4A" w:rsidRPr="00801BD1" w14:paraId="6B0245B6" w14:textId="77777777" w:rsidTr="006561ED">
        <w:trPr>
          <w:trHeight w:val="19"/>
          <w:jc w:val="center"/>
        </w:trPr>
        <w:tc>
          <w:tcPr>
            <w:tcW w:w="5000" w:type="pct"/>
            <w:gridSpan w:val="8"/>
            <w:shd w:val="clear" w:color="auto" w:fill="auto"/>
            <w:noWrap/>
            <w:vAlign w:val="center"/>
            <w:hideMark/>
          </w:tcPr>
          <w:p w14:paraId="7FA15336"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 xml:space="preserve">Conservation (Zero Tillage or Reduced Tillage) </w:t>
            </w:r>
          </w:p>
        </w:tc>
      </w:tr>
      <w:tr w:rsidR="008B5E4A" w:rsidRPr="00801BD1" w14:paraId="231776EA" w14:textId="77777777" w:rsidTr="006561ED">
        <w:trPr>
          <w:trHeight w:val="19"/>
          <w:jc w:val="center"/>
        </w:trPr>
        <w:tc>
          <w:tcPr>
            <w:tcW w:w="1110" w:type="pct"/>
            <w:shd w:val="clear" w:color="auto" w:fill="auto"/>
            <w:noWrap/>
            <w:vAlign w:val="center"/>
            <w:hideMark/>
          </w:tcPr>
          <w:p w14:paraId="51394423"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noWrap/>
            <w:vAlign w:val="center"/>
            <w:hideMark/>
          </w:tcPr>
          <w:p w14:paraId="1CF7D7A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15231</w:t>
            </w:r>
          </w:p>
        </w:tc>
        <w:tc>
          <w:tcPr>
            <w:tcW w:w="559" w:type="pct"/>
            <w:shd w:val="clear" w:color="auto" w:fill="auto"/>
            <w:noWrap/>
            <w:vAlign w:val="center"/>
            <w:hideMark/>
          </w:tcPr>
          <w:p w14:paraId="6B18A21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noWrap/>
            <w:vAlign w:val="center"/>
            <w:hideMark/>
          </w:tcPr>
          <w:p w14:paraId="2B10363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hideMark/>
          </w:tcPr>
          <w:p w14:paraId="27FB887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92942</w:t>
            </w:r>
          </w:p>
        </w:tc>
        <w:tc>
          <w:tcPr>
            <w:tcW w:w="562" w:type="pct"/>
            <w:shd w:val="clear" w:color="auto" w:fill="auto"/>
            <w:noWrap/>
            <w:vAlign w:val="center"/>
            <w:hideMark/>
          </w:tcPr>
          <w:p w14:paraId="77AED31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hideMark/>
          </w:tcPr>
          <w:p w14:paraId="08E5B48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188145</w:t>
            </w:r>
          </w:p>
        </w:tc>
        <w:tc>
          <w:tcPr>
            <w:tcW w:w="564" w:type="pct"/>
            <w:shd w:val="clear" w:color="auto" w:fill="auto"/>
            <w:vAlign w:val="center"/>
            <w:hideMark/>
          </w:tcPr>
          <w:p w14:paraId="6F4AC93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2.02</w:t>
            </w:r>
          </w:p>
        </w:tc>
      </w:tr>
      <w:tr w:rsidR="008B5E4A" w:rsidRPr="00801BD1" w14:paraId="3339F230" w14:textId="77777777" w:rsidTr="006561ED">
        <w:trPr>
          <w:trHeight w:val="19"/>
          <w:jc w:val="center"/>
        </w:trPr>
        <w:tc>
          <w:tcPr>
            <w:tcW w:w="1110" w:type="pct"/>
            <w:shd w:val="clear" w:color="auto" w:fill="auto"/>
            <w:noWrap/>
            <w:vAlign w:val="center"/>
            <w:hideMark/>
          </w:tcPr>
          <w:p w14:paraId="5639C0C1"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noWrap/>
            <w:vAlign w:val="center"/>
            <w:hideMark/>
          </w:tcPr>
          <w:p w14:paraId="00A48C7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noWrap/>
            <w:vAlign w:val="center"/>
            <w:hideMark/>
          </w:tcPr>
          <w:p w14:paraId="43ADC81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noWrap/>
            <w:vAlign w:val="center"/>
            <w:hideMark/>
          </w:tcPr>
          <w:p w14:paraId="7CE0D9F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hideMark/>
          </w:tcPr>
          <w:p w14:paraId="5915C67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noWrap/>
            <w:vAlign w:val="center"/>
            <w:hideMark/>
          </w:tcPr>
          <w:p w14:paraId="336BD43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252979</w:t>
            </w:r>
          </w:p>
        </w:tc>
        <w:tc>
          <w:tcPr>
            <w:tcW w:w="562" w:type="pct"/>
            <w:shd w:val="clear" w:color="auto" w:fill="auto"/>
            <w:vAlign w:val="center"/>
            <w:hideMark/>
          </w:tcPr>
          <w:p w14:paraId="4AB92E0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142999</w:t>
            </w:r>
          </w:p>
        </w:tc>
        <w:tc>
          <w:tcPr>
            <w:tcW w:w="564" w:type="pct"/>
            <w:shd w:val="clear" w:color="auto" w:fill="auto"/>
            <w:vAlign w:val="center"/>
            <w:hideMark/>
          </w:tcPr>
          <w:p w14:paraId="3D279989"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1.30</w:t>
            </w:r>
          </w:p>
        </w:tc>
      </w:tr>
      <w:tr w:rsidR="008B5E4A" w:rsidRPr="00801BD1" w14:paraId="7991F1CE" w14:textId="77777777" w:rsidTr="006561ED">
        <w:trPr>
          <w:trHeight w:val="19"/>
          <w:jc w:val="center"/>
        </w:trPr>
        <w:tc>
          <w:tcPr>
            <w:tcW w:w="5000" w:type="pct"/>
            <w:gridSpan w:val="8"/>
            <w:shd w:val="clear" w:color="auto" w:fill="auto"/>
            <w:noWrap/>
            <w:vAlign w:val="center"/>
            <w:hideMark/>
          </w:tcPr>
          <w:p w14:paraId="510CF7F9"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proofErr w:type="spellStart"/>
            <w:r w:rsidRPr="00801BD1">
              <w:rPr>
                <w:rFonts w:ascii="Arial" w:eastAsia="Times New Roman" w:hAnsi="Arial" w:cs="Arial"/>
                <w:b/>
                <w:bCs/>
                <w:i/>
                <w:iCs/>
                <w:kern w:val="0"/>
                <w:sz w:val="20"/>
                <w:szCs w:val="20"/>
                <w:lang w:eastAsia="en-IN" w:bidi="hi-IN"/>
                <w14:ligatures w14:val="none"/>
              </w:rPr>
              <w:t>Agro</w:t>
            </w:r>
            <w:proofErr w:type="spellEnd"/>
            <w:r w:rsidRPr="00801BD1">
              <w:rPr>
                <w:rFonts w:ascii="Arial" w:eastAsia="Times New Roman" w:hAnsi="Arial" w:cs="Arial"/>
                <w:b/>
                <w:bCs/>
                <w:i/>
                <w:iCs/>
                <w:kern w:val="0"/>
                <w:sz w:val="20"/>
                <w:szCs w:val="20"/>
                <w:lang w:eastAsia="en-IN" w:bidi="hi-IN"/>
                <w14:ligatures w14:val="none"/>
              </w:rPr>
              <w:t>-Forestry</w:t>
            </w:r>
          </w:p>
        </w:tc>
      </w:tr>
      <w:tr w:rsidR="008B5E4A" w:rsidRPr="00801BD1" w14:paraId="5CB17E3C" w14:textId="77777777" w:rsidTr="006561ED">
        <w:trPr>
          <w:trHeight w:val="19"/>
          <w:jc w:val="center"/>
        </w:trPr>
        <w:tc>
          <w:tcPr>
            <w:tcW w:w="1110" w:type="pct"/>
            <w:shd w:val="clear" w:color="auto" w:fill="auto"/>
            <w:noWrap/>
            <w:vAlign w:val="center"/>
            <w:hideMark/>
          </w:tcPr>
          <w:p w14:paraId="6EF670AE"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lastRenderedPageBreak/>
              <w:t>With CSA</w:t>
            </w:r>
          </w:p>
        </w:tc>
        <w:tc>
          <w:tcPr>
            <w:tcW w:w="521" w:type="pct"/>
            <w:shd w:val="clear" w:color="auto" w:fill="auto"/>
            <w:noWrap/>
            <w:vAlign w:val="center"/>
            <w:hideMark/>
          </w:tcPr>
          <w:p w14:paraId="7F4DC55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noWrap/>
            <w:vAlign w:val="center"/>
            <w:hideMark/>
          </w:tcPr>
          <w:p w14:paraId="659947E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44380</w:t>
            </w:r>
          </w:p>
        </w:tc>
        <w:tc>
          <w:tcPr>
            <w:tcW w:w="559" w:type="pct"/>
            <w:shd w:val="clear" w:color="auto" w:fill="auto"/>
            <w:noWrap/>
            <w:vAlign w:val="center"/>
            <w:hideMark/>
          </w:tcPr>
          <w:p w14:paraId="4467DE3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38450</w:t>
            </w:r>
          </w:p>
        </w:tc>
        <w:tc>
          <w:tcPr>
            <w:tcW w:w="563" w:type="pct"/>
            <w:shd w:val="clear" w:color="auto" w:fill="auto"/>
            <w:vAlign w:val="center"/>
            <w:hideMark/>
          </w:tcPr>
          <w:p w14:paraId="5FC44BB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115098</w:t>
            </w:r>
          </w:p>
        </w:tc>
        <w:tc>
          <w:tcPr>
            <w:tcW w:w="562" w:type="pct"/>
            <w:shd w:val="clear" w:color="auto" w:fill="auto"/>
            <w:noWrap/>
            <w:vAlign w:val="center"/>
            <w:hideMark/>
          </w:tcPr>
          <w:p w14:paraId="089917E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hideMark/>
          </w:tcPr>
          <w:p w14:paraId="7437A94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165989</w:t>
            </w:r>
          </w:p>
        </w:tc>
        <w:tc>
          <w:tcPr>
            <w:tcW w:w="564" w:type="pct"/>
            <w:shd w:val="clear" w:color="auto" w:fill="auto"/>
            <w:vAlign w:val="center"/>
            <w:hideMark/>
          </w:tcPr>
          <w:p w14:paraId="1665DBE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1.44</w:t>
            </w:r>
          </w:p>
        </w:tc>
      </w:tr>
      <w:tr w:rsidR="008B5E4A" w:rsidRPr="00801BD1" w14:paraId="032F3E73" w14:textId="77777777" w:rsidTr="006561ED">
        <w:trPr>
          <w:trHeight w:val="19"/>
          <w:jc w:val="center"/>
        </w:trPr>
        <w:tc>
          <w:tcPr>
            <w:tcW w:w="1110" w:type="pct"/>
            <w:shd w:val="clear" w:color="auto" w:fill="auto"/>
            <w:noWrap/>
            <w:vAlign w:val="center"/>
            <w:hideMark/>
          </w:tcPr>
          <w:p w14:paraId="2044BDC8"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noWrap/>
            <w:vAlign w:val="center"/>
            <w:hideMark/>
          </w:tcPr>
          <w:p w14:paraId="08317069"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noWrap/>
            <w:vAlign w:val="center"/>
            <w:hideMark/>
          </w:tcPr>
          <w:p w14:paraId="6BB21BF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noWrap/>
            <w:vAlign w:val="center"/>
            <w:hideMark/>
          </w:tcPr>
          <w:p w14:paraId="2AE70EC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hideMark/>
          </w:tcPr>
          <w:p w14:paraId="7D2E7F2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noWrap/>
            <w:vAlign w:val="center"/>
            <w:hideMark/>
          </w:tcPr>
          <w:p w14:paraId="7BD097A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252979</w:t>
            </w:r>
          </w:p>
        </w:tc>
        <w:tc>
          <w:tcPr>
            <w:tcW w:w="562" w:type="pct"/>
            <w:shd w:val="clear" w:color="auto" w:fill="auto"/>
            <w:vAlign w:val="center"/>
            <w:hideMark/>
          </w:tcPr>
          <w:p w14:paraId="0C56495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143000</w:t>
            </w:r>
          </w:p>
        </w:tc>
        <w:tc>
          <w:tcPr>
            <w:tcW w:w="564" w:type="pct"/>
            <w:shd w:val="clear" w:color="auto" w:fill="auto"/>
            <w:vAlign w:val="center"/>
            <w:hideMark/>
          </w:tcPr>
          <w:p w14:paraId="6547811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1.30</w:t>
            </w:r>
          </w:p>
        </w:tc>
      </w:tr>
      <w:tr w:rsidR="008B5E4A" w:rsidRPr="00801BD1" w14:paraId="7591A54F" w14:textId="77777777" w:rsidTr="006561ED">
        <w:trPr>
          <w:trHeight w:val="19"/>
          <w:jc w:val="center"/>
        </w:trPr>
        <w:tc>
          <w:tcPr>
            <w:tcW w:w="5000" w:type="pct"/>
            <w:gridSpan w:val="8"/>
            <w:shd w:val="clear" w:color="auto" w:fill="auto"/>
            <w:noWrap/>
            <w:vAlign w:val="center"/>
          </w:tcPr>
          <w:p w14:paraId="467B6A04" w14:textId="77777777" w:rsidR="008B5E4A" w:rsidRPr="00801BD1" w:rsidRDefault="008B5E4A" w:rsidP="00801BD1">
            <w:pPr>
              <w:widowControl w:val="0"/>
              <w:spacing w:after="0" w:line="240" w:lineRule="auto"/>
              <w:rPr>
                <w:rFonts w:ascii="Arial" w:eastAsia="Times New Roman" w:hAnsi="Arial" w:cs="Arial"/>
                <w:i/>
                <w:iCs/>
                <w:kern w:val="0"/>
                <w:sz w:val="20"/>
                <w:szCs w:val="20"/>
                <w:lang w:eastAsia="en-IN" w:bidi="hi-IN"/>
                <w14:ligatures w14:val="none"/>
              </w:rPr>
            </w:pPr>
            <w:r w:rsidRPr="00801BD1">
              <w:rPr>
                <w:rFonts w:ascii="Arial" w:eastAsia="Times New Roman" w:hAnsi="Arial" w:cs="Arial"/>
                <w:i/>
                <w:iCs/>
                <w:kern w:val="0"/>
                <w:sz w:val="20"/>
                <w:szCs w:val="20"/>
                <w:lang w:eastAsia="en-IN" w:bidi="hi-IN"/>
                <w14:ligatures w14:val="none"/>
              </w:rPr>
              <w:t xml:space="preserve">OC = Operational cost, IC = Input cost, LC = Labor cost, TC = Total cost, TR = Total revenue, </w:t>
            </w:r>
          </w:p>
          <w:p w14:paraId="079EE3B1"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i/>
                <w:iCs/>
                <w:kern w:val="0"/>
                <w:sz w:val="20"/>
                <w:szCs w:val="20"/>
                <w:lang w:eastAsia="en-IN" w:bidi="hi-IN"/>
                <w14:ligatures w14:val="none"/>
              </w:rPr>
              <w:t>BF = Benefits, BCR = Benefit-Cost Ratio</w:t>
            </w:r>
          </w:p>
        </w:tc>
      </w:tr>
    </w:tbl>
    <w:bookmarkEnd w:id="0"/>
    <w:p w14:paraId="6F7FC7C0" w14:textId="1AD50D67" w:rsidR="008B5E4A" w:rsidRPr="00801BD1" w:rsidRDefault="008B5E4A" w:rsidP="00801BD1">
      <w:pPr>
        <w:pStyle w:val="ListParagraph"/>
        <w:widowControl w:val="0"/>
        <w:spacing w:after="0" w:line="240" w:lineRule="auto"/>
        <w:ind w:left="360"/>
        <w:rPr>
          <w:rFonts w:ascii="Arial" w:hAnsi="Arial" w:cs="Arial"/>
          <w:b/>
          <w:i/>
          <w:iCs/>
          <w:sz w:val="20"/>
          <w:szCs w:val="20"/>
        </w:rPr>
      </w:pPr>
      <w:r w:rsidRPr="00801BD1">
        <w:rPr>
          <w:rFonts w:ascii="Arial" w:hAnsi="Arial" w:cs="Arial"/>
          <w:i/>
          <w:iCs/>
          <w:sz w:val="20"/>
          <w:szCs w:val="20"/>
        </w:rPr>
        <w:t xml:space="preserve">(Source: </w:t>
      </w:r>
      <w:r w:rsidR="00A940CC">
        <w:rPr>
          <w:rFonts w:ascii="Arial" w:hAnsi="Arial" w:cs="Arial"/>
          <w:i/>
          <w:iCs/>
          <w:sz w:val="20"/>
          <w:szCs w:val="20"/>
        </w:rPr>
        <w:t xml:space="preserve">Authors’ </w:t>
      </w:r>
      <w:r w:rsidRPr="00801BD1">
        <w:rPr>
          <w:rFonts w:ascii="Arial" w:hAnsi="Arial" w:cs="Arial"/>
          <w:i/>
          <w:iCs/>
          <w:sz w:val="20"/>
          <w:szCs w:val="20"/>
        </w:rPr>
        <w:t>Own computation)</w:t>
      </w:r>
    </w:p>
    <w:p w14:paraId="01081B29" w14:textId="77777777" w:rsidR="00217ABD" w:rsidRPr="00217ABD" w:rsidRDefault="00217ABD" w:rsidP="00217ABD">
      <w:pPr>
        <w:widowControl w:val="0"/>
        <w:autoSpaceDE w:val="0"/>
        <w:autoSpaceDN w:val="0"/>
        <w:adjustRightInd w:val="0"/>
        <w:spacing w:after="0" w:line="240" w:lineRule="auto"/>
        <w:jc w:val="both"/>
        <w:rPr>
          <w:rFonts w:ascii="Arial" w:hAnsi="Arial" w:cs="Arial"/>
          <w:sz w:val="20"/>
          <w:szCs w:val="20"/>
        </w:rPr>
      </w:pPr>
      <w:r w:rsidRPr="00217ABD">
        <w:rPr>
          <w:rFonts w:ascii="Arial" w:hAnsi="Arial" w:cs="Arial"/>
          <w:sz w:val="20"/>
          <w:szCs w:val="20"/>
        </w:rPr>
        <w:t>Balanced and efficient use of fertilizers and pesticides is vital for crop productivity. Though modern practices entail slightly higher costs, they generate a net benefit of ₹6,067/ha, despite a BCR of 2.26 and negative NPV for traditional practices. Modern approaches support plant growth, climate change mitigation, and higher yields (Sapkota et al., 2021).</w:t>
      </w:r>
    </w:p>
    <w:p w14:paraId="2B614E84" w14:textId="6E80B435" w:rsidR="00217ABD" w:rsidRPr="00A940CC" w:rsidRDefault="00217ABD" w:rsidP="00A940CC">
      <w:pPr>
        <w:widowControl w:val="0"/>
        <w:spacing w:after="0" w:line="240" w:lineRule="auto"/>
        <w:jc w:val="both"/>
        <w:rPr>
          <w:rFonts w:ascii="Arial" w:hAnsi="Arial" w:cs="Arial"/>
          <w:sz w:val="20"/>
          <w:szCs w:val="20"/>
        </w:rPr>
      </w:pPr>
      <w:r w:rsidRPr="00217ABD">
        <w:rPr>
          <w:rFonts w:ascii="Arial" w:hAnsi="Arial" w:cs="Arial"/>
          <w:sz w:val="20"/>
          <w:szCs w:val="20"/>
        </w:rPr>
        <w:t>Developed by ICAR, these varieties are tailored to withstand climatic stresses. The adoption of such varieties results in an additional benefit of ₹27,912, a BCR of 1.55, and an NPV of ₹24,812, highlighting their economic and agronomic superiority over traditional crops.</w:t>
      </w:r>
    </w:p>
    <w:p w14:paraId="56EE4477" w14:textId="1908DFA4" w:rsidR="008B5E4A" w:rsidRPr="00801BD1" w:rsidRDefault="008B5E4A" w:rsidP="00801BD1">
      <w:pPr>
        <w:widowControl w:val="0"/>
        <w:spacing w:after="0" w:line="240" w:lineRule="auto"/>
        <w:rPr>
          <w:rFonts w:ascii="Arial" w:hAnsi="Arial" w:cs="Arial"/>
          <w:b/>
          <w:bCs/>
          <w:sz w:val="20"/>
          <w:szCs w:val="20"/>
        </w:rPr>
      </w:pPr>
      <w:r w:rsidRPr="00801BD1">
        <w:rPr>
          <w:rFonts w:ascii="Arial" w:eastAsia="Times New Roman" w:hAnsi="Arial" w:cs="Arial"/>
          <w:b/>
          <w:bCs/>
          <w:kern w:val="0"/>
          <w:sz w:val="20"/>
          <w:szCs w:val="20"/>
          <w:lang w:eastAsia="en-IN" w:bidi="hi-IN"/>
          <w14:ligatures w14:val="none"/>
        </w:rPr>
        <w:t xml:space="preserve"> Table 3: Net present value of CSA practices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1543"/>
        <w:gridCol w:w="1443"/>
        <w:gridCol w:w="1333"/>
      </w:tblGrid>
      <w:tr w:rsidR="008B5E4A" w:rsidRPr="00801BD1" w14:paraId="6BCEE60D" w14:textId="77777777" w:rsidTr="006561ED">
        <w:trPr>
          <w:trHeight w:val="221"/>
          <w:jc w:val="center"/>
        </w:trPr>
        <w:tc>
          <w:tcPr>
            <w:tcW w:w="2878" w:type="pct"/>
            <w:shd w:val="clear" w:color="auto" w:fill="auto"/>
            <w:noWrap/>
            <w:hideMark/>
          </w:tcPr>
          <w:p w14:paraId="0DC57EA6"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Farming Practices</w:t>
            </w:r>
          </w:p>
        </w:tc>
        <w:tc>
          <w:tcPr>
            <w:tcW w:w="758" w:type="pct"/>
            <w:shd w:val="clear" w:color="auto" w:fill="auto"/>
            <w:hideMark/>
          </w:tcPr>
          <w:p w14:paraId="6C984B9E" w14:textId="77777777" w:rsidR="008B5E4A" w:rsidRPr="00801BD1" w:rsidRDefault="008B5E4A" w:rsidP="00801BD1">
            <w:pPr>
              <w:widowControl w:val="0"/>
              <w:spacing w:after="0" w:line="240" w:lineRule="auto"/>
              <w:ind w:left="-104" w:right="-105"/>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Net Benefit</w:t>
            </w:r>
          </w:p>
        </w:tc>
        <w:tc>
          <w:tcPr>
            <w:tcW w:w="709" w:type="pct"/>
            <w:shd w:val="clear" w:color="auto" w:fill="auto"/>
            <w:hideMark/>
          </w:tcPr>
          <w:p w14:paraId="2999D7C6"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w:t>
            </w:r>
            <w:proofErr w:type="spellStart"/>
            <w:r w:rsidRPr="00801BD1">
              <w:rPr>
                <w:rFonts w:ascii="Arial" w:eastAsia="Times New Roman" w:hAnsi="Arial" w:cs="Arial"/>
                <w:b/>
                <w:bCs/>
                <w:kern w:val="0"/>
                <w:sz w:val="20"/>
                <w:szCs w:val="20"/>
                <w:lang w:eastAsia="en-IN" w:bidi="hi-IN"/>
                <w14:ligatures w14:val="none"/>
              </w:rPr>
              <w:t>Bt</w:t>
            </w:r>
            <w:proofErr w:type="spellEnd"/>
            <w:r w:rsidRPr="00801BD1">
              <w:rPr>
                <w:rFonts w:ascii="Arial" w:eastAsia="Times New Roman" w:hAnsi="Arial" w:cs="Arial"/>
                <w:b/>
                <w:bCs/>
                <w:kern w:val="0"/>
                <w:sz w:val="20"/>
                <w:szCs w:val="20"/>
                <w:lang w:eastAsia="en-IN" w:bidi="hi-IN"/>
                <w14:ligatures w14:val="none"/>
              </w:rPr>
              <w:t xml:space="preserve"> – Ct) *</w:t>
            </w:r>
          </w:p>
        </w:tc>
        <w:tc>
          <w:tcPr>
            <w:tcW w:w="655" w:type="pct"/>
            <w:shd w:val="clear" w:color="auto" w:fill="auto"/>
            <w:hideMark/>
          </w:tcPr>
          <w:p w14:paraId="0DF785A6"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NPV</w:t>
            </w:r>
          </w:p>
        </w:tc>
      </w:tr>
      <w:tr w:rsidR="008B5E4A" w:rsidRPr="00801BD1" w14:paraId="2435CDAA" w14:textId="77777777" w:rsidTr="006561ED">
        <w:trPr>
          <w:trHeight w:val="113"/>
          <w:jc w:val="center"/>
        </w:trPr>
        <w:tc>
          <w:tcPr>
            <w:tcW w:w="2878" w:type="pct"/>
            <w:shd w:val="clear" w:color="auto" w:fill="auto"/>
            <w:noWrap/>
            <w:hideMark/>
          </w:tcPr>
          <w:p w14:paraId="7B5C7C20"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Crop Rotation (Rice - Wheat to Sugarcane - Wheat)</w:t>
            </w:r>
          </w:p>
        </w:tc>
        <w:tc>
          <w:tcPr>
            <w:tcW w:w="758" w:type="pct"/>
            <w:shd w:val="clear" w:color="auto" w:fill="auto"/>
            <w:noWrap/>
            <w:hideMark/>
          </w:tcPr>
          <w:p w14:paraId="2612DE2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91272</w:t>
            </w:r>
          </w:p>
        </w:tc>
        <w:tc>
          <w:tcPr>
            <w:tcW w:w="709" w:type="pct"/>
            <w:shd w:val="clear" w:color="auto" w:fill="auto"/>
            <w:noWrap/>
            <w:hideMark/>
          </w:tcPr>
          <w:p w14:paraId="3CE026E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74942</w:t>
            </w:r>
          </w:p>
        </w:tc>
        <w:tc>
          <w:tcPr>
            <w:tcW w:w="655" w:type="pct"/>
            <w:shd w:val="clear" w:color="auto" w:fill="auto"/>
            <w:noWrap/>
            <w:hideMark/>
          </w:tcPr>
          <w:p w14:paraId="7E41250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67092</w:t>
            </w:r>
          </w:p>
        </w:tc>
      </w:tr>
      <w:tr w:rsidR="008B5E4A" w:rsidRPr="00801BD1" w14:paraId="4ADF4C10" w14:textId="77777777" w:rsidTr="006561ED">
        <w:trPr>
          <w:trHeight w:val="85"/>
          <w:jc w:val="center"/>
        </w:trPr>
        <w:tc>
          <w:tcPr>
            <w:tcW w:w="2878" w:type="pct"/>
            <w:shd w:val="clear" w:color="auto" w:fill="auto"/>
            <w:noWrap/>
          </w:tcPr>
          <w:p w14:paraId="3F1FCA0D"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Modern Irrigation Practices</w:t>
            </w:r>
          </w:p>
        </w:tc>
        <w:tc>
          <w:tcPr>
            <w:tcW w:w="758" w:type="pct"/>
            <w:shd w:val="clear" w:color="auto" w:fill="auto"/>
            <w:noWrap/>
          </w:tcPr>
          <w:p w14:paraId="41971FA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18695</w:t>
            </w:r>
          </w:p>
        </w:tc>
        <w:tc>
          <w:tcPr>
            <w:tcW w:w="709" w:type="pct"/>
            <w:shd w:val="clear" w:color="auto" w:fill="auto"/>
            <w:noWrap/>
          </w:tcPr>
          <w:p w14:paraId="5DA615B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9281</w:t>
            </w:r>
          </w:p>
        </w:tc>
        <w:tc>
          <w:tcPr>
            <w:tcW w:w="655" w:type="pct"/>
            <w:shd w:val="clear" w:color="auto" w:fill="auto"/>
            <w:noWrap/>
          </w:tcPr>
          <w:p w14:paraId="479C1BB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8309</w:t>
            </w:r>
          </w:p>
        </w:tc>
      </w:tr>
      <w:tr w:rsidR="008B5E4A" w:rsidRPr="00801BD1" w14:paraId="5B88551C" w14:textId="77777777" w:rsidTr="006561ED">
        <w:trPr>
          <w:trHeight w:val="85"/>
          <w:jc w:val="center"/>
        </w:trPr>
        <w:tc>
          <w:tcPr>
            <w:tcW w:w="2878" w:type="pct"/>
            <w:shd w:val="clear" w:color="auto" w:fill="auto"/>
            <w:noWrap/>
          </w:tcPr>
          <w:p w14:paraId="7375D7D4"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Fertilizers and Pest Management</w:t>
            </w:r>
          </w:p>
        </w:tc>
        <w:tc>
          <w:tcPr>
            <w:tcW w:w="758" w:type="pct"/>
            <w:shd w:val="clear" w:color="auto" w:fill="auto"/>
            <w:noWrap/>
          </w:tcPr>
          <w:p w14:paraId="0AE5CDF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6067</w:t>
            </w:r>
          </w:p>
        </w:tc>
        <w:tc>
          <w:tcPr>
            <w:tcW w:w="709" w:type="pct"/>
            <w:shd w:val="clear" w:color="auto" w:fill="auto"/>
            <w:noWrap/>
          </w:tcPr>
          <w:p w14:paraId="2D1A35A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-16975</w:t>
            </w:r>
          </w:p>
        </w:tc>
        <w:tc>
          <w:tcPr>
            <w:tcW w:w="655" w:type="pct"/>
            <w:shd w:val="clear" w:color="auto" w:fill="auto"/>
            <w:noWrap/>
          </w:tcPr>
          <w:p w14:paraId="6188E36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-15197</w:t>
            </w:r>
          </w:p>
        </w:tc>
      </w:tr>
      <w:tr w:rsidR="008B5E4A" w:rsidRPr="00801BD1" w14:paraId="0BC8ADE6" w14:textId="77777777" w:rsidTr="006561ED">
        <w:trPr>
          <w:trHeight w:val="85"/>
          <w:jc w:val="center"/>
        </w:trPr>
        <w:tc>
          <w:tcPr>
            <w:tcW w:w="2878" w:type="pct"/>
            <w:shd w:val="clear" w:color="auto" w:fill="auto"/>
            <w:noWrap/>
          </w:tcPr>
          <w:p w14:paraId="1835EE96"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Change in Crop Varieties</w:t>
            </w:r>
          </w:p>
        </w:tc>
        <w:tc>
          <w:tcPr>
            <w:tcW w:w="758" w:type="pct"/>
            <w:shd w:val="clear" w:color="auto" w:fill="auto"/>
            <w:noWrap/>
          </w:tcPr>
          <w:p w14:paraId="680EBB0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27912</w:t>
            </w:r>
          </w:p>
        </w:tc>
        <w:tc>
          <w:tcPr>
            <w:tcW w:w="709" w:type="pct"/>
            <w:shd w:val="clear" w:color="auto" w:fill="auto"/>
            <w:noWrap/>
          </w:tcPr>
          <w:p w14:paraId="182A8AF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27715</w:t>
            </w:r>
          </w:p>
        </w:tc>
        <w:tc>
          <w:tcPr>
            <w:tcW w:w="655" w:type="pct"/>
            <w:shd w:val="clear" w:color="auto" w:fill="auto"/>
            <w:noWrap/>
          </w:tcPr>
          <w:p w14:paraId="3320C8E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24812</w:t>
            </w:r>
          </w:p>
        </w:tc>
      </w:tr>
      <w:tr w:rsidR="008B5E4A" w:rsidRPr="00801BD1" w14:paraId="12987CFF" w14:textId="77777777" w:rsidTr="006561ED">
        <w:trPr>
          <w:trHeight w:val="85"/>
          <w:jc w:val="center"/>
        </w:trPr>
        <w:tc>
          <w:tcPr>
            <w:tcW w:w="2878" w:type="pct"/>
            <w:shd w:val="clear" w:color="auto" w:fill="auto"/>
            <w:noWrap/>
          </w:tcPr>
          <w:p w14:paraId="2CC411D2"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 xml:space="preserve">Modification in the Timing of Sowing, </w:t>
            </w:r>
            <w:r w:rsidRPr="00801BD1">
              <w:rPr>
                <w:rFonts w:ascii="Arial" w:hAnsi="Arial" w:cs="Arial"/>
                <w:sz w:val="20"/>
                <w:szCs w:val="20"/>
              </w:rPr>
              <w:t>Fertilizing, etc.</w:t>
            </w:r>
            <w:r w:rsidRPr="00801BD1">
              <w:rPr>
                <w:rFonts w:ascii="Arial" w:eastAsia="Times New Roman" w:hAnsi="Arial" w:cs="Arial"/>
                <w:kern w:val="0"/>
                <w:sz w:val="20"/>
                <w:szCs w:val="20"/>
                <w:lang w:eastAsia="en-IN" w:bidi="hi-IN"/>
                <w14:ligatures w14:val="none"/>
              </w:rPr>
              <w:t xml:space="preserve"> </w:t>
            </w:r>
          </w:p>
        </w:tc>
        <w:tc>
          <w:tcPr>
            <w:tcW w:w="758" w:type="pct"/>
            <w:shd w:val="clear" w:color="auto" w:fill="auto"/>
            <w:noWrap/>
          </w:tcPr>
          <w:p w14:paraId="78EC60C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37523</w:t>
            </w:r>
          </w:p>
        </w:tc>
        <w:tc>
          <w:tcPr>
            <w:tcW w:w="709" w:type="pct"/>
            <w:shd w:val="clear" w:color="auto" w:fill="auto"/>
            <w:noWrap/>
          </w:tcPr>
          <w:p w14:paraId="1F49BB0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46937</w:t>
            </w:r>
          </w:p>
        </w:tc>
        <w:tc>
          <w:tcPr>
            <w:tcW w:w="655" w:type="pct"/>
            <w:shd w:val="clear" w:color="auto" w:fill="auto"/>
            <w:noWrap/>
          </w:tcPr>
          <w:p w14:paraId="6A99352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42021</w:t>
            </w:r>
          </w:p>
        </w:tc>
      </w:tr>
      <w:tr w:rsidR="008B5E4A" w:rsidRPr="00801BD1" w14:paraId="042D97FF" w14:textId="77777777" w:rsidTr="006561ED">
        <w:trPr>
          <w:trHeight w:val="85"/>
          <w:jc w:val="center"/>
        </w:trPr>
        <w:tc>
          <w:tcPr>
            <w:tcW w:w="2878" w:type="pct"/>
            <w:shd w:val="clear" w:color="auto" w:fill="auto"/>
            <w:noWrap/>
          </w:tcPr>
          <w:p w14:paraId="7F001115"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Site-Specific Integrated Nutrient Management</w:t>
            </w:r>
          </w:p>
        </w:tc>
        <w:tc>
          <w:tcPr>
            <w:tcW w:w="758" w:type="pct"/>
            <w:shd w:val="clear" w:color="auto" w:fill="auto"/>
            <w:noWrap/>
          </w:tcPr>
          <w:p w14:paraId="409C59A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-2140</w:t>
            </w:r>
          </w:p>
        </w:tc>
        <w:tc>
          <w:tcPr>
            <w:tcW w:w="709" w:type="pct"/>
            <w:shd w:val="clear" w:color="auto" w:fill="auto"/>
            <w:noWrap/>
          </w:tcPr>
          <w:p w14:paraId="49281B6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-32389</w:t>
            </w:r>
          </w:p>
        </w:tc>
        <w:tc>
          <w:tcPr>
            <w:tcW w:w="655" w:type="pct"/>
            <w:shd w:val="clear" w:color="auto" w:fill="auto"/>
            <w:noWrap/>
          </w:tcPr>
          <w:p w14:paraId="22B13AE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lang w:bidi="hi-IN"/>
              </w:rPr>
              <w:t>-28996</w:t>
            </w:r>
          </w:p>
        </w:tc>
      </w:tr>
      <w:tr w:rsidR="008B5E4A" w:rsidRPr="00801BD1" w14:paraId="4C709DD4" w14:textId="77777777" w:rsidTr="006561ED">
        <w:trPr>
          <w:trHeight w:val="85"/>
          <w:jc w:val="center"/>
        </w:trPr>
        <w:tc>
          <w:tcPr>
            <w:tcW w:w="2878" w:type="pct"/>
            <w:shd w:val="clear" w:color="auto" w:fill="auto"/>
            <w:noWrap/>
            <w:hideMark/>
          </w:tcPr>
          <w:p w14:paraId="642CD093"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 xml:space="preserve">Conservation (Zero or Reduced Tillage) </w:t>
            </w:r>
          </w:p>
        </w:tc>
        <w:tc>
          <w:tcPr>
            <w:tcW w:w="758" w:type="pct"/>
            <w:shd w:val="clear" w:color="auto" w:fill="auto"/>
            <w:noWrap/>
            <w:hideMark/>
          </w:tcPr>
          <w:p w14:paraId="264A876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45145</w:t>
            </w:r>
          </w:p>
        </w:tc>
        <w:tc>
          <w:tcPr>
            <w:tcW w:w="709" w:type="pct"/>
            <w:shd w:val="clear" w:color="auto" w:fill="auto"/>
            <w:noWrap/>
            <w:hideMark/>
          </w:tcPr>
          <w:p w14:paraId="143A02E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62182</w:t>
            </w:r>
          </w:p>
        </w:tc>
        <w:tc>
          <w:tcPr>
            <w:tcW w:w="655" w:type="pct"/>
            <w:shd w:val="clear" w:color="auto" w:fill="auto"/>
            <w:noWrap/>
            <w:hideMark/>
          </w:tcPr>
          <w:p w14:paraId="108EAC3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55669</w:t>
            </w:r>
          </w:p>
        </w:tc>
      </w:tr>
      <w:tr w:rsidR="008B5E4A" w:rsidRPr="00801BD1" w14:paraId="5E600092" w14:textId="77777777" w:rsidTr="006561ED">
        <w:trPr>
          <w:trHeight w:val="85"/>
          <w:jc w:val="center"/>
        </w:trPr>
        <w:tc>
          <w:tcPr>
            <w:tcW w:w="2878" w:type="pct"/>
            <w:shd w:val="clear" w:color="auto" w:fill="auto"/>
            <w:noWrap/>
            <w:hideMark/>
          </w:tcPr>
          <w:p w14:paraId="1763B98A"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proofErr w:type="spellStart"/>
            <w:r w:rsidRPr="00801BD1">
              <w:rPr>
                <w:rFonts w:ascii="Arial" w:eastAsia="Times New Roman" w:hAnsi="Arial" w:cs="Arial"/>
                <w:kern w:val="0"/>
                <w:sz w:val="20"/>
                <w:szCs w:val="20"/>
                <w:lang w:eastAsia="en-IN" w:bidi="hi-IN"/>
                <w14:ligatures w14:val="none"/>
              </w:rPr>
              <w:t>Agro</w:t>
            </w:r>
            <w:proofErr w:type="spellEnd"/>
            <w:r w:rsidRPr="00801BD1">
              <w:rPr>
                <w:rFonts w:ascii="Arial" w:eastAsia="Times New Roman" w:hAnsi="Arial" w:cs="Arial"/>
                <w:kern w:val="0"/>
                <w:sz w:val="20"/>
                <w:szCs w:val="20"/>
                <w:lang w:eastAsia="en-IN" w:bidi="hi-IN"/>
                <w14:ligatures w14:val="none"/>
              </w:rPr>
              <w:t>-Forestry</w:t>
            </w:r>
          </w:p>
        </w:tc>
        <w:tc>
          <w:tcPr>
            <w:tcW w:w="758" w:type="pct"/>
            <w:shd w:val="clear" w:color="auto" w:fill="auto"/>
            <w:noWrap/>
            <w:hideMark/>
          </w:tcPr>
          <w:p w14:paraId="67D1AFB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22989</w:t>
            </w:r>
          </w:p>
        </w:tc>
        <w:tc>
          <w:tcPr>
            <w:tcW w:w="709" w:type="pct"/>
            <w:shd w:val="clear" w:color="auto" w:fill="auto"/>
            <w:noWrap/>
            <w:hideMark/>
          </w:tcPr>
          <w:p w14:paraId="724EA50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17870</w:t>
            </w:r>
          </w:p>
        </w:tc>
        <w:tc>
          <w:tcPr>
            <w:tcW w:w="655" w:type="pct"/>
            <w:shd w:val="clear" w:color="auto" w:fill="auto"/>
            <w:noWrap/>
            <w:hideMark/>
          </w:tcPr>
          <w:p w14:paraId="4E1D8AB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15998</w:t>
            </w:r>
          </w:p>
        </w:tc>
      </w:tr>
      <w:tr w:rsidR="008B5E4A" w:rsidRPr="00801BD1" w14:paraId="1CD88116" w14:textId="77777777" w:rsidTr="006561ED">
        <w:trPr>
          <w:trHeight w:val="288"/>
          <w:jc w:val="center"/>
        </w:trPr>
        <w:tc>
          <w:tcPr>
            <w:tcW w:w="5000" w:type="pct"/>
            <w:gridSpan w:val="4"/>
            <w:shd w:val="clear" w:color="auto" w:fill="auto"/>
            <w:vAlign w:val="bottom"/>
            <w:hideMark/>
          </w:tcPr>
          <w:p w14:paraId="2402DCAC" w14:textId="7F231C5F" w:rsidR="008B5E4A" w:rsidRPr="001B150D" w:rsidRDefault="008B5E4A" w:rsidP="001B150D">
            <w:pPr>
              <w:widowControl w:val="0"/>
              <w:spacing w:after="0"/>
              <w:jc w:val="both"/>
              <w:rPr>
                <w:rFonts w:ascii="Arial" w:hAnsi="Arial" w:cs="Arial"/>
                <w:i/>
                <w:iCs/>
                <w:sz w:val="20"/>
                <w:szCs w:val="20"/>
                <w:lang w:bidi="hi-IN"/>
              </w:rPr>
            </w:pPr>
            <w:r w:rsidRPr="00801BD1">
              <w:rPr>
                <w:rFonts w:ascii="Arial" w:eastAsia="Times New Roman" w:hAnsi="Arial" w:cs="Arial"/>
                <w:i/>
                <w:iCs/>
                <w:kern w:val="0"/>
                <w:sz w:val="20"/>
                <w:szCs w:val="20"/>
                <w:lang w:eastAsia="en-IN" w:bidi="hi-IN"/>
                <w14:ligatures w14:val="none"/>
              </w:rPr>
              <w:t>* (</w:t>
            </w:r>
            <w:proofErr w:type="spellStart"/>
            <w:r w:rsidRPr="00801BD1">
              <w:rPr>
                <w:rFonts w:ascii="Arial" w:eastAsia="Times New Roman" w:hAnsi="Arial" w:cs="Arial"/>
                <w:i/>
                <w:iCs/>
                <w:kern w:val="0"/>
                <w:sz w:val="20"/>
                <w:szCs w:val="20"/>
                <w:lang w:eastAsia="en-IN" w:bidi="hi-IN"/>
                <w14:ligatures w14:val="none"/>
              </w:rPr>
              <w:t>B</w:t>
            </w:r>
            <w:r w:rsidRPr="00801BD1">
              <w:rPr>
                <w:rFonts w:ascii="Arial" w:eastAsia="Times New Roman" w:hAnsi="Arial" w:cs="Arial"/>
                <w:i/>
                <w:iCs/>
                <w:kern w:val="0"/>
                <w:sz w:val="20"/>
                <w:szCs w:val="20"/>
                <w:vertAlign w:val="subscript"/>
                <w:lang w:eastAsia="en-IN" w:bidi="hi-IN"/>
                <w14:ligatures w14:val="none"/>
              </w:rPr>
              <w:t>t</w:t>
            </w:r>
            <w:proofErr w:type="spellEnd"/>
            <w:r w:rsidRPr="00801BD1">
              <w:rPr>
                <w:rFonts w:ascii="Arial" w:eastAsia="Times New Roman" w:hAnsi="Arial" w:cs="Arial"/>
                <w:i/>
                <w:iCs/>
                <w:kern w:val="0"/>
                <w:sz w:val="20"/>
                <w:szCs w:val="20"/>
                <w:lang w:eastAsia="en-IN" w:bidi="hi-IN"/>
                <w14:ligatures w14:val="none"/>
              </w:rPr>
              <w:t xml:space="preserve"> – C</w:t>
            </w:r>
            <w:r w:rsidRPr="00801BD1">
              <w:rPr>
                <w:rFonts w:ascii="Arial" w:eastAsia="Times New Roman" w:hAnsi="Arial" w:cs="Arial"/>
                <w:i/>
                <w:iCs/>
                <w:kern w:val="0"/>
                <w:sz w:val="20"/>
                <w:szCs w:val="20"/>
                <w:vertAlign w:val="subscript"/>
                <w:lang w:eastAsia="en-IN" w:bidi="hi-IN"/>
                <w14:ligatures w14:val="none"/>
              </w:rPr>
              <w:t>t</w:t>
            </w:r>
            <w:r w:rsidRPr="00801BD1">
              <w:rPr>
                <w:rFonts w:ascii="Arial" w:eastAsia="Times New Roman" w:hAnsi="Arial" w:cs="Arial"/>
                <w:i/>
                <w:iCs/>
                <w:kern w:val="0"/>
                <w:sz w:val="20"/>
                <w:szCs w:val="20"/>
                <w:lang w:eastAsia="en-IN" w:bidi="hi-IN"/>
                <w14:ligatures w14:val="none"/>
              </w:rPr>
              <w:t xml:space="preserve">) = </w:t>
            </w:r>
            <w:r w:rsidR="001B150D" w:rsidRPr="001B150D">
              <w:rPr>
                <w:rFonts w:ascii="Arial" w:hAnsi="Arial" w:cs="Arial"/>
                <w:i/>
                <w:iCs/>
                <w:sz w:val="20"/>
                <w:szCs w:val="20"/>
                <w:lang w:bidi="hi-IN"/>
              </w:rPr>
              <w:t xml:space="preserve">The surplus of net benefit over the incremental cost associated with the adoption of a CSA practice at time </w:t>
            </w:r>
            <w:r w:rsidR="001B150D" w:rsidRPr="001B150D">
              <w:rPr>
                <w:rFonts w:ascii="Cambria Math" w:hAnsi="Cambria Math" w:cs="Cambria Math"/>
                <w:i/>
                <w:iCs/>
                <w:sz w:val="20"/>
                <w:szCs w:val="20"/>
                <w:lang w:bidi="hi-IN"/>
              </w:rPr>
              <w:t>𝑡</w:t>
            </w:r>
            <w:r w:rsidR="001B150D" w:rsidRPr="001B150D">
              <w:rPr>
                <w:rFonts w:ascii="Arial" w:hAnsi="Arial" w:cs="Arial"/>
                <w:i/>
                <w:iCs/>
                <w:sz w:val="20"/>
                <w:szCs w:val="20"/>
                <w:lang w:bidi="hi-IN"/>
              </w:rPr>
              <w:t xml:space="preserve"> </w:t>
            </w:r>
          </w:p>
        </w:tc>
      </w:tr>
    </w:tbl>
    <w:p w14:paraId="38DCF139" w14:textId="2AF99B10" w:rsidR="008B5E4A" w:rsidRPr="00801BD1" w:rsidRDefault="008B5E4A" w:rsidP="00801BD1">
      <w:pPr>
        <w:widowControl w:val="0"/>
        <w:spacing w:after="0" w:line="240" w:lineRule="auto"/>
        <w:rPr>
          <w:rFonts w:ascii="Arial" w:hAnsi="Arial" w:cs="Arial"/>
          <w:b/>
          <w:i/>
          <w:iCs/>
          <w:sz w:val="20"/>
          <w:szCs w:val="20"/>
        </w:rPr>
      </w:pPr>
      <w:r w:rsidRPr="00801BD1">
        <w:rPr>
          <w:rFonts w:ascii="Arial" w:hAnsi="Arial" w:cs="Arial"/>
          <w:i/>
          <w:iCs/>
          <w:sz w:val="20"/>
          <w:szCs w:val="20"/>
        </w:rPr>
        <w:t xml:space="preserve">(Source: Own </w:t>
      </w:r>
      <w:r w:rsidR="00A940CC">
        <w:rPr>
          <w:rFonts w:ascii="Arial" w:hAnsi="Arial" w:cs="Arial"/>
          <w:i/>
          <w:iCs/>
          <w:sz w:val="20"/>
          <w:szCs w:val="20"/>
        </w:rPr>
        <w:t>Calculations</w:t>
      </w:r>
      <w:r w:rsidRPr="00801BD1">
        <w:rPr>
          <w:rFonts w:ascii="Arial" w:hAnsi="Arial" w:cs="Arial"/>
          <w:i/>
          <w:iCs/>
          <w:sz w:val="20"/>
          <w:szCs w:val="20"/>
        </w:rPr>
        <w:t>)</w:t>
      </w:r>
    </w:p>
    <w:p w14:paraId="106403ED" w14:textId="77777777" w:rsidR="00217ABD" w:rsidRPr="009C4405" w:rsidRDefault="00217ABD" w:rsidP="00217ABD">
      <w:pPr>
        <w:widowControl w:val="0"/>
        <w:spacing w:after="0" w:line="240" w:lineRule="auto"/>
        <w:jc w:val="both"/>
        <w:rPr>
          <w:rFonts w:ascii="Arial" w:hAnsi="Arial" w:cs="Arial"/>
          <w:sz w:val="20"/>
          <w:szCs w:val="20"/>
        </w:rPr>
      </w:pPr>
      <w:r w:rsidRPr="009C4405">
        <w:rPr>
          <w:rFonts w:ascii="Arial" w:hAnsi="Arial" w:cs="Arial"/>
          <w:sz w:val="20"/>
          <w:szCs w:val="20"/>
        </w:rPr>
        <w:t>Adjusting the sowing and fertilization schedules to climate conditions has proven effective in reducing input costs—especially irrigation—and enhancing returns. This adaptation yields a net benefit of ₹37,523, a BCR of 1.80, and an NPV of ₹42,021, particularly effective in western Uttar Pradesh.</w:t>
      </w:r>
    </w:p>
    <w:p w14:paraId="3E89C0FD" w14:textId="77777777" w:rsidR="00217ABD" w:rsidRPr="009C4405" w:rsidRDefault="008B5E4A" w:rsidP="00217ABD">
      <w:pPr>
        <w:widowControl w:val="0"/>
        <w:spacing w:after="0" w:line="240" w:lineRule="auto"/>
        <w:jc w:val="both"/>
        <w:rPr>
          <w:rFonts w:ascii="Arial" w:hAnsi="Arial" w:cs="Arial"/>
          <w:sz w:val="20"/>
          <w:szCs w:val="20"/>
          <w:lang w:bidi="hi-IN"/>
        </w:rPr>
      </w:pPr>
      <w:r w:rsidRPr="009C4405">
        <w:rPr>
          <w:rFonts w:ascii="Arial" w:hAnsi="Arial" w:cs="Arial"/>
          <w:sz w:val="20"/>
          <w:szCs w:val="20"/>
          <w:lang w:bidi="hi-IN"/>
        </w:rPr>
        <w:t xml:space="preserve">Integrated nutrient management practice </w:t>
      </w:r>
      <w:r w:rsidR="00217ABD" w:rsidRPr="009C4405">
        <w:rPr>
          <w:rFonts w:ascii="Arial" w:hAnsi="Arial" w:cs="Arial"/>
          <w:sz w:val="20"/>
          <w:szCs w:val="20"/>
          <w:lang w:bidi="hi-IN"/>
        </w:rPr>
        <w:t>(INM) involves the combined use of organic, inorganic, and bio-fertilizers to maintain soil fertility. While traditional practices are marginally less expensive, site-specific INM improves productivity and climate resilience. It has a BCR of 1.87, and although the NPV is negative, the method shows potential in long-term sustainability.</w:t>
      </w:r>
    </w:p>
    <w:p w14:paraId="632BFB0A" w14:textId="77777777" w:rsidR="00217ABD" w:rsidRPr="009C4405" w:rsidRDefault="00217ABD" w:rsidP="00217ABD">
      <w:pPr>
        <w:widowControl w:val="0"/>
        <w:spacing w:after="0" w:line="240" w:lineRule="auto"/>
        <w:jc w:val="both"/>
        <w:rPr>
          <w:rFonts w:ascii="Arial" w:hAnsi="Arial" w:cs="Arial"/>
          <w:sz w:val="20"/>
          <w:szCs w:val="20"/>
        </w:rPr>
      </w:pPr>
      <w:r w:rsidRPr="00217ABD">
        <w:rPr>
          <w:rFonts w:ascii="Arial" w:hAnsi="Arial" w:cs="Arial"/>
          <w:sz w:val="20"/>
          <w:szCs w:val="20"/>
        </w:rPr>
        <w:t>This CSA practice minimizes soil disturbance by directly sowing seeds into untilled land, thereby reducing operational costs. The data reveals a net benefit of ₹45,145, a BCR of 2.02, and an NPV of ₹55,669, proving its economic efficiency and sustainability.</w:t>
      </w:r>
    </w:p>
    <w:p w14:paraId="7A853086" w14:textId="123DAD3F" w:rsidR="00217ABD" w:rsidRPr="009C4405" w:rsidRDefault="00217ABD" w:rsidP="00217ABD">
      <w:pPr>
        <w:widowControl w:val="0"/>
        <w:spacing w:after="0" w:line="240" w:lineRule="auto"/>
        <w:jc w:val="both"/>
        <w:rPr>
          <w:rFonts w:ascii="Arial" w:hAnsi="Arial" w:cs="Arial"/>
          <w:sz w:val="20"/>
          <w:szCs w:val="20"/>
        </w:rPr>
      </w:pPr>
      <w:r w:rsidRPr="009C4405">
        <w:rPr>
          <w:rFonts w:ascii="Arial" w:hAnsi="Arial" w:cs="Arial"/>
          <w:sz w:val="20"/>
          <w:szCs w:val="20"/>
        </w:rPr>
        <w:t xml:space="preserve">Agroforestry integrates tree planting with crop cultivation to improve </w:t>
      </w:r>
      <w:r w:rsidRPr="009C4405">
        <w:rPr>
          <w:rStyle w:val="Strong"/>
          <w:rFonts w:ascii="Arial" w:hAnsi="Arial" w:cs="Arial"/>
          <w:b w:val="0"/>
          <w:bCs w:val="0"/>
          <w:sz w:val="20"/>
          <w:szCs w:val="20"/>
        </w:rPr>
        <w:t>soil fertility</w:t>
      </w:r>
      <w:r w:rsidRPr="009C4405">
        <w:rPr>
          <w:rFonts w:ascii="Arial" w:hAnsi="Arial" w:cs="Arial"/>
          <w:sz w:val="20"/>
          <w:szCs w:val="20"/>
        </w:rPr>
        <w:t xml:space="preserve">, </w:t>
      </w:r>
      <w:r w:rsidRPr="009C4405">
        <w:rPr>
          <w:rStyle w:val="Strong"/>
          <w:rFonts w:ascii="Arial" w:hAnsi="Arial" w:cs="Arial"/>
          <w:b w:val="0"/>
          <w:bCs w:val="0"/>
          <w:sz w:val="20"/>
          <w:szCs w:val="20"/>
        </w:rPr>
        <w:t>reduce erosion</w:t>
      </w:r>
      <w:r w:rsidRPr="009C4405">
        <w:rPr>
          <w:rFonts w:ascii="Arial" w:hAnsi="Arial" w:cs="Arial"/>
          <w:sz w:val="20"/>
          <w:szCs w:val="20"/>
        </w:rPr>
        <w:t xml:space="preserve">, and </w:t>
      </w:r>
      <w:r w:rsidRPr="009C4405">
        <w:rPr>
          <w:rStyle w:val="Strong"/>
          <w:rFonts w:ascii="Arial" w:hAnsi="Arial" w:cs="Arial"/>
          <w:b w:val="0"/>
          <w:bCs w:val="0"/>
          <w:sz w:val="20"/>
          <w:szCs w:val="20"/>
        </w:rPr>
        <w:t>enhance productivity</w:t>
      </w:r>
      <w:r w:rsidRPr="009C4405">
        <w:rPr>
          <w:rFonts w:ascii="Arial" w:hAnsi="Arial" w:cs="Arial"/>
          <w:sz w:val="20"/>
          <w:szCs w:val="20"/>
        </w:rPr>
        <w:t xml:space="preserve">. Despite higher initial costs, the practice yields a </w:t>
      </w:r>
      <w:r w:rsidRPr="009C4405">
        <w:rPr>
          <w:rStyle w:val="Strong"/>
          <w:rFonts w:ascii="Arial" w:hAnsi="Arial" w:cs="Arial"/>
          <w:b w:val="0"/>
          <w:bCs w:val="0"/>
          <w:sz w:val="20"/>
          <w:szCs w:val="20"/>
        </w:rPr>
        <w:t>net benefit of ₹22,989</w:t>
      </w:r>
      <w:r w:rsidRPr="009C4405">
        <w:rPr>
          <w:rFonts w:ascii="Arial" w:hAnsi="Arial" w:cs="Arial"/>
          <w:sz w:val="20"/>
          <w:szCs w:val="20"/>
        </w:rPr>
        <w:t xml:space="preserve">, a </w:t>
      </w:r>
      <w:r w:rsidRPr="009C4405">
        <w:rPr>
          <w:rStyle w:val="Strong"/>
          <w:rFonts w:ascii="Arial" w:hAnsi="Arial" w:cs="Arial"/>
          <w:b w:val="0"/>
          <w:bCs w:val="0"/>
          <w:sz w:val="20"/>
          <w:szCs w:val="20"/>
        </w:rPr>
        <w:t>BCR of 1.44</w:t>
      </w:r>
      <w:r w:rsidRPr="009C4405">
        <w:rPr>
          <w:rFonts w:ascii="Arial" w:hAnsi="Arial" w:cs="Arial"/>
          <w:sz w:val="20"/>
          <w:szCs w:val="20"/>
        </w:rPr>
        <w:t xml:space="preserve">, and an </w:t>
      </w:r>
      <w:r w:rsidRPr="009C4405">
        <w:rPr>
          <w:rStyle w:val="Strong"/>
          <w:rFonts w:ascii="Arial" w:hAnsi="Arial" w:cs="Arial"/>
          <w:b w:val="0"/>
          <w:bCs w:val="0"/>
          <w:sz w:val="20"/>
          <w:szCs w:val="20"/>
        </w:rPr>
        <w:t>NPV of ₹15,998</w:t>
      </w:r>
      <w:r w:rsidRPr="009C4405">
        <w:rPr>
          <w:rFonts w:ascii="Arial" w:hAnsi="Arial" w:cs="Arial"/>
          <w:sz w:val="20"/>
          <w:szCs w:val="20"/>
        </w:rPr>
        <w:t xml:space="preserve">, establishing it as a </w:t>
      </w:r>
      <w:r w:rsidRPr="009C4405">
        <w:rPr>
          <w:rStyle w:val="Strong"/>
          <w:rFonts w:ascii="Arial" w:hAnsi="Arial" w:cs="Arial"/>
          <w:b w:val="0"/>
          <w:bCs w:val="0"/>
          <w:sz w:val="20"/>
          <w:szCs w:val="20"/>
        </w:rPr>
        <w:t>financially and environmentally sound</w:t>
      </w:r>
      <w:r w:rsidRPr="009C4405">
        <w:rPr>
          <w:rFonts w:ascii="Arial" w:hAnsi="Arial" w:cs="Arial"/>
          <w:sz w:val="20"/>
          <w:szCs w:val="20"/>
        </w:rPr>
        <w:t xml:space="preserve"> strategy.</w:t>
      </w:r>
    </w:p>
    <w:p w14:paraId="16F76EB9" w14:textId="7029DB5A" w:rsidR="00AE2674" w:rsidRPr="009C4405" w:rsidRDefault="00BE1A74" w:rsidP="00801BD1">
      <w:pPr>
        <w:pStyle w:val="ListParagraph"/>
        <w:numPr>
          <w:ilvl w:val="0"/>
          <w:numId w:val="5"/>
        </w:numPr>
        <w:spacing w:after="0" w:line="240" w:lineRule="auto"/>
        <w:jc w:val="both"/>
        <w:rPr>
          <w:rFonts w:ascii="Arial" w:hAnsi="Arial" w:cs="Arial"/>
          <w:b/>
          <w:bCs/>
          <w:sz w:val="20"/>
          <w:szCs w:val="20"/>
        </w:rPr>
      </w:pPr>
      <w:r w:rsidRPr="009C4405">
        <w:rPr>
          <w:rFonts w:ascii="Arial" w:hAnsi="Arial" w:cs="Arial"/>
          <w:b/>
          <w:bCs/>
          <w:sz w:val="20"/>
          <w:szCs w:val="20"/>
        </w:rPr>
        <w:t xml:space="preserve">CONCLUSION </w:t>
      </w:r>
    </w:p>
    <w:p w14:paraId="6F8EB1F1" w14:textId="77A3AF7B" w:rsidR="00217ABD" w:rsidRDefault="00217ABD" w:rsidP="00801BD1">
      <w:pPr>
        <w:spacing w:after="0" w:line="240" w:lineRule="auto"/>
        <w:jc w:val="both"/>
        <w:rPr>
          <w:rFonts w:ascii="Arial" w:eastAsia="Times New Roman" w:hAnsi="Arial" w:cs="Arial"/>
          <w:kern w:val="0"/>
          <w:sz w:val="20"/>
          <w:szCs w:val="20"/>
          <w:lang w:eastAsia="en-IN" w:bidi="hi-IN"/>
          <w14:ligatures w14:val="none"/>
        </w:rPr>
      </w:pPr>
      <w:r w:rsidRPr="00217ABD">
        <w:rPr>
          <w:rFonts w:ascii="Arial" w:eastAsia="Times New Roman" w:hAnsi="Arial" w:cs="Arial"/>
          <w:kern w:val="0"/>
          <w:sz w:val="20"/>
          <w:szCs w:val="20"/>
          <w:lang w:eastAsia="en-IN" w:bidi="hi-IN"/>
          <w14:ligatures w14:val="none"/>
        </w:rPr>
        <w:t>The above analysis underscores that climate-smart agriculture (CSA) practices in the IGP region not only offer environmental benefits but are also economically viable. Practices such as crop rotation, climate-resilient varieties, modern irrigation, timely sowing, and zero tillage contribute significantly to increased farm productivity and climate adaptation. Moreover, they support sustainable development by conserving soil fertility, reducing emissions, and enhancing farmers’ income. The cost-benefit and NPV assessments substantiate the financial feasibility and scalability of these practices for climate-resilient agriculture in India.</w:t>
      </w:r>
    </w:p>
    <w:p w14:paraId="5D8FFBAA" w14:textId="77B69DDE" w:rsidR="005E47A0" w:rsidRDefault="005E47A0" w:rsidP="00801BD1">
      <w:pPr>
        <w:spacing w:after="0" w:line="240" w:lineRule="auto"/>
        <w:jc w:val="both"/>
        <w:rPr>
          <w:rFonts w:ascii="Arial" w:eastAsia="Times New Roman" w:hAnsi="Arial" w:cs="Arial"/>
          <w:kern w:val="0"/>
          <w:sz w:val="20"/>
          <w:szCs w:val="20"/>
          <w:lang w:eastAsia="en-IN" w:bidi="hi-IN"/>
          <w14:ligatures w14:val="none"/>
        </w:rPr>
      </w:pPr>
    </w:p>
    <w:p w14:paraId="4BD19C5B" w14:textId="77777777" w:rsidR="005E47A0" w:rsidRPr="0019762A" w:rsidRDefault="005E47A0" w:rsidP="005E47A0">
      <w:pPr>
        <w:rPr>
          <w:rFonts w:ascii="Arial" w:eastAsia="Calibri" w:hAnsi="Arial" w:cs="Arial"/>
          <w:b/>
          <w:bCs/>
          <w:sz w:val="20"/>
          <w:szCs w:val="20"/>
          <w:lang w:val="en-US"/>
        </w:rPr>
      </w:pPr>
      <w:bookmarkStart w:id="1" w:name="_Hlk197682619"/>
      <w:bookmarkStart w:id="2" w:name="_Hlk180402183"/>
      <w:bookmarkStart w:id="3" w:name="_Hlk183680988"/>
      <w:r w:rsidRPr="0019762A">
        <w:rPr>
          <w:rFonts w:ascii="Arial" w:eastAsia="Calibri" w:hAnsi="Arial" w:cs="Arial"/>
          <w:b/>
          <w:bCs/>
          <w:sz w:val="20"/>
          <w:szCs w:val="20"/>
          <w:lang w:val="en-US"/>
        </w:rPr>
        <w:t>Disclaimer (Artificial intelligence)</w:t>
      </w:r>
    </w:p>
    <w:p w14:paraId="0BBF8AB5" w14:textId="77777777" w:rsidR="005E47A0" w:rsidRPr="0019762A" w:rsidRDefault="005E47A0" w:rsidP="0019762A">
      <w:pPr>
        <w:jc w:val="both"/>
        <w:rPr>
          <w:rFonts w:ascii="Arial" w:eastAsia="Calibri" w:hAnsi="Arial" w:cs="Arial"/>
          <w:sz w:val="20"/>
          <w:szCs w:val="20"/>
          <w:lang w:val="en-US"/>
        </w:rPr>
      </w:pPr>
      <w:r w:rsidRPr="0019762A">
        <w:rPr>
          <w:rFonts w:ascii="Arial" w:eastAsia="Calibri" w:hAnsi="Arial" w:cs="Arial"/>
          <w:sz w:val="20"/>
          <w:szCs w:val="20"/>
          <w:lang w:val="en-US"/>
        </w:rPr>
        <w:t xml:space="preserve">Author(s) hereby </w:t>
      </w:r>
      <w:proofErr w:type="gramStart"/>
      <w:r w:rsidRPr="0019762A">
        <w:rPr>
          <w:rFonts w:ascii="Arial" w:eastAsia="Calibri" w:hAnsi="Arial" w:cs="Arial"/>
          <w:sz w:val="20"/>
          <w:szCs w:val="20"/>
          <w:lang w:val="en-US"/>
        </w:rPr>
        <w:t>declare</w:t>
      </w:r>
      <w:proofErr w:type="gramEnd"/>
      <w:r w:rsidRPr="0019762A">
        <w:rPr>
          <w:rFonts w:ascii="Arial" w:eastAsia="Calibri" w:hAnsi="Arial" w:cs="Arial"/>
          <w:sz w:val="20"/>
          <w:szCs w:val="20"/>
          <w:lang w:val="en-US"/>
        </w:rPr>
        <w:t xml:space="preserve"> that NO generative AI technologies such as Large Language Models (ChatGPT, COPILOT, etc.) and text-to-image generators have been used during the writing or editing of this manuscript. </w:t>
      </w:r>
    </w:p>
    <w:bookmarkEnd w:id="1"/>
    <w:bookmarkEnd w:id="2"/>
    <w:bookmarkEnd w:id="3"/>
    <w:p w14:paraId="56B2E41B" w14:textId="042A8080" w:rsidR="004D5B8E" w:rsidRPr="00302885" w:rsidRDefault="00350011" w:rsidP="003314FB">
      <w:pPr>
        <w:spacing w:after="0" w:line="240" w:lineRule="auto"/>
        <w:jc w:val="both"/>
        <w:rPr>
          <w:rFonts w:ascii="Arial" w:hAnsi="Arial" w:cs="Arial"/>
          <w:b/>
          <w:bCs/>
          <w:sz w:val="20"/>
          <w:szCs w:val="20"/>
        </w:rPr>
      </w:pPr>
      <w:r w:rsidRPr="00302885">
        <w:rPr>
          <w:rFonts w:ascii="Arial" w:hAnsi="Arial" w:cs="Arial"/>
          <w:b/>
          <w:bCs/>
          <w:sz w:val="20"/>
          <w:szCs w:val="20"/>
        </w:rPr>
        <w:t xml:space="preserve">REFERENCES </w:t>
      </w:r>
    </w:p>
    <w:p w14:paraId="1E0781A0" w14:textId="60CD57BC" w:rsidR="00801BD1" w:rsidRPr="00302885" w:rsidRDefault="00801BD1" w:rsidP="00801BD1">
      <w:pPr>
        <w:pStyle w:val="ListParagraph"/>
        <w:widowControl w:val="0"/>
        <w:numPr>
          <w:ilvl w:val="0"/>
          <w:numId w:val="16"/>
        </w:numPr>
        <w:tabs>
          <w:tab w:val="left" w:pos="1252"/>
        </w:tabs>
        <w:autoSpaceDE w:val="0"/>
        <w:autoSpaceDN w:val="0"/>
        <w:spacing w:before="6" w:after="0" w:line="240" w:lineRule="auto"/>
        <w:ind w:left="360" w:right="117"/>
        <w:jc w:val="both"/>
        <w:rPr>
          <w:rFonts w:ascii="Arial" w:hAnsi="Arial" w:cs="Arial"/>
          <w:spacing w:val="-1"/>
          <w:sz w:val="20"/>
          <w:szCs w:val="20"/>
        </w:rPr>
      </w:pPr>
      <w:r w:rsidRPr="00302885">
        <w:rPr>
          <w:rFonts w:ascii="Arial" w:hAnsi="Arial" w:cs="Arial"/>
          <w:sz w:val="20"/>
          <w:szCs w:val="20"/>
        </w:rPr>
        <w:t xml:space="preserve">Akinyi, </w:t>
      </w:r>
      <w:proofErr w:type="spellStart"/>
      <w:r w:rsidRPr="00302885">
        <w:rPr>
          <w:rFonts w:ascii="Arial" w:hAnsi="Arial" w:cs="Arial"/>
          <w:sz w:val="20"/>
          <w:szCs w:val="20"/>
        </w:rPr>
        <w:t>Devinia</w:t>
      </w:r>
      <w:proofErr w:type="spellEnd"/>
      <w:r w:rsidRPr="00302885">
        <w:rPr>
          <w:rFonts w:ascii="Arial" w:hAnsi="Arial" w:cs="Arial"/>
          <w:sz w:val="20"/>
          <w:szCs w:val="20"/>
        </w:rPr>
        <w:t xml:space="preserve"> Princess, Stanley Karanja Ng’ang’a, Margaret Ngigi, Mary Mathenge</w:t>
      </w:r>
      <w:r w:rsidRPr="00302885">
        <w:rPr>
          <w:rFonts w:ascii="Arial" w:hAnsi="Arial" w:cs="Arial"/>
          <w:spacing w:val="1"/>
          <w:sz w:val="20"/>
          <w:szCs w:val="20"/>
        </w:rPr>
        <w:t xml:space="preserve"> </w:t>
      </w:r>
      <w:r w:rsidRPr="00302885">
        <w:rPr>
          <w:rFonts w:ascii="Arial" w:hAnsi="Arial" w:cs="Arial"/>
          <w:sz w:val="20"/>
          <w:szCs w:val="20"/>
        </w:rPr>
        <w:t>and Evan</w:t>
      </w:r>
      <w:r w:rsidRPr="00302885">
        <w:rPr>
          <w:rFonts w:ascii="Arial" w:hAnsi="Arial" w:cs="Arial"/>
          <w:spacing w:val="1"/>
          <w:sz w:val="20"/>
          <w:szCs w:val="20"/>
        </w:rPr>
        <w:t xml:space="preserve"> </w:t>
      </w:r>
      <w:proofErr w:type="spellStart"/>
      <w:proofErr w:type="gramStart"/>
      <w:r w:rsidRPr="00302885">
        <w:rPr>
          <w:rFonts w:ascii="Arial" w:hAnsi="Arial" w:cs="Arial"/>
          <w:sz w:val="20"/>
          <w:szCs w:val="20"/>
        </w:rPr>
        <w:t>Givertz</w:t>
      </w:r>
      <w:proofErr w:type="spellEnd"/>
      <w:r w:rsidRPr="00302885">
        <w:rPr>
          <w:rFonts w:ascii="Arial" w:hAnsi="Arial" w:cs="Arial"/>
          <w:spacing w:val="1"/>
          <w:sz w:val="20"/>
          <w:szCs w:val="20"/>
        </w:rPr>
        <w:t>.(</w:t>
      </w:r>
      <w:proofErr w:type="gramEnd"/>
      <w:r w:rsidRPr="00302885">
        <w:rPr>
          <w:rFonts w:ascii="Arial" w:hAnsi="Arial" w:cs="Arial"/>
          <w:sz w:val="20"/>
          <w:szCs w:val="20"/>
        </w:rPr>
        <w:t xml:space="preserve">2022). </w:t>
      </w:r>
      <w:r w:rsidRPr="00302885">
        <w:rPr>
          <w:rFonts w:ascii="Arial" w:hAnsi="Arial" w:cs="Arial"/>
          <w:spacing w:val="1"/>
          <w:sz w:val="20"/>
          <w:szCs w:val="20"/>
        </w:rPr>
        <w:t xml:space="preserve"> </w:t>
      </w:r>
      <w:r w:rsidRPr="00302885">
        <w:rPr>
          <w:rFonts w:ascii="Arial" w:hAnsi="Arial" w:cs="Arial"/>
          <w:sz w:val="20"/>
          <w:szCs w:val="20"/>
        </w:rPr>
        <w:t>Cost-benefit</w:t>
      </w:r>
      <w:r w:rsidRPr="00302885">
        <w:rPr>
          <w:rFonts w:ascii="Arial" w:hAnsi="Arial" w:cs="Arial"/>
          <w:spacing w:val="1"/>
          <w:sz w:val="20"/>
          <w:szCs w:val="20"/>
        </w:rPr>
        <w:t xml:space="preserve"> </w:t>
      </w:r>
      <w:r w:rsidRPr="00302885">
        <w:rPr>
          <w:rFonts w:ascii="Arial" w:hAnsi="Arial" w:cs="Arial"/>
          <w:sz w:val="20"/>
          <w:szCs w:val="20"/>
        </w:rPr>
        <w:t>analysis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prioritized</w:t>
      </w:r>
      <w:r w:rsidRPr="00302885">
        <w:rPr>
          <w:rFonts w:ascii="Arial" w:hAnsi="Arial" w:cs="Arial"/>
          <w:spacing w:val="1"/>
          <w:sz w:val="20"/>
          <w:szCs w:val="20"/>
        </w:rPr>
        <w:t xml:space="preserve"> </w:t>
      </w:r>
      <w:r w:rsidRPr="00302885">
        <w:rPr>
          <w:rFonts w:ascii="Arial" w:hAnsi="Arial" w:cs="Arial"/>
          <w:sz w:val="20"/>
          <w:szCs w:val="20"/>
        </w:rPr>
        <w:t>climate</w:t>
      </w:r>
      <w:r w:rsidRPr="00302885">
        <w:rPr>
          <w:rFonts w:ascii="Arial" w:hAnsi="Arial" w:cs="Arial"/>
          <w:spacing w:val="1"/>
          <w:sz w:val="20"/>
          <w:szCs w:val="20"/>
        </w:rPr>
        <w:t xml:space="preserve"> </w:t>
      </w:r>
      <w:r w:rsidRPr="00302885">
        <w:rPr>
          <w:rFonts w:ascii="Arial" w:hAnsi="Arial" w:cs="Arial"/>
          <w:sz w:val="20"/>
          <w:szCs w:val="20"/>
        </w:rPr>
        <w:t>adaptation</w:t>
      </w:r>
      <w:r w:rsidRPr="00302885">
        <w:rPr>
          <w:rFonts w:ascii="Arial" w:hAnsi="Arial" w:cs="Arial"/>
          <w:spacing w:val="1"/>
          <w:sz w:val="20"/>
          <w:szCs w:val="20"/>
        </w:rPr>
        <w:t xml:space="preserve"> </w:t>
      </w:r>
      <w:r w:rsidRPr="00302885">
        <w:rPr>
          <w:rFonts w:ascii="Arial" w:hAnsi="Arial" w:cs="Arial"/>
          <w:sz w:val="20"/>
          <w:szCs w:val="20"/>
        </w:rPr>
        <w:t>strategies among smallholder farmers: Evidence from selected value chains across</w:t>
      </w:r>
      <w:r w:rsidRPr="00302885">
        <w:rPr>
          <w:rFonts w:ascii="Arial" w:hAnsi="Arial" w:cs="Arial"/>
          <w:spacing w:val="1"/>
          <w:sz w:val="20"/>
          <w:szCs w:val="20"/>
        </w:rPr>
        <w:t xml:space="preserve"> </w:t>
      </w:r>
      <w:r w:rsidRPr="00302885">
        <w:rPr>
          <w:rFonts w:ascii="Arial" w:hAnsi="Arial" w:cs="Arial"/>
          <w:sz w:val="20"/>
          <w:szCs w:val="20"/>
        </w:rPr>
        <w:t>Sub–Saharan</w:t>
      </w:r>
      <w:r w:rsidRPr="00302885">
        <w:rPr>
          <w:rFonts w:ascii="Arial" w:hAnsi="Arial" w:cs="Arial"/>
          <w:spacing w:val="-1"/>
          <w:sz w:val="20"/>
          <w:szCs w:val="20"/>
        </w:rPr>
        <w:t xml:space="preserve"> </w:t>
      </w:r>
      <w:r w:rsidRPr="00302885">
        <w:rPr>
          <w:rFonts w:ascii="Arial" w:hAnsi="Arial" w:cs="Arial"/>
          <w:sz w:val="20"/>
          <w:szCs w:val="20"/>
        </w:rPr>
        <w:t>Africa.</w:t>
      </w:r>
      <w:r w:rsidRPr="00302885">
        <w:rPr>
          <w:rFonts w:ascii="Arial" w:hAnsi="Arial" w:cs="Arial"/>
          <w:spacing w:val="1"/>
          <w:sz w:val="20"/>
          <w:szCs w:val="20"/>
        </w:rPr>
        <w:t xml:space="preserve"> </w:t>
      </w:r>
      <w:r w:rsidRPr="00302885">
        <w:rPr>
          <w:rFonts w:ascii="Arial" w:hAnsi="Arial" w:cs="Arial"/>
          <w:sz w:val="20"/>
          <w:szCs w:val="20"/>
        </w:rPr>
        <w:t>Heliyon,8(4).</w:t>
      </w:r>
      <w:r w:rsidRPr="00302885">
        <w:rPr>
          <w:rFonts w:ascii="Arial" w:hAnsi="Arial" w:cs="Arial"/>
          <w:spacing w:val="-1"/>
          <w:sz w:val="20"/>
          <w:szCs w:val="20"/>
        </w:rPr>
        <w:t xml:space="preserve"> DOI: </w:t>
      </w:r>
      <w:hyperlink r:id="rId8" w:tgtFrame="_blank" w:history="1">
        <w:proofErr w:type="gramStart"/>
        <w:r w:rsidRPr="00302885">
          <w:rPr>
            <w:rStyle w:val="Hyperlink"/>
            <w:rFonts w:ascii="Arial" w:hAnsi="Arial" w:cs="Arial"/>
            <w:spacing w:val="-1"/>
            <w:sz w:val="20"/>
            <w:szCs w:val="20"/>
          </w:rPr>
          <w:t>10.1016/j.heliyon.2022.e</w:t>
        </w:r>
        <w:proofErr w:type="gramEnd"/>
        <w:r w:rsidRPr="00302885">
          <w:rPr>
            <w:rStyle w:val="Hyperlink"/>
            <w:rFonts w:ascii="Arial" w:hAnsi="Arial" w:cs="Arial"/>
            <w:spacing w:val="-1"/>
            <w:sz w:val="20"/>
            <w:szCs w:val="20"/>
          </w:rPr>
          <w:t>09228</w:t>
        </w:r>
      </w:hyperlink>
    </w:p>
    <w:p w14:paraId="21049B3D" w14:textId="5833518A"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Aryal,</w:t>
      </w:r>
      <w:r w:rsidRPr="00302885">
        <w:rPr>
          <w:rFonts w:ascii="Arial" w:hAnsi="Arial" w:cs="Arial"/>
          <w:spacing w:val="53"/>
          <w:sz w:val="20"/>
          <w:szCs w:val="20"/>
        </w:rPr>
        <w:t xml:space="preserve"> </w:t>
      </w:r>
      <w:r w:rsidRPr="00302885">
        <w:rPr>
          <w:rFonts w:ascii="Arial" w:hAnsi="Arial" w:cs="Arial"/>
          <w:sz w:val="20"/>
          <w:szCs w:val="20"/>
        </w:rPr>
        <w:t>Jeetendra</w:t>
      </w:r>
      <w:r w:rsidRPr="00302885">
        <w:rPr>
          <w:rFonts w:ascii="Arial" w:hAnsi="Arial" w:cs="Arial"/>
          <w:spacing w:val="54"/>
          <w:sz w:val="20"/>
          <w:szCs w:val="20"/>
        </w:rPr>
        <w:t xml:space="preserve"> </w:t>
      </w:r>
      <w:r w:rsidRPr="00302885">
        <w:rPr>
          <w:rFonts w:ascii="Arial" w:hAnsi="Arial" w:cs="Arial"/>
          <w:sz w:val="20"/>
          <w:szCs w:val="20"/>
        </w:rPr>
        <w:t>Prakash,</w:t>
      </w:r>
      <w:r w:rsidRPr="00302885">
        <w:rPr>
          <w:rFonts w:ascii="Arial" w:hAnsi="Arial" w:cs="Arial"/>
          <w:spacing w:val="54"/>
          <w:sz w:val="20"/>
          <w:szCs w:val="20"/>
        </w:rPr>
        <w:t xml:space="preserve"> </w:t>
      </w:r>
      <w:r w:rsidRPr="00302885">
        <w:rPr>
          <w:rFonts w:ascii="Arial" w:hAnsi="Arial" w:cs="Arial"/>
          <w:sz w:val="20"/>
          <w:szCs w:val="20"/>
        </w:rPr>
        <w:t>Dil</w:t>
      </w:r>
      <w:r w:rsidRPr="00302885">
        <w:rPr>
          <w:rFonts w:ascii="Arial" w:hAnsi="Arial" w:cs="Arial"/>
          <w:spacing w:val="3"/>
          <w:sz w:val="20"/>
          <w:szCs w:val="20"/>
        </w:rPr>
        <w:t xml:space="preserve"> </w:t>
      </w:r>
      <w:r w:rsidRPr="00302885">
        <w:rPr>
          <w:rFonts w:ascii="Arial" w:hAnsi="Arial" w:cs="Arial"/>
          <w:sz w:val="20"/>
          <w:szCs w:val="20"/>
        </w:rPr>
        <w:t>Bahadur</w:t>
      </w:r>
      <w:r w:rsidRPr="00302885">
        <w:rPr>
          <w:rFonts w:ascii="Arial" w:hAnsi="Arial" w:cs="Arial"/>
          <w:spacing w:val="57"/>
          <w:sz w:val="20"/>
          <w:szCs w:val="20"/>
        </w:rPr>
        <w:t xml:space="preserve"> </w:t>
      </w:r>
      <w:proofErr w:type="spellStart"/>
      <w:r w:rsidRPr="00302885">
        <w:rPr>
          <w:rFonts w:ascii="Arial" w:hAnsi="Arial" w:cs="Arial"/>
          <w:sz w:val="20"/>
          <w:szCs w:val="20"/>
        </w:rPr>
        <w:t>Rahut</w:t>
      </w:r>
      <w:proofErr w:type="spellEnd"/>
      <w:r w:rsidRPr="00302885">
        <w:rPr>
          <w:rFonts w:ascii="Arial" w:hAnsi="Arial" w:cs="Arial"/>
          <w:sz w:val="20"/>
          <w:szCs w:val="20"/>
        </w:rPr>
        <w:t>,</w:t>
      </w:r>
      <w:r w:rsidRPr="00302885">
        <w:rPr>
          <w:rFonts w:ascii="Arial" w:hAnsi="Arial" w:cs="Arial"/>
          <w:spacing w:val="56"/>
          <w:sz w:val="20"/>
          <w:szCs w:val="20"/>
        </w:rPr>
        <w:t xml:space="preserve"> </w:t>
      </w:r>
      <w:r w:rsidRPr="00302885">
        <w:rPr>
          <w:rFonts w:ascii="Arial" w:hAnsi="Arial" w:cs="Arial"/>
          <w:sz w:val="20"/>
          <w:szCs w:val="20"/>
        </w:rPr>
        <w:t>Sofina</w:t>
      </w:r>
      <w:r w:rsidRPr="00302885">
        <w:rPr>
          <w:rFonts w:ascii="Arial" w:hAnsi="Arial" w:cs="Arial"/>
          <w:spacing w:val="56"/>
          <w:sz w:val="20"/>
          <w:szCs w:val="20"/>
        </w:rPr>
        <w:t xml:space="preserve"> </w:t>
      </w:r>
      <w:r w:rsidRPr="00302885">
        <w:rPr>
          <w:rFonts w:ascii="Arial" w:hAnsi="Arial" w:cs="Arial"/>
          <w:sz w:val="20"/>
          <w:szCs w:val="20"/>
        </w:rPr>
        <w:t>Maharjan</w:t>
      </w:r>
      <w:r w:rsidRPr="00302885">
        <w:rPr>
          <w:rFonts w:ascii="Arial" w:hAnsi="Arial" w:cs="Arial"/>
          <w:spacing w:val="54"/>
          <w:sz w:val="20"/>
          <w:szCs w:val="20"/>
        </w:rPr>
        <w:t xml:space="preserve"> </w:t>
      </w:r>
      <w:r w:rsidRPr="00302885">
        <w:rPr>
          <w:rFonts w:ascii="Arial" w:hAnsi="Arial" w:cs="Arial"/>
          <w:sz w:val="20"/>
          <w:szCs w:val="20"/>
        </w:rPr>
        <w:t>and</w:t>
      </w:r>
      <w:r w:rsidRPr="00302885">
        <w:rPr>
          <w:rFonts w:ascii="Arial" w:hAnsi="Arial" w:cs="Arial"/>
          <w:spacing w:val="57"/>
          <w:sz w:val="20"/>
          <w:szCs w:val="20"/>
        </w:rPr>
        <w:t xml:space="preserve"> </w:t>
      </w:r>
      <w:r w:rsidRPr="00302885">
        <w:rPr>
          <w:rFonts w:ascii="Arial" w:hAnsi="Arial" w:cs="Arial"/>
          <w:sz w:val="20"/>
          <w:szCs w:val="20"/>
        </w:rPr>
        <w:t xml:space="preserve">Olaf </w:t>
      </w:r>
      <w:proofErr w:type="spellStart"/>
      <w:proofErr w:type="gramStart"/>
      <w:r w:rsidRPr="00302885">
        <w:rPr>
          <w:rFonts w:ascii="Arial" w:hAnsi="Arial" w:cs="Arial"/>
          <w:sz w:val="20"/>
          <w:szCs w:val="20"/>
        </w:rPr>
        <w:t>Erenstein</w:t>
      </w:r>
      <w:proofErr w:type="spellEnd"/>
      <w:r w:rsidRPr="00302885">
        <w:rPr>
          <w:rFonts w:ascii="Arial" w:hAnsi="Arial" w:cs="Arial"/>
          <w:sz w:val="20"/>
          <w:szCs w:val="20"/>
        </w:rPr>
        <w:t>.(</w:t>
      </w:r>
      <w:proofErr w:type="gramEnd"/>
      <w:r w:rsidRPr="00302885">
        <w:rPr>
          <w:rFonts w:ascii="Arial" w:hAnsi="Arial" w:cs="Arial"/>
          <w:sz w:val="20"/>
          <w:szCs w:val="20"/>
        </w:rPr>
        <w:t>2018). Factors affecting the adoption of multiple climate–smart agricultural practices in the Indo-Gangetic plains of India. Natural Resources Forum, 42(3),141–58.</w:t>
      </w:r>
      <w:r w:rsidRPr="00302885">
        <w:rPr>
          <w:rFonts w:ascii="Arial" w:hAnsi="Arial" w:cs="Arial"/>
          <w:spacing w:val="-1"/>
          <w:sz w:val="20"/>
          <w:szCs w:val="20"/>
        </w:rPr>
        <w:t xml:space="preserve"> </w:t>
      </w:r>
      <w:hyperlink r:id="rId9" w:history="1">
        <w:r w:rsidRPr="00302885">
          <w:rPr>
            <w:rStyle w:val="Hyperlink"/>
            <w:rFonts w:ascii="Arial" w:hAnsi="Arial" w:cs="Arial"/>
            <w:b/>
            <w:bCs/>
            <w:spacing w:val="-1"/>
            <w:sz w:val="20"/>
            <w:szCs w:val="20"/>
          </w:rPr>
          <w:t>https://doi.org/10.1111/1477-8947.12152</w:t>
        </w:r>
      </w:hyperlink>
    </w:p>
    <w:p w14:paraId="48C441E9" w14:textId="2D6BC744"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 xml:space="preserve">Azumah, Shaibu </w:t>
      </w:r>
      <w:proofErr w:type="spellStart"/>
      <w:r w:rsidRPr="00302885">
        <w:rPr>
          <w:rFonts w:ascii="Arial" w:hAnsi="Arial" w:cs="Arial"/>
          <w:sz w:val="20"/>
          <w:szCs w:val="20"/>
        </w:rPr>
        <w:t>Baanni</w:t>
      </w:r>
      <w:proofErr w:type="spellEnd"/>
      <w:r w:rsidRPr="00302885">
        <w:rPr>
          <w:rFonts w:ascii="Arial" w:hAnsi="Arial" w:cs="Arial"/>
          <w:sz w:val="20"/>
          <w:szCs w:val="20"/>
        </w:rPr>
        <w:t xml:space="preserve">, William </w:t>
      </w:r>
      <w:proofErr w:type="spellStart"/>
      <w:r w:rsidRPr="00302885">
        <w:rPr>
          <w:rFonts w:ascii="Arial" w:hAnsi="Arial" w:cs="Arial"/>
          <w:sz w:val="20"/>
          <w:szCs w:val="20"/>
        </w:rPr>
        <w:t>Adzawla</w:t>
      </w:r>
      <w:proofErr w:type="spellEnd"/>
      <w:r w:rsidRPr="00302885">
        <w:rPr>
          <w:rFonts w:ascii="Arial" w:hAnsi="Arial" w:cs="Arial"/>
          <w:sz w:val="20"/>
          <w:szCs w:val="20"/>
        </w:rPr>
        <w:t>, Aminu Osman and Paul Yao Anani., Cost-benefit analysis of on-farm climate change adaptation strategies in Ghana. Ghana</w:t>
      </w:r>
      <w:r w:rsidRPr="00302885">
        <w:rPr>
          <w:rFonts w:ascii="Arial" w:hAnsi="Arial" w:cs="Arial"/>
          <w:spacing w:val="-1"/>
          <w:sz w:val="20"/>
          <w:szCs w:val="20"/>
        </w:rPr>
        <w:t xml:space="preserve"> </w:t>
      </w:r>
      <w:r w:rsidRPr="00302885">
        <w:rPr>
          <w:rFonts w:ascii="Arial" w:hAnsi="Arial" w:cs="Arial"/>
          <w:sz w:val="20"/>
          <w:szCs w:val="20"/>
        </w:rPr>
        <w:t>Journal</w:t>
      </w:r>
      <w:r w:rsidRPr="00302885">
        <w:rPr>
          <w:rFonts w:ascii="Arial" w:hAnsi="Arial" w:cs="Arial"/>
          <w:spacing w:val="-2"/>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 xml:space="preserve">Geography,12(1), 29–46. </w:t>
      </w:r>
      <w:hyperlink r:id="rId10" w:history="1">
        <w:r w:rsidRPr="00302885">
          <w:rPr>
            <w:rStyle w:val="Hyperlink"/>
            <w:rFonts w:ascii="Arial" w:hAnsi="Arial" w:cs="Arial"/>
            <w:sz w:val="20"/>
            <w:szCs w:val="20"/>
          </w:rPr>
          <w:t>10.4314/</w:t>
        </w:r>
        <w:proofErr w:type="gramStart"/>
        <w:r w:rsidRPr="00302885">
          <w:rPr>
            <w:rStyle w:val="Hyperlink"/>
            <w:rFonts w:ascii="Arial" w:hAnsi="Arial" w:cs="Arial"/>
            <w:sz w:val="20"/>
            <w:szCs w:val="20"/>
          </w:rPr>
          <w:t>gjg.v</w:t>
        </w:r>
        <w:proofErr w:type="gramEnd"/>
        <w:r w:rsidRPr="00302885">
          <w:rPr>
            <w:rStyle w:val="Hyperlink"/>
            <w:rFonts w:ascii="Arial" w:hAnsi="Arial" w:cs="Arial"/>
            <w:sz w:val="20"/>
            <w:szCs w:val="20"/>
          </w:rPr>
          <w:t>12i1.2</w:t>
        </w:r>
      </w:hyperlink>
    </w:p>
    <w:p w14:paraId="2C215DD0" w14:textId="5AEA03D7"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Banjara, TR, Bohra JS, Kumar Shushil, Ram Asha, Pal Vijay. (2020).</w:t>
      </w:r>
      <w:r w:rsidRPr="00302885">
        <w:rPr>
          <w:rFonts w:ascii="Arial" w:hAnsi="Arial" w:cs="Arial"/>
          <w:spacing w:val="1"/>
          <w:sz w:val="20"/>
          <w:szCs w:val="20"/>
        </w:rPr>
        <w:t xml:space="preserve"> </w:t>
      </w:r>
      <w:r w:rsidRPr="00302885">
        <w:rPr>
          <w:rFonts w:ascii="Arial" w:hAnsi="Arial" w:cs="Arial"/>
          <w:sz w:val="20"/>
          <w:szCs w:val="20"/>
        </w:rPr>
        <w:t>Diversification of rice–wheat cropping system improves growth, productivity and energetics of rice in the</w:t>
      </w:r>
      <w:r w:rsidRPr="00302885">
        <w:rPr>
          <w:rFonts w:ascii="Arial" w:hAnsi="Arial" w:cs="Arial"/>
          <w:spacing w:val="1"/>
          <w:sz w:val="20"/>
          <w:szCs w:val="20"/>
        </w:rPr>
        <w:t xml:space="preserve"> </w:t>
      </w:r>
      <w:r w:rsidRPr="00302885">
        <w:rPr>
          <w:rFonts w:ascii="Arial" w:hAnsi="Arial" w:cs="Arial"/>
          <w:sz w:val="20"/>
          <w:szCs w:val="20"/>
        </w:rPr>
        <w:t>Indo–Gangetic</w:t>
      </w:r>
      <w:r w:rsidRPr="00302885">
        <w:rPr>
          <w:rFonts w:ascii="Arial" w:hAnsi="Arial" w:cs="Arial"/>
          <w:spacing w:val="1"/>
          <w:sz w:val="20"/>
          <w:szCs w:val="20"/>
        </w:rPr>
        <w:t xml:space="preserve"> </w:t>
      </w:r>
      <w:r w:rsidRPr="00302885">
        <w:rPr>
          <w:rFonts w:ascii="Arial" w:hAnsi="Arial" w:cs="Arial"/>
          <w:sz w:val="20"/>
          <w:szCs w:val="20"/>
        </w:rPr>
        <w:t>plains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India.</w:t>
      </w:r>
      <w:r w:rsidRPr="00302885">
        <w:rPr>
          <w:rFonts w:ascii="Arial" w:hAnsi="Arial" w:cs="Arial"/>
          <w:spacing w:val="1"/>
          <w:sz w:val="20"/>
          <w:szCs w:val="20"/>
        </w:rPr>
        <w:t xml:space="preserve"> </w:t>
      </w:r>
      <w:r w:rsidRPr="00302885">
        <w:rPr>
          <w:rFonts w:ascii="Arial" w:hAnsi="Arial" w:cs="Arial"/>
          <w:sz w:val="20"/>
          <w:szCs w:val="20"/>
        </w:rPr>
        <w:t>Agricultural</w:t>
      </w:r>
      <w:r w:rsidRPr="00302885">
        <w:rPr>
          <w:rFonts w:ascii="Arial" w:hAnsi="Arial" w:cs="Arial"/>
          <w:spacing w:val="1"/>
          <w:sz w:val="20"/>
          <w:szCs w:val="20"/>
        </w:rPr>
        <w:t xml:space="preserve"> </w:t>
      </w:r>
      <w:r w:rsidRPr="00302885">
        <w:rPr>
          <w:rFonts w:ascii="Arial" w:hAnsi="Arial" w:cs="Arial"/>
          <w:sz w:val="20"/>
          <w:szCs w:val="20"/>
        </w:rPr>
        <w:lastRenderedPageBreak/>
        <w:t>Research, 11(1).</w:t>
      </w:r>
      <w:r w:rsidRPr="00302885">
        <w:rPr>
          <w:rFonts w:ascii="Arial" w:hAnsi="Arial" w:cs="Arial"/>
          <w:spacing w:val="1"/>
          <w:sz w:val="20"/>
          <w:szCs w:val="20"/>
        </w:rPr>
        <w:t xml:space="preserve"> </w:t>
      </w:r>
      <w:hyperlink r:id="rId11" w:history="1">
        <w:r w:rsidRPr="00302885">
          <w:rPr>
            <w:rStyle w:val="Hyperlink"/>
            <w:rFonts w:ascii="Arial" w:hAnsi="Arial" w:cs="Arial"/>
            <w:spacing w:val="1"/>
            <w:sz w:val="20"/>
            <w:szCs w:val="20"/>
          </w:rPr>
          <w:t>https://doi.org/10.1007/s40003-020-00533-9</w:t>
        </w:r>
      </w:hyperlink>
    </w:p>
    <w:p w14:paraId="13364E5B" w14:textId="77777777" w:rsidR="00070E76" w:rsidRPr="00070E76" w:rsidRDefault="00801BD1" w:rsidP="00070E76">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 xml:space="preserve">Branca, Giacomo, Aslihan Arslan, Adriana Paolantonio, Uwe </w:t>
      </w:r>
      <w:proofErr w:type="spellStart"/>
      <w:r w:rsidRPr="00302885">
        <w:rPr>
          <w:rFonts w:ascii="Arial" w:hAnsi="Arial" w:cs="Arial"/>
          <w:sz w:val="20"/>
          <w:szCs w:val="20"/>
        </w:rPr>
        <w:t>Grewer</w:t>
      </w:r>
      <w:proofErr w:type="spellEnd"/>
      <w:r w:rsidRPr="00302885">
        <w:rPr>
          <w:rFonts w:ascii="Arial" w:hAnsi="Arial" w:cs="Arial"/>
          <w:sz w:val="20"/>
          <w:szCs w:val="20"/>
        </w:rPr>
        <w:t>, Andrea Cattaneo,</w:t>
      </w:r>
      <w:r w:rsidRPr="00302885">
        <w:rPr>
          <w:rFonts w:ascii="Arial" w:hAnsi="Arial" w:cs="Arial"/>
          <w:spacing w:val="1"/>
          <w:sz w:val="20"/>
          <w:szCs w:val="20"/>
        </w:rPr>
        <w:t xml:space="preserve"> </w:t>
      </w:r>
      <w:r w:rsidRPr="00302885">
        <w:rPr>
          <w:rFonts w:ascii="Arial" w:hAnsi="Arial" w:cs="Arial"/>
          <w:sz w:val="20"/>
          <w:szCs w:val="20"/>
        </w:rPr>
        <w:t xml:space="preserve">Romina </w:t>
      </w:r>
      <w:proofErr w:type="spellStart"/>
      <w:r w:rsidRPr="00302885">
        <w:rPr>
          <w:rFonts w:ascii="Arial" w:hAnsi="Arial" w:cs="Arial"/>
          <w:sz w:val="20"/>
          <w:szCs w:val="20"/>
        </w:rPr>
        <w:t>Cavatassi</w:t>
      </w:r>
      <w:proofErr w:type="spellEnd"/>
      <w:r w:rsidRPr="00302885">
        <w:rPr>
          <w:rFonts w:ascii="Arial" w:hAnsi="Arial" w:cs="Arial"/>
          <w:sz w:val="20"/>
          <w:szCs w:val="20"/>
        </w:rPr>
        <w:t>, Leslie Lipper, Jonathan Hillier, and Sylvia Vetter. (2021).</w:t>
      </w:r>
      <w:r w:rsidRPr="00302885">
        <w:rPr>
          <w:rFonts w:ascii="Arial" w:hAnsi="Arial" w:cs="Arial"/>
          <w:spacing w:val="1"/>
          <w:sz w:val="20"/>
          <w:szCs w:val="20"/>
        </w:rPr>
        <w:t xml:space="preserve"> </w:t>
      </w:r>
      <w:r w:rsidRPr="00302885">
        <w:rPr>
          <w:rFonts w:ascii="Arial" w:hAnsi="Arial" w:cs="Arial"/>
          <w:sz w:val="20"/>
          <w:szCs w:val="20"/>
        </w:rPr>
        <w:t>Assessing</w:t>
      </w:r>
      <w:r w:rsidRPr="00302885">
        <w:rPr>
          <w:rFonts w:ascii="Arial" w:hAnsi="Arial" w:cs="Arial"/>
          <w:spacing w:val="1"/>
          <w:sz w:val="20"/>
          <w:szCs w:val="20"/>
        </w:rPr>
        <w:t xml:space="preserve"> </w:t>
      </w:r>
      <w:r w:rsidRPr="00302885">
        <w:rPr>
          <w:rFonts w:ascii="Arial" w:hAnsi="Arial" w:cs="Arial"/>
          <w:sz w:val="20"/>
          <w:szCs w:val="20"/>
        </w:rPr>
        <w:t>the economic and mitigation benefits of climate–smart agriculture and its implications</w:t>
      </w:r>
      <w:r w:rsidRPr="00302885">
        <w:rPr>
          <w:rFonts w:ascii="Arial" w:hAnsi="Arial" w:cs="Arial"/>
          <w:spacing w:val="1"/>
          <w:sz w:val="20"/>
          <w:szCs w:val="20"/>
        </w:rPr>
        <w:t xml:space="preserve"> </w:t>
      </w:r>
      <w:r w:rsidRPr="00302885">
        <w:rPr>
          <w:rFonts w:ascii="Arial" w:hAnsi="Arial" w:cs="Arial"/>
          <w:sz w:val="20"/>
          <w:szCs w:val="20"/>
        </w:rPr>
        <w:t xml:space="preserve">for political economy: A case study in Southern Africa. Journal of Cleaner Production,285,125-161. </w:t>
      </w:r>
      <w:hyperlink r:id="rId12" w:tgtFrame="_blank" w:tooltip="Persistent link using digital object identifier" w:history="1">
        <w:r w:rsidRPr="00302885">
          <w:rPr>
            <w:rStyle w:val="Hyperlink"/>
            <w:rFonts w:ascii="Arial" w:hAnsi="Arial" w:cs="Arial"/>
            <w:sz w:val="20"/>
            <w:szCs w:val="20"/>
          </w:rPr>
          <w:t>https://doi.org/10.1016/j.jclepro.2020.125161</w:t>
        </w:r>
      </w:hyperlink>
    </w:p>
    <w:p w14:paraId="2DF0177A" w14:textId="5C23B7E5" w:rsidR="00070E76" w:rsidRPr="00070E76" w:rsidRDefault="00070E76" w:rsidP="00070E76">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18"/>
          <w:szCs w:val="18"/>
        </w:rPr>
      </w:pPr>
      <w:r w:rsidRPr="00070E76">
        <w:rPr>
          <w:rFonts w:ascii="Arial" w:hAnsi="Arial" w:cs="Arial"/>
          <w:sz w:val="20"/>
          <w:szCs w:val="20"/>
        </w:rPr>
        <w:t>Cochran,</w:t>
      </w:r>
      <w:r w:rsidRPr="00070E76">
        <w:rPr>
          <w:rFonts w:ascii="Arial" w:hAnsi="Arial" w:cs="Arial"/>
          <w:spacing w:val="-2"/>
          <w:sz w:val="20"/>
          <w:szCs w:val="20"/>
        </w:rPr>
        <w:t xml:space="preserve"> </w:t>
      </w:r>
      <w:r w:rsidRPr="00070E76">
        <w:rPr>
          <w:rFonts w:ascii="Arial" w:hAnsi="Arial" w:cs="Arial"/>
          <w:sz w:val="20"/>
          <w:szCs w:val="20"/>
        </w:rPr>
        <w:t>W.</w:t>
      </w:r>
      <w:r w:rsidRPr="00070E76">
        <w:rPr>
          <w:rFonts w:ascii="Arial" w:hAnsi="Arial" w:cs="Arial"/>
          <w:spacing w:val="-3"/>
          <w:sz w:val="20"/>
          <w:szCs w:val="20"/>
        </w:rPr>
        <w:t xml:space="preserve"> </w:t>
      </w:r>
      <w:r w:rsidRPr="00070E76">
        <w:rPr>
          <w:rFonts w:ascii="Arial" w:hAnsi="Arial" w:cs="Arial"/>
          <w:sz w:val="20"/>
          <w:szCs w:val="20"/>
        </w:rPr>
        <w:t>(1977</w:t>
      </w:r>
      <w:proofErr w:type="gramStart"/>
      <w:r w:rsidRPr="00070E76">
        <w:rPr>
          <w:rFonts w:ascii="Arial" w:hAnsi="Arial" w:cs="Arial"/>
          <w:sz w:val="20"/>
          <w:szCs w:val="20"/>
        </w:rPr>
        <w:t>)</w:t>
      </w:r>
      <w:r w:rsidR="00591D01">
        <w:rPr>
          <w:rFonts w:ascii="Arial" w:hAnsi="Arial" w:cs="Arial"/>
          <w:sz w:val="20"/>
          <w:szCs w:val="20"/>
        </w:rPr>
        <w:t>.</w:t>
      </w:r>
      <w:r w:rsidRPr="00070E76">
        <w:rPr>
          <w:rFonts w:ascii="Arial" w:hAnsi="Arial" w:cs="Arial"/>
          <w:sz w:val="20"/>
          <w:szCs w:val="20"/>
        </w:rPr>
        <w:t>Sampling</w:t>
      </w:r>
      <w:proofErr w:type="gramEnd"/>
      <w:r w:rsidRPr="00070E76">
        <w:rPr>
          <w:rFonts w:ascii="Arial" w:hAnsi="Arial" w:cs="Arial"/>
          <w:spacing w:val="-1"/>
          <w:sz w:val="20"/>
          <w:szCs w:val="20"/>
        </w:rPr>
        <w:t xml:space="preserve"> </w:t>
      </w:r>
      <w:r w:rsidRPr="00070E76">
        <w:rPr>
          <w:rFonts w:ascii="Arial" w:hAnsi="Arial" w:cs="Arial"/>
          <w:sz w:val="20"/>
          <w:szCs w:val="20"/>
        </w:rPr>
        <w:t>Techniques</w:t>
      </w:r>
      <w:r w:rsidRPr="00070E76">
        <w:rPr>
          <w:rFonts w:ascii="Arial" w:hAnsi="Arial" w:cs="Arial"/>
          <w:spacing w:val="-3"/>
          <w:sz w:val="20"/>
          <w:szCs w:val="20"/>
        </w:rPr>
        <w:t xml:space="preserve"> </w:t>
      </w:r>
      <w:r w:rsidRPr="00070E76">
        <w:rPr>
          <w:rFonts w:ascii="Arial" w:hAnsi="Arial" w:cs="Arial"/>
          <w:sz w:val="20"/>
          <w:szCs w:val="20"/>
        </w:rPr>
        <w:t>third</w:t>
      </w:r>
      <w:r w:rsidRPr="00070E76">
        <w:rPr>
          <w:rFonts w:ascii="Arial" w:hAnsi="Arial" w:cs="Arial"/>
          <w:spacing w:val="-5"/>
          <w:sz w:val="20"/>
          <w:szCs w:val="20"/>
        </w:rPr>
        <w:t xml:space="preserve"> </w:t>
      </w:r>
      <w:r w:rsidRPr="00070E76">
        <w:rPr>
          <w:rFonts w:ascii="Arial" w:hAnsi="Arial" w:cs="Arial"/>
          <w:sz w:val="20"/>
          <w:szCs w:val="20"/>
        </w:rPr>
        <w:t>edition,</w:t>
      </w:r>
      <w:r w:rsidRPr="00070E76">
        <w:rPr>
          <w:rFonts w:ascii="Arial" w:hAnsi="Arial" w:cs="Arial"/>
          <w:spacing w:val="-1"/>
          <w:sz w:val="20"/>
          <w:szCs w:val="20"/>
        </w:rPr>
        <w:t xml:space="preserve"> </w:t>
      </w:r>
      <w:r w:rsidRPr="00070E76">
        <w:rPr>
          <w:rFonts w:ascii="Arial" w:hAnsi="Arial" w:cs="Arial"/>
          <w:sz w:val="20"/>
          <w:szCs w:val="20"/>
        </w:rPr>
        <w:t>New</w:t>
      </w:r>
      <w:r w:rsidRPr="00070E76">
        <w:rPr>
          <w:rFonts w:ascii="Arial" w:hAnsi="Arial" w:cs="Arial"/>
          <w:spacing w:val="-1"/>
          <w:sz w:val="20"/>
          <w:szCs w:val="20"/>
        </w:rPr>
        <w:t xml:space="preserve"> </w:t>
      </w:r>
      <w:r w:rsidRPr="00070E76">
        <w:rPr>
          <w:rFonts w:ascii="Arial" w:hAnsi="Arial" w:cs="Arial"/>
          <w:sz w:val="20"/>
          <w:szCs w:val="20"/>
        </w:rPr>
        <w:t>York:</w:t>
      </w:r>
      <w:r w:rsidRPr="00070E76">
        <w:rPr>
          <w:rFonts w:ascii="Arial" w:hAnsi="Arial" w:cs="Arial"/>
          <w:spacing w:val="-4"/>
          <w:sz w:val="20"/>
          <w:szCs w:val="20"/>
        </w:rPr>
        <w:t xml:space="preserve"> </w:t>
      </w:r>
      <w:r w:rsidRPr="00070E76">
        <w:rPr>
          <w:rFonts w:ascii="Arial" w:hAnsi="Arial" w:cs="Arial"/>
          <w:sz w:val="20"/>
          <w:szCs w:val="20"/>
        </w:rPr>
        <w:t>Willy.</w:t>
      </w:r>
    </w:p>
    <w:p w14:paraId="2D0C5E98" w14:textId="6F29B420" w:rsidR="00801BD1" w:rsidRPr="00070E76" w:rsidRDefault="00801BD1" w:rsidP="00070E76">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070E76">
        <w:rPr>
          <w:rFonts w:ascii="Arial" w:hAnsi="Arial" w:cs="Arial"/>
          <w:sz w:val="20"/>
          <w:szCs w:val="20"/>
        </w:rPr>
        <w:t xml:space="preserve">Khatri-Chhetri, Arun, Jeetendra Prakash Aryal, Tek B. Sapkota, and Ritika </w:t>
      </w:r>
      <w:proofErr w:type="gramStart"/>
      <w:r w:rsidRPr="00070E76">
        <w:rPr>
          <w:rFonts w:ascii="Arial" w:hAnsi="Arial" w:cs="Arial"/>
          <w:sz w:val="20"/>
          <w:szCs w:val="20"/>
        </w:rPr>
        <w:t>Khurana.(</w:t>
      </w:r>
      <w:proofErr w:type="gramEnd"/>
      <w:r w:rsidRPr="00070E76">
        <w:rPr>
          <w:rFonts w:ascii="Arial" w:hAnsi="Arial" w:cs="Arial"/>
          <w:sz w:val="20"/>
          <w:szCs w:val="20"/>
        </w:rPr>
        <w:t>2016). Economic benefits of climate-smart agricultural practices to smallholder farmers in</w:t>
      </w:r>
      <w:r w:rsidRPr="00070E76">
        <w:rPr>
          <w:rFonts w:ascii="Arial" w:hAnsi="Arial" w:cs="Arial"/>
          <w:spacing w:val="1"/>
          <w:sz w:val="20"/>
          <w:szCs w:val="20"/>
        </w:rPr>
        <w:t xml:space="preserve"> </w:t>
      </w:r>
      <w:r w:rsidRPr="00070E76">
        <w:rPr>
          <w:rFonts w:ascii="Arial" w:hAnsi="Arial" w:cs="Arial"/>
          <w:sz w:val="20"/>
          <w:szCs w:val="20"/>
        </w:rPr>
        <w:t>the</w:t>
      </w:r>
      <w:r w:rsidRPr="00070E76">
        <w:rPr>
          <w:rFonts w:ascii="Arial" w:hAnsi="Arial" w:cs="Arial"/>
          <w:spacing w:val="-1"/>
          <w:sz w:val="20"/>
          <w:szCs w:val="20"/>
        </w:rPr>
        <w:t xml:space="preserve"> </w:t>
      </w:r>
      <w:r w:rsidRPr="00070E76">
        <w:rPr>
          <w:rFonts w:ascii="Arial" w:hAnsi="Arial" w:cs="Arial"/>
          <w:sz w:val="20"/>
          <w:szCs w:val="20"/>
        </w:rPr>
        <w:t>Indo–Gangetic plains of</w:t>
      </w:r>
      <w:r w:rsidRPr="00070E76">
        <w:rPr>
          <w:rFonts w:ascii="Arial" w:hAnsi="Arial" w:cs="Arial"/>
          <w:spacing w:val="-1"/>
          <w:sz w:val="20"/>
          <w:szCs w:val="20"/>
        </w:rPr>
        <w:t xml:space="preserve"> </w:t>
      </w:r>
      <w:r w:rsidRPr="00070E76">
        <w:rPr>
          <w:rFonts w:ascii="Arial" w:hAnsi="Arial" w:cs="Arial"/>
          <w:sz w:val="20"/>
          <w:szCs w:val="20"/>
        </w:rPr>
        <w:t>India.</w:t>
      </w:r>
      <w:r w:rsidRPr="00070E76">
        <w:rPr>
          <w:rFonts w:ascii="Arial" w:hAnsi="Arial" w:cs="Arial"/>
          <w:spacing w:val="1"/>
          <w:sz w:val="20"/>
          <w:szCs w:val="20"/>
        </w:rPr>
        <w:t xml:space="preserve"> </w:t>
      </w:r>
      <w:r w:rsidRPr="00070E76">
        <w:rPr>
          <w:rFonts w:ascii="Arial" w:hAnsi="Arial" w:cs="Arial"/>
          <w:sz w:val="20"/>
          <w:szCs w:val="20"/>
        </w:rPr>
        <w:t>Current</w:t>
      </w:r>
      <w:r w:rsidRPr="00070E76">
        <w:rPr>
          <w:rFonts w:ascii="Arial" w:hAnsi="Arial" w:cs="Arial"/>
          <w:spacing w:val="1"/>
          <w:sz w:val="20"/>
          <w:szCs w:val="20"/>
        </w:rPr>
        <w:t xml:space="preserve"> </w:t>
      </w:r>
      <w:r w:rsidRPr="00070E76">
        <w:rPr>
          <w:rFonts w:ascii="Arial" w:hAnsi="Arial" w:cs="Arial"/>
          <w:sz w:val="20"/>
          <w:szCs w:val="20"/>
        </w:rPr>
        <w:t>Science, 110(7),</w:t>
      </w:r>
      <w:r w:rsidRPr="00070E76">
        <w:rPr>
          <w:rFonts w:ascii="Arial" w:hAnsi="Arial" w:cs="Arial"/>
          <w:spacing w:val="1"/>
          <w:sz w:val="20"/>
          <w:szCs w:val="20"/>
        </w:rPr>
        <w:t xml:space="preserve"> </w:t>
      </w:r>
      <w:r w:rsidRPr="00070E76">
        <w:rPr>
          <w:rFonts w:ascii="Arial" w:hAnsi="Arial" w:cs="Arial"/>
          <w:sz w:val="20"/>
          <w:szCs w:val="20"/>
        </w:rPr>
        <w:t>1251–56.</w:t>
      </w:r>
    </w:p>
    <w:p w14:paraId="4E95A916" w14:textId="377F725A" w:rsidR="00801BD1" w:rsidRPr="00302885" w:rsidRDefault="00801BD1" w:rsidP="00801BD1">
      <w:pPr>
        <w:pStyle w:val="ListParagraph"/>
        <w:widowControl w:val="0"/>
        <w:numPr>
          <w:ilvl w:val="0"/>
          <w:numId w:val="16"/>
        </w:numPr>
        <w:tabs>
          <w:tab w:val="left" w:pos="686"/>
        </w:tabs>
        <w:autoSpaceDE w:val="0"/>
        <w:autoSpaceDN w:val="0"/>
        <w:spacing w:before="7" w:after="0" w:line="240" w:lineRule="auto"/>
        <w:ind w:left="360" w:right="26"/>
        <w:contextualSpacing w:val="0"/>
        <w:jc w:val="both"/>
        <w:rPr>
          <w:rFonts w:ascii="Arial" w:hAnsi="Arial" w:cs="Arial"/>
          <w:sz w:val="20"/>
          <w:szCs w:val="20"/>
        </w:rPr>
      </w:pPr>
      <w:r w:rsidRPr="00302885">
        <w:rPr>
          <w:rFonts w:ascii="Arial" w:hAnsi="Arial" w:cs="Arial"/>
          <w:sz w:val="20"/>
          <w:szCs w:val="20"/>
        </w:rPr>
        <w:t xml:space="preserve">Koshal, A. </w:t>
      </w:r>
      <w:proofErr w:type="gramStart"/>
      <w:r w:rsidRPr="00302885">
        <w:rPr>
          <w:rFonts w:ascii="Arial" w:hAnsi="Arial" w:cs="Arial"/>
          <w:sz w:val="20"/>
          <w:szCs w:val="20"/>
        </w:rPr>
        <w:t>K.(</w:t>
      </w:r>
      <w:proofErr w:type="gramEnd"/>
      <w:r w:rsidRPr="00302885">
        <w:rPr>
          <w:rFonts w:ascii="Arial" w:hAnsi="Arial" w:cs="Arial"/>
          <w:sz w:val="20"/>
          <w:szCs w:val="20"/>
        </w:rPr>
        <w:t>2014).</w:t>
      </w:r>
      <w:r w:rsidRPr="00302885">
        <w:rPr>
          <w:rFonts w:ascii="Arial" w:hAnsi="Arial" w:cs="Arial"/>
          <w:spacing w:val="1"/>
          <w:sz w:val="20"/>
          <w:szCs w:val="20"/>
        </w:rPr>
        <w:t xml:space="preserve"> </w:t>
      </w:r>
      <w:r w:rsidRPr="00302885">
        <w:rPr>
          <w:rFonts w:ascii="Arial" w:hAnsi="Arial" w:cs="Arial"/>
          <w:sz w:val="20"/>
          <w:szCs w:val="20"/>
        </w:rPr>
        <w:t xml:space="preserve"> Changing current scenario of rice-wheat system in Indo–Gangetic</w:t>
      </w:r>
      <w:r w:rsidRPr="00302885">
        <w:rPr>
          <w:rFonts w:ascii="Arial" w:hAnsi="Arial" w:cs="Arial"/>
          <w:spacing w:val="1"/>
          <w:sz w:val="20"/>
          <w:szCs w:val="20"/>
        </w:rPr>
        <w:t xml:space="preserve"> p</w:t>
      </w:r>
      <w:r w:rsidRPr="00302885">
        <w:rPr>
          <w:rFonts w:ascii="Arial" w:hAnsi="Arial" w:cs="Arial"/>
          <w:sz w:val="20"/>
          <w:szCs w:val="20"/>
        </w:rPr>
        <w:t>lain region of</w:t>
      </w:r>
      <w:r w:rsidRPr="00302885">
        <w:rPr>
          <w:rFonts w:ascii="Arial" w:hAnsi="Arial" w:cs="Arial"/>
          <w:spacing w:val="1"/>
          <w:sz w:val="20"/>
          <w:szCs w:val="20"/>
        </w:rPr>
        <w:t xml:space="preserve"> </w:t>
      </w:r>
      <w:r w:rsidRPr="00302885">
        <w:rPr>
          <w:rFonts w:ascii="Arial" w:hAnsi="Arial" w:cs="Arial"/>
          <w:sz w:val="20"/>
          <w:szCs w:val="20"/>
        </w:rPr>
        <w:t>India. International</w:t>
      </w:r>
      <w:r w:rsidRPr="00302885">
        <w:rPr>
          <w:rFonts w:ascii="Arial" w:hAnsi="Arial" w:cs="Arial"/>
          <w:spacing w:val="1"/>
          <w:sz w:val="20"/>
          <w:szCs w:val="20"/>
        </w:rPr>
        <w:t xml:space="preserve"> </w:t>
      </w:r>
      <w:r w:rsidRPr="00302885">
        <w:rPr>
          <w:rFonts w:ascii="Arial" w:hAnsi="Arial" w:cs="Arial"/>
          <w:sz w:val="20"/>
          <w:szCs w:val="20"/>
        </w:rPr>
        <w:t>Journal</w:t>
      </w:r>
      <w:r w:rsidRPr="00302885">
        <w:rPr>
          <w:rFonts w:ascii="Arial" w:hAnsi="Arial" w:cs="Arial"/>
          <w:spacing w:val="55"/>
          <w:sz w:val="20"/>
          <w:szCs w:val="20"/>
        </w:rPr>
        <w:t xml:space="preserve"> </w:t>
      </w:r>
      <w:r w:rsidRPr="00302885">
        <w:rPr>
          <w:rFonts w:ascii="Arial" w:hAnsi="Arial" w:cs="Arial"/>
          <w:sz w:val="20"/>
          <w:szCs w:val="20"/>
        </w:rPr>
        <w:t>of Scientific and Research Publication, 4(3): 1-13.</w:t>
      </w:r>
    </w:p>
    <w:p w14:paraId="5E848FDA" w14:textId="2110764B" w:rsidR="00801BD1" w:rsidRPr="00302885" w:rsidRDefault="00801BD1" w:rsidP="00801BD1">
      <w:pPr>
        <w:pStyle w:val="Bibliography"/>
        <w:widowControl w:val="0"/>
        <w:numPr>
          <w:ilvl w:val="0"/>
          <w:numId w:val="16"/>
        </w:numPr>
        <w:spacing w:after="0" w:line="240" w:lineRule="auto"/>
        <w:ind w:left="360"/>
        <w:jc w:val="both"/>
        <w:rPr>
          <w:rFonts w:ascii="Arial" w:hAnsi="Arial" w:cs="Arial"/>
          <w:sz w:val="20"/>
          <w:szCs w:val="20"/>
        </w:rPr>
      </w:pPr>
      <w:r w:rsidRPr="00302885">
        <w:rPr>
          <w:rFonts w:ascii="Arial" w:hAnsi="Arial" w:cs="Arial"/>
          <w:sz w:val="20"/>
          <w:szCs w:val="20"/>
        </w:rPr>
        <w:t>Kumar, Anuj, and Swami S.P. (2021). Climate change in South Asia: Impact, adaptation and role of GI Science. In Geographic Information Science for Land Resources. John Wiley &amp; Sons Inc. and Scrivener Publishing LLC., USA.</w:t>
      </w:r>
    </w:p>
    <w:p w14:paraId="1E8F7663" w14:textId="4F747BA6"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 xml:space="preserve">Mogaka, </w:t>
      </w:r>
      <w:proofErr w:type="spellStart"/>
      <w:r w:rsidRPr="00302885">
        <w:rPr>
          <w:rFonts w:ascii="Arial" w:hAnsi="Arial" w:cs="Arial"/>
          <w:sz w:val="20"/>
          <w:szCs w:val="20"/>
        </w:rPr>
        <w:t>Bwema</w:t>
      </w:r>
      <w:proofErr w:type="spellEnd"/>
      <w:r w:rsidRPr="00302885">
        <w:rPr>
          <w:rFonts w:ascii="Arial" w:hAnsi="Arial" w:cs="Arial"/>
          <w:sz w:val="20"/>
          <w:szCs w:val="20"/>
        </w:rPr>
        <w:t>, Karanja S and Hillary Bett.</w:t>
      </w:r>
      <w:r w:rsidR="004D34BF" w:rsidRPr="00302885">
        <w:rPr>
          <w:rFonts w:ascii="Arial" w:hAnsi="Arial" w:cs="Arial"/>
          <w:sz w:val="20"/>
          <w:szCs w:val="20"/>
        </w:rPr>
        <w:t xml:space="preserve"> (2022)</w:t>
      </w:r>
      <w:r w:rsidR="004D34BF" w:rsidRPr="00302885">
        <w:rPr>
          <w:rFonts w:ascii="Arial" w:hAnsi="Arial" w:cs="Arial"/>
          <w:spacing w:val="1"/>
          <w:sz w:val="20"/>
          <w:szCs w:val="20"/>
        </w:rPr>
        <w:t xml:space="preserve"> </w:t>
      </w:r>
      <w:r w:rsidRPr="00302885">
        <w:rPr>
          <w:rFonts w:ascii="Arial" w:hAnsi="Arial" w:cs="Arial"/>
          <w:sz w:val="20"/>
          <w:szCs w:val="20"/>
        </w:rPr>
        <w:t>Comparative profitability and</w:t>
      </w:r>
      <w:r w:rsidRPr="00302885">
        <w:rPr>
          <w:rFonts w:ascii="Arial" w:hAnsi="Arial" w:cs="Arial"/>
          <w:spacing w:val="1"/>
          <w:sz w:val="20"/>
          <w:szCs w:val="20"/>
        </w:rPr>
        <w:t xml:space="preserve"> </w:t>
      </w:r>
      <w:r w:rsidRPr="00302885">
        <w:rPr>
          <w:rFonts w:ascii="Arial" w:hAnsi="Arial" w:cs="Arial"/>
          <w:sz w:val="20"/>
          <w:szCs w:val="20"/>
        </w:rPr>
        <w:t>relative risk of adopting climate–smart soil practices among farmers. A cost–benefit</w:t>
      </w:r>
      <w:r w:rsidRPr="00302885">
        <w:rPr>
          <w:rFonts w:ascii="Arial" w:hAnsi="Arial" w:cs="Arial"/>
          <w:spacing w:val="1"/>
          <w:sz w:val="20"/>
          <w:szCs w:val="20"/>
        </w:rPr>
        <w:t xml:space="preserve"> </w:t>
      </w:r>
      <w:r w:rsidRPr="00302885">
        <w:rPr>
          <w:rFonts w:ascii="Arial" w:hAnsi="Arial" w:cs="Arial"/>
          <w:sz w:val="20"/>
          <w:szCs w:val="20"/>
        </w:rPr>
        <w:t>analysis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six</w:t>
      </w:r>
      <w:r w:rsidRPr="00302885">
        <w:rPr>
          <w:rFonts w:ascii="Arial" w:hAnsi="Arial" w:cs="Arial"/>
          <w:spacing w:val="1"/>
          <w:sz w:val="20"/>
          <w:szCs w:val="20"/>
        </w:rPr>
        <w:t xml:space="preserve"> </w:t>
      </w:r>
      <w:r w:rsidRPr="00302885">
        <w:rPr>
          <w:rFonts w:ascii="Arial" w:hAnsi="Arial" w:cs="Arial"/>
          <w:sz w:val="20"/>
          <w:szCs w:val="20"/>
        </w:rPr>
        <w:t>agricultural</w:t>
      </w:r>
      <w:r w:rsidRPr="00302885">
        <w:rPr>
          <w:rFonts w:ascii="Arial" w:hAnsi="Arial" w:cs="Arial"/>
          <w:spacing w:val="1"/>
          <w:sz w:val="20"/>
          <w:szCs w:val="20"/>
        </w:rPr>
        <w:t xml:space="preserve"> </w:t>
      </w:r>
      <w:r w:rsidRPr="00302885">
        <w:rPr>
          <w:rFonts w:ascii="Arial" w:hAnsi="Arial" w:cs="Arial"/>
          <w:sz w:val="20"/>
          <w:szCs w:val="20"/>
        </w:rPr>
        <w:t>practices. Climate</w:t>
      </w:r>
      <w:r w:rsidRPr="00302885">
        <w:rPr>
          <w:rFonts w:ascii="Arial" w:hAnsi="Arial" w:cs="Arial"/>
          <w:spacing w:val="1"/>
          <w:sz w:val="20"/>
          <w:szCs w:val="20"/>
        </w:rPr>
        <w:t xml:space="preserve"> </w:t>
      </w:r>
      <w:r w:rsidRPr="00302885">
        <w:rPr>
          <w:rFonts w:ascii="Arial" w:hAnsi="Arial" w:cs="Arial"/>
          <w:sz w:val="20"/>
          <w:szCs w:val="20"/>
        </w:rPr>
        <w:t>Services</w:t>
      </w:r>
      <w:r w:rsidR="004D34BF" w:rsidRPr="00302885">
        <w:rPr>
          <w:rFonts w:ascii="Arial" w:hAnsi="Arial" w:cs="Arial"/>
          <w:sz w:val="20"/>
          <w:szCs w:val="20"/>
        </w:rPr>
        <w:t xml:space="preserve"> </w:t>
      </w:r>
      <w:r w:rsidRPr="00302885">
        <w:rPr>
          <w:rFonts w:ascii="Arial" w:hAnsi="Arial" w:cs="Arial"/>
          <w:sz w:val="20"/>
          <w:szCs w:val="20"/>
        </w:rPr>
        <w:t xml:space="preserve">22:11 </w:t>
      </w:r>
      <w:hyperlink r:id="rId13" w:tgtFrame="_blank" w:tooltip="Persistent link using digital object identifier" w:history="1">
        <w:r w:rsidRPr="00302885">
          <w:rPr>
            <w:rStyle w:val="Hyperlink"/>
            <w:rFonts w:ascii="Arial" w:hAnsi="Arial" w:cs="Arial"/>
            <w:sz w:val="20"/>
            <w:szCs w:val="20"/>
          </w:rPr>
          <w:t>https://doi.org/10.1016/j.cliser.2022.100287</w:t>
        </w:r>
      </w:hyperlink>
      <w:r w:rsidRPr="00302885">
        <w:rPr>
          <w:rFonts w:ascii="Arial" w:hAnsi="Arial" w:cs="Arial"/>
          <w:sz w:val="20"/>
          <w:szCs w:val="20"/>
        </w:rPr>
        <w:t>.</w:t>
      </w:r>
    </w:p>
    <w:p w14:paraId="00BD85CA" w14:textId="00AA2B81"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Mujeyi,</w:t>
      </w:r>
      <w:r w:rsidRPr="00302885">
        <w:rPr>
          <w:rFonts w:ascii="Arial" w:hAnsi="Arial" w:cs="Arial"/>
          <w:spacing w:val="1"/>
          <w:sz w:val="20"/>
          <w:szCs w:val="20"/>
        </w:rPr>
        <w:t xml:space="preserve"> </w:t>
      </w:r>
      <w:r w:rsidRPr="00302885">
        <w:rPr>
          <w:rFonts w:ascii="Arial" w:hAnsi="Arial" w:cs="Arial"/>
          <w:sz w:val="20"/>
          <w:szCs w:val="20"/>
        </w:rPr>
        <w:t xml:space="preserve">Angeline, and </w:t>
      </w:r>
      <w:proofErr w:type="spellStart"/>
      <w:r w:rsidRPr="00302885">
        <w:rPr>
          <w:rFonts w:ascii="Arial" w:hAnsi="Arial" w:cs="Arial"/>
          <w:spacing w:val="1"/>
          <w:sz w:val="20"/>
          <w:szCs w:val="20"/>
        </w:rPr>
        <w:t>Mudhara</w:t>
      </w:r>
      <w:proofErr w:type="spellEnd"/>
      <w:r w:rsidRPr="00302885">
        <w:rPr>
          <w:rFonts w:ascii="Arial" w:hAnsi="Arial" w:cs="Arial"/>
          <w:sz w:val="20"/>
          <w:szCs w:val="20"/>
        </w:rPr>
        <w:t xml:space="preserve"> </w:t>
      </w:r>
      <w:proofErr w:type="gramStart"/>
      <w:r w:rsidRPr="00302885">
        <w:rPr>
          <w:rFonts w:ascii="Arial" w:hAnsi="Arial" w:cs="Arial"/>
          <w:sz w:val="20"/>
          <w:szCs w:val="20"/>
        </w:rPr>
        <w:t>Maxwell.</w:t>
      </w:r>
      <w:r w:rsidR="004D34BF" w:rsidRPr="00302885">
        <w:rPr>
          <w:rFonts w:ascii="Arial" w:hAnsi="Arial" w:cs="Arial"/>
          <w:sz w:val="20"/>
          <w:szCs w:val="20"/>
        </w:rPr>
        <w:t>(</w:t>
      </w:r>
      <w:proofErr w:type="gramEnd"/>
      <w:r w:rsidR="004D34BF" w:rsidRPr="00302885">
        <w:rPr>
          <w:rFonts w:ascii="Arial" w:hAnsi="Arial" w:cs="Arial"/>
          <w:sz w:val="20"/>
          <w:szCs w:val="20"/>
        </w:rPr>
        <w:t xml:space="preserve">2021). </w:t>
      </w:r>
      <w:r w:rsidRPr="00302885">
        <w:rPr>
          <w:rFonts w:ascii="Arial" w:hAnsi="Arial" w:cs="Arial"/>
          <w:spacing w:val="1"/>
          <w:sz w:val="20"/>
          <w:szCs w:val="20"/>
        </w:rPr>
        <w:t xml:space="preserve"> </w:t>
      </w:r>
      <w:r w:rsidRPr="00302885">
        <w:rPr>
          <w:rFonts w:ascii="Arial" w:hAnsi="Arial" w:cs="Arial"/>
          <w:sz w:val="20"/>
          <w:szCs w:val="20"/>
        </w:rPr>
        <w:t>Economic</w:t>
      </w:r>
      <w:r w:rsidRPr="00302885">
        <w:rPr>
          <w:rFonts w:ascii="Arial" w:hAnsi="Arial" w:cs="Arial"/>
          <w:spacing w:val="1"/>
          <w:sz w:val="20"/>
          <w:szCs w:val="20"/>
        </w:rPr>
        <w:t xml:space="preserve"> </w:t>
      </w:r>
      <w:r w:rsidRPr="00302885">
        <w:rPr>
          <w:rFonts w:ascii="Arial" w:hAnsi="Arial" w:cs="Arial"/>
          <w:sz w:val="20"/>
          <w:szCs w:val="20"/>
        </w:rPr>
        <w:t>analysis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climate-smart</w:t>
      </w:r>
      <w:r w:rsidRPr="00302885">
        <w:rPr>
          <w:rFonts w:ascii="Arial" w:hAnsi="Arial" w:cs="Arial"/>
          <w:spacing w:val="1"/>
          <w:sz w:val="20"/>
          <w:szCs w:val="20"/>
        </w:rPr>
        <w:t xml:space="preserve"> </w:t>
      </w:r>
      <w:r w:rsidRPr="00302885">
        <w:rPr>
          <w:rFonts w:ascii="Arial" w:hAnsi="Arial" w:cs="Arial"/>
          <w:sz w:val="20"/>
          <w:szCs w:val="20"/>
        </w:rPr>
        <w:t>agriculture</w:t>
      </w:r>
      <w:r w:rsidRPr="00302885">
        <w:rPr>
          <w:rFonts w:ascii="Arial" w:hAnsi="Arial" w:cs="Arial"/>
          <w:spacing w:val="1"/>
          <w:sz w:val="20"/>
          <w:szCs w:val="20"/>
        </w:rPr>
        <w:t xml:space="preserve"> </w:t>
      </w:r>
      <w:r w:rsidRPr="00302885">
        <w:rPr>
          <w:rFonts w:ascii="Arial" w:hAnsi="Arial" w:cs="Arial"/>
          <w:sz w:val="20"/>
          <w:szCs w:val="20"/>
        </w:rPr>
        <w:t>technologies</w:t>
      </w:r>
      <w:r w:rsidRPr="00302885">
        <w:rPr>
          <w:rFonts w:ascii="Arial" w:hAnsi="Arial" w:cs="Arial"/>
          <w:spacing w:val="5"/>
          <w:sz w:val="20"/>
          <w:szCs w:val="20"/>
        </w:rPr>
        <w:t xml:space="preserve"> </w:t>
      </w:r>
      <w:r w:rsidRPr="00302885">
        <w:rPr>
          <w:rFonts w:ascii="Arial" w:hAnsi="Arial" w:cs="Arial"/>
          <w:sz w:val="20"/>
          <w:szCs w:val="20"/>
        </w:rPr>
        <w:t>in</w:t>
      </w:r>
      <w:r w:rsidRPr="00302885">
        <w:rPr>
          <w:rFonts w:ascii="Arial" w:hAnsi="Arial" w:cs="Arial"/>
          <w:spacing w:val="5"/>
          <w:sz w:val="20"/>
          <w:szCs w:val="20"/>
        </w:rPr>
        <w:t xml:space="preserve"> </w:t>
      </w:r>
      <w:r w:rsidRPr="00302885">
        <w:rPr>
          <w:rFonts w:ascii="Arial" w:hAnsi="Arial" w:cs="Arial"/>
          <w:sz w:val="20"/>
          <w:szCs w:val="20"/>
        </w:rPr>
        <w:t>maize</w:t>
      </w:r>
      <w:r w:rsidRPr="00302885">
        <w:rPr>
          <w:rFonts w:ascii="Arial" w:hAnsi="Arial" w:cs="Arial"/>
          <w:spacing w:val="5"/>
          <w:sz w:val="20"/>
          <w:szCs w:val="20"/>
        </w:rPr>
        <w:t xml:space="preserve"> </w:t>
      </w:r>
      <w:r w:rsidRPr="00302885">
        <w:rPr>
          <w:rFonts w:ascii="Arial" w:hAnsi="Arial" w:cs="Arial"/>
          <w:sz w:val="20"/>
          <w:szCs w:val="20"/>
        </w:rPr>
        <w:t>production</w:t>
      </w:r>
      <w:r w:rsidRPr="00302885">
        <w:rPr>
          <w:rFonts w:ascii="Arial" w:hAnsi="Arial" w:cs="Arial"/>
          <w:spacing w:val="5"/>
          <w:sz w:val="20"/>
          <w:szCs w:val="20"/>
        </w:rPr>
        <w:t xml:space="preserve"> </w:t>
      </w:r>
      <w:r w:rsidRPr="00302885">
        <w:rPr>
          <w:rFonts w:ascii="Arial" w:hAnsi="Arial" w:cs="Arial"/>
          <w:sz w:val="20"/>
          <w:szCs w:val="20"/>
        </w:rPr>
        <w:t>in</w:t>
      </w:r>
      <w:r w:rsidRPr="00302885">
        <w:rPr>
          <w:rFonts w:ascii="Arial" w:hAnsi="Arial" w:cs="Arial"/>
          <w:spacing w:val="6"/>
          <w:sz w:val="20"/>
          <w:szCs w:val="20"/>
        </w:rPr>
        <w:t xml:space="preserve"> </w:t>
      </w:r>
      <w:r w:rsidRPr="00302885">
        <w:rPr>
          <w:rFonts w:ascii="Arial" w:hAnsi="Arial" w:cs="Arial"/>
          <w:sz w:val="20"/>
          <w:szCs w:val="20"/>
        </w:rPr>
        <w:t>smallholder</w:t>
      </w:r>
      <w:r w:rsidRPr="00302885">
        <w:rPr>
          <w:rFonts w:ascii="Arial" w:hAnsi="Arial" w:cs="Arial"/>
          <w:spacing w:val="6"/>
          <w:sz w:val="20"/>
          <w:szCs w:val="20"/>
        </w:rPr>
        <w:t xml:space="preserve"> </w:t>
      </w:r>
      <w:r w:rsidRPr="00302885">
        <w:rPr>
          <w:rFonts w:ascii="Arial" w:hAnsi="Arial" w:cs="Arial"/>
          <w:sz w:val="20"/>
          <w:szCs w:val="20"/>
        </w:rPr>
        <w:t>farming</w:t>
      </w:r>
      <w:r w:rsidRPr="00302885">
        <w:rPr>
          <w:rFonts w:ascii="Arial" w:hAnsi="Arial" w:cs="Arial"/>
          <w:spacing w:val="5"/>
          <w:sz w:val="20"/>
          <w:szCs w:val="20"/>
        </w:rPr>
        <w:t xml:space="preserve"> </w:t>
      </w:r>
      <w:r w:rsidRPr="00302885">
        <w:rPr>
          <w:rFonts w:ascii="Arial" w:hAnsi="Arial" w:cs="Arial"/>
          <w:sz w:val="20"/>
          <w:szCs w:val="20"/>
        </w:rPr>
        <w:t>systems. African</w:t>
      </w:r>
      <w:r w:rsidRPr="00302885">
        <w:rPr>
          <w:rFonts w:ascii="Arial" w:hAnsi="Arial" w:cs="Arial"/>
          <w:spacing w:val="29"/>
          <w:sz w:val="20"/>
          <w:szCs w:val="20"/>
        </w:rPr>
        <w:t xml:space="preserve"> </w:t>
      </w:r>
      <w:r w:rsidRPr="00302885">
        <w:rPr>
          <w:rFonts w:ascii="Arial" w:hAnsi="Arial" w:cs="Arial"/>
          <w:sz w:val="20"/>
          <w:szCs w:val="20"/>
        </w:rPr>
        <w:t>Handbook</w:t>
      </w:r>
      <w:r w:rsidRPr="00302885">
        <w:rPr>
          <w:rFonts w:ascii="Arial" w:hAnsi="Arial" w:cs="Arial"/>
          <w:spacing w:val="27"/>
          <w:sz w:val="20"/>
          <w:szCs w:val="20"/>
        </w:rPr>
        <w:t xml:space="preserve"> </w:t>
      </w:r>
      <w:r w:rsidRPr="00302885">
        <w:rPr>
          <w:rFonts w:ascii="Arial" w:hAnsi="Arial" w:cs="Arial"/>
          <w:sz w:val="20"/>
          <w:szCs w:val="20"/>
        </w:rPr>
        <w:t>of</w:t>
      </w:r>
      <w:r w:rsidRPr="00302885">
        <w:rPr>
          <w:rFonts w:ascii="Arial" w:hAnsi="Arial" w:cs="Arial"/>
          <w:spacing w:val="30"/>
          <w:sz w:val="20"/>
          <w:szCs w:val="20"/>
        </w:rPr>
        <w:t xml:space="preserve"> </w:t>
      </w:r>
      <w:r w:rsidRPr="00302885">
        <w:rPr>
          <w:rFonts w:ascii="Arial" w:hAnsi="Arial" w:cs="Arial"/>
          <w:sz w:val="20"/>
          <w:szCs w:val="20"/>
        </w:rPr>
        <w:t>Climate</w:t>
      </w:r>
      <w:r w:rsidRPr="00302885">
        <w:rPr>
          <w:rFonts w:ascii="Arial" w:hAnsi="Arial" w:cs="Arial"/>
          <w:spacing w:val="30"/>
          <w:sz w:val="20"/>
          <w:szCs w:val="20"/>
        </w:rPr>
        <w:t xml:space="preserve"> </w:t>
      </w:r>
      <w:r w:rsidRPr="00302885">
        <w:rPr>
          <w:rFonts w:ascii="Arial" w:hAnsi="Arial" w:cs="Arial"/>
          <w:sz w:val="20"/>
          <w:szCs w:val="20"/>
        </w:rPr>
        <w:t>Change</w:t>
      </w:r>
      <w:r w:rsidRPr="00302885">
        <w:rPr>
          <w:rFonts w:ascii="Arial" w:hAnsi="Arial" w:cs="Arial"/>
          <w:spacing w:val="29"/>
          <w:sz w:val="20"/>
          <w:szCs w:val="20"/>
        </w:rPr>
        <w:t xml:space="preserve"> </w:t>
      </w:r>
      <w:r w:rsidRPr="00302885">
        <w:rPr>
          <w:rFonts w:ascii="Arial" w:hAnsi="Arial" w:cs="Arial"/>
          <w:sz w:val="20"/>
          <w:szCs w:val="20"/>
        </w:rPr>
        <w:t>Adaptation.</w:t>
      </w:r>
      <w:r w:rsidRPr="00302885">
        <w:rPr>
          <w:rFonts w:ascii="Arial" w:hAnsi="Arial" w:cs="Arial"/>
          <w:spacing w:val="-6"/>
          <w:sz w:val="20"/>
          <w:szCs w:val="20"/>
        </w:rPr>
        <w:t xml:space="preserve"> </w:t>
      </w:r>
      <w:r w:rsidRPr="00302885">
        <w:rPr>
          <w:rFonts w:ascii="Arial" w:hAnsi="Arial" w:cs="Arial"/>
          <w:sz w:val="20"/>
          <w:szCs w:val="20"/>
        </w:rPr>
        <w:t>Springer</w:t>
      </w:r>
      <w:r w:rsidRPr="00302885">
        <w:rPr>
          <w:rFonts w:ascii="Arial" w:hAnsi="Arial" w:cs="Arial"/>
          <w:spacing w:val="-4"/>
          <w:sz w:val="20"/>
          <w:szCs w:val="20"/>
        </w:rPr>
        <w:t xml:space="preserve"> </w:t>
      </w:r>
      <w:r w:rsidRPr="00302885">
        <w:rPr>
          <w:rFonts w:ascii="Arial" w:hAnsi="Arial" w:cs="Arial"/>
          <w:sz w:val="20"/>
          <w:szCs w:val="20"/>
        </w:rPr>
        <w:t>International</w:t>
      </w:r>
      <w:r w:rsidRPr="00302885">
        <w:rPr>
          <w:rFonts w:ascii="Arial" w:hAnsi="Arial" w:cs="Arial"/>
          <w:spacing w:val="-5"/>
          <w:sz w:val="20"/>
          <w:szCs w:val="20"/>
        </w:rPr>
        <w:t xml:space="preserve"> </w:t>
      </w:r>
      <w:r w:rsidRPr="00302885">
        <w:rPr>
          <w:rFonts w:ascii="Arial" w:hAnsi="Arial" w:cs="Arial"/>
          <w:sz w:val="20"/>
          <w:szCs w:val="20"/>
        </w:rPr>
        <w:t>Publishing, 225–240.</w:t>
      </w:r>
      <w:r w:rsidRPr="00302885">
        <w:rPr>
          <w:rFonts w:ascii="Arial" w:hAnsi="Arial" w:cs="Arial"/>
          <w:spacing w:val="-5"/>
          <w:sz w:val="20"/>
          <w:szCs w:val="20"/>
        </w:rPr>
        <w:t xml:space="preserve"> </w:t>
      </w:r>
      <w:hyperlink r:id="rId14" w:history="1">
        <w:r w:rsidRPr="00302885">
          <w:rPr>
            <w:rStyle w:val="Hyperlink"/>
            <w:rFonts w:ascii="Arial" w:hAnsi="Arial" w:cs="Arial"/>
            <w:spacing w:val="-5"/>
            <w:sz w:val="20"/>
            <w:szCs w:val="20"/>
          </w:rPr>
          <w:t>https://doi.org/10.1007/978-3-030-45106-6_17</w:t>
        </w:r>
      </w:hyperlink>
    </w:p>
    <w:p w14:paraId="01C2575A" w14:textId="4CE5F2F1"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pacing w:val="1"/>
          <w:sz w:val="20"/>
          <w:szCs w:val="20"/>
        </w:rPr>
      </w:pPr>
      <w:r w:rsidRPr="00302885">
        <w:rPr>
          <w:rFonts w:ascii="Arial" w:hAnsi="Arial" w:cs="Arial"/>
          <w:sz w:val="20"/>
          <w:szCs w:val="20"/>
        </w:rPr>
        <w:t xml:space="preserve">Mukherji, Aditi. </w:t>
      </w:r>
      <w:r w:rsidR="004D34BF" w:rsidRPr="00302885">
        <w:rPr>
          <w:rFonts w:ascii="Arial" w:hAnsi="Arial" w:cs="Arial"/>
          <w:sz w:val="20"/>
          <w:szCs w:val="20"/>
        </w:rPr>
        <w:t>(2022)</w:t>
      </w:r>
      <w:r w:rsidR="004D34BF" w:rsidRPr="00302885">
        <w:rPr>
          <w:rFonts w:ascii="Arial" w:hAnsi="Arial" w:cs="Arial"/>
          <w:spacing w:val="1"/>
          <w:sz w:val="20"/>
          <w:szCs w:val="20"/>
        </w:rPr>
        <w:t xml:space="preserve"> </w:t>
      </w:r>
      <w:r w:rsidRPr="00302885">
        <w:rPr>
          <w:rFonts w:ascii="Arial" w:hAnsi="Arial" w:cs="Arial"/>
          <w:sz w:val="20"/>
          <w:szCs w:val="20"/>
        </w:rPr>
        <w:t>Sustainable groundwater management in India needs a water</w:t>
      </w:r>
      <w:r w:rsidRPr="00302885">
        <w:rPr>
          <w:rFonts w:ascii="Cambria Math" w:hAnsi="Cambria Math" w:cs="Cambria Math"/>
          <w:sz w:val="20"/>
          <w:szCs w:val="20"/>
        </w:rPr>
        <w:t>‐</w:t>
      </w:r>
      <w:r w:rsidRPr="00302885">
        <w:rPr>
          <w:rFonts w:ascii="Arial" w:hAnsi="Arial" w:cs="Arial"/>
          <w:sz w:val="20"/>
          <w:szCs w:val="20"/>
        </w:rPr>
        <w:t>energy</w:t>
      </w:r>
      <w:r w:rsidRPr="00302885">
        <w:rPr>
          <w:rFonts w:ascii="Cambria Math" w:hAnsi="Cambria Math" w:cs="Cambria Math"/>
          <w:sz w:val="20"/>
          <w:szCs w:val="20"/>
        </w:rPr>
        <w:t>‐</w:t>
      </w:r>
      <w:r w:rsidRPr="00302885">
        <w:rPr>
          <w:rFonts w:ascii="Arial" w:hAnsi="Arial" w:cs="Arial"/>
          <w:spacing w:val="1"/>
          <w:sz w:val="20"/>
          <w:szCs w:val="20"/>
        </w:rPr>
        <w:t xml:space="preserve"> </w:t>
      </w:r>
      <w:r w:rsidRPr="00302885">
        <w:rPr>
          <w:rFonts w:ascii="Arial" w:hAnsi="Arial" w:cs="Arial"/>
          <w:sz w:val="20"/>
          <w:szCs w:val="20"/>
        </w:rPr>
        <w:t>food</w:t>
      </w:r>
      <w:r w:rsidRPr="00302885">
        <w:rPr>
          <w:rFonts w:ascii="Arial" w:hAnsi="Arial" w:cs="Arial"/>
          <w:spacing w:val="1"/>
          <w:sz w:val="20"/>
          <w:szCs w:val="20"/>
        </w:rPr>
        <w:t xml:space="preserve"> </w:t>
      </w:r>
      <w:r w:rsidRPr="00302885">
        <w:rPr>
          <w:rFonts w:ascii="Arial" w:hAnsi="Arial" w:cs="Arial"/>
          <w:sz w:val="20"/>
          <w:szCs w:val="20"/>
        </w:rPr>
        <w:t>nexus</w:t>
      </w:r>
      <w:r w:rsidRPr="00302885">
        <w:rPr>
          <w:rFonts w:ascii="Arial" w:hAnsi="Arial" w:cs="Arial"/>
          <w:spacing w:val="1"/>
          <w:sz w:val="20"/>
          <w:szCs w:val="20"/>
        </w:rPr>
        <w:t xml:space="preserve"> </w:t>
      </w:r>
      <w:r w:rsidRPr="00302885">
        <w:rPr>
          <w:rFonts w:ascii="Arial" w:hAnsi="Arial" w:cs="Arial"/>
          <w:sz w:val="20"/>
          <w:szCs w:val="20"/>
        </w:rPr>
        <w:t>approach.”</w:t>
      </w:r>
      <w:r w:rsidRPr="00302885">
        <w:rPr>
          <w:rFonts w:ascii="Arial" w:hAnsi="Arial" w:cs="Arial"/>
          <w:spacing w:val="1"/>
          <w:sz w:val="20"/>
          <w:szCs w:val="20"/>
        </w:rPr>
        <w:t xml:space="preserve"> </w:t>
      </w:r>
      <w:r w:rsidRPr="00302885">
        <w:rPr>
          <w:rFonts w:ascii="Arial" w:hAnsi="Arial" w:cs="Arial"/>
          <w:sz w:val="20"/>
          <w:szCs w:val="20"/>
        </w:rPr>
        <w:t>Applied</w:t>
      </w:r>
      <w:r w:rsidRPr="00302885">
        <w:rPr>
          <w:rFonts w:ascii="Arial" w:hAnsi="Arial" w:cs="Arial"/>
          <w:spacing w:val="1"/>
          <w:sz w:val="20"/>
          <w:szCs w:val="20"/>
        </w:rPr>
        <w:t xml:space="preserve"> </w:t>
      </w:r>
      <w:r w:rsidRPr="00302885">
        <w:rPr>
          <w:rFonts w:ascii="Arial" w:hAnsi="Arial" w:cs="Arial"/>
          <w:sz w:val="20"/>
          <w:szCs w:val="20"/>
        </w:rPr>
        <w:t>Economic</w:t>
      </w:r>
      <w:r w:rsidRPr="00302885">
        <w:rPr>
          <w:rFonts w:ascii="Arial" w:hAnsi="Arial" w:cs="Arial"/>
          <w:spacing w:val="1"/>
          <w:sz w:val="20"/>
          <w:szCs w:val="20"/>
        </w:rPr>
        <w:t xml:space="preserve"> </w:t>
      </w:r>
      <w:r w:rsidRPr="00302885">
        <w:rPr>
          <w:rFonts w:ascii="Arial" w:hAnsi="Arial" w:cs="Arial"/>
          <w:sz w:val="20"/>
          <w:szCs w:val="20"/>
        </w:rPr>
        <w:t>Perspectives</w:t>
      </w:r>
      <w:r w:rsidRPr="00302885">
        <w:rPr>
          <w:rFonts w:ascii="Arial" w:hAnsi="Arial" w:cs="Arial"/>
          <w:spacing w:val="1"/>
          <w:sz w:val="20"/>
          <w:szCs w:val="20"/>
        </w:rPr>
        <w:t xml:space="preserve"> </w:t>
      </w:r>
      <w:r w:rsidRPr="00302885">
        <w:rPr>
          <w:rFonts w:ascii="Arial" w:hAnsi="Arial" w:cs="Arial"/>
          <w:sz w:val="20"/>
          <w:szCs w:val="20"/>
        </w:rPr>
        <w:t>and</w:t>
      </w:r>
      <w:r w:rsidRPr="00302885">
        <w:rPr>
          <w:rFonts w:ascii="Arial" w:hAnsi="Arial" w:cs="Arial"/>
          <w:spacing w:val="1"/>
          <w:sz w:val="20"/>
          <w:szCs w:val="20"/>
        </w:rPr>
        <w:t xml:space="preserve"> </w:t>
      </w:r>
      <w:r w:rsidRPr="00302885">
        <w:rPr>
          <w:rFonts w:ascii="Arial" w:hAnsi="Arial" w:cs="Arial"/>
          <w:sz w:val="20"/>
          <w:szCs w:val="20"/>
        </w:rPr>
        <w:t>Policy,44(1).</w:t>
      </w:r>
      <w:r w:rsidRPr="00302885">
        <w:rPr>
          <w:rFonts w:ascii="Arial" w:hAnsi="Arial" w:cs="Arial"/>
          <w:spacing w:val="1"/>
          <w:sz w:val="20"/>
          <w:szCs w:val="20"/>
        </w:rPr>
        <w:t xml:space="preserve"> </w:t>
      </w:r>
      <w:r w:rsidRPr="00302885">
        <w:rPr>
          <w:rFonts w:ascii="Arial" w:hAnsi="Arial" w:cs="Arial"/>
          <w:sz w:val="20"/>
          <w:szCs w:val="20"/>
        </w:rPr>
        <w:t>394–410.</w:t>
      </w:r>
      <w:r w:rsidRPr="00302885">
        <w:rPr>
          <w:rFonts w:ascii="Arial" w:hAnsi="Arial" w:cs="Arial"/>
          <w:spacing w:val="1"/>
          <w:sz w:val="20"/>
          <w:szCs w:val="20"/>
        </w:rPr>
        <w:t xml:space="preserve">  </w:t>
      </w:r>
      <w:hyperlink r:id="rId15" w:history="1">
        <w:r w:rsidRPr="00302885">
          <w:rPr>
            <w:rStyle w:val="Hyperlink"/>
            <w:rFonts w:ascii="Arial" w:hAnsi="Arial" w:cs="Arial"/>
            <w:b/>
            <w:bCs/>
            <w:spacing w:val="1"/>
            <w:sz w:val="20"/>
            <w:szCs w:val="20"/>
          </w:rPr>
          <w:t>https://doi.org/10.1002/aepp.13123</w:t>
        </w:r>
      </w:hyperlink>
    </w:p>
    <w:p w14:paraId="179DB752" w14:textId="74EAC3BF"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 xml:space="preserve">Ng’ang’a, Stanley Karanja, Vail Miller, and Evan </w:t>
      </w:r>
      <w:proofErr w:type="spellStart"/>
      <w:proofErr w:type="gramStart"/>
      <w:r w:rsidRPr="00302885">
        <w:rPr>
          <w:rFonts w:ascii="Arial" w:hAnsi="Arial" w:cs="Arial"/>
          <w:sz w:val="20"/>
          <w:szCs w:val="20"/>
        </w:rPr>
        <w:t>Girvetz</w:t>
      </w:r>
      <w:proofErr w:type="spellEnd"/>
      <w:r w:rsidRPr="00302885">
        <w:rPr>
          <w:rFonts w:ascii="Arial" w:hAnsi="Arial" w:cs="Arial"/>
          <w:sz w:val="20"/>
          <w:szCs w:val="20"/>
        </w:rPr>
        <w:t>.</w:t>
      </w:r>
      <w:r w:rsidR="004D34BF" w:rsidRPr="00302885">
        <w:rPr>
          <w:rFonts w:ascii="Arial" w:hAnsi="Arial" w:cs="Arial"/>
          <w:sz w:val="20"/>
          <w:szCs w:val="20"/>
        </w:rPr>
        <w:t>(</w:t>
      </w:r>
      <w:proofErr w:type="gramEnd"/>
      <w:r w:rsidR="004D34BF" w:rsidRPr="00302885">
        <w:rPr>
          <w:rFonts w:ascii="Arial" w:hAnsi="Arial" w:cs="Arial"/>
          <w:sz w:val="20"/>
          <w:szCs w:val="20"/>
        </w:rPr>
        <w:t>2021</w:t>
      </w:r>
      <w:proofErr w:type="gramStart"/>
      <w:r w:rsidR="004D34BF" w:rsidRPr="00302885">
        <w:rPr>
          <w:rFonts w:ascii="Arial" w:hAnsi="Arial" w:cs="Arial"/>
          <w:sz w:val="20"/>
          <w:szCs w:val="20"/>
        </w:rPr>
        <w:t>).</w:t>
      </w:r>
      <w:r w:rsidRPr="00302885">
        <w:rPr>
          <w:rFonts w:ascii="Arial" w:hAnsi="Arial" w:cs="Arial"/>
          <w:sz w:val="20"/>
          <w:szCs w:val="20"/>
        </w:rPr>
        <w:t>Is</w:t>
      </w:r>
      <w:proofErr w:type="gramEnd"/>
      <w:r w:rsidRPr="00302885">
        <w:rPr>
          <w:rFonts w:ascii="Arial" w:hAnsi="Arial" w:cs="Arial"/>
          <w:sz w:val="20"/>
          <w:szCs w:val="20"/>
        </w:rPr>
        <w:t xml:space="preserve"> investment in</w:t>
      </w:r>
      <w:r w:rsidRPr="00302885">
        <w:rPr>
          <w:rFonts w:ascii="Arial" w:hAnsi="Arial" w:cs="Arial"/>
          <w:spacing w:val="1"/>
          <w:sz w:val="20"/>
          <w:szCs w:val="20"/>
        </w:rPr>
        <w:t xml:space="preserve"> </w:t>
      </w:r>
      <w:r w:rsidRPr="00302885">
        <w:rPr>
          <w:rFonts w:ascii="Arial" w:hAnsi="Arial" w:cs="Arial"/>
          <w:sz w:val="20"/>
          <w:szCs w:val="20"/>
        </w:rPr>
        <w:t>climate-smart agricultural</w:t>
      </w:r>
      <w:r w:rsidRPr="00302885">
        <w:rPr>
          <w:rFonts w:ascii="Arial" w:hAnsi="Arial" w:cs="Arial"/>
          <w:spacing w:val="1"/>
          <w:sz w:val="20"/>
          <w:szCs w:val="20"/>
        </w:rPr>
        <w:t xml:space="preserve"> </w:t>
      </w:r>
      <w:r w:rsidRPr="00302885">
        <w:rPr>
          <w:rFonts w:ascii="Arial" w:hAnsi="Arial" w:cs="Arial"/>
          <w:sz w:val="20"/>
          <w:szCs w:val="20"/>
        </w:rPr>
        <w:t>practices</w:t>
      </w:r>
      <w:r w:rsidRPr="00302885">
        <w:rPr>
          <w:rFonts w:ascii="Arial" w:hAnsi="Arial" w:cs="Arial"/>
          <w:spacing w:val="1"/>
          <w:sz w:val="20"/>
          <w:szCs w:val="20"/>
        </w:rPr>
        <w:t xml:space="preserve"> </w:t>
      </w:r>
      <w:r w:rsidRPr="00302885">
        <w:rPr>
          <w:rFonts w:ascii="Arial" w:hAnsi="Arial" w:cs="Arial"/>
          <w:sz w:val="20"/>
          <w:szCs w:val="20"/>
        </w:rPr>
        <w:t>the</w:t>
      </w:r>
      <w:r w:rsidRPr="00302885">
        <w:rPr>
          <w:rFonts w:ascii="Arial" w:hAnsi="Arial" w:cs="Arial"/>
          <w:spacing w:val="1"/>
          <w:sz w:val="20"/>
          <w:szCs w:val="20"/>
        </w:rPr>
        <w:t xml:space="preserve"> </w:t>
      </w:r>
      <w:r w:rsidRPr="00302885">
        <w:rPr>
          <w:rFonts w:ascii="Arial" w:hAnsi="Arial" w:cs="Arial"/>
          <w:sz w:val="20"/>
          <w:szCs w:val="20"/>
        </w:rPr>
        <w:t>option</w:t>
      </w:r>
      <w:r w:rsidRPr="00302885">
        <w:rPr>
          <w:rFonts w:ascii="Arial" w:hAnsi="Arial" w:cs="Arial"/>
          <w:spacing w:val="1"/>
          <w:sz w:val="20"/>
          <w:szCs w:val="20"/>
        </w:rPr>
        <w:t xml:space="preserve"> </w:t>
      </w:r>
      <w:r w:rsidRPr="00302885">
        <w:rPr>
          <w:rFonts w:ascii="Arial" w:hAnsi="Arial" w:cs="Arial"/>
          <w:sz w:val="20"/>
          <w:szCs w:val="20"/>
        </w:rPr>
        <w:t>for</w:t>
      </w:r>
      <w:r w:rsidRPr="00302885">
        <w:rPr>
          <w:rFonts w:ascii="Arial" w:hAnsi="Arial" w:cs="Arial"/>
          <w:spacing w:val="1"/>
          <w:sz w:val="20"/>
          <w:szCs w:val="20"/>
        </w:rPr>
        <w:t xml:space="preserve"> </w:t>
      </w:r>
      <w:r w:rsidRPr="00302885">
        <w:rPr>
          <w:rFonts w:ascii="Arial" w:hAnsi="Arial" w:cs="Arial"/>
          <w:sz w:val="20"/>
          <w:szCs w:val="20"/>
        </w:rPr>
        <w:t>the</w:t>
      </w:r>
      <w:r w:rsidRPr="00302885">
        <w:rPr>
          <w:rFonts w:ascii="Arial" w:hAnsi="Arial" w:cs="Arial"/>
          <w:spacing w:val="1"/>
          <w:sz w:val="20"/>
          <w:szCs w:val="20"/>
        </w:rPr>
        <w:t xml:space="preserve"> </w:t>
      </w:r>
      <w:r w:rsidRPr="00302885">
        <w:rPr>
          <w:rFonts w:ascii="Arial" w:hAnsi="Arial" w:cs="Arial"/>
          <w:sz w:val="20"/>
          <w:szCs w:val="20"/>
        </w:rPr>
        <w:t>future?</w:t>
      </w:r>
      <w:r w:rsidRPr="00302885">
        <w:rPr>
          <w:rFonts w:ascii="Arial" w:hAnsi="Arial" w:cs="Arial"/>
          <w:spacing w:val="1"/>
          <w:sz w:val="20"/>
          <w:szCs w:val="20"/>
        </w:rPr>
        <w:t xml:space="preserve"> </w:t>
      </w:r>
      <w:r w:rsidRPr="00302885">
        <w:rPr>
          <w:rFonts w:ascii="Arial" w:hAnsi="Arial" w:cs="Arial"/>
          <w:sz w:val="20"/>
          <w:szCs w:val="20"/>
        </w:rPr>
        <w:t>Cost</w:t>
      </w:r>
      <w:r w:rsidRPr="00302885">
        <w:rPr>
          <w:rFonts w:ascii="Arial" w:hAnsi="Arial" w:cs="Arial"/>
          <w:spacing w:val="1"/>
          <w:sz w:val="20"/>
          <w:szCs w:val="20"/>
        </w:rPr>
        <w:t xml:space="preserve"> </w:t>
      </w:r>
      <w:r w:rsidRPr="00302885">
        <w:rPr>
          <w:rFonts w:ascii="Arial" w:hAnsi="Arial" w:cs="Arial"/>
          <w:sz w:val="20"/>
          <w:szCs w:val="20"/>
        </w:rPr>
        <w:t>and</w:t>
      </w:r>
      <w:r w:rsidRPr="00302885">
        <w:rPr>
          <w:rFonts w:ascii="Arial" w:hAnsi="Arial" w:cs="Arial"/>
          <w:spacing w:val="1"/>
          <w:sz w:val="20"/>
          <w:szCs w:val="20"/>
        </w:rPr>
        <w:t xml:space="preserve"> </w:t>
      </w:r>
      <w:r w:rsidRPr="00302885">
        <w:rPr>
          <w:rFonts w:ascii="Arial" w:hAnsi="Arial" w:cs="Arial"/>
          <w:sz w:val="20"/>
          <w:szCs w:val="20"/>
        </w:rPr>
        <w:t>benefit</w:t>
      </w:r>
      <w:r w:rsidRPr="00302885">
        <w:rPr>
          <w:rFonts w:ascii="Arial" w:hAnsi="Arial" w:cs="Arial"/>
          <w:spacing w:val="1"/>
          <w:sz w:val="20"/>
          <w:szCs w:val="20"/>
        </w:rPr>
        <w:t xml:space="preserve"> </w:t>
      </w:r>
      <w:r w:rsidRPr="00302885">
        <w:rPr>
          <w:rFonts w:ascii="Arial" w:hAnsi="Arial" w:cs="Arial"/>
          <w:sz w:val="20"/>
          <w:szCs w:val="20"/>
        </w:rPr>
        <w:t>analysis</w:t>
      </w:r>
      <w:r w:rsidRPr="00302885">
        <w:rPr>
          <w:rFonts w:ascii="Arial" w:hAnsi="Arial" w:cs="Arial"/>
          <w:spacing w:val="-1"/>
          <w:sz w:val="20"/>
          <w:szCs w:val="20"/>
        </w:rPr>
        <w:t xml:space="preserve"> </w:t>
      </w:r>
      <w:r w:rsidRPr="00302885">
        <w:rPr>
          <w:rFonts w:ascii="Arial" w:hAnsi="Arial" w:cs="Arial"/>
          <w:sz w:val="20"/>
          <w:szCs w:val="20"/>
        </w:rPr>
        <w:t>evidence</w:t>
      </w:r>
      <w:r w:rsidRPr="00302885">
        <w:rPr>
          <w:rFonts w:ascii="Arial" w:hAnsi="Arial" w:cs="Arial"/>
          <w:spacing w:val="-2"/>
          <w:sz w:val="20"/>
          <w:szCs w:val="20"/>
        </w:rPr>
        <w:t xml:space="preserve"> </w:t>
      </w:r>
      <w:r w:rsidRPr="00302885">
        <w:rPr>
          <w:rFonts w:ascii="Arial" w:hAnsi="Arial" w:cs="Arial"/>
          <w:sz w:val="20"/>
          <w:szCs w:val="20"/>
        </w:rPr>
        <w:t>from</w:t>
      </w:r>
      <w:r w:rsidRPr="00302885">
        <w:rPr>
          <w:rFonts w:ascii="Arial" w:hAnsi="Arial" w:cs="Arial"/>
          <w:spacing w:val="1"/>
          <w:sz w:val="20"/>
          <w:szCs w:val="20"/>
        </w:rPr>
        <w:t xml:space="preserve"> </w:t>
      </w:r>
      <w:r w:rsidRPr="00302885">
        <w:rPr>
          <w:rFonts w:ascii="Arial" w:hAnsi="Arial" w:cs="Arial"/>
          <w:sz w:val="20"/>
          <w:szCs w:val="20"/>
        </w:rPr>
        <w:t>Ghana.</w:t>
      </w:r>
      <w:r w:rsidRPr="00302885">
        <w:rPr>
          <w:rFonts w:ascii="Arial" w:hAnsi="Arial" w:cs="Arial"/>
          <w:spacing w:val="3"/>
          <w:sz w:val="20"/>
          <w:szCs w:val="20"/>
        </w:rPr>
        <w:t xml:space="preserve"> </w:t>
      </w:r>
      <w:proofErr w:type="spellStart"/>
      <w:r w:rsidRPr="00302885">
        <w:rPr>
          <w:rFonts w:ascii="Arial" w:hAnsi="Arial" w:cs="Arial"/>
          <w:sz w:val="20"/>
          <w:szCs w:val="20"/>
        </w:rPr>
        <w:t>Heliyon</w:t>
      </w:r>
      <w:proofErr w:type="spellEnd"/>
      <w:r w:rsidRPr="00302885">
        <w:rPr>
          <w:rFonts w:ascii="Arial" w:hAnsi="Arial" w:cs="Arial"/>
          <w:sz w:val="20"/>
          <w:szCs w:val="20"/>
        </w:rPr>
        <w:t xml:space="preserve">, 7(4). </w:t>
      </w:r>
      <w:hyperlink r:id="rId16" w:tgtFrame="_blank" w:tooltip="Persistent link using digital object identifier" w:history="1">
        <w:r w:rsidRPr="00302885">
          <w:rPr>
            <w:rStyle w:val="Hyperlink"/>
            <w:rFonts w:ascii="Arial" w:hAnsi="Arial" w:cs="Arial"/>
            <w:sz w:val="20"/>
            <w:szCs w:val="20"/>
          </w:rPr>
          <w:t>https://doi.org/10.1016/j.heliyon.2021.e06653</w:t>
        </w:r>
      </w:hyperlink>
    </w:p>
    <w:p w14:paraId="188E766E" w14:textId="10FB5D94"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Style w:val="Hyperlink"/>
          <w:rFonts w:ascii="Arial" w:hAnsi="Arial" w:cs="Arial"/>
          <w:sz w:val="20"/>
          <w:szCs w:val="20"/>
        </w:rPr>
      </w:pPr>
      <w:r w:rsidRPr="00302885">
        <w:rPr>
          <w:rFonts w:ascii="Arial" w:hAnsi="Arial" w:cs="Arial"/>
          <w:sz w:val="20"/>
          <w:szCs w:val="20"/>
        </w:rPr>
        <w:t xml:space="preserve">Okyere, </w:t>
      </w:r>
      <w:r w:rsidRPr="00302885">
        <w:rPr>
          <w:rFonts w:ascii="Arial" w:hAnsi="Arial" w:cs="Arial"/>
          <w:spacing w:val="1"/>
          <w:sz w:val="20"/>
          <w:szCs w:val="20"/>
        </w:rPr>
        <w:t>C.Y.</w:t>
      </w:r>
      <w:proofErr w:type="gramStart"/>
      <w:r w:rsidRPr="00302885">
        <w:rPr>
          <w:rFonts w:ascii="Arial" w:hAnsi="Arial" w:cs="Arial"/>
          <w:spacing w:val="1"/>
          <w:sz w:val="20"/>
          <w:szCs w:val="20"/>
        </w:rPr>
        <w:t>,</w:t>
      </w:r>
      <w:r w:rsidRPr="00302885">
        <w:rPr>
          <w:rFonts w:ascii="Arial" w:hAnsi="Arial" w:cs="Arial"/>
          <w:sz w:val="20"/>
          <w:szCs w:val="20"/>
        </w:rPr>
        <w:t xml:space="preserve">  and</w:t>
      </w:r>
      <w:proofErr w:type="gramEnd"/>
      <w:r w:rsidRPr="00302885">
        <w:rPr>
          <w:rFonts w:ascii="Arial" w:hAnsi="Arial" w:cs="Arial"/>
          <w:spacing w:val="1"/>
          <w:sz w:val="20"/>
          <w:szCs w:val="20"/>
        </w:rPr>
        <w:t xml:space="preserve"> </w:t>
      </w:r>
      <w:r w:rsidRPr="00302885">
        <w:rPr>
          <w:rFonts w:ascii="Arial" w:hAnsi="Arial" w:cs="Arial"/>
          <w:sz w:val="20"/>
          <w:szCs w:val="20"/>
        </w:rPr>
        <w:t>Usman</w:t>
      </w:r>
      <w:r w:rsidRPr="00302885">
        <w:rPr>
          <w:rFonts w:ascii="Arial" w:hAnsi="Arial" w:cs="Arial"/>
          <w:spacing w:val="1"/>
          <w:sz w:val="20"/>
          <w:szCs w:val="20"/>
        </w:rPr>
        <w:t xml:space="preserve"> </w:t>
      </w:r>
      <w:r w:rsidRPr="00302885">
        <w:rPr>
          <w:rFonts w:ascii="Arial" w:hAnsi="Arial" w:cs="Arial"/>
          <w:sz w:val="20"/>
          <w:szCs w:val="20"/>
        </w:rPr>
        <w:t>M. A</w:t>
      </w:r>
      <w:r w:rsidRPr="00302885">
        <w:rPr>
          <w:rFonts w:ascii="Arial" w:hAnsi="Arial" w:cs="Arial"/>
          <w:spacing w:val="1"/>
          <w:sz w:val="20"/>
          <w:szCs w:val="20"/>
        </w:rPr>
        <w:t>.</w:t>
      </w:r>
      <w:r w:rsidR="004D34BF" w:rsidRPr="00302885">
        <w:rPr>
          <w:rFonts w:ascii="Arial" w:hAnsi="Arial" w:cs="Arial"/>
          <w:spacing w:val="1"/>
          <w:sz w:val="20"/>
          <w:szCs w:val="20"/>
        </w:rPr>
        <w:t xml:space="preserve"> (</w:t>
      </w:r>
      <w:r w:rsidR="004D34BF" w:rsidRPr="00302885">
        <w:rPr>
          <w:rFonts w:ascii="Arial" w:hAnsi="Arial" w:cs="Arial"/>
          <w:sz w:val="20"/>
          <w:szCs w:val="20"/>
        </w:rPr>
        <w:t xml:space="preserve">2021) </w:t>
      </w:r>
      <w:r w:rsidRPr="00302885">
        <w:rPr>
          <w:rFonts w:ascii="Arial" w:hAnsi="Arial" w:cs="Arial"/>
          <w:sz w:val="20"/>
          <w:szCs w:val="20"/>
        </w:rPr>
        <w:t>The</w:t>
      </w:r>
      <w:r w:rsidRPr="00302885">
        <w:rPr>
          <w:rFonts w:ascii="Arial" w:hAnsi="Arial" w:cs="Arial"/>
          <w:spacing w:val="1"/>
          <w:sz w:val="20"/>
          <w:szCs w:val="20"/>
        </w:rPr>
        <w:t xml:space="preserve"> </w:t>
      </w:r>
      <w:r w:rsidRPr="00302885">
        <w:rPr>
          <w:rFonts w:ascii="Arial" w:hAnsi="Arial" w:cs="Arial"/>
          <w:sz w:val="20"/>
          <w:szCs w:val="20"/>
        </w:rPr>
        <w:t>impact</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irrigated</w:t>
      </w:r>
      <w:r w:rsidRPr="00302885">
        <w:rPr>
          <w:rFonts w:ascii="Arial" w:hAnsi="Arial" w:cs="Arial"/>
          <w:spacing w:val="1"/>
          <w:sz w:val="20"/>
          <w:szCs w:val="20"/>
        </w:rPr>
        <w:t xml:space="preserve"> </w:t>
      </w:r>
      <w:r w:rsidRPr="00302885">
        <w:rPr>
          <w:rFonts w:ascii="Arial" w:hAnsi="Arial" w:cs="Arial"/>
          <w:sz w:val="20"/>
          <w:szCs w:val="20"/>
        </w:rPr>
        <w:t>agriculture on</w:t>
      </w:r>
      <w:r w:rsidRPr="00302885">
        <w:rPr>
          <w:rFonts w:ascii="Arial" w:hAnsi="Arial" w:cs="Arial"/>
          <w:spacing w:val="55"/>
          <w:sz w:val="20"/>
          <w:szCs w:val="20"/>
        </w:rPr>
        <w:t xml:space="preserve"> </w:t>
      </w:r>
      <w:r w:rsidRPr="00302885">
        <w:rPr>
          <w:rFonts w:ascii="Arial" w:hAnsi="Arial" w:cs="Arial"/>
          <w:sz w:val="20"/>
          <w:szCs w:val="20"/>
        </w:rPr>
        <w:t>child</w:t>
      </w:r>
      <w:r w:rsidRPr="00302885">
        <w:rPr>
          <w:rFonts w:ascii="Arial" w:hAnsi="Arial" w:cs="Arial"/>
          <w:spacing w:val="1"/>
          <w:sz w:val="20"/>
          <w:szCs w:val="20"/>
        </w:rPr>
        <w:t xml:space="preserve"> </w:t>
      </w:r>
      <w:r w:rsidRPr="00302885">
        <w:rPr>
          <w:rFonts w:ascii="Arial" w:hAnsi="Arial" w:cs="Arial"/>
          <w:sz w:val="20"/>
          <w:szCs w:val="20"/>
        </w:rPr>
        <w:t xml:space="preserve">nutrition outcomes in southern Ghana.  Water Resources and Economics, 33. 100174. </w:t>
      </w:r>
      <w:hyperlink r:id="rId17" w:tgtFrame="_blank" w:tooltip="Persistent link using digital object identifier" w:history="1">
        <w:r w:rsidRPr="00302885">
          <w:rPr>
            <w:rStyle w:val="Hyperlink"/>
            <w:rFonts w:ascii="Arial" w:hAnsi="Arial" w:cs="Arial"/>
            <w:sz w:val="20"/>
            <w:szCs w:val="20"/>
          </w:rPr>
          <w:t>https://doi.org/10.1016/j.wre.2020.100174</w:t>
        </w:r>
      </w:hyperlink>
    </w:p>
    <w:p w14:paraId="2C62168B" w14:textId="4B9D714C" w:rsidR="00801BD1"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Patil, NG, Tiwary P, Bhattacharyya T, Chandran P, Sarkar D, Pal DK, Mandal DK,</w:t>
      </w:r>
      <w:r w:rsidRPr="00302885">
        <w:rPr>
          <w:rFonts w:ascii="Arial" w:hAnsi="Arial" w:cs="Arial"/>
          <w:spacing w:val="4"/>
          <w:sz w:val="20"/>
          <w:szCs w:val="20"/>
        </w:rPr>
        <w:t xml:space="preserve"> </w:t>
      </w:r>
      <w:r w:rsidRPr="00302885">
        <w:rPr>
          <w:rFonts w:ascii="Arial" w:hAnsi="Arial" w:cs="Arial"/>
          <w:sz w:val="20"/>
          <w:szCs w:val="20"/>
        </w:rPr>
        <w:t>Prasad J,</w:t>
      </w:r>
      <w:r w:rsidRPr="00302885">
        <w:rPr>
          <w:rFonts w:ascii="Arial" w:hAnsi="Arial" w:cs="Arial"/>
          <w:spacing w:val="4"/>
          <w:sz w:val="20"/>
          <w:szCs w:val="20"/>
        </w:rPr>
        <w:t xml:space="preserve"> </w:t>
      </w:r>
      <w:r w:rsidRPr="00302885">
        <w:rPr>
          <w:rFonts w:ascii="Arial" w:hAnsi="Arial" w:cs="Arial"/>
          <w:sz w:val="20"/>
          <w:szCs w:val="20"/>
        </w:rPr>
        <w:t>Sidhu GS, Nair KM,</w:t>
      </w:r>
      <w:r w:rsidRPr="00302885">
        <w:rPr>
          <w:rFonts w:ascii="Arial" w:hAnsi="Arial" w:cs="Arial"/>
          <w:spacing w:val="5"/>
          <w:sz w:val="20"/>
          <w:szCs w:val="20"/>
        </w:rPr>
        <w:t xml:space="preserve"> </w:t>
      </w:r>
      <w:r w:rsidRPr="00302885">
        <w:rPr>
          <w:rFonts w:ascii="Arial" w:hAnsi="Arial" w:cs="Arial"/>
          <w:sz w:val="20"/>
          <w:szCs w:val="20"/>
        </w:rPr>
        <w:t>Sahoo AK, Das TH, Singh RS, Mandal C, Srivastava R, Sen TK, Chatterji</w:t>
      </w:r>
      <w:r w:rsidRPr="00302885">
        <w:rPr>
          <w:rFonts w:ascii="Arial" w:hAnsi="Arial" w:cs="Arial"/>
          <w:color w:val="000000" w:themeColor="text1"/>
          <w:sz w:val="20"/>
          <w:szCs w:val="20"/>
        </w:rPr>
        <w:t xml:space="preserve"> </w:t>
      </w:r>
      <w:r w:rsidRPr="00302885">
        <w:rPr>
          <w:rFonts w:ascii="Arial" w:hAnsi="Arial" w:cs="Arial"/>
          <w:sz w:val="20"/>
          <w:szCs w:val="20"/>
        </w:rPr>
        <w:t xml:space="preserve">S, Ray SK, and Thakre </w:t>
      </w:r>
      <w:proofErr w:type="gramStart"/>
      <w:r w:rsidRPr="00302885">
        <w:rPr>
          <w:rFonts w:ascii="Arial" w:hAnsi="Arial" w:cs="Arial"/>
          <w:sz w:val="20"/>
          <w:szCs w:val="20"/>
        </w:rPr>
        <w:t>S.</w:t>
      </w:r>
      <w:r w:rsidR="004D34BF" w:rsidRPr="00302885">
        <w:rPr>
          <w:rFonts w:ascii="Arial" w:hAnsi="Arial" w:cs="Arial"/>
          <w:sz w:val="20"/>
          <w:szCs w:val="20"/>
        </w:rPr>
        <w:t>(</w:t>
      </w:r>
      <w:proofErr w:type="gramEnd"/>
      <w:r w:rsidR="004D34BF" w:rsidRPr="00302885">
        <w:rPr>
          <w:rFonts w:ascii="Arial" w:hAnsi="Arial" w:cs="Arial"/>
          <w:sz w:val="20"/>
          <w:szCs w:val="20"/>
        </w:rPr>
        <w:t>2014</w:t>
      </w:r>
      <w:proofErr w:type="gramStart"/>
      <w:r w:rsidR="004D34BF" w:rsidRPr="00302885">
        <w:rPr>
          <w:rFonts w:ascii="Arial" w:hAnsi="Arial" w:cs="Arial"/>
          <w:sz w:val="20"/>
          <w:szCs w:val="20"/>
        </w:rPr>
        <w:t>).</w:t>
      </w:r>
      <w:r w:rsidRPr="00302885">
        <w:rPr>
          <w:rFonts w:ascii="Arial" w:hAnsi="Arial" w:cs="Arial"/>
          <w:sz w:val="20"/>
          <w:szCs w:val="20"/>
        </w:rPr>
        <w:t>Natural</w:t>
      </w:r>
      <w:proofErr w:type="gramEnd"/>
      <w:r w:rsidRPr="00302885">
        <w:rPr>
          <w:rFonts w:ascii="Arial" w:hAnsi="Arial" w:cs="Arial"/>
          <w:spacing w:val="1"/>
          <w:sz w:val="20"/>
          <w:szCs w:val="20"/>
        </w:rPr>
        <w:t xml:space="preserve"> </w:t>
      </w:r>
      <w:r w:rsidRPr="00302885">
        <w:rPr>
          <w:rFonts w:ascii="Arial" w:hAnsi="Arial" w:cs="Arial"/>
          <w:sz w:val="20"/>
          <w:szCs w:val="20"/>
        </w:rPr>
        <w:t>resources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the</w:t>
      </w:r>
      <w:r w:rsidRPr="00302885">
        <w:rPr>
          <w:rFonts w:ascii="Arial" w:hAnsi="Arial" w:cs="Arial"/>
          <w:spacing w:val="1"/>
          <w:sz w:val="20"/>
          <w:szCs w:val="20"/>
        </w:rPr>
        <w:t xml:space="preserve"> </w:t>
      </w:r>
      <w:r w:rsidRPr="00302885">
        <w:rPr>
          <w:rFonts w:ascii="Arial" w:hAnsi="Arial" w:cs="Arial"/>
          <w:sz w:val="20"/>
          <w:szCs w:val="20"/>
        </w:rPr>
        <w:t>Indo-Gangetic</w:t>
      </w:r>
      <w:r w:rsidRPr="00302885">
        <w:rPr>
          <w:rFonts w:ascii="Arial" w:hAnsi="Arial" w:cs="Arial"/>
          <w:spacing w:val="1"/>
          <w:sz w:val="20"/>
          <w:szCs w:val="20"/>
        </w:rPr>
        <w:t xml:space="preserve"> </w:t>
      </w:r>
      <w:r w:rsidRPr="00302885">
        <w:rPr>
          <w:rFonts w:ascii="Arial" w:hAnsi="Arial" w:cs="Arial"/>
          <w:sz w:val="20"/>
          <w:szCs w:val="20"/>
        </w:rPr>
        <w:t>Plains:</w:t>
      </w:r>
      <w:r w:rsidRPr="00302885">
        <w:rPr>
          <w:rFonts w:ascii="Arial" w:hAnsi="Arial" w:cs="Arial"/>
          <w:spacing w:val="1"/>
          <w:sz w:val="20"/>
          <w:szCs w:val="20"/>
        </w:rPr>
        <w:t xml:space="preserve"> </w:t>
      </w:r>
      <w:r w:rsidRPr="00302885">
        <w:rPr>
          <w:rFonts w:ascii="Arial" w:hAnsi="Arial" w:cs="Arial"/>
          <w:sz w:val="20"/>
          <w:szCs w:val="20"/>
        </w:rPr>
        <w:t>A</w:t>
      </w:r>
      <w:r w:rsidRPr="00302885">
        <w:rPr>
          <w:rFonts w:ascii="Arial" w:hAnsi="Arial" w:cs="Arial"/>
          <w:spacing w:val="1"/>
          <w:sz w:val="20"/>
          <w:szCs w:val="20"/>
        </w:rPr>
        <w:t xml:space="preserve"> </w:t>
      </w:r>
      <w:r w:rsidRPr="00302885">
        <w:rPr>
          <w:rFonts w:ascii="Arial" w:hAnsi="Arial" w:cs="Arial"/>
          <w:sz w:val="20"/>
          <w:szCs w:val="20"/>
        </w:rPr>
        <w:t>land-use</w:t>
      </w:r>
      <w:r w:rsidRPr="00302885">
        <w:rPr>
          <w:rFonts w:ascii="Arial" w:hAnsi="Arial" w:cs="Arial"/>
          <w:spacing w:val="1"/>
          <w:sz w:val="20"/>
          <w:szCs w:val="20"/>
        </w:rPr>
        <w:t xml:space="preserve"> </w:t>
      </w:r>
      <w:r w:rsidRPr="00302885">
        <w:rPr>
          <w:rFonts w:ascii="Arial" w:hAnsi="Arial" w:cs="Arial"/>
          <w:sz w:val="20"/>
          <w:szCs w:val="20"/>
        </w:rPr>
        <w:t>planning</w:t>
      </w:r>
      <w:r w:rsidRPr="00302885">
        <w:rPr>
          <w:rFonts w:ascii="Arial" w:hAnsi="Arial" w:cs="Arial"/>
          <w:spacing w:val="55"/>
          <w:sz w:val="20"/>
          <w:szCs w:val="20"/>
        </w:rPr>
        <w:t xml:space="preserve"> </w:t>
      </w:r>
      <w:r w:rsidRPr="00302885">
        <w:rPr>
          <w:rFonts w:ascii="Arial" w:hAnsi="Arial" w:cs="Arial"/>
          <w:sz w:val="20"/>
          <w:szCs w:val="20"/>
        </w:rPr>
        <w:t>perspective.</w:t>
      </w:r>
      <w:r w:rsidRPr="00302885">
        <w:rPr>
          <w:rFonts w:ascii="Arial" w:hAnsi="Arial" w:cs="Arial"/>
          <w:spacing w:val="1"/>
          <w:sz w:val="20"/>
          <w:szCs w:val="20"/>
        </w:rPr>
        <w:t xml:space="preserve"> </w:t>
      </w:r>
      <w:r w:rsidRPr="00302885">
        <w:rPr>
          <w:rFonts w:ascii="Arial" w:hAnsi="Arial" w:cs="Arial"/>
          <w:sz w:val="20"/>
          <w:szCs w:val="20"/>
        </w:rPr>
        <w:t>Current Science,107(9).</w:t>
      </w:r>
    </w:p>
    <w:p w14:paraId="0172863A" w14:textId="461DB4AD" w:rsidR="001A72E7" w:rsidRPr="001A72E7" w:rsidRDefault="001A72E7" w:rsidP="001A72E7">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1A72E7">
        <w:rPr>
          <w:rFonts w:ascii="Arial" w:hAnsi="Arial" w:cs="Arial"/>
          <w:sz w:val="20"/>
          <w:szCs w:val="20"/>
        </w:rPr>
        <w:t>Poudel, S., Thapa, R., &amp; Mishra, B. (2024). A Farmer-Centric Cost–Benefit Analysis of Climate-Smart Agriculture in the Gandaki River Basin of Nepal. </w:t>
      </w:r>
      <w:r w:rsidRPr="001A72E7">
        <w:rPr>
          <w:rFonts w:ascii="Arial" w:hAnsi="Arial" w:cs="Arial"/>
          <w:i/>
          <w:iCs/>
          <w:sz w:val="20"/>
          <w:szCs w:val="20"/>
        </w:rPr>
        <w:t>Climate</w:t>
      </w:r>
      <w:r w:rsidRPr="001A72E7">
        <w:rPr>
          <w:rFonts w:ascii="Arial" w:hAnsi="Arial" w:cs="Arial"/>
          <w:sz w:val="20"/>
          <w:szCs w:val="20"/>
        </w:rPr>
        <w:t>, </w:t>
      </w:r>
      <w:r w:rsidRPr="001A72E7">
        <w:rPr>
          <w:rFonts w:ascii="Arial" w:hAnsi="Arial" w:cs="Arial"/>
          <w:i/>
          <w:iCs/>
          <w:sz w:val="20"/>
          <w:szCs w:val="20"/>
        </w:rPr>
        <w:t>12</w:t>
      </w:r>
      <w:r w:rsidRPr="001A72E7">
        <w:rPr>
          <w:rFonts w:ascii="Arial" w:hAnsi="Arial" w:cs="Arial"/>
          <w:sz w:val="20"/>
          <w:szCs w:val="20"/>
        </w:rPr>
        <w:t>(9), 145. https://doi.org/10.3390/cli12090145</w:t>
      </w:r>
    </w:p>
    <w:p w14:paraId="4A0793A5" w14:textId="10E80711"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Sain,</w:t>
      </w:r>
      <w:r w:rsidRPr="00302885">
        <w:rPr>
          <w:rFonts w:ascii="Arial" w:hAnsi="Arial" w:cs="Arial"/>
          <w:spacing w:val="1"/>
          <w:sz w:val="20"/>
          <w:szCs w:val="20"/>
        </w:rPr>
        <w:t xml:space="preserve"> </w:t>
      </w:r>
      <w:r w:rsidRPr="00302885">
        <w:rPr>
          <w:rFonts w:ascii="Arial" w:hAnsi="Arial" w:cs="Arial"/>
          <w:sz w:val="20"/>
          <w:szCs w:val="20"/>
        </w:rPr>
        <w:t>Gustavo,</w:t>
      </w:r>
      <w:r w:rsidRPr="00302885">
        <w:rPr>
          <w:rFonts w:ascii="Arial" w:hAnsi="Arial" w:cs="Arial"/>
          <w:spacing w:val="1"/>
          <w:sz w:val="20"/>
          <w:szCs w:val="20"/>
        </w:rPr>
        <w:t xml:space="preserve"> </w:t>
      </w:r>
      <w:r w:rsidRPr="00302885">
        <w:rPr>
          <w:rFonts w:ascii="Arial" w:hAnsi="Arial" w:cs="Arial"/>
          <w:sz w:val="20"/>
          <w:szCs w:val="20"/>
        </w:rPr>
        <w:t>Ana</w:t>
      </w:r>
      <w:r w:rsidRPr="00302885">
        <w:rPr>
          <w:rFonts w:ascii="Arial" w:hAnsi="Arial" w:cs="Arial"/>
          <w:spacing w:val="1"/>
          <w:sz w:val="20"/>
          <w:szCs w:val="20"/>
        </w:rPr>
        <w:t xml:space="preserve"> </w:t>
      </w:r>
      <w:r w:rsidRPr="00302885">
        <w:rPr>
          <w:rFonts w:ascii="Arial" w:hAnsi="Arial" w:cs="Arial"/>
          <w:sz w:val="20"/>
          <w:szCs w:val="20"/>
        </w:rPr>
        <w:t>María</w:t>
      </w:r>
      <w:r w:rsidRPr="00302885">
        <w:rPr>
          <w:rFonts w:ascii="Arial" w:hAnsi="Arial" w:cs="Arial"/>
          <w:spacing w:val="1"/>
          <w:sz w:val="20"/>
          <w:szCs w:val="20"/>
        </w:rPr>
        <w:t xml:space="preserve"> </w:t>
      </w:r>
      <w:proofErr w:type="spellStart"/>
      <w:r w:rsidRPr="00302885">
        <w:rPr>
          <w:rFonts w:ascii="Arial" w:hAnsi="Arial" w:cs="Arial"/>
          <w:sz w:val="20"/>
          <w:szCs w:val="20"/>
        </w:rPr>
        <w:t>Loboguerrero</w:t>
      </w:r>
      <w:proofErr w:type="spellEnd"/>
      <w:r w:rsidRPr="00302885">
        <w:rPr>
          <w:rFonts w:ascii="Arial" w:hAnsi="Arial" w:cs="Arial"/>
          <w:sz w:val="20"/>
          <w:szCs w:val="20"/>
        </w:rPr>
        <w:t>,</w:t>
      </w:r>
      <w:r w:rsidRPr="00302885">
        <w:rPr>
          <w:rFonts w:ascii="Arial" w:hAnsi="Arial" w:cs="Arial"/>
          <w:spacing w:val="1"/>
          <w:sz w:val="20"/>
          <w:szCs w:val="20"/>
        </w:rPr>
        <w:t xml:space="preserve"> </w:t>
      </w:r>
      <w:r w:rsidRPr="00302885">
        <w:rPr>
          <w:rFonts w:ascii="Arial" w:hAnsi="Arial" w:cs="Arial"/>
          <w:sz w:val="20"/>
          <w:szCs w:val="20"/>
        </w:rPr>
        <w:t>Caitlin</w:t>
      </w:r>
      <w:r w:rsidRPr="00302885">
        <w:rPr>
          <w:rFonts w:ascii="Arial" w:hAnsi="Arial" w:cs="Arial"/>
          <w:spacing w:val="1"/>
          <w:sz w:val="20"/>
          <w:szCs w:val="20"/>
        </w:rPr>
        <w:t xml:space="preserve"> </w:t>
      </w:r>
      <w:r w:rsidRPr="00302885">
        <w:rPr>
          <w:rFonts w:ascii="Arial" w:hAnsi="Arial" w:cs="Arial"/>
          <w:sz w:val="20"/>
          <w:szCs w:val="20"/>
        </w:rPr>
        <w:t>Corner-Dolloff,</w:t>
      </w:r>
      <w:r w:rsidRPr="00302885">
        <w:rPr>
          <w:rFonts w:ascii="Arial" w:hAnsi="Arial" w:cs="Arial"/>
          <w:spacing w:val="1"/>
          <w:sz w:val="20"/>
          <w:szCs w:val="20"/>
        </w:rPr>
        <w:t xml:space="preserve"> </w:t>
      </w:r>
      <w:r w:rsidRPr="00302885">
        <w:rPr>
          <w:rFonts w:ascii="Arial" w:hAnsi="Arial" w:cs="Arial"/>
          <w:sz w:val="20"/>
          <w:szCs w:val="20"/>
        </w:rPr>
        <w:t>Miguel</w:t>
      </w:r>
      <w:r w:rsidRPr="00302885">
        <w:rPr>
          <w:rFonts w:ascii="Arial" w:hAnsi="Arial" w:cs="Arial"/>
          <w:spacing w:val="1"/>
          <w:sz w:val="20"/>
          <w:szCs w:val="20"/>
        </w:rPr>
        <w:t xml:space="preserve"> </w:t>
      </w:r>
      <w:r w:rsidRPr="00302885">
        <w:rPr>
          <w:rFonts w:ascii="Arial" w:hAnsi="Arial" w:cs="Arial"/>
          <w:sz w:val="20"/>
          <w:szCs w:val="20"/>
        </w:rPr>
        <w:t>Lizarazo,</w:t>
      </w:r>
      <w:r w:rsidRPr="00302885">
        <w:rPr>
          <w:rFonts w:ascii="Arial" w:hAnsi="Arial" w:cs="Arial"/>
          <w:spacing w:val="1"/>
          <w:sz w:val="20"/>
          <w:szCs w:val="20"/>
        </w:rPr>
        <w:t xml:space="preserve"> </w:t>
      </w:r>
      <w:r w:rsidRPr="00302885">
        <w:rPr>
          <w:rFonts w:ascii="Arial" w:hAnsi="Arial" w:cs="Arial"/>
          <w:sz w:val="20"/>
          <w:szCs w:val="20"/>
        </w:rPr>
        <w:t>Andreea Nowak, Deissy Martínez-</w:t>
      </w:r>
      <w:proofErr w:type="spellStart"/>
      <w:r w:rsidRPr="00302885">
        <w:rPr>
          <w:rFonts w:ascii="Arial" w:hAnsi="Arial" w:cs="Arial"/>
          <w:sz w:val="20"/>
          <w:szCs w:val="20"/>
        </w:rPr>
        <w:t>Barón</w:t>
      </w:r>
      <w:proofErr w:type="spellEnd"/>
      <w:r w:rsidRPr="00302885">
        <w:rPr>
          <w:rFonts w:ascii="Arial" w:hAnsi="Arial" w:cs="Arial"/>
          <w:sz w:val="20"/>
          <w:szCs w:val="20"/>
        </w:rPr>
        <w:t xml:space="preserve">, and Nadine </w:t>
      </w:r>
      <w:proofErr w:type="gramStart"/>
      <w:r w:rsidRPr="00302885">
        <w:rPr>
          <w:rFonts w:ascii="Arial" w:hAnsi="Arial" w:cs="Arial"/>
          <w:sz w:val="20"/>
          <w:szCs w:val="20"/>
        </w:rPr>
        <w:t>Andrieu.</w:t>
      </w:r>
      <w:r w:rsidR="004D34BF" w:rsidRPr="00302885">
        <w:rPr>
          <w:rFonts w:ascii="Arial" w:hAnsi="Arial" w:cs="Arial"/>
          <w:sz w:val="20"/>
          <w:szCs w:val="20"/>
        </w:rPr>
        <w:t>(</w:t>
      </w:r>
      <w:proofErr w:type="gramEnd"/>
      <w:r w:rsidR="004D34BF" w:rsidRPr="00302885">
        <w:rPr>
          <w:rFonts w:ascii="Arial" w:hAnsi="Arial" w:cs="Arial"/>
          <w:sz w:val="20"/>
          <w:szCs w:val="20"/>
        </w:rPr>
        <w:t xml:space="preserve">2017). </w:t>
      </w:r>
      <w:r w:rsidRPr="00302885">
        <w:rPr>
          <w:rFonts w:ascii="Arial" w:hAnsi="Arial" w:cs="Arial"/>
          <w:sz w:val="20"/>
          <w:szCs w:val="20"/>
        </w:rPr>
        <w:t xml:space="preserve"> Costs and benefits</w:t>
      </w:r>
      <w:r w:rsidRPr="00302885">
        <w:rPr>
          <w:rFonts w:ascii="Arial" w:hAnsi="Arial" w:cs="Arial"/>
          <w:spacing w:val="-52"/>
          <w:sz w:val="20"/>
          <w:szCs w:val="20"/>
        </w:rPr>
        <w:t xml:space="preserve">         </w:t>
      </w:r>
      <w:r w:rsidRPr="00302885">
        <w:rPr>
          <w:rFonts w:ascii="Arial" w:hAnsi="Arial" w:cs="Arial"/>
          <w:sz w:val="20"/>
          <w:szCs w:val="20"/>
        </w:rPr>
        <w:t>of climate-smart agriculture: The case of the dry corridor in Guatemala.” Agricultural</w:t>
      </w:r>
      <w:r w:rsidRPr="00302885">
        <w:rPr>
          <w:rFonts w:ascii="Arial" w:hAnsi="Arial" w:cs="Arial"/>
          <w:spacing w:val="1"/>
          <w:sz w:val="20"/>
          <w:szCs w:val="20"/>
        </w:rPr>
        <w:t xml:space="preserve"> </w:t>
      </w:r>
      <w:r w:rsidRPr="00302885">
        <w:rPr>
          <w:rFonts w:ascii="Arial" w:hAnsi="Arial" w:cs="Arial"/>
          <w:sz w:val="20"/>
          <w:szCs w:val="20"/>
        </w:rPr>
        <w:t xml:space="preserve">Systems, 151-163. </w:t>
      </w:r>
      <w:hyperlink r:id="rId18" w:tgtFrame="_blank" w:tooltip="Persistent link using digital object identifier" w:history="1">
        <w:r w:rsidRPr="00302885">
          <w:rPr>
            <w:rStyle w:val="Hyperlink"/>
            <w:rFonts w:ascii="Arial" w:hAnsi="Arial" w:cs="Arial"/>
            <w:sz w:val="20"/>
            <w:szCs w:val="20"/>
          </w:rPr>
          <w:t>https://doi.org/10.1016/j.agsy.2016.05.004</w:t>
        </w:r>
      </w:hyperlink>
    </w:p>
    <w:p w14:paraId="1FB80B87" w14:textId="528642F5"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pacing w:val="-2"/>
          <w:sz w:val="20"/>
          <w:szCs w:val="20"/>
        </w:rPr>
      </w:pPr>
      <w:r w:rsidRPr="00302885">
        <w:rPr>
          <w:rFonts w:ascii="Arial" w:hAnsi="Arial" w:cs="Arial"/>
          <w:sz w:val="20"/>
          <w:szCs w:val="20"/>
        </w:rPr>
        <w:t xml:space="preserve">Sapkota, TB, Jat ML, Rana DS, Khatri-Chhetri A, Jat HS, </w:t>
      </w:r>
      <w:proofErr w:type="spellStart"/>
      <w:r w:rsidRPr="00302885">
        <w:rPr>
          <w:rFonts w:ascii="Arial" w:hAnsi="Arial" w:cs="Arial"/>
          <w:sz w:val="20"/>
          <w:szCs w:val="20"/>
        </w:rPr>
        <w:t>Bijarniya</w:t>
      </w:r>
      <w:proofErr w:type="spellEnd"/>
      <w:r w:rsidRPr="00302885">
        <w:rPr>
          <w:rFonts w:ascii="Arial" w:hAnsi="Arial" w:cs="Arial"/>
          <w:sz w:val="20"/>
          <w:szCs w:val="20"/>
        </w:rPr>
        <w:t xml:space="preserve"> D,</w:t>
      </w:r>
      <w:r w:rsidRPr="00302885">
        <w:rPr>
          <w:rFonts w:ascii="Arial" w:hAnsi="Arial" w:cs="Arial"/>
          <w:spacing w:val="1"/>
          <w:sz w:val="20"/>
          <w:szCs w:val="20"/>
        </w:rPr>
        <w:t xml:space="preserve"> </w:t>
      </w:r>
      <w:proofErr w:type="spellStart"/>
      <w:r w:rsidRPr="00302885">
        <w:rPr>
          <w:rFonts w:ascii="Arial" w:hAnsi="Arial" w:cs="Arial"/>
          <w:sz w:val="20"/>
          <w:szCs w:val="20"/>
        </w:rPr>
        <w:t>Sutaliya</w:t>
      </w:r>
      <w:proofErr w:type="spellEnd"/>
      <w:r w:rsidRPr="00302885">
        <w:rPr>
          <w:rFonts w:ascii="Arial" w:hAnsi="Arial" w:cs="Arial"/>
          <w:sz w:val="20"/>
          <w:szCs w:val="20"/>
        </w:rPr>
        <w:t xml:space="preserve"> JM, Kumar M, Singh LK, Jat RK, </w:t>
      </w:r>
      <w:proofErr w:type="spellStart"/>
      <w:r w:rsidRPr="00302885">
        <w:rPr>
          <w:rFonts w:ascii="Arial" w:hAnsi="Arial" w:cs="Arial"/>
          <w:sz w:val="20"/>
          <w:szCs w:val="20"/>
        </w:rPr>
        <w:t>Kalvaniya</w:t>
      </w:r>
      <w:proofErr w:type="spellEnd"/>
      <w:r w:rsidRPr="00302885">
        <w:rPr>
          <w:rFonts w:ascii="Arial" w:hAnsi="Arial" w:cs="Arial"/>
          <w:sz w:val="20"/>
          <w:szCs w:val="20"/>
        </w:rPr>
        <w:t xml:space="preserve"> K, Prasad G, Sidhu HS, Rai M, Satyanarayana T, and Majumdar K.</w:t>
      </w:r>
      <w:r w:rsidR="00302885" w:rsidRPr="00302885">
        <w:rPr>
          <w:rFonts w:ascii="Arial" w:hAnsi="Arial" w:cs="Arial"/>
          <w:sz w:val="20"/>
          <w:szCs w:val="20"/>
        </w:rPr>
        <w:t xml:space="preserve"> (2021).</w:t>
      </w:r>
      <w:r w:rsidR="00302885" w:rsidRPr="00302885">
        <w:rPr>
          <w:rFonts w:ascii="Arial" w:hAnsi="Arial" w:cs="Arial"/>
          <w:spacing w:val="-2"/>
          <w:sz w:val="20"/>
          <w:szCs w:val="20"/>
        </w:rPr>
        <w:t xml:space="preserve"> </w:t>
      </w:r>
      <w:r w:rsidRPr="00302885">
        <w:rPr>
          <w:rFonts w:ascii="Arial" w:hAnsi="Arial" w:cs="Arial"/>
          <w:sz w:val="20"/>
          <w:szCs w:val="20"/>
        </w:rPr>
        <w:t xml:space="preserve"> Crop nutrient management using</w:t>
      </w:r>
      <w:r w:rsidRPr="00302885">
        <w:rPr>
          <w:rFonts w:ascii="Arial" w:hAnsi="Arial" w:cs="Arial"/>
          <w:spacing w:val="1"/>
          <w:sz w:val="20"/>
          <w:szCs w:val="20"/>
        </w:rPr>
        <w:t xml:space="preserve"> </w:t>
      </w:r>
      <w:r w:rsidRPr="00302885">
        <w:rPr>
          <w:rFonts w:ascii="Arial" w:hAnsi="Arial" w:cs="Arial"/>
          <w:sz w:val="20"/>
          <w:szCs w:val="20"/>
        </w:rPr>
        <w:t>nutrient expert improves yield, increases farmers’ income, and reduces greenhouse gas</w:t>
      </w:r>
      <w:r w:rsidRPr="00302885">
        <w:rPr>
          <w:rFonts w:ascii="Arial" w:hAnsi="Arial" w:cs="Arial"/>
          <w:spacing w:val="1"/>
          <w:sz w:val="20"/>
          <w:szCs w:val="20"/>
        </w:rPr>
        <w:t xml:space="preserve"> </w:t>
      </w:r>
      <w:r w:rsidRPr="00302885">
        <w:rPr>
          <w:rFonts w:ascii="Arial" w:hAnsi="Arial" w:cs="Arial"/>
          <w:sz w:val="20"/>
          <w:szCs w:val="20"/>
        </w:rPr>
        <w:t>emissions.</w:t>
      </w:r>
      <w:r w:rsidRPr="00302885">
        <w:rPr>
          <w:rFonts w:ascii="Arial" w:hAnsi="Arial" w:cs="Arial"/>
          <w:spacing w:val="-4"/>
          <w:sz w:val="20"/>
          <w:szCs w:val="20"/>
        </w:rPr>
        <w:t xml:space="preserve"> </w:t>
      </w:r>
      <w:r w:rsidRPr="00302885">
        <w:rPr>
          <w:rFonts w:ascii="Arial" w:hAnsi="Arial" w:cs="Arial"/>
          <w:sz w:val="20"/>
          <w:szCs w:val="20"/>
        </w:rPr>
        <w:t>Scientific</w:t>
      </w:r>
      <w:r w:rsidRPr="00302885">
        <w:rPr>
          <w:rFonts w:ascii="Arial" w:hAnsi="Arial" w:cs="Arial"/>
          <w:spacing w:val="-4"/>
          <w:sz w:val="20"/>
          <w:szCs w:val="20"/>
        </w:rPr>
        <w:t xml:space="preserve"> </w:t>
      </w:r>
      <w:r w:rsidRPr="00302885">
        <w:rPr>
          <w:rFonts w:ascii="Arial" w:hAnsi="Arial" w:cs="Arial"/>
          <w:sz w:val="20"/>
          <w:szCs w:val="20"/>
        </w:rPr>
        <w:t>Reports.</w:t>
      </w:r>
      <w:r w:rsidR="00302885" w:rsidRPr="00302885">
        <w:rPr>
          <w:rFonts w:ascii="Arial" w:hAnsi="Arial" w:cs="Arial"/>
          <w:sz w:val="20"/>
          <w:szCs w:val="20"/>
        </w:rPr>
        <w:t xml:space="preserve"> </w:t>
      </w:r>
      <w:r w:rsidRPr="00302885">
        <w:rPr>
          <w:rFonts w:ascii="Arial" w:hAnsi="Arial" w:cs="Arial"/>
          <w:sz w:val="20"/>
          <w:szCs w:val="20"/>
        </w:rPr>
        <w:t>11(1),</w:t>
      </w:r>
      <w:r w:rsidRPr="00302885">
        <w:rPr>
          <w:rFonts w:ascii="Arial" w:hAnsi="Arial" w:cs="Arial"/>
          <w:spacing w:val="-1"/>
          <w:sz w:val="20"/>
          <w:szCs w:val="20"/>
        </w:rPr>
        <w:t xml:space="preserve"> </w:t>
      </w:r>
      <w:r w:rsidRPr="00302885">
        <w:rPr>
          <w:rFonts w:ascii="Arial" w:hAnsi="Arial" w:cs="Arial"/>
          <w:sz w:val="20"/>
          <w:szCs w:val="20"/>
        </w:rPr>
        <w:t>1564.</w:t>
      </w:r>
      <w:r w:rsidRPr="00302885">
        <w:rPr>
          <w:rFonts w:ascii="Arial" w:hAnsi="Arial" w:cs="Arial"/>
          <w:spacing w:val="-2"/>
          <w:sz w:val="20"/>
          <w:szCs w:val="20"/>
        </w:rPr>
        <w:t xml:space="preserve"> DOI: </w:t>
      </w:r>
      <w:hyperlink r:id="rId19" w:tgtFrame="_blank" w:history="1">
        <w:r w:rsidRPr="00302885">
          <w:rPr>
            <w:rStyle w:val="Hyperlink"/>
            <w:rFonts w:ascii="Arial" w:hAnsi="Arial" w:cs="Arial"/>
            <w:spacing w:val="-2"/>
            <w:sz w:val="20"/>
            <w:szCs w:val="20"/>
          </w:rPr>
          <w:t>10.1038/s41598-020-79883-x</w:t>
        </w:r>
      </w:hyperlink>
    </w:p>
    <w:p w14:paraId="729F0F75" w14:textId="540A56A4" w:rsidR="00801BD1" w:rsidRPr="00302885" w:rsidRDefault="00801BD1" w:rsidP="00801BD1">
      <w:pPr>
        <w:pStyle w:val="Bibliography"/>
        <w:widowControl w:val="0"/>
        <w:numPr>
          <w:ilvl w:val="0"/>
          <w:numId w:val="16"/>
        </w:numPr>
        <w:spacing w:after="0" w:line="240" w:lineRule="auto"/>
        <w:ind w:left="360"/>
        <w:jc w:val="both"/>
        <w:rPr>
          <w:rFonts w:ascii="Arial" w:hAnsi="Arial" w:cs="Arial"/>
          <w:sz w:val="20"/>
          <w:szCs w:val="20"/>
        </w:rPr>
      </w:pPr>
      <w:r w:rsidRPr="00302885">
        <w:rPr>
          <w:rFonts w:ascii="Arial" w:hAnsi="Arial" w:cs="Arial"/>
          <w:sz w:val="20"/>
          <w:szCs w:val="20"/>
        </w:rPr>
        <w:t xml:space="preserve">Saxena, S.P., and Kumar, </w:t>
      </w:r>
      <w:proofErr w:type="gramStart"/>
      <w:r w:rsidRPr="00302885">
        <w:rPr>
          <w:rFonts w:ascii="Arial" w:hAnsi="Arial" w:cs="Arial"/>
          <w:sz w:val="20"/>
          <w:szCs w:val="20"/>
        </w:rPr>
        <w:t>A.</w:t>
      </w:r>
      <w:r w:rsidR="00302885" w:rsidRPr="00302885">
        <w:rPr>
          <w:rFonts w:ascii="Arial" w:hAnsi="Arial" w:cs="Arial"/>
          <w:sz w:val="20"/>
          <w:szCs w:val="20"/>
        </w:rPr>
        <w:t>(</w:t>
      </w:r>
      <w:proofErr w:type="gramEnd"/>
      <w:r w:rsidR="00302885" w:rsidRPr="00302885">
        <w:rPr>
          <w:rFonts w:ascii="Arial" w:hAnsi="Arial" w:cs="Arial"/>
          <w:sz w:val="20"/>
          <w:szCs w:val="20"/>
        </w:rPr>
        <w:t xml:space="preserve">2019). </w:t>
      </w:r>
      <w:r w:rsidRPr="00302885">
        <w:rPr>
          <w:rFonts w:ascii="Arial" w:hAnsi="Arial" w:cs="Arial"/>
          <w:sz w:val="20"/>
          <w:szCs w:val="20"/>
        </w:rPr>
        <w:t xml:space="preserve"> Economic analysis of climate change impact, adaptation, and mitigation on potato farming in India with special reference to Agra District. Indian Journal of Economics and Development,</w:t>
      </w:r>
      <w:r w:rsidR="00302885" w:rsidRPr="00302885">
        <w:rPr>
          <w:rFonts w:ascii="Arial" w:hAnsi="Arial" w:cs="Arial"/>
          <w:sz w:val="20"/>
          <w:szCs w:val="20"/>
        </w:rPr>
        <w:t xml:space="preserve"> </w:t>
      </w:r>
      <w:r w:rsidRPr="00302885">
        <w:rPr>
          <w:rFonts w:ascii="Arial" w:hAnsi="Arial" w:cs="Arial"/>
          <w:sz w:val="20"/>
          <w:szCs w:val="20"/>
        </w:rPr>
        <w:t>7(3),1-7.</w:t>
      </w:r>
    </w:p>
    <w:p w14:paraId="02BCBF67" w14:textId="77777777" w:rsidR="00801BD1" w:rsidRPr="00415B4C" w:rsidRDefault="00801BD1" w:rsidP="003314FB">
      <w:pPr>
        <w:spacing w:after="0" w:line="240" w:lineRule="auto"/>
        <w:jc w:val="both"/>
        <w:rPr>
          <w:rFonts w:ascii="Arial" w:hAnsi="Arial" w:cs="Arial"/>
          <w:b/>
          <w:bCs/>
        </w:rPr>
      </w:pPr>
    </w:p>
    <w:p w14:paraId="4F5F9CA9" w14:textId="2BAAC74B" w:rsidR="004D5B8E" w:rsidRPr="00415B4C" w:rsidRDefault="004D5B8E" w:rsidP="00302885">
      <w:pPr>
        <w:pStyle w:val="ListParagraph"/>
        <w:spacing w:line="240" w:lineRule="auto"/>
        <w:ind w:left="360"/>
        <w:jc w:val="both"/>
        <w:rPr>
          <w:rFonts w:ascii="Arial" w:hAnsi="Arial" w:cs="Arial"/>
        </w:rPr>
      </w:pPr>
    </w:p>
    <w:sectPr w:rsidR="004D5B8E" w:rsidRPr="00415B4C" w:rsidSect="00943455">
      <w:headerReference w:type="even" r:id="rId20"/>
      <w:headerReference w:type="default" r:id="rId21"/>
      <w:footerReference w:type="even" r:id="rId22"/>
      <w:footerReference w:type="default" r:id="rId23"/>
      <w:headerReference w:type="first" r:id="rId24"/>
      <w:footerReference w:type="first" r:id="rId2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3E33" w14:textId="77777777" w:rsidR="00A64149" w:rsidRDefault="00A64149" w:rsidP="007F751D">
      <w:pPr>
        <w:spacing w:after="0" w:line="240" w:lineRule="auto"/>
      </w:pPr>
      <w:r>
        <w:separator/>
      </w:r>
    </w:p>
  </w:endnote>
  <w:endnote w:type="continuationSeparator" w:id="0">
    <w:p w14:paraId="36FDC69D" w14:textId="77777777" w:rsidR="00A64149" w:rsidRDefault="00A64149" w:rsidP="007F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5921" w14:textId="363E2E59" w:rsidR="007F751D" w:rsidRDefault="00255993">
    <w:pPr>
      <w:pStyle w:val="Footer"/>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414894"/>
      <w:docPartObj>
        <w:docPartGallery w:val="Page Numbers (Bottom of Page)"/>
        <w:docPartUnique/>
      </w:docPartObj>
    </w:sdtPr>
    <w:sdtEndPr>
      <w:rPr>
        <w:noProof/>
      </w:rPr>
    </w:sdtEndPr>
    <w:sdtContent>
      <w:p w14:paraId="2D035973" w14:textId="1E520046" w:rsidR="00943455" w:rsidRDefault="009434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71162" w14:textId="77777777" w:rsidR="007F751D" w:rsidRDefault="007F7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D000" w14:textId="77777777" w:rsidR="00943455" w:rsidRDefault="0094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1A57" w14:textId="77777777" w:rsidR="00A64149" w:rsidRDefault="00A64149" w:rsidP="007F751D">
      <w:pPr>
        <w:spacing w:after="0" w:line="240" w:lineRule="auto"/>
      </w:pPr>
      <w:r>
        <w:separator/>
      </w:r>
    </w:p>
  </w:footnote>
  <w:footnote w:type="continuationSeparator" w:id="0">
    <w:p w14:paraId="36599A90" w14:textId="77777777" w:rsidR="00A64149" w:rsidRDefault="00A64149" w:rsidP="007F7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5D15" w14:textId="33D31E2C" w:rsidR="00943455" w:rsidRDefault="00000000">
    <w:pPr>
      <w:pStyle w:val="Header"/>
    </w:pPr>
    <w:r>
      <w:rPr>
        <w:noProof/>
      </w:rPr>
      <w:pict w14:anchorId="1E6F6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7688" o:spid="_x0000_s1026" type="#_x0000_t136" style="position:absolute;margin-left:0;margin-top:0;width:605.75pt;height:113.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6CFC" w14:textId="7AD1EF10" w:rsidR="00943455" w:rsidRDefault="00000000">
    <w:pPr>
      <w:pStyle w:val="Header"/>
    </w:pPr>
    <w:r>
      <w:rPr>
        <w:noProof/>
      </w:rPr>
      <w:pict w14:anchorId="725D2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7689" o:spid="_x0000_s1027" type="#_x0000_t136" style="position:absolute;margin-left:0;margin-top:0;width:605.75pt;height:113.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F2FF" w14:textId="480002E1" w:rsidR="00943455" w:rsidRDefault="00000000">
    <w:pPr>
      <w:pStyle w:val="Header"/>
    </w:pPr>
    <w:r>
      <w:rPr>
        <w:noProof/>
      </w:rPr>
      <w:pict w14:anchorId="29DE1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7687" o:spid="_x0000_s1025" type="#_x0000_t136" style="position:absolute;margin-left:0;margin-top:0;width:605.75pt;height:113.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F0C"/>
    <w:multiLevelType w:val="hybridMultilevel"/>
    <w:tmpl w:val="1BA26F72"/>
    <w:lvl w:ilvl="0" w:tplc="D6D43F9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F184C"/>
    <w:multiLevelType w:val="hybridMultilevel"/>
    <w:tmpl w:val="A02AD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961F1C"/>
    <w:multiLevelType w:val="hybridMultilevel"/>
    <w:tmpl w:val="26169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F5203E"/>
    <w:multiLevelType w:val="multilevel"/>
    <w:tmpl w:val="8B14178A"/>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2A219B"/>
    <w:multiLevelType w:val="hybridMultilevel"/>
    <w:tmpl w:val="9FE6E7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F5168BC"/>
    <w:multiLevelType w:val="hybridMultilevel"/>
    <w:tmpl w:val="732CFF6E"/>
    <w:lvl w:ilvl="0" w:tplc="E77288B8">
      <w:numFmt w:val="bullet"/>
      <w:lvlText w:val=""/>
      <w:lvlJc w:val="left"/>
      <w:pPr>
        <w:ind w:left="685" w:hanging="567"/>
      </w:pPr>
      <w:rPr>
        <w:rFonts w:ascii="Symbol" w:eastAsia="Symbol" w:hAnsi="Symbol" w:cs="Symbol" w:hint="default"/>
        <w:w w:val="100"/>
        <w:sz w:val="22"/>
        <w:szCs w:val="22"/>
        <w:lang w:val="en-US" w:eastAsia="en-US" w:bidi="ar-SA"/>
      </w:rPr>
    </w:lvl>
    <w:lvl w:ilvl="1" w:tplc="9D7E5A4C">
      <w:numFmt w:val="bullet"/>
      <w:lvlText w:val=""/>
      <w:lvlJc w:val="left"/>
      <w:pPr>
        <w:ind w:left="1251" w:hanging="567"/>
      </w:pPr>
      <w:rPr>
        <w:rFonts w:ascii="Symbol" w:eastAsia="Symbol" w:hAnsi="Symbol" w:cs="Symbol" w:hint="default"/>
        <w:w w:val="100"/>
        <w:sz w:val="22"/>
        <w:szCs w:val="22"/>
        <w:lang w:val="en-US" w:eastAsia="en-US" w:bidi="ar-SA"/>
      </w:rPr>
    </w:lvl>
    <w:lvl w:ilvl="2" w:tplc="B2ACE842">
      <w:numFmt w:val="bullet"/>
      <w:lvlText w:val=""/>
      <w:lvlJc w:val="left"/>
      <w:pPr>
        <w:ind w:left="1186" w:hanging="360"/>
      </w:pPr>
      <w:rPr>
        <w:rFonts w:ascii="Symbol" w:eastAsia="Symbol" w:hAnsi="Symbol" w:cs="Symbol" w:hint="default"/>
        <w:w w:val="100"/>
        <w:sz w:val="22"/>
        <w:szCs w:val="22"/>
        <w:lang w:val="en-US" w:eastAsia="en-US" w:bidi="ar-SA"/>
      </w:rPr>
    </w:lvl>
    <w:lvl w:ilvl="3" w:tplc="AE441446">
      <w:numFmt w:val="bullet"/>
      <w:lvlText w:val="•"/>
      <w:lvlJc w:val="left"/>
      <w:pPr>
        <w:ind w:left="1180" w:hanging="360"/>
      </w:pPr>
      <w:rPr>
        <w:rFonts w:hint="default"/>
        <w:lang w:val="en-US" w:eastAsia="en-US" w:bidi="ar-SA"/>
      </w:rPr>
    </w:lvl>
    <w:lvl w:ilvl="4" w:tplc="1F5ECC56">
      <w:numFmt w:val="bullet"/>
      <w:lvlText w:val="•"/>
      <w:lvlJc w:val="left"/>
      <w:pPr>
        <w:ind w:left="1260" w:hanging="360"/>
      </w:pPr>
      <w:rPr>
        <w:rFonts w:hint="default"/>
        <w:lang w:val="en-US" w:eastAsia="en-US" w:bidi="ar-SA"/>
      </w:rPr>
    </w:lvl>
    <w:lvl w:ilvl="5" w:tplc="8318B6DC">
      <w:numFmt w:val="bullet"/>
      <w:lvlText w:val="•"/>
      <w:lvlJc w:val="left"/>
      <w:pPr>
        <w:ind w:left="1400" w:hanging="360"/>
      </w:pPr>
      <w:rPr>
        <w:rFonts w:hint="default"/>
        <w:lang w:val="en-US" w:eastAsia="en-US" w:bidi="ar-SA"/>
      </w:rPr>
    </w:lvl>
    <w:lvl w:ilvl="6" w:tplc="9D4ACBC2">
      <w:numFmt w:val="bullet"/>
      <w:lvlText w:val="•"/>
      <w:lvlJc w:val="left"/>
      <w:pPr>
        <w:ind w:left="1580" w:hanging="360"/>
      </w:pPr>
      <w:rPr>
        <w:rFonts w:hint="default"/>
        <w:lang w:val="en-US" w:eastAsia="en-US" w:bidi="ar-SA"/>
      </w:rPr>
    </w:lvl>
    <w:lvl w:ilvl="7" w:tplc="6A2A6474">
      <w:numFmt w:val="bullet"/>
      <w:lvlText w:val="•"/>
      <w:lvlJc w:val="left"/>
      <w:pPr>
        <w:ind w:left="3511" w:hanging="360"/>
      </w:pPr>
      <w:rPr>
        <w:rFonts w:hint="default"/>
        <w:lang w:val="en-US" w:eastAsia="en-US" w:bidi="ar-SA"/>
      </w:rPr>
    </w:lvl>
    <w:lvl w:ilvl="8" w:tplc="36907D36">
      <w:numFmt w:val="bullet"/>
      <w:lvlText w:val="•"/>
      <w:lvlJc w:val="left"/>
      <w:pPr>
        <w:ind w:left="5443" w:hanging="360"/>
      </w:pPr>
      <w:rPr>
        <w:rFonts w:hint="default"/>
        <w:lang w:val="en-US" w:eastAsia="en-US" w:bidi="ar-SA"/>
      </w:rPr>
    </w:lvl>
  </w:abstractNum>
  <w:abstractNum w:abstractNumId="6" w15:restartNumberingAfterBreak="0">
    <w:nsid w:val="37D76F22"/>
    <w:multiLevelType w:val="multilevel"/>
    <w:tmpl w:val="74D4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2C3FB5"/>
    <w:multiLevelType w:val="hybridMultilevel"/>
    <w:tmpl w:val="30E669BA"/>
    <w:lvl w:ilvl="0" w:tplc="8E5C05D2">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E3538A1"/>
    <w:multiLevelType w:val="hybridMultilevel"/>
    <w:tmpl w:val="5B1E1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2F7A15"/>
    <w:multiLevelType w:val="hybridMultilevel"/>
    <w:tmpl w:val="96024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702196"/>
    <w:multiLevelType w:val="hybridMultilevel"/>
    <w:tmpl w:val="9FE6E7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A752970"/>
    <w:multiLevelType w:val="hybridMultilevel"/>
    <w:tmpl w:val="CC4C1A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B570CE6"/>
    <w:multiLevelType w:val="hybridMultilevel"/>
    <w:tmpl w:val="E6FE6116"/>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3" w15:restartNumberingAfterBreak="0">
    <w:nsid w:val="4E7365E8"/>
    <w:multiLevelType w:val="hybridMultilevel"/>
    <w:tmpl w:val="26866674"/>
    <w:lvl w:ilvl="0" w:tplc="FAA647D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973BD5"/>
    <w:multiLevelType w:val="hybridMultilevel"/>
    <w:tmpl w:val="CC4C1A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56A6C9C"/>
    <w:multiLevelType w:val="multilevel"/>
    <w:tmpl w:val="D1BC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E91163"/>
    <w:multiLevelType w:val="hybridMultilevel"/>
    <w:tmpl w:val="72FA7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E665467"/>
    <w:multiLevelType w:val="multilevel"/>
    <w:tmpl w:val="8D5A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476838">
    <w:abstractNumId w:val="0"/>
  </w:num>
  <w:num w:numId="2" w16cid:durableId="738091927">
    <w:abstractNumId w:val="16"/>
  </w:num>
  <w:num w:numId="3" w16cid:durableId="1712265139">
    <w:abstractNumId w:val="15"/>
  </w:num>
  <w:num w:numId="4" w16cid:durableId="685522249">
    <w:abstractNumId w:val="6"/>
  </w:num>
  <w:num w:numId="5" w16cid:durableId="1051000942">
    <w:abstractNumId w:val="3"/>
  </w:num>
  <w:num w:numId="6" w16cid:durableId="1734422675">
    <w:abstractNumId w:val="12"/>
  </w:num>
  <w:num w:numId="7" w16cid:durableId="425856209">
    <w:abstractNumId w:val="1"/>
  </w:num>
  <w:num w:numId="8" w16cid:durableId="1418944787">
    <w:abstractNumId w:val="14"/>
  </w:num>
  <w:num w:numId="9" w16cid:durableId="991985347">
    <w:abstractNumId w:val="11"/>
  </w:num>
  <w:num w:numId="10" w16cid:durableId="1789658655">
    <w:abstractNumId w:val="10"/>
  </w:num>
  <w:num w:numId="11" w16cid:durableId="1750426389">
    <w:abstractNumId w:val="4"/>
  </w:num>
  <w:num w:numId="12" w16cid:durableId="966274427">
    <w:abstractNumId w:val="8"/>
  </w:num>
  <w:num w:numId="13" w16cid:durableId="916791271">
    <w:abstractNumId w:val="7"/>
  </w:num>
  <w:num w:numId="14" w16cid:durableId="1052802535">
    <w:abstractNumId w:val="2"/>
  </w:num>
  <w:num w:numId="15" w16cid:durableId="2019231719">
    <w:abstractNumId w:val="9"/>
  </w:num>
  <w:num w:numId="16" w16cid:durableId="1380863751">
    <w:abstractNumId w:val="13"/>
  </w:num>
  <w:num w:numId="17" w16cid:durableId="232202910">
    <w:abstractNumId w:val="17"/>
  </w:num>
  <w:num w:numId="18" w16cid:durableId="133914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47"/>
    <w:rsid w:val="00005660"/>
    <w:rsid w:val="00005E60"/>
    <w:rsid w:val="0001140F"/>
    <w:rsid w:val="00025C88"/>
    <w:rsid w:val="00030574"/>
    <w:rsid w:val="00030C92"/>
    <w:rsid w:val="0003416C"/>
    <w:rsid w:val="00036866"/>
    <w:rsid w:val="00036C17"/>
    <w:rsid w:val="00052699"/>
    <w:rsid w:val="00054A2D"/>
    <w:rsid w:val="000574BD"/>
    <w:rsid w:val="00063318"/>
    <w:rsid w:val="000633BF"/>
    <w:rsid w:val="00065FF2"/>
    <w:rsid w:val="00070E76"/>
    <w:rsid w:val="00077956"/>
    <w:rsid w:val="000823D2"/>
    <w:rsid w:val="00082D00"/>
    <w:rsid w:val="00090DC3"/>
    <w:rsid w:val="00094A5B"/>
    <w:rsid w:val="0009576B"/>
    <w:rsid w:val="000962C4"/>
    <w:rsid w:val="000A06D4"/>
    <w:rsid w:val="000A5AAE"/>
    <w:rsid w:val="000B288C"/>
    <w:rsid w:val="000B7ED1"/>
    <w:rsid w:val="000C3950"/>
    <w:rsid w:val="000C4BE6"/>
    <w:rsid w:val="000D15D8"/>
    <w:rsid w:val="000D33A1"/>
    <w:rsid w:val="000D3E1C"/>
    <w:rsid w:val="000E0B29"/>
    <w:rsid w:val="000E46A2"/>
    <w:rsid w:val="000E4FC2"/>
    <w:rsid w:val="000F0313"/>
    <w:rsid w:val="000F6771"/>
    <w:rsid w:val="00105B1D"/>
    <w:rsid w:val="00107C5F"/>
    <w:rsid w:val="00113A3B"/>
    <w:rsid w:val="00115A78"/>
    <w:rsid w:val="00116105"/>
    <w:rsid w:val="00121C52"/>
    <w:rsid w:val="001310C8"/>
    <w:rsid w:val="001345D6"/>
    <w:rsid w:val="00134DFC"/>
    <w:rsid w:val="00140E5F"/>
    <w:rsid w:val="001410A0"/>
    <w:rsid w:val="00143D77"/>
    <w:rsid w:val="00146DD7"/>
    <w:rsid w:val="00151D48"/>
    <w:rsid w:val="00152266"/>
    <w:rsid w:val="001530F6"/>
    <w:rsid w:val="00157666"/>
    <w:rsid w:val="00160AAE"/>
    <w:rsid w:val="00162DDB"/>
    <w:rsid w:val="00163BCC"/>
    <w:rsid w:val="00164F7B"/>
    <w:rsid w:val="00171B90"/>
    <w:rsid w:val="00174753"/>
    <w:rsid w:val="00176F96"/>
    <w:rsid w:val="001779F5"/>
    <w:rsid w:val="00186FED"/>
    <w:rsid w:val="00187442"/>
    <w:rsid w:val="00187F45"/>
    <w:rsid w:val="00192EF0"/>
    <w:rsid w:val="0019638E"/>
    <w:rsid w:val="00196934"/>
    <w:rsid w:val="0019762A"/>
    <w:rsid w:val="0019771F"/>
    <w:rsid w:val="001A1869"/>
    <w:rsid w:val="001A4BFB"/>
    <w:rsid w:val="001A72E7"/>
    <w:rsid w:val="001B150D"/>
    <w:rsid w:val="001B423B"/>
    <w:rsid w:val="001D0487"/>
    <w:rsid w:val="001E7672"/>
    <w:rsid w:val="00202437"/>
    <w:rsid w:val="00206590"/>
    <w:rsid w:val="00214D57"/>
    <w:rsid w:val="00215520"/>
    <w:rsid w:val="0021627F"/>
    <w:rsid w:val="002170DC"/>
    <w:rsid w:val="00217ABD"/>
    <w:rsid w:val="00221877"/>
    <w:rsid w:val="002225BF"/>
    <w:rsid w:val="00222E30"/>
    <w:rsid w:val="00243318"/>
    <w:rsid w:val="00243923"/>
    <w:rsid w:val="00247AF8"/>
    <w:rsid w:val="002515BA"/>
    <w:rsid w:val="00255993"/>
    <w:rsid w:val="00261606"/>
    <w:rsid w:val="00263AD9"/>
    <w:rsid w:val="0027526B"/>
    <w:rsid w:val="00284022"/>
    <w:rsid w:val="002863CA"/>
    <w:rsid w:val="002864A2"/>
    <w:rsid w:val="00290515"/>
    <w:rsid w:val="00295858"/>
    <w:rsid w:val="002973C8"/>
    <w:rsid w:val="002A330D"/>
    <w:rsid w:val="002A75DE"/>
    <w:rsid w:val="002B0F49"/>
    <w:rsid w:val="002B6614"/>
    <w:rsid w:val="002B76D5"/>
    <w:rsid w:val="002B7838"/>
    <w:rsid w:val="002C41A0"/>
    <w:rsid w:val="002C73D8"/>
    <w:rsid w:val="002D6C53"/>
    <w:rsid w:val="002D77B4"/>
    <w:rsid w:val="002E2BB3"/>
    <w:rsid w:val="002E65CA"/>
    <w:rsid w:val="002F0737"/>
    <w:rsid w:val="003010EB"/>
    <w:rsid w:val="00302885"/>
    <w:rsid w:val="00304CD1"/>
    <w:rsid w:val="0030654A"/>
    <w:rsid w:val="00306D5F"/>
    <w:rsid w:val="003129E6"/>
    <w:rsid w:val="00312A26"/>
    <w:rsid w:val="0032189A"/>
    <w:rsid w:val="003218FD"/>
    <w:rsid w:val="0032468D"/>
    <w:rsid w:val="0032671D"/>
    <w:rsid w:val="003268D5"/>
    <w:rsid w:val="003307EB"/>
    <w:rsid w:val="003314FB"/>
    <w:rsid w:val="00334678"/>
    <w:rsid w:val="0033642B"/>
    <w:rsid w:val="003403EC"/>
    <w:rsid w:val="00340C6A"/>
    <w:rsid w:val="00343C44"/>
    <w:rsid w:val="00350011"/>
    <w:rsid w:val="00351FAA"/>
    <w:rsid w:val="00357147"/>
    <w:rsid w:val="003601E0"/>
    <w:rsid w:val="00362A5A"/>
    <w:rsid w:val="0038347E"/>
    <w:rsid w:val="00385199"/>
    <w:rsid w:val="00385757"/>
    <w:rsid w:val="00390FFE"/>
    <w:rsid w:val="00395386"/>
    <w:rsid w:val="003A6CA7"/>
    <w:rsid w:val="003B0E47"/>
    <w:rsid w:val="003B1FD1"/>
    <w:rsid w:val="003B29FC"/>
    <w:rsid w:val="003B6648"/>
    <w:rsid w:val="003B6CFC"/>
    <w:rsid w:val="003C1A40"/>
    <w:rsid w:val="003C4A90"/>
    <w:rsid w:val="003C6DE7"/>
    <w:rsid w:val="003D79FE"/>
    <w:rsid w:val="003D7A31"/>
    <w:rsid w:val="003E24D9"/>
    <w:rsid w:val="003E61EE"/>
    <w:rsid w:val="003F7310"/>
    <w:rsid w:val="0040128E"/>
    <w:rsid w:val="00401415"/>
    <w:rsid w:val="0040267B"/>
    <w:rsid w:val="00410765"/>
    <w:rsid w:val="004113D0"/>
    <w:rsid w:val="00411856"/>
    <w:rsid w:val="004122F2"/>
    <w:rsid w:val="0041314C"/>
    <w:rsid w:val="00415B4C"/>
    <w:rsid w:val="0042150F"/>
    <w:rsid w:val="00430A16"/>
    <w:rsid w:val="004350D3"/>
    <w:rsid w:val="00464ED6"/>
    <w:rsid w:val="0047070B"/>
    <w:rsid w:val="004708C3"/>
    <w:rsid w:val="00471CD8"/>
    <w:rsid w:val="00475F2C"/>
    <w:rsid w:val="0047734E"/>
    <w:rsid w:val="00483781"/>
    <w:rsid w:val="004858ED"/>
    <w:rsid w:val="00487FBA"/>
    <w:rsid w:val="00492793"/>
    <w:rsid w:val="00495CD6"/>
    <w:rsid w:val="004A3794"/>
    <w:rsid w:val="004B2CC1"/>
    <w:rsid w:val="004B58FE"/>
    <w:rsid w:val="004C0CF2"/>
    <w:rsid w:val="004C6AC4"/>
    <w:rsid w:val="004D34BF"/>
    <w:rsid w:val="004D5B8E"/>
    <w:rsid w:val="004D675D"/>
    <w:rsid w:val="004D676F"/>
    <w:rsid w:val="004D70CA"/>
    <w:rsid w:val="004E4C93"/>
    <w:rsid w:val="004E6D99"/>
    <w:rsid w:val="004F0231"/>
    <w:rsid w:val="004F1F4F"/>
    <w:rsid w:val="004F63EE"/>
    <w:rsid w:val="004F674B"/>
    <w:rsid w:val="0051222C"/>
    <w:rsid w:val="00514AE0"/>
    <w:rsid w:val="00516448"/>
    <w:rsid w:val="00516C1E"/>
    <w:rsid w:val="00523C63"/>
    <w:rsid w:val="00524EBD"/>
    <w:rsid w:val="005266C3"/>
    <w:rsid w:val="0053527D"/>
    <w:rsid w:val="00542843"/>
    <w:rsid w:val="00543B98"/>
    <w:rsid w:val="00543BA3"/>
    <w:rsid w:val="0055425E"/>
    <w:rsid w:val="005561F7"/>
    <w:rsid w:val="00563633"/>
    <w:rsid w:val="00580D08"/>
    <w:rsid w:val="00580F8C"/>
    <w:rsid w:val="00583494"/>
    <w:rsid w:val="00584F82"/>
    <w:rsid w:val="005912A5"/>
    <w:rsid w:val="00591D01"/>
    <w:rsid w:val="005A0EC5"/>
    <w:rsid w:val="005A378D"/>
    <w:rsid w:val="005A3961"/>
    <w:rsid w:val="005A6646"/>
    <w:rsid w:val="005B0F68"/>
    <w:rsid w:val="005B13CE"/>
    <w:rsid w:val="005B4A8F"/>
    <w:rsid w:val="005B55BF"/>
    <w:rsid w:val="005C09CB"/>
    <w:rsid w:val="005C40FE"/>
    <w:rsid w:val="005C62F7"/>
    <w:rsid w:val="005D0E5D"/>
    <w:rsid w:val="005D1F67"/>
    <w:rsid w:val="005D4BD3"/>
    <w:rsid w:val="005D5D1B"/>
    <w:rsid w:val="005D781B"/>
    <w:rsid w:val="005E1806"/>
    <w:rsid w:val="005E47A0"/>
    <w:rsid w:val="005F1CFD"/>
    <w:rsid w:val="005F51E3"/>
    <w:rsid w:val="005F5C58"/>
    <w:rsid w:val="005F5E88"/>
    <w:rsid w:val="005F7064"/>
    <w:rsid w:val="006055BF"/>
    <w:rsid w:val="00607E1F"/>
    <w:rsid w:val="00615194"/>
    <w:rsid w:val="00630291"/>
    <w:rsid w:val="006304B5"/>
    <w:rsid w:val="0063756E"/>
    <w:rsid w:val="00640A7E"/>
    <w:rsid w:val="00642D3A"/>
    <w:rsid w:val="006440FB"/>
    <w:rsid w:val="00647891"/>
    <w:rsid w:val="00647903"/>
    <w:rsid w:val="00654A84"/>
    <w:rsid w:val="00654FFD"/>
    <w:rsid w:val="00656AC3"/>
    <w:rsid w:val="00657F5E"/>
    <w:rsid w:val="00661C92"/>
    <w:rsid w:val="00662168"/>
    <w:rsid w:val="006665E4"/>
    <w:rsid w:val="00666B84"/>
    <w:rsid w:val="0067432D"/>
    <w:rsid w:val="00674509"/>
    <w:rsid w:val="006757F7"/>
    <w:rsid w:val="00675976"/>
    <w:rsid w:val="006837DE"/>
    <w:rsid w:val="0068462B"/>
    <w:rsid w:val="00684EFB"/>
    <w:rsid w:val="00690B28"/>
    <w:rsid w:val="00692ED2"/>
    <w:rsid w:val="00694CC7"/>
    <w:rsid w:val="00695294"/>
    <w:rsid w:val="00695429"/>
    <w:rsid w:val="006961CB"/>
    <w:rsid w:val="006A71AC"/>
    <w:rsid w:val="006B7532"/>
    <w:rsid w:val="006C0B23"/>
    <w:rsid w:val="006D5365"/>
    <w:rsid w:val="006D61CC"/>
    <w:rsid w:val="006E2000"/>
    <w:rsid w:val="006E3820"/>
    <w:rsid w:val="006F497C"/>
    <w:rsid w:val="006F6ADE"/>
    <w:rsid w:val="006F6BDB"/>
    <w:rsid w:val="006F7DA3"/>
    <w:rsid w:val="00706F96"/>
    <w:rsid w:val="00710DC9"/>
    <w:rsid w:val="00712743"/>
    <w:rsid w:val="00725B06"/>
    <w:rsid w:val="007270ED"/>
    <w:rsid w:val="00727809"/>
    <w:rsid w:val="00733D4B"/>
    <w:rsid w:val="00736682"/>
    <w:rsid w:val="00750D74"/>
    <w:rsid w:val="00753117"/>
    <w:rsid w:val="00762083"/>
    <w:rsid w:val="0076504F"/>
    <w:rsid w:val="00767CD4"/>
    <w:rsid w:val="00770508"/>
    <w:rsid w:val="007744C4"/>
    <w:rsid w:val="0077701E"/>
    <w:rsid w:val="00780261"/>
    <w:rsid w:val="007916D1"/>
    <w:rsid w:val="007A1A61"/>
    <w:rsid w:val="007A2052"/>
    <w:rsid w:val="007A664B"/>
    <w:rsid w:val="007B005B"/>
    <w:rsid w:val="007B235A"/>
    <w:rsid w:val="007B569A"/>
    <w:rsid w:val="007C1289"/>
    <w:rsid w:val="007C13E8"/>
    <w:rsid w:val="007C175F"/>
    <w:rsid w:val="007E0AEB"/>
    <w:rsid w:val="007E7441"/>
    <w:rsid w:val="007F751D"/>
    <w:rsid w:val="00801BD1"/>
    <w:rsid w:val="00802E0E"/>
    <w:rsid w:val="00802FF8"/>
    <w:rsid w:val="00812861"/>
    <w:rsid w:val="00816BB2"/>
    <w:rsid w:val="00824A0E"/>
    <w:rsid w:val="0083051B"/>
    <w:rsid w:val="008312B3"/>
    <w:rsid w:val="00832B5D"/>
    <w:rsid w:val="008418B4"/>
    <w:rsid w:val="00841DCA"/>
    <w:rsid w:val="0084380E"/>
    <w:rsid w:val="00846FB8"/>
    <w:rsid w:val="00856F08"/>
    <w:rsid w:val="00864845"/>
    <w:rsid w:val="00886CE0"/>
    <w:rsid w:val="008875AE"/>
    <w:rsid w:val="00897151"/>
    <w:rsid w:val="008A3322"/>
    <w:rsid w:val="008A5C06"/>
    <w:rsid w:val="008A7C7F"/>
    <w:rsid w:val="008B5E4A"/>
    <w:rsid w:val="008C30E2"/>
    <w:rsid w:val="008C4B98"/>
    <w:rsid w:val="008D7160"/>
    <w:rsid w:val="008E0C2C"/>
    <w:rsid w:val="008E3A56"/>
    <w:rsid w:val="008E75C6"/>
    <w:rsid w:val="008F15AD"/>
    <w:rsid w:val="008F27AC"/>
    <w:rsid w:val="008F2C91"/>
    <w:rsid w:val="008F362C"/>
    <w:rsid w:val="008F3E07"/>
    <w:rsid w:val="008F4D09"/>
    <w:rsid w:val="008F4F04"/>
    <w:rsid w:val="008F7EE5"/>
    <w:rsid w:val="00900B8B"/>
    <w:rsid w:val="00901E14"/>
    <w:rsid w:val="009038BF"/>
    <w:rsid w:val="00906578"/>
    <w:rsid w:val="00910BBC"/>
    <w:rsid w:val="00912176"/>
    <w:rsid w:val="00912245"/>
    <w:rsid w:val="009133E8"/>
    <w:rsid w:val="00913D2D"/>
    <w:rsid w:val="00921E98"/>
    <w:rsid w:val="00927267"/>
    <w:rsid w:val="00927B10"/>
    <w:rsid w:val="00932421"/>
    <w:rsid w:val="00935548"/>
    <w:rsid w:val="009370F5"/>
    <w:rsid w:val="0094183F"/>
    <w:rsid w:val="0094282A"/>
    <w:rsid w:val="00943455"/>
    <w:rsid w:val="009443E4"/>
    <w:rsid w:val="0094724F"/>
    <w:rsid w:val="00951771"/>
    <w:rsid w:val="009526C4"/>
    <w:rsid w:val="00954E1F"/>
    <w:rsid w:val="009565AB"/>
    <w:rsid w:val="009609F4"/>
    <w:rsid w:val="00966A94"/>
    <w:rsid w:val="009926AC"/>
    <w:rsid w:val="00993D90"/>
    <w:rsid w:val="00994562"/>
    <w:rsid w:val="009955CC"/>
    <w:rsid w:val="0099569B"/>
    <w:rsid w:val="00997364"/>
    <w:rsid w:val="009A4754"/>
    <w:rsid w:val="009A7A12"/>
    <w:rsid w:val="009B27B0"/>
    <w:rsid w:val="009B69CB"/>
    <w:rsid w:val="009C4405"/>
    <w:rsid w:val="009D0EE4"/>
    <w:rsid w:val="009D39CD"/>
    <w:rsid w:val="009D4E35"/>
    <w:rsid w:val="009E094B"/>
    <w:rsid w:val="009E3E3A"/>
    <w:rsid w:val="009F08AE"/>
    <w:rsid w:val="009F2C31"/>
    <w:rsid w:val="00A028C2"/>
    <w:rsid w:val="00A10036"/>
    <w:rsid w:val="00A12519"/>
    <w:rsid w:val="00A12B95"/>
    <w:rsid w:val="00A169C8"/>
    <w:rsid w:val="00A220BA"/>
    <w:rsid w:val="00A31068"/>
    <w:rsid w:val="00A3129B"/>
    <w:rsid w:val="00A322B2"/>
    <w:rsid w:val="00A34C8F"/>
    <w:rsid w:val="00A41A15"/>
    <w:rsid w:val="00A449D4"/>
    <w:rsid w:val="00A44FAD"/>
    <w:rsid w:val="00A52206"/>
    <w:rsid w:val="00A5642B"/>
    <w:rsid w:val="00A56BA2"/>
    <w:rsid w:val="00A64149"/>
    <w:rsid w:val="00A77B0D"/>
    <w:rsid w:val="00A85681"/>
    <w:rsid w:val="00A940CC"/>
    <w:rsid w:val="00AA36AC"/>
    <w:rsid w:val="00AA7759"/>
    <w:rsid w:val="00AB3BF9"/>
    <w:rsid w:val="00AB55BC"/>
    <w:rsid w:val="00AB6770"/>
    <w:rsid w:val="00AC0C35"/>
    <w:rsid w:val="00AC2A1D"/>
    <w:rsid w:val="00AC2D8D"/>
    <w:rsid w:val="00AC51B0"/>
    <w:rsid w:val="00AD2B1E"/>
    <w:rsid w:val="00AD79EA"/>
    <w:rsid w:val="00AE03A5"/>
    <w:rsid w:val="00AE2674"/>
    <w:rsid w:val="00AE7CB3"/>
    <w:rsid w:val="00AE7FB0"/>
    <w:rsid w:val="00AF0FFF"/>
    <w:rsid w:val="00B0633C"/>
    <w:rsid w:val="00B11F29"/>
    <w:rsid w:val="00B13782"/>
    <w:rsid w:val="00B2337C"/>
    <w:rsid w:val="00B24678"/>
    <w:rsid w:val="00B25BEB"/>
    <w:rsid w:val="00B34C91"/>
    <w:rsid w:val="00B37E02"/>
    <w:rsid w:val="00B42545"/>
    <w:rsid w:val="00B50066"/>
    <w:rsid w:val="00B51272"/>
    <w:rsid w:val="00B54A99"/>
    <w:rsid w:val="00B5704F"/>
    <w:rsid w:val="00B62577"/>
    <w:rsid w:val="00B7316A"/>
    <w:rsid w:val="00B758E9"/>
    <w:rsid w:val="00BB113A"/>
    <w:rsid w:val="00BB1387"/>
    <w:rsid w:val="00BB6993"/>
    <w:rsid w:val="00BC3D90"/>
    <w:rsid w:val="00BD4CBE"/>
    <w:rsid w:val="00BD4E0A"/>
    <w:rsid w:val="00BE1682"/>
    <w:rsid w:val="00BE1A74"/>
    <w:rsid w:val="00BE6E13"/>
    <w:rsid w:val="00BE7242"/>
    <w:rsid w:val="00BE7DA1"/>
    <w:rsid w:val="00BF0685"/>
    <w:rsid w:val="00BF25E1"/>
    <w:rsid w:val="00BF2C7C"/>
    <w:rsid w:val="00C035D1"/>
    <w:rsid w:val="00C065AB"/>
    <w:rsid w:val="00C1434C"/>
    <w:rsid w:val="00C21389"/>
    <w:rsid w:val="00C22CB8"/>
    <w:rsid w:val="00C24C01"/>
    <w:rsid w:val="00C33E16"/>
    <w:rsid w:val="00C547A4"/>
    <w:rsid w:val="00C550FF"/>
    <w:rsid w:val="00C64CE1"/>
    <w:rsid w:val="00C703C6"/>
    <w:rsid w:val="00C74D5E"/>
    <w:rsid w:val="00C75745"/>
    <w:rsid w:val="00C90457"/>
    <w:rsid w:val="00CA1577"/>
    <w:rsid w:val="00CA1F24"/>
    <w:rsid w:val="00CA43B8"/>
    <w:rsid w:val="00CA4A45"/>
    <w:rsid w:val="00CB5E8D"/>
    <w:rsid w:val="00CB6753"/>
    <w:rsid w:val="00CC6315"/>
    <w:rsid w:val="00CD446D"/>
    <w:rsid w:val="00CE0555"/>
    <w:rsid w:val="00CE5663"/>
    <w:rsid w:val="00CE6D68"/>
    <w:rsid w:val="00D0131F"/>
    <w:rsid w:val="00D050F3"/>
    <w:rsid w:val="00D05F6A"/>
    <w:rsid w:val="00D07E6D"/>
    <w:rsid w:val="00D1622B"/>
    <w:rsid w:val="00D21C7F"/>
    <w:rsid w:val="00D33EB9"/>
    <w:rsid w:val="00D35EF9"/>
    <w:rsid w:val="00D3714B"/>
    <w:rsid w:val="00D4389F"/>
    <w:rsid w:val="00D55ED0"/>
    <w:rsid w:val="00D56DD0"/>
    <w:rsid w:val="00D57271"/>
    <w:rsid w:val="00D61F0B"/>
    <w:rsid w:val="00D62915"/>
    <w:rsid w:val="00D673A1"/>
    <w:rsid w:val="00D70550"/>
    <w:rsid w:val="00D7132D"/>
    <w:rsid w:val="00D724D1"/>
    <w:rsid w:val="00D83BBC"/>
    <w:rsid w:val="00D86575"/>
    <w:rsid w:val="00D974DA"/>
    <w:rsid w:val="00DA250F"/>
    <w:rsid w:val="00DA415B"/>
    <w:rsid w:val="00DA5868"/>
    <w:rsid w:val="00DB5130"/>
    <w:rsid w:val="00DC47B5"/>
    <w:rsid w:val="00DC6557"/>
    <w:rsid w:val="00DD127F"/>
    <w:rsid w:val="00DD1FC7"/>
    <w:rsid w:val="00DD23E8"/>
    <w:rsid w:val="00DD2FAE"/>
    <w:rsid w:val="00DD39E5"/>
    <w:rsid w:val="00DD6A7F"/>
    <w:rsid w:val="00DD6AFE"/>
    <w:rsid w:val="00DF4F7B"/>
    <w:rsid w:val="00DF7FBB"/>
    <w:rsid w:val="00E00498"/>
    <w:rsid w:val="00E02BBF"/>
    <w:rsid w:val="00E06BA4"/>
    <w:rsid w:val="00E1437B"/>
    <w:rsid w:val="00E163A5"/>
    <w:rsid w:val="00E1670B"/>
    <w:rsid w:val="00E20151"/>
    <w:rsid w:val="00E217DF"/>
    <w:rsid w:val="00E30B7D"/>
    <w:rsid w:val="00E34AE2"/>
    <w:rsid w:val="00E4212A"/>
    <w:rsid w:val="00E46AD5"/>
    <w:rsid w:val="00E50040"/>
    <w:rsid w:val="00E51612"/>
    <w:rsid w:val="00E560A3"/>
    <w:rsid w:val="00E56C09"/>
    <w:rsid w:val="00E5798F"/>
    <w:rsid w:val="00E60231"/>
    <w:rsid w:val="00E60468"/>
    <w:rsid w:val="00E65D1D"/>
    <w:rsid w:val="00E7023A"/>
    <w:rsid w:val="00E73BA8"/>
    <w:rsid w:val="00E812FB"/>
    <w:rsid w:val="00E8512C"/>
    <w:rsid w:val="00E855A5"/>
    <w:rsid w:val="00E86C3C"/>
    <w:rsid w:val="00E97306"/>
    <w:rsid w:val="00EA24F3"/>
    <w:rsid w:val="00EA4138"/>
    <w:rsid w:val="00EB16A4"/>
    <w:rsid w:val="00EB5275"/>
    <w:rsid w:val="00EC1B32"/>
    <w:rsid w:val="00EC5505"/>
    <w:rsid w:val="00EC70C2"/>
    <w:rsid w:val="00ED5D22"/>
    <w:rsid w:val="00ED7675"/>
    <w:rsid w:val="00EE3C6F"/>
    <w:rsid w:val="00EF2DBE"/>
    <w:rsid w:val="00EF5AE6"/>
    <w:rsid w:val="00F011F0"/>
    <w:rsid w:val="00F12EEF"/>
    <w:rsid w:val="00F20264"/>
    <w:rsid w:val="00F33A00"/>
    <w:rsid w:val="00F36C03"/>
    <w:rsid w:val="00F42D5D"/>
    <w:rsid w:val="00F4636D"/>
    <w:rsid w:val="00F46F1F"/>
    <w:rsid w:val="00F50B50"/>
    <w:rsid w:val="00F52818"/>
    <w:rsid w:val="00F5306F"/>
    <w:rsid w:val="00F555F9"/>
    <w:rsid w:val="00F5629F"/>
    <w:rsid w:val="00F61699"/>
    <w:rsid w:val="00F63C9F"/>
    <w:rsid w:val="00F84382"/>
    <w:rsid w:val="00F94259"/>
    <w:rsid w:val="00F9574E"/>
    <w:rsid w:val="00F96FAA"/>
    <w:rsid w:val="00FA042E"/>
    <w:rsid w:val="00FA47C5"/>
    <w:rsid w:val="00FB0971"/>
    <w:rsid w:val="00FB3CEA"/>
    <w:rsid w:val="00FB448E"/>
    <w:rsid w:val="00FB7ACB"/>
    <w:rsid w:val="00FC64D9"/>
    <w:rsid w:val="00FD0AAD"/>
    <w:rsid w:val="00FD31AF"/>
    <w:rsid w:val="00FD3E39"/>
    <w:rsid w:val="00FD6C03"/>
    <w:rsid w:val="00FE0613"/>
    <w:rsid w:val="00FE2A41"/>
    <w:rsid w:val="00FE3DEB"/>
    <w:rsid w:val="00FE623A"/>
    <w:rsid w:val="00FF01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A69B7"/>
  <w15:chartTrackingRefBased/>
  <w15:docId w15:val="{1CA096CC-D9D8-4147-8992-5FF9EC72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24D1"/>
    <w:pPr>
      <w:ind w:left="720"/>
      <w:contextualSpacing/>
    </w:pPr>
  </w:style>
  <w:style w:type="table" w:styleId="TableGrid">
    <w:name w:val="Table Grid"/>
    <w:basedOn w:val="TableNormal"/>
    <w:uiPriority w:val="59"/>
    <w:rsid w:val="00E56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73B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B55BF"/>
    <w:rPr>
      <w:color w:val="0563C1" w:themeColor="hyperlink"/>
      <w:u w:val="single"/>
    </w:rPr>
  </w:style>
  <w:style w:type="character" w:styleId="UnresolvedMention">
    <w:name w:val="Unresolved Mention"/>
    <w:basedOn w:val="DefaultParagraphFont"/>
    <w:uiPriority w:val="99"/>
    <w:semiHidden/>
    <w:unhideWhenUsed/>
    <w:rsid w:val="005B55BF"/>
    <w:rPr>
      <w:color w:val="605E5C"/>
      <w:shd w:val="clear" w:color="auto" w:fill="E1DFDD"/>
    </w:rPr>
  </w:style>
  <w:style w:type="paragraph" w:styleId="Header">
    <w:name w:val="header"/>
    <w:basedOn w:val="Normal"/>
    <w:link w:val="HeaderChar"/>
    <w:uiPriority w:val="99"/>
    <w:unhideWhenUsed/>
    <w:rsid w:val="007F7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51D"/>
  </w:style>
  <w:style w:type="paragraph" w:styleId="Footer">
    <w:name w:val="footer"/>
    <w:basedOn w:val="Normal"/>
    <w:link w:val="FooterChar"/>
    <w:uiPriority w:val="99"/>
    <w:unhideWhenUsed/>
    <w:rsid w:val="007F7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51D"/>
  </w:style>
  <w:style w:type="table" w:styleId="PlainTable2">
    <w:name w:val="Plain Table 2"/>
    <w:basedOn w:val="TableNormal"/>
    <w:uiPriority w:val="42"/>
    <w:rsid w:val="00415B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801BD1"/>
  </w:style>
  <w:style w:type="paragraph" w:styleId="NormalWeb">
    <w:name w:val="Normal (Web)"/>
    <w:basedOn w:val="Normal"/>
    <w:uiPriority w:val="99"/>
    <w:semiHidden/>
    <w:unhideWhenUsed/>
    <w:rsid w:val="00217ABD"/>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217ABD"/>
    <w:rPr>
      <w:b/>
      <w:bCs/>
    </w:rPr>
  </w:style>
  <w:style w:type="paragraph" w:customStyle="1" w:styleId="Default">
    <w:name w:val="Default"/>
    <w:rsid w:val="0019762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9125">
      <w:bodyDiv w:val="1"/>
      <w:marLeft w:val="0"/>
      <w:marRight w:val="0"/>
      <w:marTop w:val="0"/>
      <w:marBottom w:val="0"/>
      <w:divBdr>
        <w:top w:val="none" w:sz="0" w:space="0" w:color="auto"/>
        <w:left w:val="none" w:sz="0" w:space="0" w:color="auto"/>
        <w:bottom w:val="none" w:sz="0" w:space="0" w:color="auto"/>
        <w:right w:val="none" w:sz="0" w:space="0" w:color="auto"/>
      </w:divBdr>
    </w:div>
    <w:div w:id="172035707">
      <w:bodyDiv w:val="1"/>
      <w:marLeft w:val="0"/>
      <w:marRight w:val="0"/>
      <w:marTop w:val="0"/>
      <w:marBottom w:val="0"/>
      <w:divBdr>
        <w:top w:val="none" w:sz="0" w:space="0" w:color="auto"/>
        <w:left w:val="none" w:sz="0" w:space="0" w:color="auto"/>
        <w:bottom w:val="none" w:sz="0" w:space="0" w:color="auto"/>
        <w:right w:val="none" w:sz="0" w:space="0" w:color="auto"/>
      </w:divBdr>
    </w:div>
    <w:div w:id="279655000">
      <w:bodyDiv w:val="1"/>
      <w:marLeft w:val="0"/>
      <w:marRight w:val="0"/>
      <w:marTop w:val="0"/>
      <w:marBottom w:val="0"/>
      <w:divBdr>
        <w:top w:val="none" w:sz="0" w:space="0" w:color="auto"/>
        <w:left w:val="none" w:sz="0" w:space="0" w:color="auto"/>
        <w:bottom w:val="none" w:sz="0" w:space="0" w:color="auto"/>
        <w:right w:val="none" w:sz="0" w:space="0" w:color="auto"/>
      </w:divBdr>
    </w:div>
    <w:div w:id="296685601">
      <w:bodyDiv w:val="1"/>
      <w:marLeft w:val="0"/>
      <w:marRight w:val="0"/>
      <w:marTop w:val="0"/>
      <w:marBottom w:val="0"/>
      <w:divBdr>
        <w:top w:val="none" w:sz="0" w:space="0" w:color="auto"/>
        <w:left w:val="none" w:sz="0" w:space="0" w:color="auto"/>
        <w:bottom w:val="none" w:sz="0" w:space="0" w:color="auto"/>
        <w:right w:val="none" w:sz="0" w:space="0" w:color="auto"/>
      </w:divBdr>
    </w:div>
    <w:div w:id="402993153">
      <w:bodyDiv w:val="1"/>
      <w:marLeft w:val="0"/>
      <w:marRight w:val="0"/>
      <w:marTop w:val="0"/>
      <w:marBottom w:val="0"/>
      <w:divBdr>
        <w:top w:val="none" w:sz="0" w:space="0" w:color="auto"/>
        <w:left w:val="none" w:sz="0" w:space="0" w:color="auto"/>
        <w:bottom w:val="none" w:sz="0" w:space="0" w:color="auto"/>
        <w:right w:val="none" w:sz="0" w:space="0" w:color="auto"/>
      </w:divBdr>
    </w:div>
    <w:div w:id="530724309">
      <w:bodyDiv w:val="1"/>
      <w:marLeft w:val="0"/>
      <w:marRight w:val="0"/>
      <w:marTop w:val="0"/>
      <w:marBottom w:val="0"/>
      <w:divBdr>
        <w:top w:val="none" w:sz="0" w:space="0" w:color="auto"/>
        <w:left w:val="none" w:sz="0" w:space="0" w:color="auto"/>
        <w:bottom w:val="none" w:sz="0" w:space="0" w:color="auto"/>
        <w:right w:val="none" w:sz="0" w:space="0" w:color="auto"/>
      </w:divBdr>
    </w:div>
    <w:div w:id="655761805">
      <w:bodyDiv w:val="1"/>
      <w:marLeft w:val="0"/>
      <w:marRight w:val="0"/>
      <w:marTop w:val="0"/>
      <w:marBottom w:val="0"/>
      <w:divBdr>
        <w:top w:val="none" w:sz="0" w:space="0" w:color="auto"/>
        <w:left w:val="none" w:sz="0" w:space="0" w:color="auto"/>
        <w:bottom w:val="none" w:sz="0" w:space="0" w:color="auto"/>
        <w:right w:val="none" w:sz="0" w:space="0" w:color="auto"/>
      </w:divBdr>
    </w:div>
    <w:div w:id="753749055">
      <w:bodyDiv w:val="1"/>
      <w:marLeft w:val="0"/>
      <w:marRight w:val="0"/>
      <w:marTop w:val="0"/>
      <w:marBottom w:val="0"/>
      <w:divBdr>
        <w:top w:val="none" w:sz="0" w:space="0" w:color="auto"/>
        <w:left w:val="none" w:sz="0" w:space="0" w:color="auto"/>
        <w:bottom w:val="none" w:sz="0" w:space="0" w:color="auto"/>
        <w:right w:val="none" w:sz="0" w:space="0" w:color="auto"/>
      </w:divBdr>
    </w:div>
    <w:div w:id="768503334">
      <w:bodyDiv w:val="1"/>
      <w:marLeft w:val="0"/>
      <w:marRight w:val="0"/>
      <w:marTop w:val="0"/>
      <w:marBottom w:val="0"/>
      <w:divBdr>
        <w:top w:val="none" w:sz="0" w:space="0" w:color="auto"/>
        <w:left w:val="none" w:sz="0" w:space="0" w:color="auto"/>
        <w:bottom w:val="none" w:sz="0" w:space="0" w:color="auto"/>
        <w:right w:val="none" w:sz="0" w:space="0" w:color="auto"/>
      </w:divBdr>
    </w:div>
    <w:div w:id="813989578">
      <w:bodyDiv w:val="1"/>
      <w:marLeft w:val="0"/>
      <w:marRight w:val="0"/>
      <w:marTop w:val="0"/>
      <w:marBottom w:val="0"/>
      <w:divBdr>
        <w:top w:val="none" w:sz="0" w:space="0" w:color="auto"/>
        <w:left w:val="none" w:sz="0" w:space="0" w:color="auto"/>
        <w:bottom w:val="none" w:sz="0" w:space="0" w:color="auto"/>
        <w:right w:val="none" w:sz="0" w:space="0" w:color="auto"/>
      </w:divBdr>
    </w:div>
    <w:div w:id="823157496">
      <w:bodyDiv w:val="1"/>
      <w:marLeft w:val="0"/>
      <w:marRight w:val="0"/>
      <w:marTop w:val="0"/>
      <w:marBottom w:val="0"/>
      <w:divBdr>
        <w:top w:val="none" w:sz="0" w:space="0" w:color="auto"/>
        <w:left w:val="none" w:sz="0" w:space="0" w:color="auto"/>
        <w:bottom w:val="none" w:sz="0" w:space="0" w:color="auto"/>
        <w:right w:val="none" w:sz="0" w:space="0" w:color="auto"/>
      </w:divBdr>
    </w:div>
    <w:div w:id="848837653">
      <w:bodyDiv w:val="1"/>
      <w:marLeft w:val="0"/>
      <w:marRight w:val="0"/>
      <w:marTop w:val="0"/>
      <w:marBottom w:val="0"/>
      <w:divBdr>
        <w:top w:val="none" w:sz="0" w:space="0" w:color="auto"/>
        <w:left w:val="none" w:sz="0" w:space="0" w:color="auto"/>
        <w:bottom w:val="none" w:sz="0" w:space="0" w:color="auto"/>
        <w:right w:val="none" w:sz="0" w:space="0" w:color="auto"/>
      </w:divBdr>
    </w:div>
    <w:div w:id="942691196">
      <w:bodyDiv w:val="1"/>
      <w:marLeft w:val="0"/>
      <w:marRight w:val="0"/>
      <w:marTop w:val="0"/>
      <w:marBottom w:val="0"/>
      <w:divBdr>
        <w:top w:val="none" w:sz="0" w:space="0" w:color="auto"/>
        <w:left w:val="none" w:sz="0" w:space="0" w:color="auto"/>
        <w:bottom w:val="none" w:sz="0" w:space="0" w:color="auto"/>
        <w:right w:val="none" w:sz="0" w:space="0" w:color="auto"/>
      </w:divBdr>
    </w:div>
    <w:div w:id="975918461">
      <w:bodyDiv w:val="1"/>
      <w:marLeft w:val="0"/>
      <w:marRight w:val="0"/>
      <w:marTop w:val="0"/>
      <w:marBottom w:val="0"/>
      <w:divBdr>
        <w:top w:val="none" w:sz="0" w:space="0" w:color="auto"/>
        <w:left w:val="none" w:sz="0" w:space="0" w:color="auto"/>
        <w:bottom w:val="none" w:sz="0" w:space="0" w:color="auto"/>
        <w:right w:val="none" w:sz="0" w:space="0" w:color="auto"/>
      </w:divBdr>
    </w:div>
    <w:div w:id="1077942580">
      <w:bodyDiv w:val="1"/>
      <w:marLeft w:val="0"/>
      <w:marRight w:val="0"/>
      <w:marTop w:val="0"/>
      <w:marBottom w:val="0"/>
      <w:divBdr>
        <w:top w:val="none" w:sz="0" w:space="0" w:color="auto"/>
        <w:left w:val="none" w:sz="0" w:space="0" w:color="auto"/>
        <w:bottom w:val="none" w:sz="0" w:space="0" w:color="auto"/>
        <w:right w:val="none" w:sz="0" w:space="0" w:color="auto"/>
      </w:divBdr>
    </w:div>
    <w:div w:id="1105030537">
      <w:bodyDiv w:val="1"/>
      <w:marLeft w:val="0"/>
      <w:marRight w:val="0"/>
      <w:marTop w:val="0"/>
      <w:marBottom w:val="0"/>
      <w:divBdr>
        <w:top w:val="none" w:sz="0" w:space="0" w:color="auto"/>
        <w:left w:val="none" w:sz="0" w:space="0" w:color="auto"/>
        <w:bottom w:val="none" w:sz="0" w:space="0" w:color="auto"/>
        <w:right w:val="none" w:sz="0" w:space="0" w:color="auto"/>
      </w:divBdr>
    </w:div>
    <w:div w:id="1124497220">
      <w:bodyDiv w:val="1"/>
      <w:marLeft w:val="0"/>
      <w:marRight w:val="0"/>
      <w:marTop w:val="0"/>
      <w:marBottom w:val="0"/>
      <w:divBdr>
        <w:top w:val="none" w:sz="0" w:space="0" w:color="auto"/>
        <w:left w:val="none" w:sz="0" w:space="0" w:color="auto"/>
        <w:bottom w:val="none" w:sz="0" w:space="0" w:color="auto"/>
        <w:right w:val="none" w:sz="0" w:space="0" w:color="auto"/>
      </w:divBdr>
    </w:div>
    <w:div w:id="1135829389">
      <w:bodyDiv w:val="1"/>
      <w:marLeft w:val="0"/>
      <w:marRight w:val="0"/>
      <w:marTop w:val="0"/>
      <w:marBottom w:val="0"/>
      <w:divBdr>
        <w:top w:val="none" w:sz="0" w:space="0" w:color="auto"/>
        <w:left w:val="none" w:sz="0" w:space="0" w:color="auto"/>
        <w:bottom w:val="none" w:sz="0" w:space="0" w:color="auto"/>
        <w:right w:val="none" w:sz="0" w:space="0" w:color="auto"/>
      </w:divBdr>
    </w:div>
    <w:div w:id="1150244333">
      <w:bodyDiv w:val="1"/>
      <w:marLeft w:val="0"/>
      <w:marRight w:val="0"/>
      <w:marTop w:val="0"/>
      <w:marBottom w:val="0"/>
      <w:divBdr>
        <w:top w:val="none" w:sz="0" w:space="0" w:color="auto"/>
        <w:left w:val="none" w:sz="0" w:space="0" w:color="auto"/>
        <w:bottom w:val="none" w:sz="0" w:space="0" w:color="auto"/>
        <w:right w:val="none" w:sz="0" w:space="0" w:color="auto"/>
      </w:divBdr>
    </w:div>
    <w:div w:id="1169711821">
      <w:bodyDiv w:val="1"/>
      <w:marLeft w:val="0"/>
      <w:marRight w:val="0"/>
      <w:marTop w:val="0"/>
      <w:marBottom w:val="0"/>
      <w:divBdr>
        <w:top w:val="none" w:sz="0" w:space="0" w:color="auto"/>
        <w:left w:val="none" w:sz="0" w:space="0" w:color="auto"/>
        <w:bottom w:val="none" w:sz="0" w:space="0" w:color="auto"/>
        <w:right w:val="none" w:sz="0" w:space="0" w:color="auto"/>
      </w:divBdr>
    </w:div>
    <w:div w:id="1197087727">
      <w:bodyDiv w:val="1"/>
      <w:marLeft w:val="0"/>
      <w:marRight w:val="0"/>
      <w:marTop w:val="0"/>
      <w:marBottom w:val="0"/>
      <w:divBdr>
        <w:top w:val="none" w:sz="0" w:space="0" w:color="auto"/>
        <w:left w:val="none" w:sz="0" w:space="0" w:color="auto"/>
        <w:bottom w:val="none" w:sz="0" w:space="0" w:color="auto"/>
        <w:right w:val="none" w:sz="0" w:space="0" w:color="auto"/>
      </w:divBdr>
    </w:div>
    <w:div w:id="1243762364">
      <w:bodyDiv w:val="1"/>
      <w:marLeft w:val="0"/>
      <w:marRight w:val="0"/>
      <w:marTop w:val="0"/>
      <w:marBottom w:val="0"/>
      <w:divBdr>
        <w:top w:val="none" w:sz="0" w:space="0" w:color="auto"/>
        <w:left w:val="none" w:sz="0" w:space="0" w:color="auto"/>
        <w:bottom w:val="none" w:sz="0" w:space="0" w:color="auto"/>
        <w:right w:val="none" w:sz="0" w:space="0" w:color="auto"/>
      </w:divBdr>
    </w:div>
    <w:div w:id="1281112492">
      <w:bodyDiv w:val="1"/>
      <w:marLeft w:val="0"/>
      <w:marRight w:val="0"/>
      <w:marTop w:val="0"/>
      <w:marBottom w:val="0"/>
      <w:divBdr>
        <w:top w:val="none" w:sz="0" w:space="0" w:color="auto"/>
        <w:left w:val="none" w:sz="0" w:space="0" w:color="auto"/>
        <w:bottom w:val="none" w:sz="0" w:space="0" w:color="auto"/>
        <w:right w:val="none" w:sz="0" w:space="0" w:color="auto"/>
      </w:divBdr>
    </w:div>
    <w:div w:id="1520270960">
      <w:bodyDiv w:val="1"/>
      <w:marLeft w:val="0"/>
      <w:marRight w:val="0"/>
      <w:marTop w:val="0"/>
      <w:marBottom w:val="0"/>
      <w:divBdr>
        <w:top w:val="none" w:sz="0" w:space="0" w:color="auto"/>
        <w:left w:val="none" w:sz="0" w:space="0" w:color="auto"/>
        <w:bottom w:val="none" w:sz="0" w:space="0" w:color="auto"/>
        <w:right w:val="none" w:sz="0" w:space="0" w:color="auto"/>
      </w:divBdr>
    </w:div>
    <w:div w:id="1536498728">
      <w:bodyDiv w:val="1"/>
      <w:marLeft w:val="0"/>
      <w:marRight w:val="0"/>
      <w:marTop w:val="0"/>
      <w:marBottom w:val="0"/>
      <w:divBdr>
        <w:top w:val="none" w:sz="0" w:space="0" w:color="auto"/>
        <w:left w:val="none" w:sz="0" w:space="0" w:color="auto"/>
        <w:bottom w:val="none" w:sz="0" w:space="0" w:color="auto"/>
        <w:right w:val="none" w:sz="0" w:space="0" w:color="auto"/>
      </w:divBdr>
    </w:div>
    <w:div w:id="1589727902">
      <w:bodyDiv w:val="1"/>
      <w:marLeft w:val="0"/>
      <w:marRight w:val="0"/>
      <w:marTop w:val="0"/>
      <w:marBottom w:val="0"/>
      <w:divBdr>
        <w:top w:val="none" w:sz="0" w:space="0" w:color="auto"/>
        <w:left w:val="none" w:sz="0" w:space="0" w:color="auto"/>
        <w:bottom w:val="none" w:sz="0" w:space="0" w:color="auto"/>
        <w:right w:val="none" w:sz="0" w:space="0" w:color="auto"/>
      </w:divBdr>
    </w:div>
    <w:div w:id="1631932483">
      <w:bodyDiv w:val="1"/>
      <w:marLeft w:val="0"/>
      <w:marRight w:val="0"/>
      <w:marTop w:val="0"/>
      <w:marBottom w:val="0"/>
      <w:divBdr>
        <w:top w:val="none" w:sz="0" w:space="0" w:color="auto"/>
        <w:left w:val="none" w:sz="0" w:space="0" w:color="auto"/>
        <w:bottom w:val="none" w:sz="0" w:space="0" w:color="auto"/>
        <w:right w:val="none" w:sz="0" w:space="0" w:color="auto"/>
      </w:divBdr>
    </w:div>
    <w:div w:id="1702824750">
      <w:bodyDiv w:val="1"/>
      <w:marLeft w:val="0"/>
      <w:marRight w:val="0"/>
      <w:marTop w:val="0"/>
      <w:marBottom w:val="0"/>
      <w:divBdr>
        <w:top w:val="none" w:sz="0" w:space="0" w:color="auto"/>
        <w:left w:val="none" w:sz="0" w:space="0" w:color="auto"/>
        <w:bottom w:val="none" w:sz="0" w:space="0" w:color="auto"/>
        <w:right w:val="none" w:sz="0" w:space="0" w:color="auto"/>
      </w:divBdr>
    </w:div>
    <w:div w:id="1860393563">
      <w:bodyDiv w:val="1"/>
      <w:marLeft w:val="0"/>
      <w:marRight w:val="0"/>
      <w:marTop w:val="0"/>
      <w:marBottom w:val="0"/>
      <w:divBdr>
        <w:top w:val="none" w:sz="0" w:space="0" w:color="auto"/>
        <w:left w:val="none" w:sz="0" w:space="0" w:color="auto"/>
        <w:bottom w:val="none" w:sz="0" w:space="0" w:color="auto"/>
        <w:right w:val="none" w:sz="0" w:space="0" w:color="auto"/>
      </w:divBdr>
    </w:div>
    <w:div w:id="1980644839">
      <w:bodyDiv w:val="1"/>
      <w:marLeft w:val="0"/>
      <w:marRight w:val="0"/>
      <w:marTop w:val="0"/>
      <w:marBottom w:val="0"/>
      <w:divBdr>
        <w:top w:val="none" w:sz="0" w:space="0" w:color="auto"/>
        <w:left w:val="none" w:sz="0" w:space="0" w:color="auto"/>
        <w:bottom w:val="none" w:sz="0" w:space="0" w:color="auto"/>
        <w:right w:val="none" w:sz="0" w:space="0" w:color="auto"/>
      </w:divBdr>
    </w:div>
    <w:div w:id="2010208546">
      <w:bodyDiv w:val="1"/>
      <w:marLeft w:val="0"/>
      <w:marRight w:val="0"/>
      <w:marTop w:val="0"/>
      <w:marBottom w:val="0"/>
      <w:divBdr>
        <w:top w:val="none" w:sz="0" w:space="0" w:color="auto"/>
        <w:left w:val="none" w:sz="0" w:space="0" w:color="auto"/>
        <w:bottom w:val="none" w:sz="0" w:space="0" w:color="auto"/>
        <w:right w:val="none" w:sz="0" w:space="0" w:color="auto"/>
      </w:divBdr>
    </w:div>
    <w:div w:id="2010675407">
      <w:bodyDiv w:val="1"/>
      <w:marLeft w:val="0"/>
      <w:marRight w:val="0"/>
      <w:marTop w:val="0"/>
      <w:marBottom w:val="0"/>
      <w:divBdr>
        <w:top w:val="none" w:sz="0" w:space="0" w:color="auto"/>
        <w:left w:val="none" w:sz="0" w:space="0" w:color="auto"/>
        <w:bottom w:val="none" w:sz="0" w:space="0" w:color="auto"/>
        <w:right w:val="none" w:sz="0" w:space="0" w:color="auto"/>
      </w:divBdr>
    </w:div>
    <w:div w:id="2070224777">
      <w:bodyDiv w:val="1"/>
      <w:marLeft w:val="0"/>
      <w:marRight w:val="0"/>
      <w:marTop w:val="0"/>
      <w:marBottom w:val="0"/>
      <w:divBdr>
        <w:top w:val="none" w:sz="0" w:space="0" w:color="auto"/>
        <w:left w:val="none" w:sz="0" w:space="0" w:color="auto"/>
        <w:bottom w:val="none" w:sz="0" w:space="0" w:color="auto"/>
        <w:right w:val="none" w:sz="0" w:space="0" w:color="auto"/>
      </w:divBdr>
    </w:div>
    <w:div w:id="21393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eliyon.2022.e09228" TargetMode="External"/><Relationship Id="rId13" Type="http://schemas.openxmlformats.org/officeDocument/2006/relationships/hyperlink" Target="https://doi.org/10.1016/j.cliser.2022.100287" TargetMode="External"/><Relationship Id="rId18" Type="http://schemas.openxmlformats.org/officeDocument/2006/relationships/hyperlink" Target="https://doi.org/10.1016/j.agsy.2016.05.00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censusindia.gov.in" TargetMode="External"/><Relationship Id="rId12" Type="http://schemas.openxmlformats.org/officeDocument/2006/relationships/hyperlink" Target="https://doi.org/10.1016/j.jclepro.2020.125161" TargetMode="External"/><Relationship Id="rId17" Type="http://schemas.openxmlformats.org/officeDocument/2006/relationships/hyperlink" Target="https://doi.org/10.1016/j.wre.2020.10017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16/j.heliyon.2021.e0665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40003-020-00533-9"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2/aepp.13123" TargetMode="External"/><Relationship Id="rId23" Type="http://schemas.openxmlformats.org/officeDocument/2006/relationships/footer" Target="footer2.xml"/><Relationship Id="rId10" Type="http://schemas.openxmlformats.org/officeDocument/2006/relationships/hyperlink" Target="https://doi.org/10.4314/gjg.v12i1.2" TargetMode="External"/><Relationship Id="rId19" Type="http://schemas.openxmlformats.org/officeDocument/2006/relationships/hyperlink" Target="https://doi.org/10.1038/s41598-020-79883-x" TargetMode="External"/><Relationship Id="rId4" Type="http://schemas.openxmlformats.org/officeDocument/2006/relationships/webSettings" Target="webSettings.xml"/><Relationship Id="rId9" Type="http://schemas.openxmlformats.org/officeDocument/2006/relationships/hyperlink" Target="https://doi.org/10.1111/1477-8947.12152" TargetMode="External"/><Relationship Id="rId14" Type="http://schemas.openxmlformats.org/officeDocument/2006/relationships/hyperlink" Target="https://doi.org/10.1007/978-3-030-45106-6_1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2776</TotalTime>
  <Pages>5</Pages>
  <Words>2997</Words>
  <Characters>18142</Characters>
  <Application>Microsoft Office Word</Application>
  <DocSecurity>0</DocSecurity>
  <Lines>432</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 Ruchi</dc:creator>
  <cp:keywords/>
  <dc:description/>
  <cp:lastModifiedBy>Ruchi Ruchi</cp:lastModifiedBy>
  <cp:revision>555</cp:revision>
  <dcterms:created xsi:type="dcterms:W3CDTF">2023-12-29T14:42:00Z</dcterms:created>
  <dcterms:modified xsi:type="dcterms:W3CDTF">2025-06-30T09:15:00Z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8ee3688a291bf12a9cbff54453993094d1d5e377ffd071bc80ea314328830d71</vt:lpwstr>
  </property>
</Properties>
</file>