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B7846" w14:textId="77777777" w:rsidR="00CE0B1B" w:rsidRDefault="00FF4B67">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Original Research Article</w:t>
      </w:r>
    </w:p>
    <w:p w14:paraId="4A120A3E" w14:textId="77777777" w:rsidR="00CE0B1B" w:rsidRDefault="00FF4B67">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Bio-efficacy of ethanol based botanical extracts against </w:t>
      </w:r>
      <w:r>
        <w:rPr>
          <w:rFonts w:ascii="Times New Roman" w:hAnsi="Times New Roman" w:cs="Times New Roman"/>
          <w:b/>
          <w:bCs/>
          <w:i/>
          <w:iCs/>
          <w:sz w:val="24"/>
          <w:szCs w:val="24"/>
        </w:rPr>
        <w:t xml:space="preserve">Bipolaris maydis </w:t>
      </w:r>
      <w:r>
        <w:rPr>
          <w:rFonts w:ascii="Times New Roman" w:hAnsi="Times New Roman" w:cs="Times New Roman"/>
          <w:b/>
          <w:bCs/>
          <w:sz w:val="24"/>
          <w:szCs w:val="24"/>
        </w:rPr>
        <w:t>causing Maydis Leaf Blight in Maize (</w:t>
      </w:r>
      <w:r>
        <w:rPr>
          <w:rFonts w:ascii="Times New Roman" w:hAnsi="Times New Roman" w:cs="Times New Roman"/>
          <w:b/>
          <w:bCs/>
          <w:i/>
          <w:iCs/>
          <w:sz w:val="24"/>
          <w:szCs w:val="24"/>
        </w:rPr>
        <w:t xml:space="preserve">Zea mays </w:t>
      </w:r>
      <w:r>
        <w:rPr>
          <w:rFonts w:ascii="Times New Roman" w:hAnsi="Times New Roman" w:cs="Times New Roman"/>
          <w:b/>
          <w:bCs/>
          <w:sz w:val="24"/>
          <w:szCs w:val="24"/>
        </w:rPr>
        <w:t>L.)</w:t>
      </w:r>
    </w:p>
    <w:p w14:paraId="311FCD2F" w14:textId="77777777" w:rsidR="00CE0B1B" w:rsidRDefault="00CE0B1B">
      <w:pPr>
        <w:spacing w:after="0" w:line="240" w:lineRule="auto"/>
        <w:jc w:val="center"/>
        <w:rPr>
          <w:rFonts w:ascii="Times New Roman" w:hAnsi="Times New Roman" w:cs="Times New Roman"/>
          <w:b/>
          <w:bCs/>
          <w:i/>
          <w:iCs/>
          <w:sz w:val="24"/>
          <w:szCs w:val="24"/>
        </w:rPr>
      </w:pPr>
    </w:p>
    <w:p w14:paraId="2C0F43B1" w14:textId="77777777" w:rsidR="00CE0B1B" w:rsidRDefault="00FF4B67">
      <w:pPr>
        <w:pStyle w:val="Default"/>
        <w:spacing w:after="240"/>
        <w:rPr>
          <w:b/>
          <w:bCs/>
          <w:sz w:val="22"/>
          <w:szCs w:val="22"/>
        </w:rPr>
      </w:pPr>
      <w:r>
        <w:rPr>
          <w:b/>
          <w:bCs/>
          <w:sz w:val="22"/>
          <w:szCs w:val="22"/>
        </w:rPr>
        <w:t>ABSTRACT</w:t>
      </w:r>
    </w:p>
    <w:p w14:paraId="60A498F1" w14:textId="4C22B9E9" w:rsidR="00CE0B1B" w:rsidRDefault="00FF4B67">
      <w:pPr>
        <w:spacing w:after="0" w:line="360" w:lineRule="auto"/>
        <w:ind w:firstLine="720"/>
        <w:jc w:val="both"/>
        <w:rPr>
          <w:rFonts w:ascii="Arial" w:hAnsi="Arial" w:cs="Arial"/>
        </w:rPr>
      </w:pPr>
      <w:r>
        <w:rPr>
          <w:rFonts w:ascii="Arial" w:hAnsi="Arial" w:cs="Arial"/>
        </w:rPr>
        <w:t xml:space="preserve">Maydis leaf blight of maize caused by </w:t>
      </w:r>
      <w:r>
        <w:rPr>
          <w:rFonts w:ascii="Arial" w:hAnsi="Arial" w:cs="Arial"/>
          <w:i/>
          <w:iCs/>
        </w:rPr>
        <w:t xml:space="preserve">Bipolaris maydis </w:t>
      </w:r>
      <w:r>
        <w:rPr>
          <w:rFonts w:ascii="Arial" w:hAnsi="Arial" w:cs="Arial"/>
        </w:rPr>
        <w:t xml:space="preserve">has been observed as an alarming problem in maize growing regions </w:t>
      </w:r>
      <w:r>
        <w:rPr>
          <w:rFonts w:ascii="Arial" w:hAnsi="Arial" w:cs="Arial"/>
          <w:shd w:val="clear" w:color="auto" w:fill="FFFFFF"/>
        </w:rPr>
        <w:t>leading to significant damage to crop and ultimately reducing grain yield production</w:t>
      </w:r>
      <w:r>
        <w:rPr>
          <w:rFonts w:ascii="Arial" w:hAnsi="Arial" w:cs="Arial"/>
        </w:rPr>
        <w:t xml:space="preserve">. </w:t>
      </w:r>
      <w:r>
        <w:rPr>
          <w:rFonts w:ascii="Arial" w:hAnsi="Arial" w:cs="Arial"/>
          <w:shd w:val="clear" w:color="auto" w:fill="FFFFFF"/>
        </w:rPr>
        <w:t xml:space="preserve">This disease is most prevalent under humid and warm maize-growing areas worldwide. </w:t>
      </w:r>
      <w:r>
        <w:rPr>
          <w:rFonts w:ascii="Arial" w:hAnsi="Arial" w:cs="Arial"/>
        </w:rPr>
        <w:t xml:space="preserve">The alcoholic leaf extracts of four plants </w:t>
      </w:r>
      <w:r>
        <w:rPr>
          <w:rFonts w:ascii="Arial" w:hAnsi="Arial" w:cs="Arial"/>
          <w:i/>
          <w:iCs/>
        </w:rPr>
        <w:t>viz</w:t>
      </w:r>
      <w:r>
        <w:rPr>
          <w:rFonts w:ascii="Arial" w:hAnsi="Arial" w:cs="Arial"/>
        </w:rPr>
        <w:t xml:space="preserve">., </w:t>
      </w:r>
      <w:r>
        <w:rPr>
          <w:rFonts w:ascii="Arial" w:hAnsi="Arial" w:cs="Arial"/>
          <w:i/>
          <w:iCs/>
        </w:rPr>
        <w:t xml:space="preserve">Ageratum conyzoides, </w:t>
      </w:r>
      <w:r>
        <w:rPr>
          <w:rFonts w:ascii="Arial" w:hAnsi="Arial" w:cs="Arial"/>
          <w:i/>
          <w:iCs/>
          <w:color w:val="000000"/>
        </w:rPr>
        <w:t>Lantana camera</w:t>
      </w:r>
      <w:r>
        <w:rPr>
          <w:rFonts w:ascii="Arial" w:hAnsi="Arial" w:cs="Arial"/>
          <w:i/>
          <w:iCs/>
        </w:rPr>
        <w:t>, Eucalyptus</w:t>
      </w:r>
      <w:r w:rsidRPr="008C0BB3">
        <w:rPr>
          <w:rFonts w:ascii="Arial" w:hAnsi="Arial" w:cs="Arial"/>
          <w:i/>
          <w:iCs/>
        </w:rPr>
        <w:t xml:space="preserve"> </w:t>
      </w:r>
      <w:r w:rsidR="008C0BB3" w:rsidRPr="008C0BB3">
        <w:rPr>
          <w:rFonts w:ascii="Arial" w:hAnsi="Arial" w:cs="Arial"/>
          <w:i/>
          <w:iCs/>
        </w:rPr>
        <w:t>globulus</w:t>
      </w:r>
      <w:r>
        <w:rPr>
          <w:rFonts w:ascii="Arial" w:hAnsi="Arial" w:cs="Arial"/>
        </w:rPr>
        <w:t xml:space="preserve"> and </w:t>
      </w:r>
      <w:r>
        <w:rPr>
          <w:rFonts w:ascii="Arial" w:hAnsi="Arial" w:cs="Arial"/>
          <w:i/>
          <w:iCs/>
          <w:color w:val="000000"/>
        </w:rPr>
        <w:t>Melia azedarach</w:t>
      </w:r>
      <w:r>
        <w:rPr>
          <w:rFonts w:ascii="Arial" w:hAnsi="Arial" w:cs="Arial"/>
          <w:color w:val="000000"/>
          <w:kern w:val="0"/>
        </w:rPr>
        <w:t xml:space="preserve"> </w:t>
      </w:r>
      <w:r>
        <w:rPr>
          <w:rFonts w:ascii="Arial" w:hAnsi="Arial" w:cs="Arial"/>
        </w:rPr>
        <w:t xml:space="preserve">were evaluated at different concentrations for their efficacy against </w:t>
      </w:r>
      <w:r>
        <w:rPr>
          <w:rFonts w:ascii="Arial" w:hAnsi="Arial" w:cs="Arial"/>
          <w:i/>
          <w:iCs/>
        </w:rPr>
        <w:t xml:space="preserve">B. maydis </w:t>
      </w:r>
      <w:r>
        <w:rPr>
          <w:rFonts w:ascii="Arial" w:hAnsi="Arial" w:cs="Arial"/>
        </w:rPr>
        <w:t xml:space="preserve">under </w:t>
      </w:r>
      <w:r>
        <w:rPr>
          <w:rFonts w:ascii="Arial" w:hAnsi="Arial" w:cs="Arial"/>
          <w:i/>
          <w:iCs/>
        </w:rPr>
        <w:t xml:space="preserve">in vitro </w:t>
      </w:r>
      <w:r>
        <w:rPr>
          <w:rFonts w:ascii="Arial" w:hAnsi="Arial" w:cs="Arial"/>
        </w:rPr>
        <w:t>conditions</w:t>
      </w:r>
      <w:r>
        <w:rPr>
          <w:rFonts w:ascii="Arial" w:hAnsi="Arial" w:cs="Arial"/>
          <w:i/>
          <w:iCs/>
        </w:rPr>
        <w:t xml:space="preserve">. </w:t>
      </w:r>
      <w:r>
        <w:rPr>
          <w:rFonts w:ascii="Arial" w:hAnsi="Arial" w:cs="Arial"/>
        </w:rPr>
        <w:t xml:space="preserve">Among all extracts, </w:t>
      </w:r>
      <w:r>
        <w:rPr>
          <w:rFonts w:ascii="Arial" w:hAnsi="Arial" w:cs="Arial"/>
          <w:i/>
          <w:iCs/>
          <w:color w:val="000000"/>
        </w:rPr>
        <w:t>Lantana camera</w:t>
      </w:r>
      <w:r>
        <w:rPr>
          <w:rFonts w:ascii="Arial" w:hAnsi="Arial" w:cs="Arial"/>
        </w:rPr>
        <w:t xml:space="preserve"> had maximum mycelial inhibition of 100 per cent followed by </w:t>
      </w:r>
      <w:r>
        <w:rPr>
          <w:rFonts w:ascii="Arial" w:hAnsi="Arial" w:cs="Arial"/>
          <w:i/>
          <w:iCs/>
        </w:rPr>
        <w:t xml:space="preserve">Eucalyptus </w:t>
      </w:r>
      <w:r w:rsidR="008C0BB3" w:rsidRPr="008C0BB3">
        <w:rPr>
          <w:rFonts w:ascii="Arial" w:hAnsi="Arial" w:cs="Arial"/>
          <w:i/>
          <w:iCs/>
        </w:rPr>
        <w:t>globulus</w:t>
      </w:r>
      <w:r>
        <w:rPr>
          <w:rFonts w:ascii="Arial" w:hAnsi="Arial" w:cs="Arial"/>
        </w:rPr>
        <w:t xml:space="preserve"> having 92.80 per cent of inhibition at 5 per cent test concentration, respectively. Thus, among all test botanicals, </w:t>
      </w:r>
      <w:r>
        <w:rPr>
          <w:rFonts w:ascii="Arial" w:hAnsi="Arial" w:cs="Arial"/>
          <w:i/>
          <w:iCs/>
          <w:color w:val="000000"/>
        </w:rPr>
        <w:t>Lantana camera</w:t>
      </w:r>
      <w:r>
        <w:rPr>
          <w:rFonts w:ascii="Arial" w:hAnsi="Arial" w:cs="Arial"/>
        </w:rPr>
        <w:t xml:space="preserve"> was found the most efficient against </w:t>
      </w:r>
      <w:r>
        <w:rPr>
          <w:rFonts w:ascii="Arial" w:hAnsi="Arial" w:cs="Arial"/>
          <w:i/>
          <w:iCs/>
        </w:rPr>
        <w:t>B. maydis</w:t>
      </w:r>
      <w:r>
        <w:rPr>
          <w:rFonts w:ascii="Arial" w:hAnsi="Arial" w:cs="Arial"/>
        </w:rPr>
        <w:t xml:space="preserve">. These findings suggest that </w:t>
      </w:r>
      <w:r>
        <w:rPr>
          <w:rFonts w:ascii="Arial" w:hAnsi="Arial" w:cs="Arial"/>
          <w:i/>
          <w:iCs/>
          <w:color w:val="000000"/>
        </w:rPr>
        <w:t>Lantana camera</w:t>
      </w:r>
      <w:r>
        <w:rPr>
          <w:rFonts w:ascii="Arial" w:hAnsi="Arial" w:cs="Arial"/>
        </w:rPr>
        <w:t xml:space="preserve"> extracts could be used as eco-friendly alternatives to control the maydis leaf blight of maize.</w:t>
      </w:r>
    </w:p>
    <w:p w14:paraId="258C45DF" w14:textId="77777777" w:rsidR="00CE0B1B" w:rsidRDefault="00FF4B67">
      <w:pPr>
        <w:spacing w:after="0" w:line="360" w:lineRule="auto"/>
        <w:jc w:val="both"/>
        <w:rPr>
          <w:rFonts w:ascii="Arial" w:hAnsi="Arial" w:cs="Arial"/>
          <w:b/>
          <w:bCs/>
        </w:rPr>
      </w:pPr>
      <w:r>
        <w:rPr>
          <w:rFonts w:ascii="Arial" w:hAnsi="Arial" w:cs="Arial"/>
          <w:b/>
          <w:bCs/>
        </w:rPr>
        <w:t xml:space="preserve">Keywords: </w:t>
      </w:r>
      <w:r>
        <w:rPr>
          <w:rFonts w:ascii="Arial" w:hAnsi="Arial" w:cs="Arial"/>
          <w:i/>
          <w:iCs/>
        </w:rPr>
        <w:t xml:space="preserve">Bipolaris maydis, </w:t>
      </w:r>
      <w:r>
        <w:rPr>
          <w:rFonts w:ascii="Arial" w:hAnsi="Arial" w:cs="Arial"/>
        </w:rPr>
        <w:t>maize, alcoholic botanicals, maydis leaf blight.</w:t>
      </w:r>
    </w:p>
    <w:p w14:paraId="11613A35" w14:textId="77777777" w:rsidR="00CE0B1B" w:rsidRDefault="00CE0B1B">
      <w:pPr>
        <w:spacing w:after="0" w:line="360" w:lineRule="auto"/>
        <w:jc w:val="both"/>
        <w:rPr>
          <w:rFonts w:ascii="Arial" w:hAnsi="Arial" w:cs="Arial"/>
          <w:b/>
          <w:bCs/>
        </w:rPr>
      </w:pPr>
    </w:p>
    <w:p w14:paraId="5A02AD96" w14:textId="77777777" w:rsidR="00CE0B1B" w:rsidRDefault="00FF4B67">
      <w:pPr>
        <w:pStyle w:val="ListParagraph"/>
        <w:numPr>
          <w:ilvl w:val="0"/>
          <w:numId w:val="10"/>
        </w:numPr>
        <w:spacing w:after="0" w:line="360" w:lineRule="auto"/>
        <w:ind w:left="180" w:hanging="270"/>
        <w:jc w:val="both"/>
        <w:rPr>
          <w:rFonts w:ascii="Arial" w:hAnsi="Arial" w:cs="Arial"/>
          <w:b/>
          <w:bCs/>
        </w:rPr>
      </w:pPr>
      <w:r>
        <w:rPr>
          <w:rFonts w:ascii="Arial" w:hAnsi="Arial" w:cs="Arial"/>
          <w:b/>
          <w:bCs/>
        </w:rPr>
        <w:t>INTRODUCTION</w:t>
      </w:r>
    </w:p>
    <w:p w14:paraId="33CA4562" w14:textId="77777777" w:rsidR="00CE0B1B" w:rsidRDefault="00FF4B67">
      <w:pPr>
        <w:spacing w:after="0" w:line="360" w:lineRule="auto"/>
        <w:ind w:firstLine="720"/>
        <w:jc w:val="both"/>
        <w:rPr>
          <w:rFonts w:ascii="Arial" w:hAnsi="Arial" w:cs="Arial"/>
          <w:sz w:val="20"/>
          <w:szCs w:val="20"/>
          <w:lang w:val="en-US"/>
        </w:rPr>
      </w:pPr>
      <w:r>
        <w:rPr>
          <w:rFonts w:ascii="Arial" w:hAnsi="Arial" w:cs="Arial"/>
          <w:sz w:val="20"/>
          <w:szCs w:val="20"/>
        </w:rPr>
        <w:t>Maize (</w:t>
      </w:r>
      <w:r>
        <w:rPr>
          <w:rFonts w:ascii="Arial" w:hAnsi="Arial" w:cs="Arial"/>
          <w:i/>
          <w:iCs/>
          <w:sz w:val="20"/>
          <w:szCs w:val="20"/>
        </w:rPr>
        <w:t xml:space="preserve">Zea mays </w:t>
      </w:r>
      <w:r>
        <w:rPr>
          <w:rFonts w:ascii="Arial" w:hAnsi="Arial" w:cs="Arial"/>
          <w:sz w:val="20"/>
          <w:szCs w:val="20"/>
        </w:rPr>
        <w:t>L.) is one of the most versatile emerging crops having wider adaptability under varied agro-climatic situations. In India, maize is known as the “Queen of Cereals” because it has the highest genetic yield capacity among cereals</w:t>
      </w:r>
      <w:bookmarkStart w:id="0" w:name="_Hlk182581843"/>
      <w:r>
        <w:rPr>
          <w:rFonts w:ascii="Arial" w:hAnsi="Arial" w:cs="Arial"/>
          <w:sz w:val="20"/>
          <w:szCs w:val="20"/>
        </w:rPr>
        <w:t xml:space="preserve"> and have many uses such as </w:t>
      </w:r>
      <w:r>
        <w:rPr>
          <w:rFonts w:ascii="Arial" w:hAnsi="Arial" w:cs="Arial"/>
          <w:sz w:val="20"/>
          <w:szCs w:val="20"/>
          <w:lang w:val="en-US"/>
        </w:rPr>
        <w:t>food (23%), feed (63%), starch industries (12%), seed and other purpose (2%)</w:t>
      </w:r>
      <w:r>
        <w:rPr>
          <w:rFonts w:ascii="Arial" w:hAnsi="Arial" w:cs="Arial"/>
          <w:sz w:val="20"/>
          <w:szCs w:val="20"/>
        </w:rPr>
        <w:t xml:space="preserve"> </w:t>
      </w:r>
      <w:r>
        <w:rPr>
          <w:rFonts w:ascii="Arial" w:hAnsi="Arial" w:cs="Arial"/>
          <w:color w:val="222222"/>
          <w:sz w:val="20"/>
          <w:szCs w:val="20"/>
          <w:shd w:val="clear" w:color="auto" w:fill="FFFFFF"/>
        </w:rPr>
        <w:t>(Manzar et al. 2022)</w:t>
      </w:r>
      <w:r>
        <w:rPr>
          <w:rFonts w:ascii="Arial" w:hAnsi="Arial" w:cs="Arial"/>
          <w:kern w:val="0"/>
          <w:sz w:val="20"/>
          <w:szCs w:val="20"/>
        </w:rPr>
        <w:t>.</w:t>
      </w:r>
      <w:bookmarkEnd w:id="0"/>
      <w:r>
        <w:rPr>
          <w:rFonts w:ascii="Arial" w:hAnsi="Arial" w:cs="Arial"/>
          <w:kern w:val="0"/>
          <w:sz w:val="20"/>
          <w:szCs w:val="20"/>
        </w:rPr>
        <w:t xml:space="preserve"> </w:t>
      </w:r>
      <w:r>
        <w:rPr>
          <w:rFonts w:ascii="Arial" w:hAnsi="Arial" w:cs="Arial"/>
          <w:sz w:val="20"/>
          <w:szCs w:val="20"/>
          <w:lang w:val="en-US"/>
        </w:rPr>
        <w:t xml:space="preserve">Two important amino acids i.e., lysine and tryptophan, are abundant in high-quality protein maize, which makes it crucial for improving the nutritional value of the daily diet </w:t>
      </w:r>
      <w:r>
        <w:rPr>
          <w:rFonts w:ascii="Arial" w:hAnsi="Arial" w:cs="Arial"/>
          <w:sz w:val="20"/>
          <w:szCs w:val="20"/>
        </w:rPr>
        <w:t xml:space="preserve">(Malik et al. 2018; Haque et al. 2022). Maize is one of the primary crops of choice for industrial usage because of its versatility in agro-ecological and climatic conditions. In India, maize is the third-most important food crop after rice and wheat (Bharti et al. 2020). </w:t>
      </w:r>
    </w:p>
    <w:p w14:paraId="71D49E09" w14:textId="26043B76" w:rsidR="00CE0B1B" w:rsidRDefault="00FF4B67">
      <w:pPr>
        <w:spacing w:after="0" w:line="360" w:lineRule="auto"/>
        <w:ind w:firstLine="720"/>
        <w:jc w:val="both"/>
        <w:rPr>
          <w:rFonts w:ascii="Arial" w:hAnsi="Arial" w:cs="Arial"/>
          <w:sz w:val="20"/>
          <w:szCs w:val="20"/>
          <w:lang w:val="en-US"/>
        </w:rPr>
      </w:pPr>
      <w:r>
        <w:rPr>
          <w:rFonts w:ascii="Arial" w:hAnsi="Arial" w:cs="Arial"/>
          <w:sz w:val="20"/>
          <w:szCs w:val="20"/>
          <w:lang w:val="en-US"/>
        </w:rPr>
        <w:t>In India, maize is cultivated over an area of 99</w:t>
      </w:r>
      <w:r w:rsidR="008F5691">
        <w:rPr>
          <w:rFonts w:ascii="Arial" w:hAnsi="Arial" w:cs="Arial"/>
          <w:sz w:val="20"/>
          <w:szCs w:val="20"/>
          <w:lang w:val="en-US"/>
        </w:rPr>
        <w:t>,</w:t>
      </w:r>
      <w:r>
        <w:rPr>
          <w:rFonts w:ascii="Arial" w:hAnsi="Arial" w:cs="Arial"/>
          <w:sz w:val="20"/>
          <w:szCs w:val="20"/>
          <w:lang w:val="en-US"/>
        </w:rPr>
        <w:t>57</w:t>
      </w:r>
      <w:r w:rsidR="008F5691">
        <w:rPr>
          <w:rFonts w:ascii="Arial" w:hAnsi="Arial" w:cs="Arial"/>
          <w:sz w:val="20"/>
          <w:szCs w:val="20"/>
          <w:lang w:val="en-US"/>
        </w:rPr>
        <w:t>,</w:t>
      </w:r>
      <w:r>
        <w:rPr>
          <w:rFonts w:ascii="Arial" w:hAnsi="Arial" w:cs="Arial"/>
          <w:sz w:val="20"/>
          <w:szCs w:val="20"/>
          <w:lang w:val="en-US"/>
        </w:rPr>
        <w:t xml:space="preserve">950 hectares, </w:t>
      </w:r>
      <w:r w:rsidR="008F5691">
        <w:rPr>
          <w:rFonts w:ascii="Arial" w:hAnsi="Arial" w:cs="Arial"/>
          <w:sz w:val="20"/>
          <w:szCs w:val="20"/>
          <w:lang w:val="en-US"/>
        </w:rPr>
        <w:t xml:space="preserve">with a </w:t>
      </w:r>
      <w:r>
        <w:rPr>
          <w:rFonts w:ascii="Arial" w:hAnsi="Arial" w:cs="Arial"/>
          <w:sz w:val="20"/>
          <w:szCs w:val="20"/>
          <w:lang w:val="en-US"/>
        </w:rPr>
        <w:t>production</w:t>
      </w:r>
      <w:r w:rsidR="008F5691">
        <w:rPr>
          <w:rFonts w:ascii="Arial" w:hAnsi="Arial" w:cs="Arial"/>
          <w:sz w:val="20"/>
          <w:szCs w:val="20"/>
          <w:lang w:val="en-US"/>
        </w:rPr>
        <w:t xml:space="preserve"> </w:t>
      </w:r>
      <w:r>
        <w:rPr>
          <w:rFonts w:ascii="Arial" w:hAnsi="Arial" w:cs="Arial"/>
          <w:sz w:val="20"/>
          <w:szCs w:val="20"/>
          <w:lang w:val="en-US"/>
        </w:rPr>
        <w:t>3</w:t>
      </w:r>
      <w:r w:rsidR="008F5691">
        <w:rPr>
          <w:rFonts w:ascii="Arial" w:hAnsi="Arial" w:cs="Arial"/>
          <w:sz w:val="20"/>
          <w:szCs w:val="20"/>
          <w:lang w:val="en-US"/>
        </w:rPr>
        <w:t>,</w:t>
      </w:r>
      <w:r>
        <w:rPr>
          <w:rFonts w:ascii="Arial" w:hAnsi="Arial" w:cs="Arial"/>
          <w:sz w:val="20"/>
          <w:szCs w:val="20"/>
          <w:lang w:val="en-US"/>
        </w:rPr>
        <w:t>37</w:t>
      </w:r>
      <w:r w:rsidR="008F5691">
        <w:rPr>
          <w:rFonts w:ascii="Arial" w:hAnsi="Arial" w:cs="Arial"/>
          <w:sz w:val="20"/>
          <w:szCs w:val="20"/>
          <w:lang w:val="en-US"/>
        </w:rPr>
        <w:t>,</w:t>
      </w:r>
      <w:r>
        <w:rPr>
          <w:rFonts w:ascii="Arial" w:hAnsi="Arial" w:cs="Arial"/>
          <w:sz w:val="20"/>
          <w:szCs w:val="20"/>
          <w:lang w:val="en-US"/>
        </w:rPr>
        <w:t>29</w:t>
      </w:r>
      <w:r w:rsidR="008F5691">
        <w:rPr>
          <w:rFonts w:ascii="Arial" w:hAnsi="Arial" w:cs="Arial"/>
          <w:sz w:val="20"/>
          <w:szCs w:val="20"/>
          <w:lang w:val="en-US"/>
        </w:rPr>
        <w:t>,</w:t>
      </w:r>
      <w:r>
        <w:rPr>
          <w:rFonts w:ascii="Arial" w:hAnsi="Arial" w:cs="Arial"/>
          <w:sz w:val="20"/>
          <w:szCs w:val="20"/>
          <w:lang w:val="en-US"/>
        </w:rPr>
        <w:t xml:space="preserve">540 tonnes </w:t>
      </w:r>
      <w:r w:rsidR="008F5691">
        <w:rPr>
          <w:rFonts w:ascii="Arial" w:hAnsi="Arial" w:cs="Arial"/>
          <w:sz w:val="20"/>
          <w:szCs w:val="20"/>
          <w:lang w:val="en-US"/>
        </w:rPr>
        <w:t xml:space="preserve">and </w:t>
      </w:r>
      <w:r>
        <w:rPr>
          <w:rFonts w:ascii="Arial" w:hAnsi="Arial" w:cs="Arial"/>
          <w:sz w:val="20"/>
          <w:szCs w:val="20"/>
          <w:lang w:val="en-US"/>
        </w:rPr>
        <w:t>productivity of 33</w:t>
      </w:r>
      <w:r w:rsidR="008F5691">
        <w:rPr>
          <w:rFonts w:ascii="Arial" w:hAnsi="Arial" w:cs="Arial"/>
          <w:sz w:val="20"/>
          <w:szCs w:val="20"/>
          <w:lang w:val="en-US"/>
        </w:rPr>
        <w:t>,</w:t>
      </w:r>
      <w:r>
        <w:rPr>
          <w:rFonts w:ascii="Arial" w:hAnsi="Arial" w:cs="Arial"/>
          <w:sz w:val="20"/>
          <w:szCs w:val="20"/>
          <w:lang w:val="en-US"/>
        </w:rPr>
        <w:t>872 kg/ha from diverse soil types, climates, biodiversity and management practices (</w:t>
      </w:r>
      <w:r>
        <w:rPr>
          <w:rFonts w:ascii="Arial" w:hAnsi="Arial" w:cs="Arial"/>
          <w:sz w:val="20"/>
          <w:szCs w:val="20"/>
        </w:rPr>
        <w:t>FAOSTAT, 2022a),</w:t>
      </w:r>
      <w:r>
        <w:rPr>
          <w:rFonts w:ascii="Arial" w:hAnsi="Arial" w:cs="Arial"/>
          <w:sz w:val="20"/>
          <w:szCs w:val="20"/>
          <w:lang w:val="en-US"/>
        </w:rPr>
        <w:t xml:space="preserve"> whereas, In Himachal Pradesh, maize is mainly cultivated during </w:t>
      </w:r>
      <w:r>
        <w:rPr>
          <w:rFonts w:ascii="Arial" w:hAnsi="Arial" w:cs="Arial"/>
          <w:i/>
          <w:iCs/>
          <w:sz w:val="20"/>
          <w:szCs w:val="20"/>
          <w:lang w:val="en-US"/>
        </w:rPr>
        <w:t xml:space="preserve">kharif </w:t>
      </w:r>
      <w:r>
        <w:rPr>
          <w:rFonts w:ascii="Arial" w:hAnsi="Arial" w:cs="Arial"/>
          <w:sz w:val="20"/>
          <w:szCs w:val="20"/>
          <w:lang w:val="en-US"/>
        </w:rPr>
        <w:t>season under an area of 255.54 thousand hectares with a production of 708.42 thousand metric tonnes and a productivity of 2772.24 kg/ha (</w:t>
      </w:r>
      <w:r>
        <w:rPr>
          <w:rFonts w:ascii="Arial" w:hAnsi="Arial" w:cs="Arial"/>
          <w:sz w:val="20"/>
          <w:szCs w:val="20"/>
        </w:rPr>
        <w:t>HPDOA, 2022b</w:t>
      </w:r>
      <w:r>
        <w:rPr>
          <w:rFonts w:ascii="Arial" w:hAnsi="Arial" w:cs="Arial"/>
          <w:sz w:val="20"/>
          <w:szCs w:val="20"/>
          <w:lang w:val="en-US"/>
        </w:rPr>
        <w:t>).</w:t>
      </w:r>
    </w:p>
    <w:p w14:paraId="04BFAC85" w14:textId="77777777" w:rsidR="00CE0B1B" w:rsidRDefault="00FF4B67">
      <w:pPr>
        <w:spacing w:after="0" w:line="360" w:lineRule="auto"/>
        <w:ind w:firstLine="720"/>
        <w:jc w:val="both"/>
        <w:rPr>
          <w:rFonts w:ascii="Arial" w:eastAsia="Times New Roman" w:hAnsi="Arial" w:cs="Arial"/>
          <w:kern w:val="0"/>
          <w:sz w:val="20"/>
          <w:szCs w:val="20"/>
          <w:lang w:eastAsia="en-IN"/>
          <w14:ligatures w14:val="none"/>
        </w:rPr>
      </w:pPr>
      <w:r>
        <w:rPr>
          <w:rFonts w:ascii="Arial" w:hAnsi="Arial" w:cs="Arial"/>
          <w:sz w:val="20"/>
          <w:szCs w:val="20"/>
        </w:rPr>
        <w:t xml:space="preserve">Amongst biotic stresses, </w:t>
      </w:r>
      <w:r>
        <w:rPr>
          <w:rFonts w:ascii="Arial" w:hAnsi="Arial" w:cs="Arial"/>
          <w:kern w:val="0"/>
          <w:sz w:val="20"/>
          <w:szCs w:val="20"/>
        </w:rPr>
        <w:t>Maydis Leaf Blight (MLB)</w:t>
      </w:r>
      <w:r>
        <w:rPr>
          <w:rFonts w:ascii="Arial" w:hAnsi="Arial" w:cs="Arial"/>
          <w:i/>
          <w:iCs/>
          <w:kern w:val="0"/>
          <w:sz w:val="20"/>
          <w:szCs w:val="20"/>
        </w:rPr>
        <w:t>,</w:t>
      </w:r>
      <w:r>
        <w:rPr>
          <w:rFonts w:ascii="Arial" w:hAnsi="Arial" w:cs="Arial"/>
          <w:kern w:val="0"/>
          <w:sz w:val="20"/>
          <w:szCs w:val="20"/>
        </w:rPr>
        <w:t xml:space="preserve"> caused by </w:t>
      </w:r>
      <w:r>
        <w:rPr>
          <w:rFonts w:ascii="Arial" w:hAnsi="Arial" w:cs="Arial"/>
          <w:i/>
          <w:iCs/>
          <w:kern w:val="0"/>
          <w:sz w:val="20"/>
          <w:szCs w:val="20"/>
        </w:rPr>
        <w:t>Bipolaris maydis</w:t>
      </w:r>
      <w:r>
        <w:rPr>
          <w:rFonts w:ascii="Arial" w:hAnsi="Arial" w:cs="Arial"/>
          <w:kern w:val="0"/>
          <w:sz w:val="20"/>
          <w:szCs w:val="20"/>
        </w:rPr>
        <w:t xml:space="preserve"> </w:t>
      </w:r>
      <w:r>
        <w:rPr>
          <w:rFonts w:ascii="Arial" w:hAnsi="Arial" w:cs="Arial"/>
          <w:sz w:val="20"/>
          <w:szCs w:val="20"/>
        </w:rPr>
        <w:t>(Nisik and Miyake)</w:t>
      </w:r>
      <w:r>
        <w:rPr>
          <w:rFonts w:ascii="Arial" w:hAnsi="Arial" w:cs="Arial"/>
          <w:kern w:val="0"/>
          <w:sz w:val="20"/>
          <w:szCs w:val="20"/>
        </w:rPr>
        <w:t xml:space="preserve"> Shoemaker, (telomorph: </w:t>
      </w:r>
      <w:r>
        <w:rPr>
          <w:rFonts w:ascii="Arial" w:hAnsi="Arial" w:cs="Arial"/>
          <w:i/>
          <w:iCs/>
          <w:kern w:val="0"/>
          <w:sz w:val="20"/>
          <w:szCs w:val="20"/>
        </w:rPr>
        <w:t>Cochliobolus</w:t>
      </w:r>
      <w:r>
        <w:rPr>
          <w:rFonts w:ascii="Arial" w:hAnsi="Arial" w:cs="Arial"/>
          <w:kern w:val="0"/>
          <w:sz w:val="20"/>
          <w:szCs w:val="20"/>
        </w:rPr>
        <w:t xml:space="preserve"> </w:t>
      </w:r>
      <w:r>
        <w:rPr>
          <w:rFonts w:ascii="Arial" w:hAnsi="Arial" w:cs="Arial"/>
          <w:i/>
          <w:iCs/>
          <w:kern w:val="0"/>
          <w:sz w:val="20"/>
          <w:szCs w:val="20"/>
        </w:rPr>
        <w:t>heterostrophus</w:t>
      </w:r>
      <w:r>
        <w:rPr>
          <w:rFonts w:ascii="Arial" w:hAnsi="Arial" w:cs="Arial"/>
          <w:kern w:val="0"/>
          <w:sz w:val="20"/>
          <w:szCs w:val="20"/>
        </w:rPr>
        <w:t xml:space="preserve">) is a serious fungal disease of maize throughout the world where maize is grown under humid and warm conditions </w:t>
      </w:r>
      <w:r>
        <w:rPr>
          <w:rFonts w:ascii="Arial" w:hAnsi="Arial" w:cs="Arial"/>
          <w:color w:val="222222"/>
          <w:sz w:val="20"/>
          <w:szCs w:val="20"/>
          <w:shd w:val="clear" w:color="auto" w:fill="FFFFFF"/>
        </w:rPr>
        <w:t>(Kutawa et al. 2021)</w:t>
      </w:r>
      <w:r>
        <w:rPr>
          <w:rFonts w:ascii="Arial" w:hAnsi="Arial" w:cs="Arial"/>
          <w:kern w:val="0"/>
          <w:sz w:val="20"/>
          <w:szCs w:val="20"/>
        </w:rPr>
        <w:t xml:space="preserve">. </w:t>
      </w:r>
      <w:r>
        <w:rPr>
          <w:rFonts w:ascii="Arial" w:hAnsi="Arial" w:cs="Arial"/>
          <w:sz w:val="20"/>
          <w:szCs w:val="20"/>
          <w:lang w:val="en-US"/>
        </w:rPr>
        <w:t xml:space="preserve">The disease is most common under warm, humid, temperate to tropical regions that have temperatures between 20 and 30°C throughout the cropping season </w:t>
      </w:r>
      <w:bookmarkStart w:id="1" w:name="_Hlk136874168"/>
      <w:r>
        <w:rPr>
          <w:rFonts w:ascii="Arial" w:hAnsi="Arial" w:cs="Arial"/>
          <w:sz w:val="20"/>
          <w:szCs w:val="20"/>
          <w:lang w:val="en-US"/>
        </w:rPr>
        <w:t xml:space="preserve">(Bharti et al. 2017; Chandra et al. 2020; </w:t>
      </w:r>
      <w:r>
        <w:rPr>
          <w:rFonts w:ascii="Arial" w:hAnsi="Arial" w:cs="Arial"/>
          <w:sz w:val="20"/>
          <w:szCs w:val="20"/>
          <w:lang w:val="en-US"/>
        </w:rPr>
        <w:lastRenderedPageBreak/>
        <w:t>Vanlalhruaia et al. 2022</w:t>
      </w:r>
      <w:bookmarkEnd w:id="1"/>
      <w:r>
        <w:rPr>
          <w:rFonts w:ascii="Arial" w:hAnsi="Arial" w:cs="Arial"/>
          <w:sz w:val="20"/>
          <w:szCs w:val="20"/>
          <w:lang w:val="en-US"/>
        </w:rPr>
        <w:t xml:space="preserve">). </w:t>
      </w:r>
      <w:r>
        <w:rPr>
          <w:rFonts w:ascii="Arial" w:eastAsia="Times New Roman" w:hAnsi="Arial" w:cs="Arial"/>
          <w:kern w:val="0"/>
          <w:sz w:val="20"/>
          <w:szCs w:val="20"/>
          <w:lang w:eastAsia="en-IN"/>
          <w14:ligatures w14:val="none"/>
        </w:rPr>
        <w:t xml:space="preserve">The disease has become well-known in India and has expanded throughout the plains, highlands and even certain areas of the peninsula (Kumar et al., 2022). </w:t>
      </w:r>
    </w:p>
    <w:p w14:paraId="484A177F" w14:textId="77777777" w:rsidR="00CE0B1B" w:rsidRDefault="00FF4B67">
      <w:pPr>
        <w:spacing w:after="0" w:line="360" w:lineRule="auto"/>
        <w:ind w:firstLine="720"/>
        <w:jc w:val="both"/>
        <w:rPr>
          <w:rFonts w:ascii="Arial" w:hAnsi="Arial" w:cs="Arial"/>
          <w:sz w:val="20"/>
          <w:szCs w:val="20"/>
        </w:rPr>
      </w:pPr>
      <w:r>
        <w:rPr>
          <w:rFonts w:ascii="Arial" w:hAnsi="Arial" w:cs="Arial"/>
          <w:sz w:val="20"/>
          <w:szCs w:val="20"/>
        </w:rPr>
        <w:t xml:space="preserve">Frequent use of fungicides for disease management results in adverse effect and has led to various problems. The heavy reliance on chemical fertilizers can negatively impact soil health, raise environmental concerns, and diminish economic returns due to the high costs of inputs (Chen et al. 2022). Kursa et al. (2022) evaluated four ethanolic plant extracts against genus </w:t>
      </w:r>
      <w:r>
        <w:rPr>
          <w:rFonts w:ascii="Arial" w:hAnsi="Arial" w:cs="Arial"/>
          <w:i/>
          <w:iCs/>
          <w:sz w:val="20"/>
          <w:szCs w:val="20"/>
        </w:rPr>
        <w:t xml:space="preserve">Fusarium, </w:t>
      </w:r>
      <w:r>
        <w:rPr>
          <w:rFonts w:ascii="Arial" w:hAnsi="Arial" w:cs="Arial"/>
          <w:sz w:val="20"/>
          <w:szCs w:val="20"/>
        </w:rPr>
        <w:t>a major cereal pathogen. The extracts were used at concentrations of 5, 10 and 20 per cent. Out of four different ethanolic botanicals, the extract of sage (</w:t>
      </w:r>
      <w:r>
        <w:rPr>
          <w:rFonts w:ascii="Arial" w:hAnsi="Arial" w:cs="Arial"/>
          <w:i/>
          <w:iCs/>
          <w:sz w:val="20"/>
          <w:szCs w:val="20"/>
        </w:rPr>
        <w:t xml:space="preserve">Salvia officinalis </w:t>
      </w:r>
      <w:r>
        <w:rPr>
          <w:rFonts w:ascii="Arial" w:hAnsi="Arial" w:cs="Arial"/>
          <w:sz w:val="20"/>
          <w:szCs w:val="20"/>
        </w:rPr>
        <w:t>L.) and tansy (</w:t>
      </w:r>
      <w:r>
        <w:rPr>
          <w:rFonts w:ascii="Arial" w:hAnsi="Arial" w:cs="Arial"/>
          <w:i/>
          <w:iCs/>
          <w:sz w:val="20"/>
          <w:szCs w:val="20"/>
        </w:rPr>
        <w:t xml:space="preserve">Tanacetum vulgare </w:t>
      </w:r>
      <w:r>
        <w:rPr>
          <w:rFonts w:ascii="Arial" w:hAnsi="Arial" w:cs="Arial"/>
          <w:sz w:val="20"/>
          <w:szCs w:val="20"/>
        </w:rPr>
        <w:t>L.) demonstrated strong inhibitory effect of 83.53 per cent and 72.58 per cent against test pathogen at 20 per cent concentration, respectively. Pathak et al. (2020) evaluated various weed ethanolic extracts against Rhizoctonia Root rot (</w:t>
      </w:r>
      <w:r>
        <w:rPr>
          <w:rFonts w:ascii="Arial" w:hAnsi="Arial" w:cs="Arial"/>
          <w:i/>
          <w:iCs/>
          <w:sz w:val="20"/>
          <w:szCs w:val="20"/>
        </w:rPr>
        <w:t>Rhizoctonia solani</w:t>
      </w:r>
      <w:r>
        <w:rPr>
          <w:rFonts w:ascii="Arial" w:hAnsi="Arial" w:cs="Arial"/>
          <w:sz w:val="20"/>
          <w:szCs w:val="20"/>
        </w:rPr>
        <w:t xml:space="preserve">) in buckwheat and found that out of 4 ethanolic extracts evaluated, </w:t>
      </w:r>
      <w:r>
        <w:rPr>
          <w:rFonts w:ascii="Arial" w:hAnsi="Arial" w:cs="Arial"/>
          <w:i/>
          <w:iCs/>
          <w:sz w:val="20"/>
          <w:szCs w:val="20"/>
        </w:rPr>
        <w:t xml:space="preserve">Solanum nigrum </w:t>
      </w:r>
      <w:r>
        <w:rPr>
          <w:rFonts w:ascii="Arial" w:hAnsi="Arial" w:cs="Arial"/>
          <w:sz w:val="20"/>
          <w:szCs w:val="20"/>
        </w:rPr>
        <w:t xml:space="preserve">showed the highest inhibition (88%) at 500 ppm followed by </w:t>
      </w:r>
      <w:r>
        <w:rPr>
          <w:rFonts w:ascii="Arial" w:hAnsi="Arial" w:cs="Arial"/>
          <w:i/>
          <w:iCs/>
          <w:sz w:val="20"/>
          <w:szCs w:val="20"/>
        </w:rPr>
        <w:t xml:space="preserve">Tridax procumbens </w:t>
      </w:r>
      <w:r>
        <w:rPr>
          <w:rFonts w:ascii="Arial" w:hAnsi="Arial" w:cs="Arial"/>
          <w:sz w:val="20"/>
          <w:szCs w:val="20"/>
        </w:rPr>
        <w:t>(85%)</w:t>
      </w:r>
      <w:r>
        <w:rPr>
          <w:rFonts w:ascii="Arial" w:hAnsi="Arial" w:cs="Arial"/>
          <w:i/>
          <w:iCs/>
          <w:sz w:val="20"/>
          <w:szCs w:val="20"/>
        </w:rPr>
        <w:t xml:space="preserve"> </w:t>
      </w:r>
      <w:r>
        <w:rPr>
          <w:rFonts w:ascii="Arial" w:hAnsi="Arial" w:cs="Arial"/>
          <w:sz w:val="20"/>
          <w:szCs w:val="20"/>
        </w:rPr>
        <w:t xml:space="preserve">and </w:t>
      </w:r>
      <w:r>
        <w:rPr>
          <w:rFonts w:ascii="Arial" w:hAnsi="Arial" w:cs="Arial"/>
          <w:i/>
          <w:iCs/>
          <w:sz w:val="20"/>
          <w:szCs w:val="20"/>
        </w:rPr>
        <w:t xml:space="preserve">Datura metel </w:t>
      </w:r>
      <w:r>
        <w:rPr>
          <w:rFonts w:ascii="Arial" w:hAnsi="Arial" w:cs="Arial"/>
          <w:sz w:val="20"/>
          <w:szCs w:val="20"/>
        </w:rPr>
        <w:t xml:space="preserve">(80%).   </w:t>
      </w:r>
    </w:p>
    <w:p w14:paraId="5D745148" w14:textId="77777777" w:rsidR="00CE0B1B" w:rsidRDefault="00FF4B67">
      <w:pPr>
        <w:spacing w:line="360" w:lineRule="auto"/>
        <w:ind w:firstLine="720"/>
        <w:jc w:val="both"/>
        <w:rPr>
          <w:rFonts w:ascii="Arial" w:hAnsi="Arial" w:cs="Arial"/>
          <w:sz w:val="20"/>
          <w:szCs w:val="20"/>
        </w:rPr>
      </w:pPr>
      <w:r>
        <w:rPr>
          <w:rFonts w:ascii="Arial" w:hAnsi="Arial" w:cs="Arial"/>
          <w:sz w:val="20"/>
          <w:szCs w:val="20"/>
        </w:rPr>
        <w:t xml:space="preserve">Ethanolic extracts alone or used in combination of fungicides can be proven an effective strategy for sustainable agricultural production systems. It can hold promise for developing biological, eco-friendly and non-hazardous antifungal products from various plant material. Hence, the present investigation was carried out to evaluate various ethanolic based botanical extracts against </w:t>
      </w:r>
      <w:r>
        <w:rPr>
          <w:rFonts w:ascii="Arial" w:hAnsi="Arial" w:cs="Arial"/>
          <w:i/>
          <w:iCs/>
          <w:sz w:val="20"/>
          <w:szCs w:val="20"/>
        </w:rPr>
        <w:t>Bipolaris maydis.</w:t>
      </w:r>
    </w:p>
    <w:p w14:paraId="525F1172" w14:textId="77777777" w:rsidR="00CE0B1B" w:rsidRDefault="00FF4B67">
      <w:pPr>
        <w:pStyle w:val="ListParagraph"/>
        <w:numPr>
          <w:ilvl w:val="0"/>
          <w:numId w:val="10"/>
        </w:numPr>
        <w:spacing w:line="240" w:lineRule="auto"/>
        <w:ind w:left="360"/>
        <w:jc w:val="both"/>
        <w:rPr>
          <w:rFonts w:ascii="Arial" w:hAnsi="Arial" w:cs="Arial"/>
          <w:b/>
          <w:bCs/>
        </w:rPr>
      </w:pPr>
      <w:r>
        <w:rPr>
          <w:rFonts w:ascii="Arial" w:hAnsi="Arial" w:cs="Arial"/>
          <w:b/>
          <w:bCs/>
          <w:color w:val="000000" w:themeColor="text1"/>
          <w:shd w:val="clear" w:color="auto" w:fill="FFFFFF"/>
        </w:rPr>
        <w:t>MATERIALS AND METHODS</w:t>
      </w:r>
    </w:p>
    <w:p w14:paraId="242D1789" w14:textId="77283CF2" w:rsidR="00CE0B1B" w:rsidRDefault="00FF4B67">
      <w:pPr>
        <w:spacing w:after="0" w:line="360" w:lineRule="auto"/>
        <w:ind w:firstLine="360"/>
        <w:jc w:val="both"/>
        <w:rPr>
          <w:rFonts w:ascii="Arial" w:hAnsi="Arial" w:cs="Arial"/>
          <w:b/>
          <w:bCs/>
          <w:sz w:val="20"/>
          <w:szCs w:val="20"/>
        </w:rPr>
      </w:pPr>
      <w:r>
        <w:rPr>
          <w:rFonts w:ascii="Arial" w:hAnsi="Arial" w:cs="Arial"/>
          <w:color w:val="000000" w:themeColor="text1"/>
          <w:sz w:val="20"/>
          <w:szCs w:val="20"/>
          <w:shd w:val="clear" w:color="auto" w:fill="FFFFFF"/>
        </w:rPr>
        <w:t>The present investigation was carried out in the laboratory at the Department of Plant Pathology, COA, Chaudhary Sarwan Kumar Himachal Pradesh Krishi Vishvavidyalaya, Palampur, Himachal Pradesh</w:t>
      </w:r>
      <w:r w:rsidR="00BD09AE">
        <w:rPr>
          <w:rFonts w:ascii="Arial" w:hAnsi="Arial" w:cs="Arial"/>
          <w:color w:val="000000" w:themeColor="text1"/>
          <w:sz w:val="20"/>
          <w:szCs w:val="20"/>
          <w:shd w:val="clear" w:color="auto" w:fill="FFFFFF"/>
        </w:rPr>
        <w:t xml:space="preserve"> (32.1000747N, 76.5468828E)</w:t>
      </w:r>
      <w:r>
        <w:rPr>
          <w:rFonts w:ascii="Arial" w:hAnsi="Arial" w:cs="Arial"/>
          <w:color w:val="000000" w:themeColor="text1"/>
          <w:sz w:val="20"/>
          <w:szCs w:val="20"/>
          <w:shd w:val="clear" w:color="auto" w:fill="FFFFFF"/>
        </w:rPr>
        <w:t>.</w:t>
      </w:r>
    </w:p>
    <w:p w14:paraId="70ECA36E" w14:textId="77777777" w:rsidR="00CE0B1B" w:rsidRDefault="00FF4B67">
      <w:pPr>
        <w:spacing w:after="0" w:line="360" w:lineRule="auto"/>
        <w:jc w:val="both"/>
        <w:rPr>
          <w:rFonts w:ascii="Arial" w:hAnsi="Arial" w:cs="Arial"/>
          <w:b/>
          <w:bCs/>
          <w:color w:val="000000" w:themeColor="text1"/>
          <w:shd w:val="clear" w:color="auto" w:fill="FFFFFF"/>
        </w:rPr>
      </w:pPr>
      <w:r>
        <w:rPr>
          <w:rFonts w:ascii="Arial" w:hAnsi="Arial" w:cs="Arial"/>
          <w:b/>
          <w:bCs/>
          <w:color w:val="000000" w:themeColor="text1"/>
          <w:shd w:val="clear" w:color="auto" w:fill="FFFFFF"/>
        </w:rPr>
        <w:t>2.1 Isolation and purification of the pathogen</w:t>
      </w:r>
    </w:p>
    <w:p w14:paraId="4146A9CC" w14:textId="77777777" w:rsidR="00CE0B1B" w:rsidRPr="00F40CDE" w:rsidRDefault="00FF4B67">
      <w:pPr>
        <w:spacing w:line="360" w:lineRule="auto"/>
        <w:ind w:firstLine="720"/>
        <w:jc w:val="both"/>
        <w:rPr>
          <w:rFonts w:ascii="Arial" w:eastAsia="Calibri" w:hAnsi="Arial" w:cs="Arial"/>
          <w:kern w:val="0"/>
          <w14:ligatures w14:val="none"/>
        </w:rPr>
      </w:pPr>
      <w:r>
        <w:rPr>
          <w:rFonts w:ascii="Arial" w:eastAsia="Calibri" w:hAnsi="Arial" w:cs="Arial"/>
          <w:kern w:val="0"/>
          <w:sz w:val="20"/>
          <w:szCs w:val="20"/>
          <w:lang w:val="en-US"/>
          <w14:ligatures w14:val="none"/>
        </w:rPr>
        <w:t xml:space="preserve">Under standard isolation protocol, leaves of maize plants exhibiting symptoms of Maydis leaf blight were collected from maize-growing regions and </w:t>
      </w:r>
      <w:r>
        <w:rPr>
          <w:rFonts w:ascii="Arial" w:hAnsi="Arial" w:cs="Arial"/>
          <w:sz w:val="20"/>
          <w:szCs w:val="20"/>
        </w:rPr>
        <w:t xml:space="preserve">isolation was done from infected samples on potato dextrose agar (PDA) medium. </w:t>
      </w:r>
      <w:r>
        <w:rPr>
          <w:rFonts w:ascii="Arial" w:eastAsia="Calibri" w:hAnsi="Arial" w:cs="Arial"/>
          <w:kern w:val="0"/>
          <w:sz w:val="20"/>
          <w:szCs w:val="20"/>
          <w14:ligatures w14:val="none"/>
        </w:rPr>
        <w:t>Inoculated plates were incubated for 7-10 days at 27±1</w:t>
      </w:r>
      <w:r>
        <w:rPr>
          <w:rFonts w:ascii="Arial" w:eastAsia="Calibri" w:hAnsi="Arial" w:cs="Arial"/>
          <w:kern w:val="0"/>
          <w:sz w:val="20"/>
          <w:szCs w:val="20"/>
          <w:vertAlign w:val="superscript"/>
          <w14:ligatures w14:val="none"/>
        </w:rPr>
        <w:t>0</w:t>
      </w:r>
      <w:r>
        <w:rPr>
          <w:rFonts w:ascii="Arial" w:eastAsia="Calibri" w:hAnsi="Arial" w:cs="Arial"/>
          <w:kern w:val="0"/>
          <w:sz w:val="20"/>
          <w:szCs w:val="20"/>
          <w14:ligatures w14:val="none"/>
        </w:rPr>
        <w:t>C to allow the fungal pathogen to grow. The pure colonies that developed from the bits were transferred to PDA slants and incubated at room temperature for 15 days. Pure culture of the fungus was maintained at 4</w:t>
      </w:r>
      <w:r>
        <w:rPr>
          <w:rFonts w:ascii="Arial" w:eastAsia="Calibri" w:hAnsi="Arial" w:cs="Arial"/>
          <w:kern w:val="0"/>
          <w:sz w:val="20"/>
          <w:szCs w:val="20"/>
          <w:vertAlign w:val="superscript"/>
          <w14:ligatures w14:val="none"/>
        </w:rPr>
        <w:t>°</w:t>
      </w:r>
      <w:r>
        <w:rPr>
          <w:rFonts w:ascii="Arial" w:eastAsia="Calibri" w:hAnsi="Arial" w:cs="Arial"/>
          <w:kern w:val="0"/>
          <w:sz w:val="20"/>
          <w:szCs w:val="20"/>
          <w14:ligatures w14:val="none"/>
        </w:rPr>
        <w:t>C for further studies.</w:t>
      </w:r>
    </w:p>
    <w:p w14:paraId="1112E988" w14:textId="0AF6D804" w:rsidR="00A94674" w:rsidRPr="00BF182B" w:rsidRDefault="00F40CDE" w:rsidP="00A94674">
      <w:pPr>
        <w:spacing w:line="360" w:lineRule="auto"/>
        <w:jc w:val="both"/>
        <w:rPr>
          <w:rFonts w:ascii="Arial" w:eastAsia="Calibri" w:hAnsi="Arial" w:cs="Arial"/>
          <w:b/>
          <w:bCs/>
          <w:kern w:val="0"/>
          <w14:ligatures w14:val="none"/>
        </w:rPr>
      </w:pPr>
      <w:r w:rsidRPr="00BF182B">
        <w:rPr>
          <w:rFonts w:ascii="Arial" w:eastAsia="Calibri" w:hAnsi="Arial" w:cs="Arial"/>
          <w:b/>
          <w:bCs/>
          <w:kern w:val="0"/>
          <w14:ligatures w14:val="none"/>
        </w:rPr>
        <w:t xml:space="preserve">2.2 </w:t>
      </w:r>
      <w:r w:rsidR="00A94674" w:rsidRPr="00BF182B">
        <w:rPr>
          <w:rFonts w:ascii="Arial" w:eastAsia="Calibri" w:hAnsi="Arial" w:cs="Arial"/>
          <w:b/>
          <w:bCs/>
          <w:kern w:val="0"/>
          <w14:ligatures w14:val="none"/>
        </w:rPr>
        <w:t>Morpho</w:t>
      </w:r>
      <w:r w:rsidR="00333C6A">
        <w:rPr>
          <w:rFonts w:ascii="Arial" w:eastAsia="Calibri" w:hAnsi="Arial" w:cs="Arial"/>
          <w:b/>
          <w:bCs/>
          <w:kern w:val="0"/>
          <w14:ligatures w14:val="none"/>
        </w:rPr>
        <w:t>-</w:t>
      </w:r>
      <w:r w:rsidR="00A94674" w:rsidRPr="00BF182B">
        <w:rPr>
          <w:rFonts w:ascii="Arial" w:eastAsia="Calibri" w:hAnsi="Arial" w:cs="Arial"/>
          <w:b/>
          <w:bCs/>
          <w:kern w:val="0"/>
          <w14:ligatures w14:val="none"/>
        </w:rPr>
        <w:t xml:space="preserve">cultural characterization of the pathogen </w:t>
      </w:r>
    </w:p>
    <w:p w14:paraId="2B976F9C" w14:textId="3F3C108F" w:rsidR="00A94674" w:rsidRPr="00A94674" w:rsidRDefault="00A94674" w:rsidP="00A94674">
      <w:pPr>
        <w:spacing w:after="200" w:line="360" w:lineRule="auto"/>
        <w:jc w:val="both"/>
        <w:rPr>
          <w:rFonts w:ascii="Arial" w:eastAsia="Calibri" w:hAnsi="Arial" w:cs="Arial"/>
          <w:kern w:val="0"/>
          <w:sz w:val="20"/>
          <w:szCs w:val="20"/>
          <w14:ligatures w14:val="none"/>
        </w:rPr>
      </w:pPr>
      <w:r w:rsidRPr="00BF182B">
        <w:rPr>
          <w:rFonts w:ascii="Arial" w:eastAsia="Calibri" w:hAnsi="Arial" w:cs="Arial"/>
          <w:b/>
          <w:bCs/>
          <w:kern w:val="0"/>
          <w:sz w:val="20"/>
          <w:szCs w:val="20"/>
          <w14:ligatures w14:val="none"/>
        </w:rPr>
        <w:tab/>
      </w:r>
      <w:r w:rsidRPr="00BF182B">
        <w:rPr>
          <w:rFonts w:ascii="Arial" w:eastAsia="Calibri" w:hAnsi="Arial" w:cs="Arial"/>
          <w:kern w:val="0"/>
          <w:sz w:val="20"/>
          <w:szCs w:val="20"/>
          <w14:ligatures w14:val="none"/>
        </w:rPr>
        <w:t xml:space="preserve">The pathogen was identified on the basis of morpho-cultural characteristics. The isolated fungal pathogen was grouped based on colony morphology, colony colour, mycelial growth, shape and size of spores, spore septation and other characteristic features which was studied and recorded using microscope. Identifications </w:t>
      </w:r>
      <w:r w:rsidR="00617436" w:rsidRPr="00BF182B">
        <w:rPr>
          <w:rFonts w:ascii="Arial" w:eastAsia="Calibri" w:hAnsi="Arial" w:cs="Arial"/>
          <w:kern w:val="0"/>
          <w:sz w:val="20"/>
          <w:szCs w:val="20"/>
          <w14:ligatures w14:val="none"/>
        </w:rPr>
        <w:t>were</w:t>
      </w:r>
      <w:r w:rsidRPr="00BF182B">
        <w:rPr>
          <w:rFonts w:ascii="Arial" w:eastAsia="Calibri" w:hAnsi="Arial" w:cs="Arial"/>
          <w:kern w:val="0"/>
          <w:sz w:val="20"/>
          <w:szCs w:val="20"/>
          <w14:ligatures w14:val="none"/>
        </w:rPr>
        <w:t xml:space="preserve"> made after comparing the microscopic and morphological features of the pathogenic fungi with the available standard literature (Leonard and Suggs 1974; Navi et al. 1999).</w:t>
      </w:r>
    </w:p>
    <w:p w14:paraId="45D68D97" w14:textId="6BA18B43" w:rsidR="00A94674" w:rsidRDefault="00A94674" w:rsidP="00A94674">
      <w:pPr>
        <w:spacing w:line="360" w:lineRule="auto"/>
        <w:jc w:val="both"/>
        <w:rPr>
          <w:rFonts w:ascii="Arial" w:eastAsia="Calibri" w:hAnsi="Arial" w:cs="Arial"/>
          <w:b/>
          <w:bCs/>
          <w:kern w:val="0"/>
          <w:sz w:val="20"/>
          <w:szCs w:val="20"/>
          <w14:ligatures w14:val="none"/>
        </w:rPr>
      </w:pPr>
    </w:p>
    <w:p w14:paraId="43DE71F5" w14:textId="47C6ACE8" w:rsidR="00A94674" w:rsidRPr="00A94674" w:rsidRDefault="00A94674" w:rsidP="00A94674">
      <w:pPr>
        <w:spacing w:line="360" w:lineRule="auto"/>
        <w:jc w:val="both"/>
        <w:rPr>
          <w:rFonts w:ascii="Arial" w:hAnsi="Arial" w:cs="Arial"/>
          <w:b/>
          <w:bCs/>
          <w:color w:val="000000" w:themeColor="text1"/>
          <w:sz w:val="20"/>
          <w:szCs w:val="20"/>
          <w:shd w:val="clear" w:color="auto" w:fill="FFFFFF"/>
        </w:rPr>
      </w:pPr>
      <w:r>
        <w:rPr>
          <w:rFonts w:ascii="Arial" w:eastAsia="Calibri" w:hAnsi="Arial" w:cs="Arial"/>
          <w:b/>
          <w:bCs/>
          <w:kern w:val="0"/>
          <w:sz w:val="20"/>
          <w:szCs w:val="20"/>
          <w14:ligatures w14:val="none"/>
        </w:rPr>
        <w:tab/>
      </w:r>
    </w:p>
    <w:p w14:paraId="4EECD43F" w14:textId="6E0C243C" w:rsidR="00CE0B1B" w:rsidRDefault="00FF4B67">
      <w:pPr>
        <w:autoSpaceDE w:val="0"/>
        <w:autoSpaceDN w:val="0"/>
        <w:adjustRightInd w:val="0"/>
        <w:spacing w:after="0" w:line="360" w:lineRule="auto"/>
        <w:jc w:val="both"/>
        <w:rPr>
          <w:rFonts w:ascii="Arial" w:hAnsi="Arial" w:cs="Arial"/>
          <w:b/>
          <w:bCs/>
          <w:i/>
          <w:iCs/>
          <w:color w:val="000000"/>
          <w:kern w:val="0"/>
        </w:rPr>
      </w:pPr>
      <w:r>
        <w:rPr>
          <w:rFonts w:ascii="Arial" w:hAnsi="Arial" w:cs="Arial"/>
          <w:b/>
          <w:bCs/>
          <w:color w:val="000000"/>
          <w:kern w:val="0"/>
        </w:rPr>
        <w:lastRenderedPageBreak/>
        <w:t>2.</w:t>
      </w:r>
      <w:r w:rsidR="00F40CDE">
        <w:rPr>
          <w:rFonts w:ascii="Arial" w:hAnsi="Arial" w:cs="Arial"/>
          <w:b/>
          <w:bCs/>
          <w:color w:val="000000"/>
          <w:kern w:val="0"/>
        </w:rPr>
        <w:t>3</w:t>
      </w:r>
      <w:r>
        <w:rPr>
          <w:rFonts w:ascii="Arial" w:hAnsi="Arial" w:cs="Arial"/>
          <w:b/>
          <w:bCs/>
          <w:i/>
          <w:iCs/>
          <w:color w:val="000000"/>
          <w:kern w:val="0"/>
        </w:rPr>
        <w:t xml:space="preserve"> In vitro </w:t>
      </w:r>
      <w:r>
        <w:rPr>
          <w:rFonts w:ascii="Arial" w:hAnsi="Arial" w:cs="Arial"/>
          <w:b/>
          <w:bCs/>
          <w:color w:val="000000"/>
          <w:kern w:val="0"/>
        </w:rPr>
        <w:t xml:space="preserve">evaluation of ethanolic botanical extracts against </w:t>
      </w:r>
      <w:r>
        <w:rPr>
          <w:rFonts w:ascii="Arial" w:hAnsi="Arial" w:cs="Arial"/>
          <w:b/>
          <w:bCs/>
          <w:i/>
          <w:iCs/>
          <w:color w:val="000000"/>
          <w:kern w:val="0"/>
        </w:rPr>
        <w:t>Bipolaris maydis</w:t>
      </w:r>
    </w:p>
    <w:p w14:paraId="6E974642" w14:textId="6D45397D" w:rsidR="00CE0B1B" w:rsidRDefault="00FF4B67">
      <w:pPr>
        <w:autoSpaceDE w:val="0"/>
        <w:autoSpaceDN w:val="0"/>
        <w:adjustRightInd w:val="0"/>
        <w:spacing w:after="0" w:line="360" w:lineRule="auto"/>
        <w:jc w:val="both"/>
        <w:rPr>
          <w:rFonts w:ascii="Arial" w:hAnsi="Arial" w:cs="Arial"/>
          <w:color w:val="000000"/>
          <w:kern w:val="0"/>
          <w:sz w:val="20"/>
          <w:szCs w:val="20"/>
          <w:u w:val="single"/>
        </w:rPr>
      </w:pPr>
      <w:r>
        <w:rPr>
          <w:rFonts w:ascii="Arial" w:hAnsi="Arial" w:cs="Arial"/>
          <w:b/>
          <w:bCs/>
          <w:color w:val="000000"/>
          <w:kern w:val="0"/>
          <w:sz w:val="20"/>
          <w:szCs w:val="20"/>
          <w:u w:val="single"/>
        </w:rPr>
        <w:t>2.</w:t>
      </w:r>
      <w:r w:rsidR="00F40CDE">
        <w:rPr>
          <w:rFonts w:ascii="Arial" w:hAnsi="Arial" w:cs="Arial"/>
          <w:b/>
          <w:bCs/>
          <w:color w:val="000000"/>
          <w:kern w:val="0"/>
          <w:sz w:val="20"/>
          <w:szCs w:val="20"/>
          <w:u w:val="single"/>
        </w:rPr>
        <w:t>3</w:t>
      </w:r>
      <w:r>
        <w:rPr>
          <w:rFonts w:ascii="Arial" w:hAnsi="Arial" w:cs="Arial"/>
          <w:b/>
          <w:bCs/>
          <w:color w:val="000000"/>
          <w:kern w:val="0"/>
          <w:sz w:val="20"/>
          <w:szCs w:val="20"/>
          <w:u w:val="single"/>
        </w:rPr>
        <w:t xml:space="preserve">.1 Preparation of ethanol extract </w:t>
      </w:r>
    </w:p>
    <w:p w14:paraId="3C6F35DB" w14:textId="2E631A4A" w:rsidR="00CE0B1B" w:rsidRDefault="00FF4B67">
      <w:pPr>
        <w:spacing w:line="360" w:lineRule="auto"/>
        <w:ind w:firstLine="720"/>
        <w:jc w:val="both"/>
        <w:rPr>
          <w:rFonts w:ascii="Arial" w:hAnsi="Arial" w:cs="Arial"/>
          <w:sz w:val="20"/>
          <w:szCs w:val="20"/>
        </w:rPr>
      </w:pPr>
      <w:r>
        <w:rPr>
          <w:rFonts w:ascii="Arial" w:hAnsi="Arial" w:cs="Arial"/>
          <w:color w:val="000000"/>
          <w:kern w:val="0"/>
          <w:sz w:val="20"/>
          <w:szCs w:val="20"/>
        </w:rPr>
        <w:t xml:space="preserve">Freshly harvested leaves </w:t>
      </w:r>
      <w:r>
        <w:rPr>
          <w:rFonts w:ascii="Arial" w:hAnsi="Arial" w:cs="Arial"/>
          <w:sz w:val="20"/>
          <w:szCs w:val="20"/>
        </w:rPr>
        <w:t>of botanicals, namely,</w:t>
      </w:r>
      <w:r>
        <w:rPr>
          <w:rFonts w:ascii="Arial" w:hAnsi="Arial" w:cs="Arial"/>
          <w:color w:val="000000"/>
          <w:kern w:val="0"/>
          <w:sz w:val="20"/>
          <w:szCs w:val="20"/>
        </w:rPr>
        <w:t xml:space="preserve"> </w:t>
      </w:r>
      <w:r>
        <w:rPr>
          <w:rFonts w:ascii="Arial" w:hAnsi="Arial" w:cs="Arial"/>
          <w:i/>
          <w:iCs/>
          <w:sz w:val="20"/>
          <w:szCs w:val="20"/>
        </w:rPr>
        <w:t xml:space="preserve">Ageratum conyzoides, </w:t>
      </w:r>
      <w:r>
        <w:rPr>
          <w:rFonts w:ascii="Arial" w:hAnsi="Arial" w:cs="Arial"/>
          <w:i/>
          <w:iCs/>
          <w:color w:val="000000"/>
          <w:sz w:val="20"/>
          <w:szCs w:val="20"/>
        </w:rPr>
        <w:t>Lantana camera</w:t>
      </w:r>
      <w:r>
        <w:rPr>
          <w:rFonts w:ascii="Arial" w:hAnsi="Arial" w:cs="Arial"/>
          <w:i/>
          <w:iCs/>
          <w:sz w:val="20"/>
          <w:szCs w:val="20"/>
        </w:rPr>
        <w:t xml:space="preserve">, Eucalyptus </w:t>
      </w:r>
      <w:r w:rsidR="008C0BB3" w:rsidRPr="008C0BB3">
        <w:rPr>
          <w:rFonts w:ascii="Arial" w:hAnsi="Arial" w:cs="Arial"/>
          <w:i/>
          <w:iCs/>
          <w:sz w:val="20"/>
          <w:szCs w:val="20"/>
        </w:rPr>
        <w:t>globulus</w:t>
      </w:r>
      <w:r w:rsidRPr="008C0BB3">
        <w:rPr>
          <w:rFonts w:ascii="Arial" w:hAnsi="Arial" w:cs="Arial"/>
          <w:sz w:val="18"/>
          <w:szCs w:val="18"/>
        </w:rPr>
        <w:t xml:space="preserve"> </w:t>
      </w:r>
      <w:r>
        <w:rPr>
          <w:rFonts w:ascii="Arial" w:hAnsi="Arial" w:cs="Arial"/>
          <w:sz w:val="20"/>
          <w:szCs w:val="20"/>
        </w:rPr>
        <w:t xml:space="preserve">and </w:t>
      </w:r>
      <w:r>
        <w:rPr>
          <w:rFonts w:ascii="Arial" w:hAnsi="Arial" w:cs="Arial"/>
          <w:i/>
          <w:iCs/>
          <w:color w:val="000000"/>
          <w:sz w:val="20"/>
          <w:szCs w:val="20"/>
        </w:rPr>
        <w:t>Melia azedarach</w:t>
      </w:r>
      <w:r>
        <w:rPr>
          <w:rFonts w:ascii="Arial" w:hAnsi="Arial" w:cs="Arial"/>
          <w:color w:val="000000"/>
          <w:kern w:val="0"/>
          <w:sz w:val="20"/>
          <w:szCs w:val="20"/>
        </w:rPr>
        <w:t xml:space="preserve"> were thoroughly rinsed with tap water to remove impurities and were dried separately under the shade with occasional up and down mixing for 18-21 days. Subsequently, the dried leaves of each extract were finely powdered and kept in an airtight container. Ethanol was used as a solvent for the preparation of crude extract. </w:t>
      </w:r>
      <w:r>
        <w:rPr>
          <w:rFonts w:ascii="Arial" w:hAnsi="Arial" w:cs="Arial"/>
          <w:sz w:val="20"/>
          <w:szCs w:val="20"/>
        </w:rPr>
        <w:t xml:space="preserve">50 g powder of each leaf was soaked in 200 ml of solvent in 250 ml conical flask and it was kept on the rotary shaker at 150 rpm at room temperature for one day and then allowed to stand to settle the leaves debris. After the leaf debris settled on the bottom of the flask supernatant from each flask was filtered through Whatman No. 1 filter paper and evaporated at room temperature </w:t>
      </w:r>
      <w:r w:rsidR="00617436">
        <w:rPr>
          <w:rFonts w:ascii="Arial" w:hAnsi="Arial" w:cs="Arial"/>
          <w:sz w:val="20"/>
          <w:szCs w:val="20"/>
        </w:rPr>
        <w:t>upto 1/3</w:t>
      </w:r>
      <w:r w:rsidR="00617436" w:rsidRPr="00617436">
        <w:rPr>
          <w:rFonts w:ascii="Arial" w:hAnsi="Arial" w:cs="Arial"/>
          <w:sz w:val="20"/>
          <w:szCs w:val="20"/>
          <w:vertAlign w:val="superscript"/>
        </w:rPr>
        <w:t>rd</w:t>
      </w:r>
      <w:r w:rsidR="00617436">
        <w:rPr>
          <w:rFonts w:ascii="Arial" w:hAnsi="Arial" w:cs="Arial"/>
          <w:sz w:val="20"/>
          <w:szCs w:val="20"/>
        </w:rPr>
        <w:t xml:space="preserve"> volume </w:t>
      </w:r>
      <w:r>
        <w:rPr>
          <w:rFonts w:ascii="Arial" w:hAnsi="Arial" w:cs="Arial"/>
          <w:sz w:val="20"/>
          <w:szCs w:val="20"/>
        </w:rPr>
        <w:t>in warm water to completely remove the solvent. Concentrated air-dried extracts were then transferred into small vials and stored for further use at 4°C.</w:t>
      </w:r>
    </w:p>
    <w:p w14:paraId="1171F159" w14:textId="1826F0DB" w:rsidR="00CE0B1B" w:rsidRDefault="00FF4B67">
      <w:pPr>
        <w:autoSpaceDE w:val="0"/>
        <w:autoSpaceDN w:val="0"/>
        <w:adjustRightInd w:val="0"/>
        <w:spacing w:after="0" w:line="360" w:lineRule="auto"/>
        <w:jc w:val="both"/>
        <w:rPr>
          <w:rFonts w:ascii="Arial" w:hAnsi="Arial" w:cs="Arial"/>
          <w:color w:val="000000"/>
          <w:kern w:val="0"/>
          <w:sz w:val="20"/>
          <w:szCs w:val="20"/>
          <w:u w:val="single"/>
        </w:rPr>
      </w:pPr>
      <w:r>
        <w:rPr>
          <w:rFonts w:ascii="Arial" w:hAnsi="Arial" w:cs="Arial"/>
          <w:b/>
          <w:bCs/>
          <w:color w:val="000000"/>
          <w:kern w:val="0"/>
          <w:sz w:val="20"/>
          <w:szCs w:val="20"/>
          <w:u w:val="single"/>
        </w:rPr>
        <w:t>2.</w:t>
      </w:r>
      <w:r w:rsidR="00F40CDE">
        <w:rPr>
          <w:rFonts w:ascii="Arial" w:hAnsi="Arial" w:cs="Arial"/>
          <w:b/>
          <w:bCs/>
          <w:color w:val="000000"/>
          <w:kern w:val="0"/>
          <w:sz w:val="20"/>
          <w:szCs w:val="20"/>
          <w:u w:val="single"/>
        </w:rPr>
        <w:t>3</w:t>
      </w:r>
      <w:r>
        <w:rPr>
          <w:rFonts w:ascii="Arial" w:hAnsi="Arial" w:cs="Arial"/>
          <w:b/>
          <w:bCs/>
          <w:color w:val="000000"/>
          <w:kern w:val="0"/>
          <w:sz w:val="20"/>
          <w:szCs w:val="20"/>
          <w:u w:val="single"/>
        </w:rPr>
        <w:t xml:space="preserve">.2 </w:t>
      </w:r>
      <w:r>
        <w:rPr>
          <w:rFonts w:ascii="Arial" w:hAnsi="Arial" w:cs="Arial"/>
          <w:b/>
          <w:bCs/>
          <w:i/>
          <w:iCs/>
          <w:color w:val="000000"/>
          <w:kern w:val="0"/>
          <w:sz w:val="20"/>
          <w:szCs w:val="20"/>
          <w:u w:val="single"/>
        </w:rPr>
        <w:t>In vitro</w:t>
      </w:r>
      <w:r>
        <w:rPr>
          <w:rFonts w:ascii="Arial" w:hAnsi="Arial" w:cs="Arial"/>
          <w:b/>
          <w:bCs/>
          <w:color w:val="000000"/>
          <w:kern w:val="0"/>
          <w:sz w:val="20"/>
          <w:szCs w:val="20"/>
          <w:u w:val="single"/>
        </w:rPr>
        <w:t xml:space="preserve"> evaluation of ethanol extract </w:t>
      </w:r>
    </w:p>
    <w:p w14:paraId="5B448E31" w14:textId="226F92D6" w:rsidR="00CE0B1B" w:rsidRDefault="00FF4B67">
      <w:pPr>
        <w:pBdr>
          <w:top w:val="nil"/>
          <w:left w:val="nil"/>
          <w:bottom w:val="nil"/>
          <w:right w:val="nil"/>
          <w:between w:val="nil"/>
        </w:pBdr>
        <w:spacing w:line="360" w:lineRule="auto"/>
        <w:ind w:firstLine="720"/>
        <w:jc w:val="both"/>
        <w:rPr>
          <w:rFonts w:ascii="Arial" w:hAnsi="Arial" w:cs="Arial"/>
          <w:sz w:val="20"/>
          <w:szCs w:val="20"/>
        </w:rPr>
      </w:pPr>
      <w:r>
        <w:rPr>
          <w:rFonts w:ascii="Arial" w:hAnsi="Arial" w:cs="Arial"/>
          <w:color w:val="000000"/>
          <w:kern w:val="0"/>
          <w:sz w:val="20"/>
          <w:szCs w:val="20"/>
        </w:rPr>
        <w:t xml:space="preserve">The antifungal effect of alcoholic-based extracts of four botanicals </w:t>
      </w:r>
      <w:r>
        <w:rPr>
          <w:rFonts w:ascii="Arial" w:hAnsi="Arial" w:cs="Arial"/>
          <w:i/>
          <w:iCs/>
          <w:color w:val="000000"/>
          <w:kern w:val="0"/>
          <w:sz w:val="20"/>
          <w:szCs w:val="20"/>
        </w:rPr>
        <w:t>viz.,</w:t>
      </w:r>
      <w:r>
        <w:rPr>
          <w:rFonts w:ascii="Arial" w:hAnsi="Arial" w:cs="Arial"/>
          <w:i/>
          <w:iCs/>
          <w:sz w:val="20"/>
          <w:szCs w:val="20"/>
        </w:rPr>
        <w:t xml:space="preserve"> Ageratum conyzoides, </w:t>
      </w:r>
      <w:r>
        <w:rPr>
          <w:rFonts w:ascii="Arial" w:hAnsi="Arial" w:cs="Arial"/>
          <w:i/>
          <w:iCs/>
          <w:color w:val="000000"/>
          <w:sz w:val="20"/>
          <w:szCs w:val="20"/>
        </w:rPr>
        <w:t>Lantana camera</w:t>
      </w:r>
      <w:r>
        <w:rPr>
          <w:rFonts w:ascii="Arial" w:hAnsi="Arial" w:cs="Arial"/>
          <w:i/>
          <w:iCs/>
          <w:sz w:val="20"/>
          <w:szCs w:val="20"/>
        </w:rPr>
        <w:t xml:space="preserve">, Eucalyptus </w:t>
      </w:r>
      <w:r w:rsidR="008C0BB3" w:rsidRPr="008C0BB3">
        <w:rPr>
          <w:rFonts w:ascii="Arial" w:hAnsi="Arial" w:cs="Arial"/>
          <w:i/>
          <w:iCs/>
          <w:sz w:val="20"/>
          <w:szCs w:val="20"/>
        </w:rPr>
        <w:t>globulus</w:t>
      </w:r>
      <w:r w:rsidR="008C0BB3" w:rsidRPr="008C0BB3">
        <w:rPr>
          <w:rFonts w:ascii="Arial" w:hAnsi="Arial" w:cs="Arial"/>
          <w:sz w:val="18"/>
          <w:szCs w:val="18"/>
        </w:rPr>
        <w:t xml:space="preserve"> </w:t>
      </w:r>
      <w:r>
        <w:rPr>
          <w:rFonts w:ascii="Arial" w:hAnsi="Arial" w:cs="Arial"/>
          <w:sz w:val="20"/>
          <w:szCs w:val="20"/>
        </w:rPr>
        <w:t xml:space="preserve">and </w:t>
      </w:r>
      <w:r>
        <w:rPr>
          <w:rFonts w:ascii="Arial" w:hAnsi="Arial" w:cs="Arial"/>
          <w:i/>
          <w:iCs/>
          <w:color w:val="000000"/>
          <w:sz w:val="20"/>
          <w:szCs w:val="20"/>
        </w:rPr>
        <w:t>Melia azedarach</w:t>
      </w:r>
      <w:r>
        <w:rPr>
          <w:rFonts w:ascii="Arial" w:hAnsi="Arial" w:cs="Arial"/>
          <w:color w:val="000000"/>
          <w:kern w:val="0"/>
          <w:sz w:val="20"/>
          <w:szCs w:val="20"/>
        </w:rPr>
        <w:t xml:space="preserve"> were evaluated </w:t>
      </w:r>
      <w:r>
        <w:rPr>
          <w:rFonts w:ascii="Arial" w:hAnsi="Arial" w:cs="Arial"/>
          <w:i/>
          <w:iCs/>
          <w:color w:val="000000"/>
          <w:kern w:val="0"/>
          <w:sz w:val="20"/>
          <w:szCs w:val="20"/>
        </w:rPr>
        <w:t xml:space="preserve">in vitro </w:t>
      </w:r>
      <w:r w:rsidR="00A94674">
        <w:rPr>
          <w:rFonts w:ascii="Arial" w:hAnsi="Arial" w:cs="Arial"/>
          <w:color w:val="000000"/>
          <w:kern w:val="0"/>
          <w:sz w:val="20"/>
          <w:szCs w:val="20"/>
        </w:rPr>
        <w:t>a</w:t>
      </w:r>
      <w:r>
        <w:rPr>
          <w:rFonts w:ascii="Arial" w:hAnsi="Arial" w:cs="Arial"/>
          <w:color w:val="000000"/>
          <w:kern w:val="0"/>
          <w:sz w:val="20"/>
          <w:szCs w:val="20"/>
        </w:rPr>
        <w:t xml:space="preserve">t 5 concentrations (1, 2, 3, 4 and 5%) for their efficacy on inhibition in growth of </w:t>
      </w:r>
      <w:r>
        <w:rPr>
          <w:rFonts w:ascii="Arial" w:hAnsi="Arial" w:cs="Arial"/>
          <w:i/>
          <w:iCs/>
          <w:color w:val="000000"/>
          <w:kern w:val="0"/>
          <w:sz w:val="20"/>
          <w:szCs w:val="20"/>
        </w:rPr>
        <w:t xml:space="preserve">B. maydis </w:t>
      </w:r>
      <w:r>
        <w:rPr>
          <w:rFonts w:ascii="Arial" w:hAnsi="Arial" w:cs="Arial"/>
          <w:color w:val="000000"/>
          <w:kern w:val="0"/>
          <w:sz w:val="20"/>
          <w:szCs w:val="20"/>
        </w:rPr>
        <w:t xml:space="preserve">by Poisoned Food Technique (Falck, 1907). The experiment was conducted in a completely randomized design and each treatment was replicated thrice. The desired concentration of the crude extract was prepared by mixing it with the required quantity of sterilized PDA medium. Petri plates containing PDA medium without any amendments were served as control. After solidification of the medium, </w:t>
      </w:r>
      <w:r>
        <w:rPr>
          <w:rFonts w:ascii="Arial" w:hAnsi="Arial" w:cs="Arial"/>
          <w:sz w:val="20"/>
          <w:szCs w:val="20"/>
        </w:rPr>
        <w:t xml:space="preserve">Seven-day-old mycelial bits of 5 mm of </w:t>
      </w:r>
      <w:r>
        <w:rPr>
          <w:rFonts w:ascii="Arial" w:hAnsi="Arial" w:cs="Arial"/>
          <w:i/>
          <w:iCs/>
          <w:sz w:val="20"/>
          <w:szCs w:val="20"/>
        </w:rPr>
        <w:t>B. maydis</w:t>
      </w:r>
      <w:r>
        <w:rPr>
          <w:rFonts w:ascii="Arial" w:hAnsi="Arial" w:cs="Arial"/>
          <w:sz w:val="20"/>
          <w:szCs w:val="20"/>
        </w:rPr>
        <w:t xml:space="preserve"> were placed in the center of plates and incubated at 27±1°C. The radial growth of the fungal colony in each Petri plate was measured and per cent inhibition was calculated </w:t>
      </w:r>
      <w:r w:rsidR="00617436">
        <w:rPr>
          <w:rFonts w:ascii="Arial" w:hAnsi="Arial" w:cs="Arial"/>
          <w:sz w:val="20"/>
          <w:szCs w:val="20"/>
        </w:rPr>
        <w:t xml:space="preserve">when control </w:t>
      </w:r>
      <w:r w:rsidR="00D063FB">
        <w:rPr>
          <w:rFonts w:ascii="Arial" w:hAnsi="Arial" w:cs="Arial"/>
          <w:sz w:val="20"/>
          <w:szCs w:val="20"/>
        </w:rPr>
        <w:t xml:space="preserve">Petri plate was filled completely </w:t>
      </w:r>
      <w:r>
        <w:rPr>
          <w:rFonts w:ascii="Arial" w:hAnsi="Arial" w:cs="Arial"/>
          <w:sz w:val="20"/>
          <w:szCs w:val="20"/>
        </w:rPr>
        <w:t>by using the formula given by Vincent (1947):</w:t>
      </w:r>
    </w:p>
    <w:p w14:paraId="700FC3BE" w14:textId="77777777" w:rsidR="00CE0B1B" w:rsidRDefault="00FF4B67">
      <w:pPr>
        <w:autoSpaceDE w:val="0"/>
        <w:autoSpaceDN w:val="0"/>
        <w:adjustRightInd w:val="0"/>
        <w:spacing w:before="240" w:after="0" w:line="360" w:lineRule="auto"/>
        <w:jc w:val="center"/>
        <w:rPr>
          <w:rFonts w:ascii="Arial" w:hAnsi="Arial" w:cs="Arial"/>
          <w:b/>
          <w:bCs/>
          <w:color w:val="000000"/>
          <w:kern w:val="0"/>
          <w:sz w:val="20"/>
          <w:szCs w:val="20"/>
        </w:rPr>
      </w:pPr>
      <w:r>
        <w:rPr>
          <w:rFonts w:ascii="Arial" w:hAnsi="Arial" w:cs="Arial"/>
          <w:b/>
          <w:bCs/>
          <w:color w:val="000000"/>
          <w:kern w:val="0"/>
          <w:sz w:val="20"/>
          <w:szCs w:val="20"/>
        </w:rPr>
        <w:t>Mycelial growth inhibition (%) = {(C-T)/C} x 100</w:t>
      </w:r>
    </w:p>
    <w:p w14:paraId="27D536FA" w14:textId="77777777" w:rsidR="00CE0B1B" w:rsidRDefault="00FF4B67">
      <w:pPr>
        <w:spacing w:after="0" w:line="360" w:lineRule="auto"/>
        <w:jc w:val="center"/>
        <w:rPr>
          <w:rFonts w:ascii="Arial" w:hAnsi="Arial" w:cs="Arial"/>
          <w:sz w:val="20"/>
          <w:szCs w:val="20"/>
        </w:rPr>
      </w:pPr>
      <w:r>
        <w:rPr>
          <w:rFonts w:ascii="Arial" w:hAnsi="Arial" w:cs="Arial"/>
          <w:sz w:val="20"/>
          <w:szCs w:val="20"/>
        </w:rPr>
        <w:t xml:space="preserve">Where, I = Per cent mycelial inhibition of test pathogen, </w:t>
      </w:r>
    </w:p>
    <w:p w14:paraId="39AADE7A" w14:textId="77777777" w:rsidR="00CE0B1B" w:rsidRDefault="00FF4B67">
      <w:pPr>
        <w:spacing w:after="0" w:line="360" w:lineRule="auto"/>
        <w:jc w:val="center"/>
        <w:rPr>
          <w:rFonts w:ascii="Arial" w:hAnsi="Arial" w:cs="Arial"/>
          <w:sz w:val="20"/>
          <w:szCs w:val="20"/>
        </w:rPr>
      </w:pPr>
      <w:r>
        <w:rPr>
          <w:rFonts w:ascii="Arial" w:hAnsi="Arial" w:cs="Arial"/>
          <w:sz w:val="20"/>
          <w:szCs w:val="20"/>
        </w:rPr>
        <w:t xml:space="preserve">           C = Radial growth of pathogen (mm) in control </w:t>
      </w:r>
    </w:p>
    <w:p w14:paraId="6B25B700" w14:textId="77777777" w:rsidR="00CE0B1B" w:rsidRDefault="00FF4B67">
      <w:pPr>
        <w:spacing w:line="360" w:lineRule="auto"/>
        <w:jc w:val="center"/>
        <w:rPr>
          <w:rFonts w:ascii="Arial" w:hAnsi="Arial" w:cs="Arial"/>
          <w:sz w:val="20"/>
          <w:szCs w:val="20"/>
        </w:rPr>
      </w:pPr>
      <w:r>
        <w:rPr>
          <w:rFonts w:ascii="Arial" w:hAnsi="Arial" w:cs="Arial"/>
          <w:sz w:val="20"/>
          <w:szCs w:val="20"/>
        </w:rPr>
        <w:t xml:space="preserve">                             T = Radial mycelial growth of pathogen (mm) in treatment</w:t>
      </w:r>
    </w:p>
    <w:p w14:paraId="20EA5C2F" w14:textId="067059E5" w:rsidR="00CE0B1B" w:rsidRDefault="00FF4B67">
      <w:pPr>
        <w:pStyle w:val="Default"/>
        <w:spacing w:line="360" w:lineRule="auto"/>
        <w:rPr>
          <w:b/>
          <w:bCs/>
          <w:sz w:val="22"/>
          <w:szCs w:val="22"/>
        </w:rPr>
      </w:pPr>
      <w:r>
        <w:rPr>
          <w:b/>
          <w:bCs/>
          <w:sz w:val="22"/>
          <w:szCs w:val="22"/>
        </w:rPr>
        <w:t>2.</w:t>
      </w:r>
      <w:r w:rsidR="00F40CDE">
        <w:rPr>
          <w:b/>
          <w:bCs/>
          <w:sz w:val="22"/>
          <w:szCs w:val="22"/>
        </w:rPr>
        <w:t>4</w:t>
      </w:r>
      <w:r>
        <w:rPr>
          <w:b/>
          <w:bCs/>
          <w:sz w:val="22"/>
          <w:szCs w:val="22"/>
        </w:rPr>
        <w:t xml:space="preserve"> Statistical Analysis </w:t>
      </w:r>
    </w:p>
    <w:p w14:paraId="59DF412D" w14:textId="77777777" w:rsidR="00CE0B1B" w:rsidRDefault="00FF4B67">
      <w:pPr>
        <w:spacing w:line="360" w:lineRule="auto"/>
        <w:ind w:firstLine="360"/>
        <w:jc w:val="both"/>
        <w:rPr>
          <w:rFonts w:ascii="Arial" w:hAnsi="Arial" w:cs="Arial"/>
          <w:sz w:val="20"/>
          <w:szCs w:val="20"/>
        </w:rPr>
      </w:pPr>
      <w:r>
        <w:rPr>
          <w:rFonts w:ascii="Arial" w:hAnsi="Arial" w:cs="Arial"/>
          <w:sz w:val="20"/>
          <w:szCs w:val="20"/>
        </w:rPr>
        <w:t>The data of the experiment was pooled and subjected to appropriate statistical analysis. All the data were analysed in two-way analysis (ANOVA) using OPSTAT software. The significance of treatments was taken at 5 per cent level of significance. CD (Critical difference) is used to compare means of different treatments that have an equal number of replications.</w:t>
      </w:r>
    </w:p>
    <w:p w14:paraId="64D44DD6" w14:textId="77777777" w:rsidR="00CE0B1B" w:rsidRDefault="00FF4B67">
      <w:pPr>
        <w:pStyle w:val="ListParagraph"/>
        <w:numPr>
          <w:ilvl w:val="0"/>
          <w:numId w:val="10"/>
        </w:numPr>
        <w:spacing w:after="0" w:line="240" w:lineRule="auto"/>
        <w:ind w:left="270" w:hanging="270"/>
        <w:jc w:val="both"/>
        <w:rPr>
          <w:rFonts w:ascii="Arial" w:hAnsi="Arial" w:cs="Arial"/>
          <w:b/>
          <w:bCs/>
        </w:rPr>
      </w:pPr>
      <w:r>
        <w:rPr>
          <w:rFonts w:ascii="Arial" w:hAnsi="Arial" w:cs="Arial"/>
          <w:b/>
          <w:bCs/>
        </w:rPr>
        <w:t>RESULTS AND DISCUSSION</w:t>
      </w:r>
    </w:p>
    <w:p w14:paraId="3FBAF990" w14:textId="1BF9F40E" w:rsidR="00CE0B1B" w:rsidRDefault="00FF4B67" w:rsidP="00DD1E17">
      <w:pPr>
        <w:pStyle w:val="Default"/>
        <w:spacing w:before="240"/>
        <w:rPr>
          <w:sz w:val="22"/>
          <w:szCs w:val="22"/>
        </w:rPr>
      </w:pPr>
      <w:r>
        <w:rPr>
          <w:b/>
          <w:bCs/>
          <w:sz w:val="22"/>
          <w:szCs w:val="22"/>
        </w:rPr>
        <w:t xml:space="preserve">3.1 Identification of </w:t>
      </w:r>
      <w:r w:rsidR="00745E57">
        <w:rPr>
          <w:b/>
          <w:bCs/>
          <w:sz w:val="22"/>
          <w:szCs w:val="22"/>
        </w:rPr>
        <w:t>p</w:t>
      </w:r>
      <w:r>
        <w:rPr>
          <w:b/>
          <w:bCs/>
          <w:sz w:val="22"/>
          <w:szCs w:val="22"/>
        </w:rPr>
        <w:t xml:space="preserve">athogen </w:t>
      </w:r>
    </w:p>
    <w:p w14:paraId="0304D598" w14:textId="77777777" w:rsidR="00CE0B1B" w:rsidRDefault="00FF4B67" w:rsidP="00375FA7">
      <w:pPr>
        <w:spacing w:before="240" w:after="0" w:line="360" w:lineRule="auto"/>
        <w:ind w:firstLine="720"/>
        <w:jc w:val="both"/>
        <w:rPr>
          <w:rFonts w:ascii="Arial" w:hAnsi="Arial" w:cs="Arial"/>
          <w:sz w:val="20"/>
          <w:szCs w:val="20"/>
        </w:rPr>
      </w:pPr>
      <w:r>
        <w:rPr>
          <w:rFonts w:ascii="Arial" w:hAnsi="Arial" w:cs="Arial"/>
          <w:sz w:val="20"/>
          <w:szCs w:val="20"/>
        </w:rPr>
        <w:lastRenderedPageBreak/>
        <w:t xml:space="preserve">Isolation was made from disease samples of maydis leaf blight of maize collected from maize fields near the vicinity of Palampur. Based on morphological, cultural, and pathogenic characteristics, </w:t>
      </w:r>
      <w:r>
        <w:rPr>
          <w:rFonts w:ascii="Arial" w:hAnsi="Arial" w:cs="Arial"/>
          <w:i/>
          <w:iCs/>
          <w:sz w:val="20"/>
          <w:szCs w:val="20"/>
        </w:rPr>
        <w:t xml:space="preserve">Bipolaris maydis </w:t>
      </w:r>
      <w:r>
        <w:rPr>
          <w:rFonts w:ascii="Arial" w:hAnsi="Arial" w:cs="Arial"/>
          <w:sz w:val="20"/>
          <w:szCs w:val="20"/>
        </w:rPr>
        <w:t>was identified as the causal agent of maydis leaf blight of maize.</w:t>
      </w:r>
    </w:p>
    <w:p w14:paraId="788EEA34" w14:textId="6218FA41" w:rsidR="00375FA7" w:rsidRPr="00DD1E17" w:rsidRDefault="00DD1E17" w:rsidP="00DD1E17">
      <w:pPr>
        <w:spacing w:before="240" w:after="0" w:line="360" w:lineRule="auto"/>
        <w:jc w:val="both"/>
        <w:rPr>
          <w:rFonts w:ascii="Arial" w:hAnsi="Arial" w:cs="Arial"/>
          <w:b/>
          <w:bCs/>
        </w:rPr>
      </w:pPr>
      <w:r w:rsidRPr="00DD1E17">
        <w:rPr>
          <w:rFonts w:ascii="Arial" w:hAnsi="Arial" w:cs="Arial"/>
          <w:b/>
          <w:bCs/>
        </w:rPr>
        <w:t>3.2 Morpho-cultural characterization of the pathogen</w:t>
      </w:r>
    </w:p>
    <w:p w14:paraId="50FCC894" w14:textId="1D0617BD" w:rsidR="007B5DAF" w:rsidRPr="00375FA7" w:rsidRDefault="00375FA7" w:rsidP="00DF61D5">
      <w:pPr>
        <w:pStyle w:val="Default"/>
        <w:tabs>
          <w:tab w:val="left" w:pos="851"/>
        </w:tabs>
        <w:spacing w:line="360" w:lineRule="auto"/>
        <w:jc w:val="both"/>
        <w:rPr>
          <w:b/>
          <w:bCs/>
          <w:sz w:val="22"/>
          <w:szCs w:val="22"/>
        </w:rPr>
      </w:pPr>
      <w:r>
        <w:rPr>
          <w:b/>
          <w:bCs/>
          <w:sz w:val="22"/>
          <w:szCs w:val="22"/>
        </w:rPr>
        <w:tab/>
      </w:r>
      <w:r w:rsidR="007B5DAF" w:rsidRPr="00E714A0">
        <w:rPr>
          <w:sz w:val="20"/>
          <w:szCs w:val="20"/>
          <w:lang w:val="en-US"/>
        </w:rPr>
        <w:t xml:space="preserve">Microscopic examination of </w:t>
      </w:r>
      <w:r w:rsidR="007B5DAF" w:rsidRPr="00E714A0">
        <w:rPr>
          <w:i/>
          <w:iCs/>
          <w:sz w:val="20"/>
          <w:szCs w:val="20"/>
        </w:rPr>
        <w:t>Bipolaris maydis</w:t>
      </w:r>
      <w:r w:rsidR="007B5DAF" w:rsidRPr="00E714A0">
        <w:rPr>
          <w:sz w:val="20"/>
          <w:szCs w:val="20"/>
        </w:rPr>
        <w:t xml:space="preserve"> </w:t>
      </w:r>
      <w:r w:rsidR="007B5DAF" w:rsidRPr="00E714A0">
        <w:rPr>
          <w:sz w:val="20"/>
          <w:szCs w:val="20"/>
          <w:lang w:val="en-US"/>
        </w:rPr>
        <w:t>revealed that mycelial was septate, branched and olive greenish to brownish black.  The conidiophores emerged singly or in small groups, which were straight or flexuous, septate and olive green to brown in colour. The conidia ranged from light to dark brown, varying in length from short to long and were straight or slightly curved, tapering towards rounded ends, widest near the middle, with up to 10 septate and smooth. Conidial production occurred at the tips and along the sides of the conidiophores. The length of conidia ranged</w:t>
      </w:r>
      <w:r w:rsidR="007B5DAF" w:rsidRPr="00E714A0">
        <w:rPr>
          <w:i/>
          <w:iCs/>
          <w:sz w:val="20"/>
          <w:szCs w:val="20"/>
          <w:lang w:val="en-US"/>
        </w:rPr>
        <w:t xml:space="preserve"> </w:t>
      </w:r>
      <w:r w:rsidR="007B5DAF" w:rsidRPr="00E714A0">
        <w:rPr>
          <w:sz w:val="20"/>
          <w:szCs w:val="20"/>
          <w:lang w:val="en-US"/>
        </w:rPr>
        <w:t xml:space="preserve">from </w:t>
      </w:r>
      <w:bookmarkStart w:id="2" w:name="_Hlk183382461"/>
      <w:r w:rsidR="007B5DAF" w:rsidRPr="00E714A0">
        <w:rPr>
          <w:sz w:val="20"/>
          <w:szCs w:val="20"/>
          <w:lang w:val="en-US"/>
        </w:rPr>
        <w:t xml:space="preserve">69.32-79.51 μm </w:t>
      </w:r>
      <w:bookmarkEnd w:id="2"/>
      <w:r w:rsidR="007B5DAF" w:rsidRPr="00E714A0">
        <w:rPr>
          <w:sz w:val="20"/>
          <w:szCs w:val="20"/>
          <w:lang w:val="en-US"/>
        </w:rPr>
        <w:t xml:space="preserve">and width was </w:t>
      </w:r>
      <w:bookmarkStart w:id="3" w:name="_Hlk183382479"/>
      <w:r w:rsidR="007B5DAF" w:rsidRPr="00E714A0">
        <w:rPr>
          <w:sz w:val="20"/>
          <w:szCs w:val="20"/>
          <w:lang w:val="en-US"/>
        </w:rPr>
        <w:t>15.43-18.56 μm</w:t>
      </w:r>
      <w:bookmarkEnd w:id="3"/>
      <w:r w:rsidR="007B5DAF">
        <w:rPr>
          <w:sz w:val="20"/>
          <w:szCs w:val="20"/>
          <w:lang w:val="en-US"/>
        </w:rPr>
        <w:t>.</w:t>
      </w:r>
    </w:p>
    <w:p w14:paraId="0446C3FE" w14:textId="4C9C5DEF" w:rsidR="00E714A0" w:rsidRDefault="00E714A0" w:rsidP="00375FA7">
      <w:pPr>
        <w:pStyle w:val="Default"/>
        <w:tabs>
          <w:tab w:val="left" w:pos="851"/>
        </w:tabs>
        <w:spacing w:line="360" w:lineRule="auto"/>
        <w:jc w:val="both"/>
        <w:rPr>
          <w:sz w:val="20"/>
          <w:szCs w:val="20"/>
        </w:rPr>
      </w:pPr>
      <w:r>
        <w:rPr>
          <w:b/>
          <w:bCs/>
          <w:sz w:val="20"/>
          <w:szCs w:val="20"/>
        </w:rPr>
        <w:tab/>
      </w:r>
      <w:r w:rsidRPr="00E714A0">
        <w:rPr>
          <w:sz w:val="20"/>
          <w:szCs w:val="20"/>
        </w:rPr>
        <w:t xml:space="preserve">Moderate growth of the </w:t>
      </w:r>
      <w:r w:rsidRPr="00E714A0">
        <w:rPr>
          <w:i/>
          <w:iCs/>
          <w:sz w:val="20"/>
          <w:szCs w:val="20"/>
        </w:rPr>
        <w:t>Bipolaris maydis</w:t>
      </w:r>
      <w:r w:rsidRPr="00E714A0">
        <w:rPr>
          <w:sz w:val="20"/>
          <w:szCs w:val="20"/>
        </w:rPr>
        <w:t xml:space="preserve"> was observed on PDA medium. It attained 43.63 mm and 90 mm mycelial growth after four and nine days of incubation at 27±1ºC temperature. The texture of the colony was elevated; cottony growth with regular margins. The colony colour was initially white or whitish-grey, which later turned into olivaceous green-grey. Upon maturity it turned into dark black. The colony colour on underside of Petri plate was black. The shape of the colony was circular with smooth margins</w:t>
      </w:r>
      <w:r>
        <w:rPr>
          <w:sz w:val="20"/>
          <w:szCs w:val="20"/>
        </w:rPr>
        <w:t>.</w:t>
      </w:r>
    </w:p>
    <w:p w14:paraId="02D384EC" w14:textId="104F35AB" w:rsidR="00CE0B1B" w:rsidRDefault="00FF4B67" w:rsidP="00375FA7">
      <w:pPr>
        <w:pStyle w:val="Default"/>
        <w:spacing w:before="240" w:line="360" w:lineRule="auto"/>
        <w:rPr>
          <w:sz w:val="22"/>
          <w:szCs w:val="22"/>
        </w:rPr>
      </w:pPr>
      <w:r>
        <w:rPr>
          <w:b/>
          <w:bCs/>
          <w:sz w:val="22"/>
          <w:szCs w:val="22"/>
        </w:rPr>
        <w:t>3.</w:t>
      </w:r>
      <w:r w:rsidR="00A41FEE">
        <w:rPr>
          <w:b/>
          <w:bCs/>
          <w:sz w:val="22"/>
          <w:szCs w:val="22"/>
        </w:rPr>
        <w:t>3</w:t>
      </w:r>
      <w:r>
        <w:rPr>
          <w:b/>
          <w:bCs/>
          <w:sz w:val="22"/>
          <w:szCs w:val="22"/>
        </w:rPr>
        <w:t xml:space="preserve"> </w:t>
      </w:r>
      <w:r>
        <w:rPr>
          <w:b/>
          <w:bCs/>
          <w:i/>
          <w:iCs/>
          <w:sz w:val="22"/>
          <w:szCs w:val="22"/>
        </w:rPr>
        <w:t xml:space="preserve">In vitro </w:t>
      </w:r>
      <w:r>
        <w:rPr>
          <w:b/>
          <w:bCs/>
          <w:sz w:val="22"/>
          <w:szCs w:val="22"/>
        </w:rPr>
        <w:t xml:space="preserve">evaluation of ethanolic extracts against the pathogen </w:t>
      </w:r>
    </w:p>
    <w:p w14:paraId="079EFC86" w14:textId="0EA08C72" w:rsidR="00CE0B1B" w:rsidRPr="00BA5B15" w:rsidRDefault="00FF4B67">
      <w:pPr>
        <w:pStyle w:val="Default"/>
        <w:spacing w:line="360" w:lineRule="auto"/>
        <w:ind w:firstLine="720"/>
        <w:jc w:val="both"/>
        <w:rPr>
          <w:sz w:val="20"/>
          <w:szCs w:val="20"/>
        </w:rPr>
      </w:pPr>
      <w:r>
        <w:rPr>
          <w:sz w:val="20"/>
          <w:szCs w:val="20"/>
        </w:rPr>
        <w:t xml:space="preserve">The alcoholic leaf extracts of four botanicals </w:t>
      </w:r>
      <w:r>
        <w:rPr>
          <w:i/>
          <w:iCs/>
          <w:sz w:val="20"/>
          <w:szCs w:val="20"/>
        </w:rPr>
        <w:t>viz</w:t>
      </w:r>
      <w:r>
        <w:rPr>
          <w:sz w:val="20"/>
          <w:szCs w:val="20"/>
        </w:rPr>
        <w:t xml:space="preserve">., </w:t>
      </w:r>
      <w:r>
        <w:rPr>
          <w:i/>
          <w:iCs/>
          <w:sz w:val="20"/>
          <w:szCs w:val="20"/>
        </w:rPr>
        <w:t xml:space="preserve">Ageratum conyzoides, </w:t>
      </w:r>
      <w:r w:rsidRPr="00A94674">
        <w:rPr>
          <w:i/>
          <w:iCs/>
          <w:sz w:val="20"/>
          <w:szCs w:val="20"/>
        </w:rPr>
        <w:t>Lantana camera</w:t>
      </w:r>
      <w:r>
        <w:rPr>
          <w:i/>
          <w:iCs/>
          <w:sz w:val="20"/>
          <w:szCs w:val="20"/>
        </w:rPr>
        <w:t xml:space="preserve">, Eucalyptus </w:t>
      </w:r>
      <w:r w:rsidR="008C0BB3" w:rsidRPr="008C0BB3">
        <w:rPr>
          <w:i/>
          <w:iCs/>
          <w:sz w:val="20"/>
          <w:szCs w:val="20"/>
        </w:rPr>
        <w:t>globulus</w:t>
      </w:r>
      <w:r>
        <w:rPr>
          <w:sz w:val="20"/>
          <w:szCs w:val="20"/>
        </w:rPr>
        <w:t xml:space="preserve"> and </w:t>
      </w:r>
      <w:r>
        <w:rPr>
          <w:i/>
          <w:iCs/>
          <w:sz w:val="20"/>
          <w:szCs w:val="20"/>
        </w:rPr>
        <w:t xml:space="preserve">Melia azedarach </w:t>
      </w:r>
      <w:r>
        <w:rPr>
          <w:sz w:val="20"/>
          <w:szCs w:val="20"/>
        </w:rPr>
        <w:t xml:space="preserve">were evaluated at different concentrations i.e. 1, 2, 3, 4 and 5 per cent for their antifungal properties through Poisoned Food Technique against </w:t>
      </w:r>
      <w:r>
        <w:rPr>
          <w:i/>
          <w:iCs/>
          <w:sz w:val="20"/>
          <w:szCs w:val="20"/>
        </w:rPr>
        <w:t xml:space="preserve">B. maydis. </w:t>
      </w:r>
      <w:r w:rsidR="00F22F51">
        <w:rPr>
          <w:sz w:val="20"/>
          <w:szCs w:val="20"/>
        </w:rPr>
        <w:t xml:space="preserve">Radial growth and per cent mycelial inhibition was calculated when the control Petri plate was completely filled (9 days) with mycelial growth of the pathogen. </w:t>
      </w:r>
      <w:r>
        <w:rPr>
          <w:sz w:val="20"/>
          <w:szCs w:val="20"/>
        </w:rPr>
        <w:t xml:space="preserve">The data in the Table 1 revealed that alcoholic extracts of all the botanicals were found effective against the pathogen to a varying extent. Antifungal activities of all phytoextracts increased significantly with the increase in the concentration from 1 to 5 per cent. The alcoholic plant extracts of all botanicals proved to be effective against the pathogen at 5 per cent concentration resulted in more than 80 per cent mycelial inhibition. Among all four, </w:t>
      </w:r>
      <w:r>
        <w:rPr>
          <w:i/>
          <w:iCs/>
          <w:sz w:val="20"/>
          <w:szCs w:val="20"/>
        </w:rPr>
        <w:t xml:space="preserve">Lantana camera </w:t>
      </w:r>
      <w:r>
        <w:rPr>
          <w:sz w:val="20"/>
          <w:szCs w:val="20"/>
        </w:rPr>
        <w:t xml:space="preserve">was found best with mycelial inhibition of 100 per cent against </w:t>
      </w:r>
      <w:r>
        <w:rPr>
          <w:i/>
          <w:iCs/>
          <w:sz w:val="20"/>
          <w:szCs w:val="20"/>
        </w:rPr>
        <w:t xml:space="preserve">B. maydis </w:t>
      </w:r>
      <w:r>
        <w:rPr>
          <w:sz w:val="20"/>
          <w:szCs w:val="20"/>
        </w:rPr>
        <w:t xml:space="preserve">followed by </w:t>
      </w:r>
      <w:r>
        <w:rPr>
          <w:i/>
          <w:iCs/>
          <w:sz w:val="20"/>
          <w:szCs w:val="20"/>
        </w:rPr>
        <w:t xml:space="preserve">Eucalyptus </w:t>
      </w:r>
      <w:r w:rsidR="008C0BB3" w:rsidRPr="008C0BB3">
        <w:rPr>
          <w:i/>
          <w:iCs/>
          <w:sz w:val="20"/>
          <w:szCs w:val="20"/>
        </w:rPr>
        <w:t>globulus</w:t>
      </w:r>
      <w:r w:rsidR="008C0BB3" w:rsidRPr="008C0BB3">
        <w:rPr>
          <w:sz w:val="18"/>
          <w:szCs w:val="18"/>
        </w:rPr>
        <w:t xml:space="preserve"> </w:t>
      </w:r>
      <w:r>
        <w:rPr>
          <w:sz w:val="20"/>
          <w:szCs w:val="20"/>
        </w:rPr>
        <w:t xml:space="preserve">(92.80%), </w:t>
      </w:r>
      <w:r>
        <w:rPr>
          <w:i/>
          <w:iCs/>
          <w:sz w:val="20"/>
          <w:szCs w:val="20"/>
        </w:rPr>
        <w:t xml:space="preserve">Ageratum conyzoides </w:t>
      </w:r>
      <w:r>
        <w:rPr>
          <w:sz w:val="20"/>
          <w:szCs w:val="20"/>
        </w:rPr>
        <w:t xml:space="preserve">(90.43%) and </w:t>
      </w:r>
      <w:r>
        <w:rPr>
          <w:i/>
          <w:iCs/>
          <w:sz w:val="20"/>
          <w:szCs w:val="20"/>
        </w:rPr>
        <w:t xml:space="preserve">Melia azedarach </w:t>
      </w:r>
      <w:r>
        <w:rPr>
          <w:sz w:val="20"/>
          <w:szCs w:val="20"/>
        </w:rPr>
        <w:t>(84.91%) at 5 per cent test concentration. The results obtained above have also been depicted in the bar diagram (Figure 1).</w:t>
      </w:r>
      <w:r w:rsidR="00BA5B15">
        <w:rPr>
          <w:sz w:val="20"/>
          <w:szCs w:val="20"/>
        </w:rPr>
        <w:t xml:space="preserve"> At 4 per cent concentration, both </w:t>
      </w:r>
      <w:r w:rsidR="00BA5B15">
        <w:rPr>
          <w:i/>
          <w:iCs/>
          <w:sz w:val="20"/>
          <w:szCs w:val="20"/>
        </w:rPr>
        <w:t xml:space="preserve">Lantana camera </w:t>
      </w:r>
      <w:r w:rsidR="00BA5B15">
        <w:rPr>
          <w:sz w:val="20"/>
          <w:szCs w:val="20"/>
        </w:rPr>
        <w:t xml:space="preserve">and </w:t>
      </w:r>
      <w:r w:rsidR="00BA5B15">
        <w:rPr>
          <w:i/>
          <w:iCs/>
          <w:sz w:val="20"/>
          <w:szCs w:val="20"/>
        </w:rPr>
        <w:t xml:space="preserve">Eucalyptus </w:t>
      </w:r>
      <w:r w:rsidR="00BA5B15" w:rsidRPr="008C0BB3">
        <w:rPr>
          <w:i/>
          <w:iCs/>
          <w:sz w:val="20"/>
          <w:szCs w:val="20"/>
        </w:rPr>
        <w:t>globulus</w:t>
      </w:r>
      <w:r w:rsidR="00AF59DE">
        <w:rPr>
          <w:i/>
          <w:iCs/>
          <w:sz w:val="20"/>
          <w:szCs w:val="20"/>
        </w:rPr>
        <w:t xml:space="preserve"> </w:t>
      </w:r>
      <w:r w:rsidR="00AF59DE">
        <w:rPr>
          <w:sz w:val="20"/>
          <w:szCs w:val="20"/>
        </w:rPr>
        <w:t xml:space="preserve">shows per cent inhibition of 90.43 and 90.63 per cent, respectively, which are statistically at par with each other. </w:t>
      </w:r>
      <w:r w:rsidR="00BA5B15">
        <w:rPr>
          <w:i/>
          <w:iCs/>
          <w:sz w:val="20"/>
          <w:szCs w:val="20"/>
        </w:rPr>
        <w:t xml:space="preserve"> </w:t>
      </w:r>
    </w:p>
    <w:p w14:paraId="794A494A" w14:textId="77777777" w:rsidR="00CE0B1B" w:rsidRDefault="00FF4B67">
      <w:pPr>
        <w:spacing w:after="0" w:line="360" w:lineRule="auto"/>
        <w:ind w:firstLine="720"/>
        <w:jc w:val="both"/>
        <w:rPr>
          <w:rFonts w:ascii="Arial" w:hAnsi="Arial" w:cs="Arial"/>
          <w:sz w:val="20"/>
          <w:szCs w:val="20"/>
        </w:rPr>
      </w:pPr>
      <w:r>
        <w:rPr>
          <w:rFonts w:ascii="Arial" w:hAnsi="Arial" w:cs="Arial"/>
          <w:sz w:val="20"/>
          <w:szCs w:val="20"/>
        </w:rPr>
        <w:t xml:space="preserve">The results of these findings show the effectiveness of the extracts, the concentration-dependent response, and the relative performance of each botanical. All botanical extracts showed antifungal properties against </w:t>
      </w:r>
      <w:r>
        <w:rPr>
          <w:rFonts w:ascii="Arial" w:hAnsi="Arial" w:cs="Arial"/>
          <w:i/>
          <w:iCs/>
          <w:sz w:val="20"/>
          <w:szCs w:val="20"/>
        </w:rPr>
        <w:t>B. maydis</w:t>
      </w:r>
      <w:r>
        <w:rPr>
          <w:rFonts w:ascii="Arial" w:hAnsi="Arial" w:cs="Arial"/>
          <w:sz w:val="20"/>
          <w:szCs w:val="20"/>
        </w:rPr>
        <w:t xml:space="preserve"> as indicated by the reduction in mycelial growth compared to the control (untreated). This reaffirms the potential of natural plant extracts as alternatives to synthetic fungicides in managing fungal pathogens. There was a noticeable trend of increasing antifungal activity with higher concentrations of the extracts. </w:t>
      </w:r>
    </w:p>
    <w:p w14:paraId="667562A4" w14:textId="77777777" w:rsidR="00B95418" w:rsidRDefault="00B95418">
      <w:pPr>
        <w:spacing w:after="0" w:line="360" w:lineRule="auto"/>
        <w:ind w:firstLine="720"/>
        <w:jc w:val="both"/>
        <w:rPr>
          <w:rFonts w:ascii="Arial" w:hAnsi="Arial" w:cs="Arial"/>
          <w:sz w:val="20"/>
          <w:szCs w:val="20"/>
        </w:rPr>
      </w:pPr>
    </w:p>
    <w:tbl>
      <w:tblPr>
        <w:tblStyle w:val="TableGrid"/>
        <w:tblW w:w="0" w:type="auto"/>
        <w:tblLook w:val="04A0" w:firstRow="1" w:lastRow="0" w:firstColumn="1" w:lastColumn="0" w:noHBand="0" w:noVBand="1"/>
      </w:tblPr>
      <w:tblGrid>
        <w:gridCol w:w="1622"/>
        <w:gridCol w:w="757"/>
        <w:gridCol w:w="743"/>
        <w:gridCol w:w="743"/>
        <w:gridCol w:w="743"/>
        <w:gridCol w:w="743"/>
        <w:gridCol w:w="735"/>
        <w:gridCol w:w="735"/>
        <w:gridCol w:w="735"/>
        <w:gridCol w:w="735"/>
        <w:gridCol w:w="735"/>
      </w:tblGrid>
      <w:tr w:rsidR="00CE0B1B" w14:paraId="55CB8DF7" w14:textId="77777777">
        <w:tc>
          <w:tcPr>
            <w:tcW w:w="9016" w:type="dxa"/>
            <w:gridSpan w:val="11"/>
            <w:tcBorders>
              <w:top w:val="nil"/>
              <w:left w:val="nil"/>
              <w:bottom w:val="single" w:sz="4" w:space="0" w:color="auto"/>
              <w:right w:val="nil"/>
            </w:tcBorders>
          </w:tcPr>
          <w:p w14:paraId="31EA9DF3" w14:textId="77777777" w:rsidR="00CE0B1B" w:rsidRDefault="00CE0B1B">
            <w:pPr>
              <w:rPr>
                <w:rFonts w:ascii="Arial" w:hAnsi="Arial" w:cs="Arial"/>
                <w:b/>
                <w:bCs/>
                <w:sz w:val="18"/>
                <w:szCs w:val="18"/>
              </w:rPr>
            </w:pPr>
          </w:p>
          <w:p w14:paraId="10BA4A92" w14:textId="77777777" w:rsidR="00CE0B1B" w:rsidRDefault="00FF4B67">
            <w:pPr>
              <w:rPr>
                <w:rFonts w:ascii="Arial" w:hAnsi="Arial" w:cs="Arial"/>
                <w:sz w:val="18"/>
                <w:szCs w:val="18"/>
              </w:rPr>
            </w:pPr>
            <w:r>
              <w:rPr>
                <w:rFonts w:ascii="Arial" w:hAnsi="Arial" w:cs="Arial"/>
                <w:b/>
                <w:bCs/>
                <w:sz w:val="18"/>
                <w:szCs w:val="18"/>
              </w:rPr>
              <w:t xml:space="preserve">Table 1: </w:t>
            </w:r>
            <w:r>
              <w:rPr>
                <w:rFonts w:ascii="Arial" w:hAnsi="Arial" w:cs="Arial"/>
                <w:b/>
                <w:bCs/>
                <w:i/>
                <w:iCs/>
                <w:sz w:val="18"/>
                <w:szCs w:val="18"/>
              </w:rPr>
              <w:t xml:space="preserve">In vitro </w:t>
            </w:r>
            <w:r>
              <w:rPr>
                <w:rFonts w:ascii="Arial" w:hAnsi="Arial" w:cs="Arial"/>
                <w:b/>
                <w:bCs/>
                <w:sz w:val="18"/>
                <w:szCs w:val="18"/>
              </w:rPr>
              <w:t xml:space="preserve">efficacy of alcoholic extract of botanicals against </w:t>
            </w:r>
            <w:r>
              <w:rPr>
                <w:rFonts w:ascii="Arial" w:hAnsi="Arial" w:cs="Arial"/>
                <w:b/>
                <w:bCs/>
                <w:i/>
                <w:iCs/>
                <w:sz w:val="18"/>
                <w:szCs w:val="18"/>
              </w:rPr>
              <w:t>Bipolaris maydis</w:t>
            </w:r>
          </w:p>
        </w:tc>
      </w:tr>
      <w:tr w:rsidR="00CE0B1B" w14:paraId="154C3EB4" w14:textId="77777777">
        <w:tc>
          <w:tcPr>
            <w:tcW w:w="1636" w:type="dxa"/>
            <w:vMerge w:val="restart"/>
            <w:tcBorders>
              <w:top w:val="single" w:sz="4" w:space="0" w:color="auto"/>
              <w:left w:val="nil"/>
              <w:bottom w:val="nil"/>
              <w:right w:val="nil"/>
            </w:tcBorders>
            <w:vAlign w:val="center"/>
          </w:tcPr>
          <w:p w14:paraId="7D122F24" w14:textId="77777777" w:rsidR="00CE0B1B" w:rsidRDefault="00FF4B67">
            <w:pPr>
              <w:jc w:val="center"/>
              <w:rPr>
                <w:rFonts w:ascii="Arial" w:hAnsi="Arial" w:cs="Arial"/>
                <w:sz w:val="18"/>
                <w:szCs w:val="18"/>
              </w:rPr>
            </w:pPr>
            <w:r>
              <w:rPr>
                <w:rFonts w:ascii="Arial" w:hAnsi="Arial" w:cs="Arial"/>
                <w:b/>
                <w:bCs/>
                <w:sz w:val="18"/>
                <w:szCs w:val="18"/>
              </w:rPr>
              <w:t>Botanical</w:t>
            </w:r>
          </w:p>
        </w:tc>
        <w:tc>
          <w:tcPr>
            <w:tcW w:w="3655" w:type="dxa"/>
            <w:gridSpan w:val="5"/>
            <w:tcBorders>
              <w:top w:val="single" w:sz="4" w:space="0" w:color="auto"/>
              <w:left w:val="nil"/>
              <w:bottom w:val="single" w:sz="4" w:space="0" w:color="auto"/>
              <w:right w:val="nil"/>
            </w:tcBorders>
            <w:vAlign w:val="center"/>
          </w:tcPr>
          <w:p w14:paraId="3DA7864B" w14:textId="77777777" w:rsidR="00CE0B1B" w:rsidRDefault="00FF4B67">
            <w:pPr>
              <w:jc w:val="center"/>
              <w:rPr>
                <w:rFonts w:ascii="Arial" w:hAnsi="Arial" w:cs="Arial"/>
                <w:sz w:val="18"/>
                <w:szCs w:val="18"/>
              </w:rPr>
            </w:pPr>
            <w:r>
              <w:rPr>
                <w:rFonts w:ascii="Arial" w:hAnsi="Arial" w:cs="Arial"/>
                <w:b/>
                <w:bCs/>
                <w:sz w:val="18"/>
                <w:szCs w:val="18"/>
              </w:rPr>
              <w:t>Radial growth (mm)</w:t>
            </w:r>
          </w:p>
        </w:tc>
        <w:tc>
          <w:tcPr>
            <w:tcW w:w="3725" w:type="dxa"/>
            <w:gridSpan w:val="5"/>
            <w:tcBorders>
              <w:top w:val="single" w:sz="4" w:space="0" w:color="auto"/>
              <w:left w:val="nil"/>
              <w:bottom w:val="single" w:sz="4" w:space="0" w:color="auto"/>
              <w:right w:val="nil"/>
            </w:tcBorders>
            <w:vAlign w:val="center"/>
          </w:tcPr>
          <w:p w14:paraId="5ED7BBCB" w14:textId="77777777" w:rsidR="00CE0B1B" w:rsidRDefault="00FF4B67">
            <w:pPr>
              <w:jc w:val="center"/>
              <w:rPr>
                <w:rFonts w:ascii="Arial" w:hAnsi="Arial" w:cs="Arial"/>
                <w:sz w:val="18"/>
                <w:szCs w:val="18"/>
              </w:rPr>
            </w:pPr>
            <w:r>
              <w:rPr>
                <w:rFonts w:ascii="Arial" w:hAnsi="Arial" w:cs="Arial"/>
                <w:b/>
                <w:bCs/>
                <w:sz w:val="18"/>
                <w:szCs w:val="18"/>
              </w:rPr>
              <w:t>Inhibition in mycelial growth (%)</w:t>
            </w:r>
          </w:p>
        </w:tc>
      </w:tr>
      <w:tr w:rsidR="00CE0B1B" w14:paraId="194529FA" w14:textId="77777777">
        <w:tc>
          <w:tcPr>
            <w:tcW w:w="1636" w:type="dxa"/>
            <w:vMerge/>
            <w:tcBorders>
              <w:top w:val="nil"/>
              <w:left w:val="nil"/>
              <w:bottom w:val="nil"/>
              <w:right w:val="nil"/>
            </w:tcBorders>
            <w:vAlign w:val="center"/>
          </w:tcPr>
          <w:p w14:paraId="290E3EB5" w14:textId="77777777" w:rsidR="00CE0B1B" w:rsidRDefault="00CE0B1B">
            <w:pPr>
              <w:jc w:val="center"/>
              <w:rPr>
                <w:rFonts w:ascii="Arial" w:hAnsi="Arial" w:cs="Arial"/>
                <w:sz w:val="18"/>
                <w:szCs w:val="18"/>
              </w:rPr>
            </w:pPr>
          </w:p>
        </w:tc>
        <w:tc>
          <w:tcPr>
            <w:tcW w:w="3655" w:type="dxa"/>
            <w:gridSpan w:val="5"/>
            <w:tcBorders>
              <w:top w:val="single" w:sz="4" w:space="0" w:color="auto"/>
              <w:left w:val="nil"/>
              <w:bottom w:val="single" w:sz="4" w:space="0" w:color="auto"/>
              <w:right w:val="nil"/>
            </w:tcBorders>
            <w:vAlign w:val="center"/>
          </w:tcPr>
          <w:p w14:paraId="22886BE4" w14:textId="77777777" w:rsidR="00CE0B1B" w:rsidRDefault="00FF4B67">
            <w:pPr>
              <w:jc w:val="center"/>
              <w:rPr>
                <w:rFonts w:ascii="Arial" w:hAnsi="Arial" w:cs="Arial"/>
                <w:sz w:val="18"/>
                <w:szCs w:val="18"/>
              </w:rPr>
            </w:pPr>
            <w:r>
              <w:rPr>
                <w:rFonts w:ascii="Arial" w:hAnsi="Arial" w:cs="Arial"/>
                <w:b/>
                <w:bCs/>
                <w:sz w:val="18"/>
                <w:szCs w:val="18"/>
              </w:rPr>
              <w:t>Concentration (%)</w:t>
            </w:r>
          </w:p>
        </w:tc>
        <w:tc>
          <w:tcPr>
            <w:tcW w:w="3725" w:type="dxa"/>
            <w:gridSpan w:val="5"/>
            <w:tcBorders>
              <w:top w:val="single" w:sz="4" w:space="0" w:color="auto"/>
              <w:left w:val="nil"/>
              <w:bottom w:val="single" w:sz="4" w:space="0" w:color="auto"/>
              <w:right w:val="nil"/>
            </w:tcBorders>
            <w:vAlign w:val="center"/>
          </w:tcPr>
          <w:p w14:paraId="669FBDE7" w14:textId="77777777" w:rsidR="00CE0B1B" w:rsidRDefault="00FF4B67">
            <w:pPr>
              <w:jc w:val="center"/>
              <w:rPr>
                <w:rFonts w:ascii="Arial" w:hAnsi="Arial" w:cs="Arial"/>
                <w:sz w:val="18"/>
                <w:szCs w:val="18"/>
              </w:rPr>
            </w:pPr>
            <w:r>
              <w:rPr>
                <w:rFonts w:ascii="Arial" w:hAnsi="Arial" w:cs="Arial"/>
                <w:b/>
                <w:bCs/>
                <w:sz w:val="18"/>
                <w:szCs w:val="18"/>
              </w:rPr>
              <w:t>Concentration (%)</w:t>
            </w:r>
          </w:p>
        </w:tc>
      </w:tr>
      <w:tr w:rsidR="00CE0B1B" w14:paraId="1C074A13" w14:textId="77777777">
        <w:tc>
          <w:tcPr>
            <w:tcW w:w="1636" w:type="dxa"/>
            <w:vMerge/>
            <w:tcBorders>
              <w:top w:val="nil"/>
              <w:left w:val="nil"/>
              <w:bottom w:val="nil"/>
              <w:right w:val="nil"/>
            </w:tcBorders>
            <w:vAlign w:val="center"/>
          </w:tcPr>
          <w:p w14:paraId="0D68143F" w14:textId="77777777" w:rsidR="00CE0B1B" w:rsidRDefault="00CE0B1B">
            <w:pPr>
              <w:jc w:val="center"/>
              <w:rPr>
                <w:rFonts w:ascii="Arial" w:hAnsi="Arial" w:cs="Arial"/>
                <w:sz w:val="18"/>
                <w:szCs w:val="18"/>
              </w:rPr>
            </w:pPr>
          </w:p>
        </w:tc>
        <w:tc>
          <w:tcPr>
            <w:tcW w:w="651" w:type="dxa"/>
            <w:tcBorders>
              <w:top w:val="single" w:sz="4" w:space="0" w:color="auto"/>
              <w:left w:val="nil"/>
              <w:bottom w:val="single" w:sz="4" w:space="0" w:color="auto"/>
              <w:right w:val="nil"/>
            </w:tcBorders>
            <w:vAlign w:val="center"/>
          </w:tcPr>
          <w:p w14:paraId="6CDD5FBE" w14:textId="77777777" w:rsidR="00CE0B1B" w:rsidRDefault="00FF4B67">
            <w:pPr>
              <w:jc w:val="center"/>
              <w:rPr>
                <w:rFonts w:ascii="Arial" w:hAnsi="Arial" w:cs="Arial"/>
                <w:sz w:val="18"/>
                <w:szCs w:val="18"/>
              </w:rPr>
            </w:pPr>
            <w:r>
              <w:rPr>
                <w:rFonts w:ascii="Arial" w:hAnsi="Arial" w:cs="Arial"/>
                <w:b/>
                <w:bCs/>
                <w:sz w:val="18"/>
                <w:szCs w:val="18"/>
              </w:rPr>
              <w:t>1</w:t>
            </w:r>
          </w:p>
        </w:tc>
        <w:tc>
          <w:tcPr>
            <w:tcW w:w="751" w:type="dxa"/>
            <w:tcBorders>
              <w:top w:val="single" w:sz="4" w:space="0" w:color="auto"/>
              <w:left w:val="nil"/>
              <w:bottom w:val="single" w:sz="4" w:space="0" w:color="auto"/>
              <w:right w:val="nil"/>
            </w:tcBorders>
            <w:vAlign w:val="center"/>
          </w:tcPr>
          <w:p w14:paraId="03AEF855" w14:textId="77777777" w:rsidR="00CE0B1B" w:rsidRDefault="00FF4B67">
            <w:pPr>
              <w:jc w:val="center"/>
              <w:rPr>
                <w:rFonts w:ascii="Arial" w:hAnsi="Arial" w:cs="Arial"/>
                <w:sz w:val="18"/>
                <w:szCs w:val="18"/>
              </w:rPr>
            </w:pPr>
            <w:r>
              <w:rPr>
                <w:rFonts w:ascii="Arial" w:hAnsi="Arial" w:cs="Arial"/>
                <w:b/>
                <w:bCs/>
                <w:sz w:val="18"/>
                <w:szCs w:val="18"/>
              </w:rPr>
              <w:t>2</w:t>
            </w:r>
          </w:p>
        </w:tc>
        <w:tc>
          <w:tcPr>
            <w:tcW w:w="751" w:type="dxa"/>
            <w:tcBorders>
              <w:top w:val="single" w:sz="4" w:space="0" w:color="auto"/>
              <w:left w:val="nil"/>
              <w:bottom w:val="single" w:sz="4" w:space="0" w:color="auto"/>
              <w:right w:val="nil"/>
            </w:tcBorders>
            <w:vAlign w:val="center"/>
          </w:tcPr>
          <w:p w14:paraId="6A79958A" w14:textId="77777777" w:rsidR="00CE0B1B" w:rsidRDefault="00FF4B67">
            <w:pPr>
              <w:jc w:val="center"/>
              <w:rPr>
                <w:rFonts w:ascii="Arial" w:hAnsi="Arial" w:cs="Arial"/>
                <w:sz w:val="18"/>
                <w:szCs w:val="18"/>
              </w:rPr>
            </w:pPr>
            <w:r>
              <w:rPr>
                <w:rFonts w:ascii="Arial" w:hAnsi="Arial" w:cs="Arial"/>
                <w:b/>
                <w:bCs/>
                <w:sz w:val="18"/>
                <w:szCs w:val="18"/>
              </w:rPr>
              <w:t>3</w:t>
            </w:r>
          </w:p>
        </w:tc>
        <w:tc>
          <w:tcPr>
            <w:tcW w:w="751" w:type="dxa"/>
            <w:tcBorders>
              <w:top w:val="single" w:sz="4" w:space="0" w:color="auto"/>
              <w:left w:val="nil"/>
              <w:bottom w:val="single" w:sz="4" w:space="0" w:color="auto"/>
              <w:right w:val="nil"/>
            </w:tcBorders>
            <w:vAlign w:val="center"/>
          </w:tcPr>
          <w:p w14:paraId="556AC5F8" w14:textId="77777777" w:rsidR="00CE0B1B" w:rsidRDefault="00FF4B67">
            <w:pPr>
              <w:jc w:val="center"/>
              <w:rPr>
                <w:rFonts w:ascii="Arial" w:hAnsi="Arial" w:cs="Arial"/>
                <w:sz w:val="18"/>
                <w:szCs w:val="18"/>
              </w:rPr>
            </w:pPr>
            <w:r>
              <w:rPr>
                <w:rFonts w:ascii="Arial" w:hAnsi="Arial" w:cs="Arial"/>
                <w:b/>
                <w:bCs/>
                <w:sz w:val="18"/>
                <w:szCs w:val="18"/>
              </w:rPr>
              <w:t>4</w:t>
            </w:r>
          </w:p>
        </w:tc>
        <w:tc>
          <w:tcPr>
            <w:tcW w:w="751" w:type="dxa"/>
            <w:tcBorders>
              <w:top w:val="single" w:sz="4" w:space="0" w:color="auto"/>
              <w:left w:val="nil"/>
              <w:bottom w:val="single" w:sz="4" w:space="0" w:color="auto"/>
              <w:right w:val="nil"/>
            </w:tcBorders>
            <w:vAlign w:val="center"/>
          </w:tcPr>
          <w:p w14:paraId="7C399814" w14:textId="77777777" w:rsidR="00CE0B1B" w:rsidRDefault="00FF4B67">
            <w:pPr>
              <w:jc w:val="center"/>
              <w:rPr>
                <w:rFonts w:ascii="Arial" w:hAnsi="Arial" w:cs="Arial"/>
                <w:sz w:val="18"/>
                <w:szCs w:val="18"/>
              </w:rPr>
            </w:pPr>
            <w:r>
              <w:rPr>
                <w:rFonts w:ascii="Arial" w:hAnsi="Arial" w:cs="Arial"/>
                <w:b/>
                <w:bCs/>
                <w:sz w:val="18"/>
                <w:szCs w:val="18"/>
              </w:rPr>
              <w:t>5</w:t>
            </w:r>
          </w:p>
        </w:tc>
        <w:tc>
          <w:tcPr>
            <w:tcW w:w="745" w:type="dxa"/>
            <w:tcBorders>
              <w:top w:val="single" w:sz="4" w:space="0" w:color="auto"/>
              <w:left w:val="nil"/>
              <w:bottom w:val="single" w:sz="4" w:space="0" w:color="auto"/>
              <w:right w:val="nil"/>
            </w:tcBorders>
            <w:vAlign w:val="center"/>
          </w:tcPr>
          <w:p w14:paraId="488C2110" w14:textId="77777777" w:rsidR="00CE0B1B" w:rsidRDefault="00FF4B67">
            <w:pPr>
              <w:jc w:val="center"/>
              <w:rPr>
                <w:rFonts w:ascii="Arial" w:hAnsi="Arial" w:cs="Arial"/>
                <w:sz w:val="18"/>
                <w:szCs w:val="18"/>
              </w:rPr>
            </w:pPr>
            <w:r>
              <w:rPr>
                <w:rFonts w:ascii="Arial" w:hAnsi="Arial" w:cs="Arial"/>
                <w:b/>
                <w:bCs/>
                <w:sz w:val="18"/>
                <w:szCs w:val="18"/>
              </w:rPr>
              <w:t>1</w:t>
            </w:r>
          </w:p>
        </w:tc>
        <w:tc>
          <w:tcPr>
            <w:tcW w:w="745" w:type="dxa"/>
            <w:tcBorders>
              <w:top w:val="single" w:sz="4" w:space="0" w:color="auto"/>
              <w:left w:val="nil"/>
              <w:bottom w:val="single" w:sz="4" w:space="0" w:color="auto"/>
              <w:right w:val="nil"/>
            </w:tcBorders>
            <w:vAlign w:val="center"/>
          </w:tcPr>
          <w:p w14:paraId="42DD4EEF" w14:textId="77777777" w:rsidR="00CE0B1B" w:rsidRDefault="00FF4B67">
            <w:pPr>
              <w:jc w:val="center"/>
              <w:rPr>
                <w:rFonts w:ascii="Arial" w:hAnsi="Arial" w:cs="Arial"/>
                <w:sz w:val="18"/>
                <w:szCs w:val="18"/>
              </w:rPr>
            </w:pPr>
            <w:r>
              <w:rPr>
                <w:rFonts w:ascii="Arial" w:hAnsi="Arial" w:cs="Arial"/>
                <w:b/>
                <w:bCs/>
                <w:sz w:val="18"/>
                <w:szCs w:val="18"/>
              </w:rPr>
              <w:t>2</w:t>
            </w:r>
          </w:p>
        </w:tc>
        <w:tc>
          <w:tcPr>
            <w:tcW w:w="745" w:type="dxa"/>
            <w:tcBorders>
              <w:top w:val="single" w:sz="4" w:space="0" w:color="auto"/>
              <w:left w:val="nil"/>
              <w:bottom w:val="single" w:sz="4" w:space="0" w:color="auto"/>
              <w:right w:val="nil"/>
            </w:tcBorders>
            <w:vAlign w:val="center"/>
          </w:tcPr>
          <w:p w14:paraId="3F2A04C9" w14:textId="77777777" w:rsidR="00CE0B1B" w:rsidRDefault="00FF4B67">
            <w:pPr>
              <w:jc w:val="center"/>
              <w:rPr>
                <w:rFonts w:ascii="Arial" w:hAnsi="Arial" w:cs="Arial"/>
                <w:sz w:val="18"/>
                <w:szCs w:val="18"/>
              </w:rPr>
            </w:pPr>
            <w:r>
              <w:rPr>
                <w:rFonts w:ascii="Arial" w:hAnsi="Arial" w:cs="Arial"/>
                <w:b/>
                <w:bCs/>
                <w:sz w:val="18"/>
                <w:szCs w:val="18"/>
              </w:rPr>
              <w:t>3</w:t>
            </w:r>
          </w:p>
        </w:tc>
        <w:tc>
          <w:tcPr>
            <w:tcW w:w="745" w:type="dxa"/>
            <w:tcBorders>
              <w:top w:val="single" w:sz="4" w:space="0" w:color="auto"/>
              <w:left w:val="nil"/>
              <w:bottom w:val="single" w:sz="4" w:space="0" w:color="auto"/>
              <w:right w:val="nil"/>
            </w:tcBorders>
            <w:vAlign w:val="center"/>
          </w:tcPr>
          <w:p w14:paraId="4A066451" w14:textId="77777777" w:rsidR="00CE0B1B" w:rsidRDefault="00FF4B67">
            <w:pPr>
              <w:jc w:val="center"/>
              <w:rPr>
                <w:rFonts w:ascii="Arial" w:hAnsi="Arial" w:cs="Arial"/>
                <w:sz w:val="18"/>
                <w:szCs w:val="18"/>
              </w:rPr>
            </w:pPr>
            <w:r>
              <w:rPr>
                <w:rFonts w:ascii="Arial" w:hAnsi="Arial" w:cs="Arial"/>
                <w:b/>
                <w:bCs/>
                <w:sz w:val="18"/>
                <w:szCs w:val="18"/>
              </w:rPr>
              <w:t>4</w:t>
            </w:r>
          </w:p>
        </w:tc>
        <w:tc>
          <w:tcPr>
            <w:tcW w:w="745" w:type="dxa"/>
            <w:tcBorders>
              <w:top w:val="single" w:sz="4" w:space="0" w:color="auto"/>
              <w:left w:val="nil"/>
              <w:bottom w:val="single" w:sz="4" w:space="0" w:color="auto"/>
              <w:right w:val="nil"/>
            </w:tcBorders>
            <w:vAlign w:val="center"/>
          </w:tcPr>
          <w:p w14:paraId="72435456" w14:textId="77777777" w:rsidR="00CE0B1B" w:rsidRDefault="00FF4B67">
            <w:pPr>
              <w:jc w:val="center"/>
              <w:rPr>
                <w:rFonts w:ascii="Arial" w:hAnsi="Arial" w:cs="Arial"/>
                <w:sz w:val="18"/>
                <w:szCs w:val="18"/>
              </w:rPr>
            </w:pPr>
            <w:r>
              <w:rPr>
                <w:rFonts w:ascii="Arial" w:hAnsi="Arial" w:cs="Arial"/>
                <w:b/>
                <w:bCs/>
                <w:sz w:val="18"/>
                <w:szCs w:val="18"/>
              </w:rPr>
              <w:t>5</w:t>
            </w:r>
          </w:p>
        </w:tc>
      </w:tr>
      <w:tr w:rsidR="00CE0B1B" w14:paraId="51BF5D03" w14:textId="77777777">
        <w:tc>
          <w:tcPr>
            <w:tcW w:w="1636" w:type="dxa"/>
            <w:tcBorders>
              <w:top w:val="nil"/>
              <w:left w:val="nil"/>
              <w:bottom w:val="nil"/>
              <w:right w:val="nil"/>
            </w:tcBorders>
            <w:vAlign w:val="center"/>
          </w:tcPr>
          <w:p w14:paraId="5EB184DB" w14:textId="77777777" w:rsidR="00CE0B1B" w:rsidRDefault="00FF4B67">
            <w:pPr>
              <w:jc w:val="center"/>
              <w:rPr>
                <w:rFonts w:ascii="Arial" w:hAnsi="Arial" w:cs="Arial"/>
                <w:sz w:val="18"/>
                <w:szCs w:val="18"/>
              </w:rPr>
            </w:pPr>
            <w:r>
              <w:rPr>
                <w:rFonts w:ascii="Arial" w:hAnsi="Arial" w:cs="Arial"/>
                <w:b/>
                <w:bCs/>
                <w:i/>
                <w:iCs/>
                <w:color w:val="000000"/>
                <w:sz w:val="18"/>
                <w:szCs w:val="18"/>
              </w:rPr>
              <w:t>Ageratum conyzoides</w:t>
            </w:r>
          </w:p>
        </w:tc>
        <w:tc>
          <w:tcPr>
            <w:tcW w:w="651" w:type="dxa"/>
            <w:tcBorders>
              <w:top w:val="single" w:sz="4" w:space="0" w:color="auto"/>
              <w:left w:val="nil"/>
              <w:bottom w:val="nil"/>
              <w:right w:val="nil"/>
            </w:tcBorders>
            <w:vAlign w:val="center"/>
          </w:tcPr>
          <w:p w14:paraId="5B42AA1C"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31.69</w:t>
            </w:r>
          </w:p>
          <w:p w14:paraId="2784EB3C" w14:textId="77777777" w:rsidR="00CE0B1B" w:rsidRDefault="00FF4B67">
            <w:pPr>
              <w:jc w:val="center"/>
              <w:rPr>
                <w:rFonts w:ascii="Arial" w:hAnsi="Arial" w:cs="Arial"/>
                <w:sz w:val="18"/>
                <w:szCs w:val="18"/>
              </w:rPr>
            </w:pPr>
            <w:r>
              <w:rPr>
                <w:rFonts w:ascii="Arial" w:hAnsi="Arial" w:cs="Arial"/>
                <w:color w:val="000000"/>
                <w:sz w:val="18"/>
                <w:szCs w:val="18"/>
              </w:rPr>
              <w:t>(5.71)*</w:t>
            </w:r>
          </w:p>
        </w:tc>
        <w:tc>
          <w:tcPr>
            <w:tcW w:w="751" w:type="dxa"/>
            <w:tcBorders>
              <w:top w:val="single" w:sz="4" w:space="0" w:color="auto"/>
              <w:left w:val="nil"/>
              <w:bottom w:val="nil"/>
              <w:right w:val="nil"/>
            </w:tcBorders>
            <w:vAlign w:val="center"/>
          </w:tcPr>
          <w:p w14:paraId="31412853"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23.46</w:t>
            </w:r>
          </w:p>
          <w:p w14:paraId="2BB4D597" w14:textId="77777777" w:rsidR="00CE0B1B" w:rsidRDefault="00FF4B67">
            <w:pPr>
              <w:jc w:val="center"/>
              <w:rPr>
                <w:rFonts w:ascii="Arial" w:hAnsi="Arial" w:cs="Arial"/>
                <w:sz w:val="18"/>
                <w:szCs w:val="18"/>
              </w:rPr>
            </w:pPr>
            <w:r>
              <w:rPr>
                <w:rFonts w:ascii="Arial" w:hAnsi="Arial" w:cs="Arial"/>
                <w:color w:val="000000"/>
                <w:sz w:val="18"/>
                <w:szCs w:val="18"/>
              </w:rPr>
              <w:t>(4.94)</w:t>
            </w:r>
          </w:p>
        </w:tc>
        <w:tc>
          <w:tcPr>
            <w:tcW w:w="751" w:type="dxa"/>
            <w:tcBorders>
              <w:top w:val="single" w:sz="4" w:space="0" w:color="auto"/>
              <w:left w:val="nil"/>
              <w:bottom w:val="nil"/>
              <w:right w:val="nil"/>
            </w:tcBorders>
            <w:vAlign w:val="center"/>
          </w:tcPr>
          <w:p w14:paraId="5372C8BD"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15.47</w:t>
            </w:r>
          </w:p>
          <w:p w14:paraId="758BCE0D" w14:textId="77777777" w:rsidR="00CE0B1B" w:rsidRDefault="00FF4B67">
            <w:pPr>
              <w:jc w:val="center"/>
              <w:rPr>
                <w:rFonts w:ascii="Arial" w:hAnsi="Arial" w:cs="Arial"/>
                <w:sz w:val="18"/>
                <w:szCs w:val="18"/>
              </w:rPr>
            </w:pPr>
            <w:r>
              <w:rPr>
                <w:rFonts w:ascii="Arial" w:hAnsi="Arial" w:cs="Arial"/>
                <w:color w:val="000000"/>
                <w:sz w:val="18"/>
                <w:szCs w:val="18"/>
              </w:rPr>
              <w:t>(4.05)</w:t>
            </w:r>
          </w:p>
        </w:tc>
        <w:tc>
          <w:tcPr>
            <w:tcW w:w="751" w:type="dxa"/>
            <w:tcBorders>
              <w:top w:val="single" w:sz="4" w:space="0" w:color="auto"/>
              <w:left w:val="nil"/>
              <w:bottom w:val="nil"/>
              <w:right w:val="nil"/>
            </w:tcBorders>
            <w:vAlign w:val="center"/>
          </w:tcPr>
          <w:p w14:paraId="0F6CCF4C"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11.52</w:t>
            </w:r>
          </w:p>
          <w:p w14:paraId="5C5952C7" w14:textId="77777777" w:rsidR="00CE0B1B" w:rsidRDefault="00FF4B67">
            <w:pPr>
              <w:jc w:val="center"/>
              <w:rPr>
                <w:rFonts w:ascii="Arial" w:hAnsi="Arial" w:cs="Arial"/>
                <w:sz w:val="18"/>
                <w:szCs w:val="18"/>
              </w:rPr>
            </w:pPr>
            <w:r>
              <w:rPr>
                <w:rFonts w:ascii="Arial" w:hAnsi="Arial" w:cs="Arial"/>
                <w:color w:val="000000"/>
                <w:sz w:val="18"/>
                <w:szCs w:val="18"/>
              </w:rPr>
              <w:t>(3.53)</w:t>
            </w:r>
          </w:p>
        </w:tc>
        <w:tc>
          <w:tcPr>
            <w:tcW w:w="751" w:type="dxa"/>
            <w:tcBorders>
              <w:top w:val="single" w:sz="4" w:space="0" w:color="auto"/>
              <w:left w:val="nil"/>
              <w:bottom w:val="nil"/>
              <w:right w:val="nil"/>
            </w:tcBorders>
            <w:vAlign w:val="center"/>
          </w:tcPr>
          <w:p w14:paraId="69C970A9"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8.61</w:t>
            </w:r>
          </w:p>
          <w:p w14:paraId="6FF3F176" w14:textId="77777777" w:rsidR="00CE0B1B" w:rsidRDefault="00FF4B67">
            <w:pPr>
              <w:jc w:val="center"/>
              <w:rPr>
                <w:rFonts w:ascii="Arial" w:hAnsi="Arial" w:cs="Arial"/>
                <w:sz w:val="18"/>
                <w:szCs w:val="18"/>
              </w:rPr>
            </w:pPr>
            <w:r>
              <w:rPr>
                <w:rFonts w:ascii="Arial" w:hAnsi="Arial" w:cs="Arial"/>
                <w:sz w:val="18"/>
                <w:szCs w:val="18"/>
              </w:rPr>
              <w:t>(3.09)</w:t>
            </w:r>
          </w:p>
        </w:tc>
        <w:tc>
          <w:tcPr>
            <w:tcW w:w="745" w:type="dxa"/>
            <w:tcBorders>
              <w:top w:val="single" w:sz="4" w:space="0" w:color="auto"/>
              <w:left w:val="nil"/>
              <w:bottom w:val="nil"/>
              <w:right w:val="nil"/>
            </w:tcBorders>
            <w:vAlign w:val="center"/>
          </w:tcPr>
          <w:p w14:paraId="7C83358C" w14:textId="77777777" w:rsidR="00CE0B1B" w:rsidRDefault="00FF4B67">
            <w:pPr>
              <w:jc w:val="center"/>
              <w:rPr>
                <w:rFonts w:ascii="Arial" w:hAnsi="Arial" w:cs="Arial"/>
                <w:sz w:val="18"/>
                <w:szCs w:val="18"/>
              </w:rPr>
            </w:pPr>
            <w:r>
              <w:rPr>
                <w:rFonts w:ascii="Arial" w:hAnsi="Arial" w:cs="Arial"/>
                <w:color w:val="000000"/>
                <w:sz w:val="18"/>
                <w:szCs w:val="18"/>
              </w:rPr>
              <w:t>64.79</w:t>
            </w:r>
          </w:p>
        </w:tc>
        <w:tc>
          <w:tcPr>
            <w:tcW w:w="745" w:type="dxa"/>
            <w:tcBorders>
              <w:top w:val="single" w:sz="4" w:space="0" w:color="auto"/>
              <w:left w:val="nil"/>
              <w:bottom w:val="nil"/>
              <w:right w:val="nil"/>
            </w:tcBorders>
            <w:vAlign w:val="center"/>
          </w:tcPr>
          <w:p w14:paraId="50AA3B76" w14:textId="77777777" w:rsidR="00CE0B1B" w:rsidRDefault="00FF4B67">
            <w:pPr>
              <w:jc w:val="center"/>
              <w:rPr>
                <w:rFonts w:ascii="Arial" w:hAnsi="Arial" w:cs="Arial"/>
                <w:sz w:val="18"/>
                <w:szCs w:val="18"/>
              </w:rPr>
            </w:pPr>
            <w:r>
              <w:rPr>
                <w:rFonts w:ascii="Arial" w:hAnsi="Arial" w:cs="Arial"/>
                <w:color w:val="000000"/>
                <w:sz w:val="18"/>
                <w:szCs w:val="18"/>
              </w:rPr>
              <w:t>73.94</w:t>
            </w:r>
          </w:p>
        </w:tc>
        <w:tc>
          <w:tcPr>
            <w:tcW w:w="745" w:type="dxa"/>
            <w:tcBorders>
              <w:top w:val="single" w:sz="4" w:space="0" w:color="auto"/>
              <w:left w:val="nil"/>
              <w:bottom w:val="nil"/>
              <w:right w:val="nil"/>
            </w:tcBorders>
            <w:vAlign w:val="center"/>
          </w:tcPr>
          <w:p w14:paraId="2DB80498" w14:textId="77777777" w:rsidR="00CE0B1B" w:rsidRDefault="00FF4B67">
            <w:pPr>
              <w:jc w:val="center"/>
              <w:rPr>
                <w:rFonts w:ascii="Arial" w:hAnsi="Arial" w:cs="Arial"/>
                <w:sz w:val="18"/>
                <w:szCs w:val="18"/>
              </w:rPr>
            </w:pPr>
            <w:r>
              <w:rPr>
                <w:rFonts w:ascii="Arial" w:hAnsi="Arial" w:cs="Arial"/>
                <w:color w:val="000000"/>
                <w:sz w:val="18"/>
                <w:szCs w:val="18"/>
              </w:rPr>
              <w:t>82.81</w:t>
            </w:r>
          </w:p>
        </w:tc>
        <w:tc>
          <w:tcPr>
            <w:tcW w:w="745" w:type="dxa"/>
            <w:tcBorders>
              <w:top w:val="single" w:sz="4" w:space="0" w:color="auto"/>
              <w:left w:val="nil"/>
              <w:bottom w:val="nil"/>
              <w:right w:val="nil"/>
            </w:tcBorders>
            <w:vAlign w:val="center"/>
          </w:tcPr>
          <w:p w14:paraId="0795162F" w14:textId="77777777" w:rsidR="00CE0B1B" w:rsidRDefault="00FF4B67">
            <w:pPr>
              <w:jc w:val="center"/>
              <w:rPr>
                <w:rFonts w:ascii="Arial" w:hAnsi="Arial" w:cs="Arial"/>
                <w:sz w:val="18"/>
                <w:szCs w:val="18"/>
              </w:rPr>
            </w:pPr>
            <w:r>
              <w:rPr>
                <w:rFonts w:ascii="Arial" w:hAnsi="Arial" w:cs="Arial"/>
                <w:color w:val="000000"/>
                <w:sz w:val="18"/>
                <w:szCs w:val="18"/>
              </w:rPr>
              <w:t>87.20</w:t>
            </w:r>
          </w:p>
        </w:tc>
        <w:tc>
          <w:tcPr>
            <w:tcW w:w="745" w:type="dxa"/>
            <w:tcBorders>
              <w:top w:val="single" w:sz="4" w:space="0" w:color="auto"/>
              <w:left w:val="nil"/>
              <w:bottom w:val="nil"/>
              <w:right w:val="nil"/>
            </w:tcBorders>
            <w:vAlign w:val="center"/>
          </w:tcPr>
          <w:p w14:paraId="7D80D02E" w14:textId="77777777" w:rsidR="00CE0B1B" w:rsidRDefault="00FF4B67">
            <w:pPr>
              <w:jc w:val="center"/>
              <w:rPr>
                <w:rFonts w:ascii="Arial" w:hAnsi="Arial" w:cs="Arial"/>
                <w:sz w:val="18"/>
                <w:szCs w:val="18"/>
              </w:rPr>
            </w:pPr>
            <w:r>
              <w:rPr>
                <w:rFonts w:ascii="Arial" w:hAnsi="Arial" w:cs="Arial"/>
                <w:color w:val="000000"/>
                <w:sz w:val="18"/>
                <w:szCs w:val="18"/>
              </w:rPr>
              <w:t>90.43</w:t>
            </w:r>
          </w:p>
        </w:tc>
      </w:tr>
      <w:tr w:rsidR="00CE0B1B" w14:paraId="38F11FFE" w14:textId="77777777">
        <w:tc>
          <w:tcPr>
            <w:tcW w:w="1636" w:type="dxa"/>
            <w:tcBorders>
              <w:top w:val="nil"/>
              <w:left w:val="nil"/>
              <w:bottom w:val="nil"/>
              <w:right w:val="nil"/>
            </w:tcBorders>
            <w:vAlign w:val="center"/>
          </w:tcPr>
          <w:p w14:paraId="35600FF0" w14:textId="77777777" w:rsidR="00CE0B1B" w:rsidRDefault="00FF4B67">
            <w:pPr>
              <w:jc w:val="center"/>
              <w:rPr>
                <w:rFonts w:ascii="Arial" w:hAnsi="Arial" w:cs="Arial"/>
                <w:sz w:val="18"/>
                <w:szCs w:val="18"/>
              </w:rPr>
            </w:pPr>
            <w:r>
              <w:rPr>
                <w:rFonts w:ascii="Arial" w:hAnsi="Arial" w:cs="Arial"/>
                <w:b/>
                <w:bCs/>
                <w:i/>
                <w:iCs/>
                <w:color w:val="000000"/>
                <w:sz w:val="18"/>
                <w:szCs w:val="18"/>
              </w:rPr>
              <w:t>Lantana camera</w:t>
            </w:r>
          </w:p>
        </w:tc>
        <w:tc>
          <w:tcPr>
            <w:tcW w:w="651" w:type="dxa"/>
            <w:tcBorders>
              <w:top w:val="nil"/>
              <w:left w:val="nil"/>
              <w:bottom w:val="nil"/>
              <w:right w:val="nil"/>
            </w:tcBorders>
            <w:vAlign w:val="center"/>
          </w:tcPr>
          <w:p w14:paraId="4150277B"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22.40</w:t>
            </w:r>
          </w:p>
          <w:p w14:paraId="3B07637D" w14:textId="77777777" w:rsidR="00CE0B1B" w:rsidRDefault="00FF4B67">
            <w:pPr>
              <w:jc w:val="center"/>
              <w:rPr>
                <w:rFonts w:ascii="Arial" w:hAnsi="Arial" w:cs="Arial"/>
                <w:sz w:val="18"/>
                <w:szCs w:val="18"/>
              </w:rPr>
            </w:pPr>
            <w:r>
              <w:rPr>
                <w:rFonts w:ascii="Arial" w:hAnsi="Arial" w:cs="Arial"/>
                <w:sz w:val="18"/>
                <w:szCs w:val="18"/>
              </w:rPr>
              <w:t>(4.83)</w:t>
            </w:r>
          </w:p>
        </w:tc>
        <w:tc>
          <w:tcPr>
            <w:tcW w:w="751" w:type="dxa"/>
            <w:tcBorders>
              <w:top w:val="nil"/>
              <w:left w:val="nil"/>
              <w:bottom w:val="nil"/>
              <w:right w:val="nil"/>
            </w:tcBorders>
            <w:vAlign w:val="center"/>
          </w:tcPr>
          <w:p w14:paraId="25808907"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18.56</w:t>
            </w:r>
          </w:p>
          <w:p w14:paraId="4F15AA7B" w14:textId="77777777" w:rsidR="00CE0B1B" w:rsidRDefault="00FF4B67">
            <w:pPr>
              <w:jc w:val="center"/>
              <w:rPr>
                <w:rFonts w:ascii="Arial" w:hAnsi="Arial" w:cs="Arial"/>
                <w:sz w:val="18"/>
                <w:szCs w:val="18"/>
              </w:rPr>
            </w:pPr>
            <w:r>
              <w:rPr>
                <w:rFonts w:ascii="Arial" w:hAnsi="Arial" w:cs="Arial"/>
                <w:color w:val="000000"/>
                <w:sz w:val="18"/>
                <w:szCs w:val="18"/>
              </w:rPr>
              <w:t>(4.42)</w:t>
            </w:r>
          </w:p>
        </w:tc>
        <w:tc>
          <w:tcPr>
            <w:tcW w:w="751" w:type="dxa"/>
            <w:tcBorders>
              <w:top w:val="nil"/>
              <w:left w:val="nil"/>
              <w:bottom w:val="nil"/>
              <w:right w:val="nil"/>
            </w:tcBorders>
            <w:vAlign w:val="center"/>
          </w:tcPr>
          <w:p w14:paraId="0D3A21D4"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13.54</w:t>
            </w:r>
          </w:p>
          <w:p w14:paraId="0A308023" w14:textId="77777777" w:rsidR="00CE0B1B" w:rsidRDefault="00FF4B67">
            <w:pPr>
              <w:jc w:val="center"/>
              <w:rPr>
                <w:rFonts w:ascii="Arial" w:hAnsi="Arial" w:cs="Arial"/>
                <w:sz w:val="18"/>
                <w:szCs w:val="18"/>
              </w:rPr>
            </w:pPr>
            <w:r>
              <w:rPr>
                <w:rFonts w:ascii="Arial" w:hAnsi="Arial" w:cs="Arial"/>
                <w:color w:val="000000"/>
                <w:sz w:val="18"/>
                <w:szCs w:val="18"/>
              </w:rPr>
              <w:t>(3.81)</w:t>
            </w:r>
          </w:p>
        </w:tc>
        <w:tc>
          <w:tcPr>
            <w:tcW w:w="751" w:type="dxa"/>
            <w:tcBorders>
              <w:top w:val="nil"/>
              <w:left w:val="nil"/>
              <w:bottom w:val="nil"/>
              <w:right w:val="nil"/>
            </w:tcBorders>
            <w:vAlign w:val="center"/>
          </w:tcPr>
          <w:p w14:paraId="01B06216"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8.61</w:t>
            </w:r>
          </w:p>
          <w:p w14:paraId="66AF8F47" w14:textId="77777777" w:rsidR="00CE0B1B" w:rsidRDefault="00FF4B67">
            <w:pPr>
              <w:jc w:val="center"/>
              <w:rPr>
                <w:rFonts w:ascii="Arial" w:hAnsi="Arial" w:cs="Arial"/>
                <w:sz w:val="18"/>
                <w:szCs w:val="18"/>
              </w:rPr>
            </w:pPr>
            <w:r>
              <w:rPr>
                <w:rFonts w:ascii="Arial" w:hAnsi="Arial" w:cs="Arial"/>
                <w:sz w:val="18"/>
                <w:szCs w:val="18"/>
              </w:rPr>
              <w:t>(3.09)</w:t>
            </w:r>
          </w:p>
        </w:tc>
        <w:tc>
          <w:tcPr>
            <w:tcW w:w="751" w:type="dxa"/>
            <w:tcBorders>
              <w:top w:val="nil"/>
              <w:left w:val="nil"/>
              <w:bottom w:val="nil"/>
              <w:right w:val="nil"/>
            </w:tcBorders>
            <w:vAlign w:val="center"/>
          </w:tcPr>
          <w:p w14:paraId="781873DA"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0.00</w:t>
            </w:r>
          </w:p>
          <w:p w14:paraId="5D2179F7" w14:textId="77777777" w:rsidR="00CE0B1B" w:rsidRDefault="00FF4B67">
            <w:pPr>
              <w:jc w:val="center"/>
              <w:rPr>
                <w:rFonts w:ascii="Arial" w:hAnsi="Arial" w:cs="Arial"/>
                <w:sz w:val="18"/>
                <w:szCs w:val="18"/>
              </w:rPr>
            </w:pPr>
            <w:r>
              <w:rPr>
                <w:rFonts w:ascii="Arial" w:hAnsi="Arial" w:cs="Arial"/>
                <w:color w:val="000000"/>
                <w:sz w:val="18"/>
                <w:szCs w:val="18"/>
              </w:rPr>
              <w:t>(1.00)</w:t>
            </w:r>
          </w:p>
        </w:tc>
        <w:tc>
          <w:tcPr>
            <w:tcW w:w="745" w:type="dxa"/>
            <w:tcBorders>
              <w:top w:val="nil"/>
              <w:left w:val="nil"/>
              <w:bottom w:val="nil"/>
              <w:right w:val="nil"/>
            </w:tcBorders>
            <w:vAlign w:val="center"/>
          </w:tcPr>
          <w:p w14:paraId="6850D7AA" w14:textId="77777777" w:rsidR="00CE0B1B" w:rsidRDefault="00FF4B67">
            <w:pPr>
              <w:jc w:val="center"/>
              <w:rPr>
                <w:rFonts w:ascii="Arial" w:hAnsi="Arial" w:cs="Arial"/>
                <w:sz w:val="18"/>
                <w:szCs w:val="18"/>
              </w:rPr>
            </w:pPr>
            <w:r>
              <w:rPr>
                <w:rFonts w:ascii="Arial" w:hAnsi="Arial" w:cs="Arial"/>
                <w:color w:val="000000"/>
                <w:sz w:val="18"/>
                <w:szCs w:val="18"/>
              </w:rPr>
              <w:t>75.11</w:t>
            </w:r>
          </w:p>
        </w:tc>
        <w:tc>
          <w:tcPr>
            <w:tcW w:w="745" w:type="dxa"/>
            <w:tcBorders>
              <w:top w:val="nil"/>
              <w:left w:val="nil"/>
              <w:bottom w:val="nil"/>
              <w:right w:val="nil"/>
            </w:tcBorders>
            <w:vAlign w:val="center"/>
          </w:tcPr>
          <w:p w14:paraId="006E73EC" w14:textId="77777777" w:rsidR="00CE0B1B" w:rsidRDefault="00FF4B67">
            <w:pPr>
              <w:jc w:val="center"/>
              <w:rPr>
                <w:rFonts w:ascii="Arial" w:hAnsi="Arial" w:cs="Arial"/>
                <w:sz w:val="18"/>
                <w:szCs w:val="18"/>
              </w:rPr>
            </w:pPr>
            <w:r>
              <w:rPr>
                <w:rFonts w:ascii="Arial" w:hAnsi="Arial" w:cs="Arial"/>
                <w:color w:val="000000"/>
                <w:sz w:val="18"/>
                <w:szCs w:val="18"/>
              </w:rPr>
              <w:t>79.38</w:t>
            </w:r>
          </w:p>
        </w:tc>
        <w:tc>
          <w:tcPr>
            <w:tcW w:w="745" w:type="dxa"/>
            <w:tcBorders>
              <w:top w:val="nil"/>
              <w:left w:val="nil"/>
              <w:bottom w:val="nil"/>
              <w:right w:val="nil"/>
            </w:tcBorders>
            <w:vAlign w:val="center"/>
          </w:tcPr>
          <w:p w14:paraId="2861CC13" w14:textId="77777777" w:rsidR="00CE0B1B" w:rsidRDefault="00FF4B67">
            <w:pPr>
              <w:jc w:val="center"/>
              <w:rPr>
                <w:rFonts w:ascii="Arial" w:hAnsi="Arial" w:cs="Arial"/>
                <w:sz w:val="18"/>
                <w:szCs w:val="18"/>
              </w:rPr>
            </w:pPr>
            <w:r>
              <w:rPr>
                <w:rFonts w:ascii="Arial" w:hAnsi="Arial" w:cs="Arial"/>
                <w:color w:val="000000"/>
                <w:sz w:val="18"/>
                <w:szCs w:val="18"/>
              </w:rPr>
              <w:t>84.96</w:t>
            </w:r>
          </w:p>
        </w:tc>
        <w:tc>
          <w:tcPr>
            <w:tcW w:w="745" w:type="dxa"/>
            <w:tcBorders>
              <w:top w:val="nil"/>
              <w:left w:val="nil"/>
              <w:bottom w:val="nil"/>
              <w:right w:val="nil"/>
            </w:tcBorders>
            <w:vAlign w:val="center"/>
          </w:tcPr>
          <w:p w14:paraId="4ADEB63E" w14:textId="77777777" w:rsidR="00CE0B1B" w:rsidRDefault="00FF4B67">
            <w:pPr>
              <w:jc w:val="center"/>
              <w:rPr>
                <w:rFonts w:ascii="Arial" w:hAnsi="Arial" w:cs="Arial"/>
                <w:sz w:val="18"/>
                <w:szCs w:val="18"/>
              </w:rPr>
            </w:pPr>
            <w:r>
              <w:rPr>
                <w:rFonts w:ascii="Arial" w:hAnsi="Arial" w:cs="Arial"/>
                <w:color w:val="000000"/>
                <w:sz w:val="18"/>
                <w:szCs w:val="18"/>
              </w:rPr>
              <w:t>90.43</w:t>
            </w:r>
          </w:p>
        </w:tc>
        <w:tc>
          <w:tcPr>
            <w:tcW w:w="745" w:type="dxa"/>
            <w:tcBorders>
              <w:top w:val="nil"/>
              <w:left w:val="nil"/>
              <w:bottom w:val="nil"/>
              <w:right w:val="nil"/>
            </w:tcBorders>
            <w:vAlign w:val="center"/>
          </w:tcPr>
          <w:p w14:paraId="5D02367C" w14:textId="77777777" w:rsidR="00CE0B1B" w:rsidRDefault="00FF4B67">
            <w:pPr>
              <w:jc w:val="center"/>
              <w:rPr>
                <w:rFonts w:ascii="Arial" w:hAnsi="Arial" w:cs="Arial"/>
                <w:sz w:val="18"/>
                <w:szCs w:val="18"/>
              </w:rPr>
            </w:pPr>
            <w:r>
              <w:rPr>
                <w:rFonts w:ascii="Arial" w:hAnsi="Arial" w:cs="Arial"/>
                <w:color w:val="000000"/>
                <w:sz w:val="18"/>
                <w:szCs w:val="18"/>
              </w:rPr>
              <w:t>100.0</w:t>
            </w:r>
          </w:p>
        </w:tc>
      </w:tr>
      <w:tr w:rsidR="00CE0B1B" w14:paraId="1B281497" w14:textId="77777777">
        <w:tc>
          <w:tcPr>
            <w:tcW w:w="1636" w:type="dxa"/>
            <w:tcBorders>
              <w:top w:val="nil"/>
              <w:left w:val="nil"/>
              <w:bottom w:val="nil"/>
              <w:right w:val="nil"/>
            </w:tcBorders>
            <w:vAlign w:val="center"/>
          </w:tcPr>
          <w:p w14:paraId="15653129" w14:textId="5FBF56DD" w:rsidR="00CE0B1B" w:rsidRDefault="00FF4B67">
            <w:pPr>
              <w:jc w:val="center"/>
              <w:rPr>
                <w:rFonts w:ascii="Arial" w:hAnsi="Arial" w:cs="Arial"/>
                <w:sz w:val="18"/>
                <w:szCs w:val="18"/>
              </w:rPr>
            </w:pPr>
            <w:r>
              <w:rPr>
                <w:rFonts w:ascii="Arial" w:hAnsi="Arial" w:cs="Arial"/>
                <w:b/>
                <w:bCs/>
                <w:i/>
                <w:iCs/>
                <w:color w:val="000000"/>
                <w:sz w:val="18"/>
                <w:szCs w:val="18"/>
              </w:rPr>
              <w:t xml:space="preserve">Eucalyptus </w:t>
            </w:r>
            <w:r w:rsidR="008C0BB3" w:rsidRPr="008C0BB3">
              <w:rPr>
                <w:rFonts w:ascii="Arial" w:hAnsi="Arial" w:cs="Arial"/>
                <w:b/>
                <w:bCs/>
                <w:i/>
                <w:iCs/>
                <w:sz w:val="18"/>
                <w:szCs w:val="18"/>
              </w:rPr>
              <w:t>globulus</w:t>
            </w:r>
          </w:p>
        </w:tc>
        <w:tc>
          <w:tcPr>
            <w:tcW w:w="651" w:type="dxa"/>
            <w:tcBorders>
              <w:top w:val="nil"/>
              <w:left w:val="nil"/>
              <w:bottom w:val="nil"/>
              <w:right w:val="nil"/>
            </w:tcBorders>
            <w:vAlign w:val="center"/>
          </w:tcPr>
          <w:p w14:paraId="661BBC39"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30.57</w:t>
            </w:r>
          </w:p>
          <w:p w14:paraId="5110B7BD" w14:textId="77777777" w:rsidR="00CE0B1B" w:rsidRDefault="00FF4B67">
            <w:pPr>
              <w:jc w:val="center"/>
              <w:rPr>
                <w:rFonts w:ascii="Arial" w:hAnsi="Arial" w:cs="Arial"/>
                <w:sz w:val="18"/>
                <w:szCs w:val="18"/>
              </w:rPr>
            </w:pPr>
            <w:r>
              <w:rPr>
                <w:rFonts w:ascii="Arial" w:hAnsi="Arial" w:cs="Arial"/>
                <w:sz w:val="18"/>
                <w:szCs w:val="18"/>
              </w:rPr>
              <w:t>(5.61)</w:t>
            </w:r>
          </w:p>
        </w:tc>
        <w:tc>
          <w:tcPr>
            <w:tcW w:w="751" w:type="dxa"/>
            <w:tcBorders>
              <w:top w:val="nil"/>
              <w:left w:val="nil"/>
              <w:bottom w:val="nil"/>
              <w:right w:val="nil"/>
            </w:tcBorders>
            <w:vAlign w:val="center"/>
          </w:tcPr>
          <w:p w14:paraId="0965B01F"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22.35</w:t>
            </w:r>
          </w:p>
          <w:p w14:paraId="1D223C4D" w14:textId="77777777" w:rsidR="00CE0B1B" w:rsidRDefault="00FF4B67">
            <w:pPr>
              <w:jc w:val="center"/>
              <w:rPr>
                <w:rFonts w:ascii="Arial" w:hAnsi="Arial" w:cs="Arial"/>
                <w:sz w:val="18"/>
                <w:szCs w:val="18"/>
              </w:rPr>
            </w:pPr>
            <w:r>
              <w:rPr>
                <w:rFonts w:ascii="Arial" w:hAnsi="Arial" w:cs="Arial"/>
                <w:color w:val="000000"/>
                <w:sz w:val="18"/>
                <w:szCs w:val="18"/>
              </w:rPr>
              <w:t>(4.83)</w:t>
            </w:r>
          </w:p>
        </w:tc>
        <w:tc>
          <w:tcPr>
            <w:tcW w:w="751" w:type="dxa"/>
            <w:tcBorders>
              <w:top w:val="nil"/>
              <w:left w:val="nil"/>
              <w:bottom w:val="nil"/>
              <w:right w:val="nil"/>
            </w:tcBorders>
            <w:vAlign w:val="center"/>
          </w:tcPr>
          <w:p w14:paraId="457021CD"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18.58</w:t>
            </w:r>
          </w:p>
          <w:p w14:paraId="79CD886A" w14:textId="77777777" w:rsidR="00CE0B1B" w:rsidRDefault="00FF4B67">
            <w:pPr>
              <w:jc w:val="center"/>
              <w:rPr>
                <w:rFonts w:ascii="Arial" w:hAnsi="Arial" w:cs="Arial"/>
                <w:sz w:val="18"/>
                <w:szCs w:val="18"/>
              </w:rPr>
            </w:pPr>
            <w:r>
              <w:rPr>
                <w:rFonts w:ascii="Arial" w:hAnsi="Arial" w:cs="Arial"/>
                <w:color w:val="000000"/>
                <w:sz w:val="18"/>
                <w:szCs w:val="18"/>
              </w:rPr>
              <w:t>(4.42)</w:t>
            </w:r>
          </w:p>
        </w:tc>
        <w:tc>
          <w:tcPr>
            <w:tcW w:w="751" w:type="dxa"/>
            <w:tcBorders>
              <w:top w:val="nil"/>
              <w:left w:val="nil"/>
              <w:bottom w:val="nil"/>
              <w:right w:val="nil"/>
            </w:tcBorders>
            <w:vAlign w:val="center"/>
          </w:tcPr>
          <w:p w14:paraId="5CF74DA2"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8.44</w:t>
            </w:r>
          </w:p>
          <w:p w14:paraId="166A14E6" w14:textId="77777777" w:rsidR="00CE0B1B" w:rsidRDefault="00FF4B67">
            <w:pPr>
              <w:jc w:val="center"/>
              <w:rPr>
                <w:rFonts w:ascii="Arial" w:hAnsi="Arial" w:cs="Arial"/>
                <w:sz w:val="18"/>
                <w:szCs w:val="18"/>
              </w:rPr>
            </w:pPr>
            <w:r>
              <w:rPr>
                <w:rFonts w:ascii="Arial" w:hAnsi="Arial" w:cs="Arial"/>
                <w:sz w:val="18"/>
                <w:szCs w:val="18"/>
              </w:rPr>
              <w:t>(3.07)</w:t>
            </w:r>
          </w:p>
        </w:tc>
        <w:tc>
          <w:tcPr>
            <w:tcW w:w="751" w:type="dxa"/>
            <w:tcBorders>
              <w:top w:val="nil"/>
              <w:left w:val="nil"/>
              <w:bottom w:val="nil"/>
              <w:right w:val="nil"/>
            </w:tcBorders>
            <w:vAlign w:val="center"/>
          </w:tcPr>
          <w:p w14:paraId="7EB0753F"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6.48</w:t>
            </w:r>
          </w:p>
          <w:p w14:paraId="528EECD8" w14:textId="77777777" w:rsidR="00CE0B1B" w:rsidRDefault="00FF4B67">
            <w:pPr>
              <w:jc w:val="center"/>
              <w:rPr>
                <w:rFonts w:ascii="Arial" w:hAnsi="Arial" w:cs="Arial"/>
                <w:sz w:val="18"/>
                <w:szCs w:val="18"/>
              </w:rPr>
            </w:pPr>
            <w:r>
              <w:rPr>
                <w:rFonts w:ascii="Arial" w:hAnsi="Arial" w:cs="Arial"/>
                <w:sz w:val="18"/>
                <w:szCs w:val="18"/>
              </w:rPr>
              <w:t>(2.72)</w:t>
            </w:r>
          </w:p>
        </w:tc>
        <w:tc>
          <w:tcPr>
            <w:tcW w:w="745" w:type="dxa"/>
            <w:tcBorders>
              <w:top w:val="nil"/>
              <w:left w:val="nil"/>
              <w:bottom w:val="nil"/>
              <w:right w:val="nil"/>
            </w:tcBorders>
            <w:vAlign w:val="center"/>
          </w:tcPr>
          <w:p w14:paraId="5020F728" w14:textId="77777777" w:rsidR="00CE0B1B" w:rsidRDefault="00FF4B67">
            <w:pPr>
              <w:jc w:val="center"/>
              <w:rPr>
                <w:rFonts w:ascii="Arial" w:hAnsi="Arial" w:cs="Arial"/>
                <w:sz w:val="18"/>
                <w:szCs w:val="18"/>
              </w:rPr>
            </w:pPr>
            <w:r>
              <w:rPr>
                <w:rFonts w:ascii="Arial" w:hAnsi="Arial" w:cs="Arial"/>
                <w:color w:val="000000"/>
                <w:sz w:val="18"/>
                <w:szCs w:val="18"/>
              </w:rPr>
              <w:t>66.03</w:t>
            </w:r>
          </w:p>
        </w:tc>
        <w:tc>
          <w:tcPr>
            <w:tcW w:w="745" w:type="dxa"/>
            <w:tcBorders>
              <w:top w:val="nil"/>
              <w:left w:val="nil"/>
              <w:bottom w:val="nil"/>
              <w:right w:val="nil"/>
            </w:tcBorders>
            <w:vAlign w:val="center"/>
          </w:tcPr>
          <w:p w14:paraId="1BB68776" w14:textId="77777777" w:rsidR="00CE0B1B" w:rsidRDefault="00FF4B67">
            <w:pPr>
              <w:jc w:val="center"/>
              <w:rPr>
                <w:rFonts w:ascii="Arial" w:hAnsi="Arial" w:cs="Arial"/>
                <w:sz w:val="18"/>
                <w:szCs w:val="18"/>
              </w:rPr>
            </w:pPr>
            <w:r>
              <w:rPr>
                <w:rFonts w:ascii="Arial" w:hAnsi="Arial" w:cs="Arial"/>
                <w:color w:val="000000"/>
                <w:sz w:val="18"/>
                <w:szCs w:val="18"/>
              </w:rPr>
              <w:t>75.16</w:t>
            </w:r>
          </w:p>
        </w:tc>
        <w:tc>
          <w:tcPr>
            <w:tcW w:w="745" w:type="dxa"/>
            <w:tcBorders>
              <w:top w:val="nil"/>
              <w:left w:val="nil"/>
              <w:bottom w:val="nil"/>
              <w:right w:val="nil"/>
            </w:tcBorders>
            <w:vAlign w:val="center"/>
          </w:tcPr>
          <w:p w14:paraId="447769BF" w14:textId="77777777" w:rsidR="00CE0B1B" w:rsidRDefault="00FF4B67">
            <w:pPr>
              <w:jc w:val="center"/>
              <w:rPr>
                <w:rFonts w:ascii="Arial" w:hAnsi="Arial" w:cs="Arial"/>
                <w:sz w:val="18"/>
                <w:szCs w:val="18"/>
              </w:rPr>
            </w:pPr>
            <w:r>
              <w:rPr>
                <w:rFonts w:ascii="Arial" w:hAnsi="Arial" w:cs="Arial"/>
                <w:color w:val="000000"/>
                <w:sz w:val="18"/>
                <w:szCs w:val="18"/>
              </w:rPr>
              <w:t>79.36</w:t>
            </w:r>
          </w:p>
        </w:tc>
        <w:tc>
          <w:tcPr>
            <w:tcW w:w="745" w:type="dxa"/>
            <w:tcBorders>
              <w:top w:val="nil"/>
              <w:left w:val="nil"/>
              <w:bottom w:val="nil"/>
              <w:right w:val="nil"/>
            </w:tcBorders>
            <w:vAlign w:val="center"/>
          </w:tcPr>
          <w:p w14:paraId="3420A0D9" w14:textId="77777777" w:rsidR="00CE0B1B" w:rsidRDefault="00FF4B67">
            <w:pPr>
              <w:jc w:val="center"/>
              <w:rPr>
                <w:rFonts w:ascii="Arial" w:hAnsi="Arial" w:cs="Arial"/>
                <w:sz w:val="18"/>
                <w:szCs w:val="18"/>
              </w:rPr>
            </w:pPr>
            <w:r>
              <w:rPr>
                <w:rFonts w:ascii="Arial" w:hAnsi="Arial" w:cs="Arial"/>
                <w:color w:val="000000"/>
                <w:sz w:val="18"/>
                <w:szCs w:val="18"/>
              </w:rPr>
              <w:t>90.63</w:t>
            </w:r>
          </w:p>
        </w:tc>
        <w:tc>
          <w:tcPr>
            <w:tcW w:w="745" w:type="dxa"/>
            <w:tcBorders>
              <w:top w:val="nil"/>
              <w:left w:val="nil"/>
              <w:bottom w:val="nil"/>
              <w:right w:val="nil"/>
            </w:tcBorders>
            <w:vAlign w:val="center"/>
          </w:tcPr>
          <w:p w14:paraId="62C78437" w14:textId="77777777" w:rsidR="00CE0B1B" w:rsidRDefault="00FF4B67">
            <w:pPr>
              <w:jc w:val="center"/>
              <w:rPr>
                <w:rFonts w:ascii="Arial" w:hAnsi="Arial" w:cs="Arial"/>
                <w:sz w:val="18"/>
                <w:szCs w:val="18"/>
              </w:rPr>
            </w:pPr>
            <w:r>
              <w:rPr>
                <w:rFonts w:ascii="Arial" w:hAnsi="Arial" w:cs="Arial"/>
                <w:color w:val="000000"/>
                <w:sz w:val="18"/>
                <w:szCs w:val="18"/>
              </w:rPr>
              <w:t>92.80</w:t>
            </w:r>
          </w:p>
        </w:tc>
      </w:tr>
      <w:tr w:rsidR="00CE0B1B" w14:paraId="06FED07A" w14:textId="77777777">
        <w:tc>
          <w:tcPr>
            <w:tcW w:w="1636" w:type="dxa"/>
            <w:tcBorders>
              <w:top w:val="nil"/>
              <w:left w:val="nil"/>
              <w:bottom w:val="nil"/>
              <w:right w:val="nil"/>
            </w:tcBorders>
            <w:vAlign w:val="center"/>
          </w:tcPr>
          <w:p w14:paraId="6BAA99D4" w14:textId="77777777" w:rsidR="00CE0B1B" w:rsidRDefault="00FF4B67">
            <w:pPr>
              <w:jc w:val="center"/>
              <w:rPr>
                <w:rFonts w:ascii="Arial" w:hAnsi="Arial" w:cs="Arial"/>
                <w:sz w:val="18"/>
                <w:szCs w:val="18"/>
              </w:rPr>
            </w:pPr>
            <w:r>
              <w:rPr>
                <w:rFonts w:ascii="Arial" w:hAnsi="Arial" w:cs="Arial"/>
                <w:b/>
                <w:bCs/>
                <w:i/>
                <w:iCs/>
                <w:color w:val="000000"/>
                <w:sz w:val="18"/>
                <w:szCs w:val="18"/>
              </w:rPr>
              <w:t>Melia azedarach</w:t>
            </w:r>
          </w:p>
        </w:tc>
        <w:tc>
          <w:tcPr>
            <w:tcW w:w="651" w:type="dxa"/>
            <w:tcBorders>
              <w:top w:val="nil"/>
              <w:left w:val="nil"/>
              <w:bottom w:val="nil"/>
              <w:right w:val="nil"/>
            </w:tcBorders>
            <w:vAlign w:val="center"/>
          </w:tcPr>
          <w:p w14:paraId="0ADC43F8"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55.56</w:t>
            </w:r>
          </w:p>
          <w:p w14:paraId="3F282E93" w14:textId="77777777" w:rsidR="00CE0B1B" w:rsidRDefault="00FF4B67">
            <w:pPr>
              <w:jc w:val="center"/>
              <w:rPr>
                <w:rFonts w:ascii="Arial" w:hAnsi="Arial" w:cs="Arial"/>
                <w:sz w:val="18"/>
                <w:szCs w:val="18"/>
              </w:rPr>
            </w:pPr>
            <w:r>
              <w:rPr>
                <w:rFonts w:ascii="Arial" w:hAnsi="Arial" w:cs="Arial"/>
                <w:color w:val="000000"/>
                <w:sz w:val="18"/>
                <w:szCs w:val="18"/>
              </w:rPr>
              <w:t>(7.52)</w:t>
            </w:r>
          </w:p>
        </w:tc>
        <w:tc>
          <w:tcPr>
            <w:tcW w:w="751" w:type="dxa"/>
            <w:tcBorders>
              <w:top w:val="nil"/>
              <w:left w:val="nil"/>
              <w:bottom w:val="nil"/>
              <w:right w:val="nil"/>
            </w:tcBorders>
            <w:vAlign w:val="center"/>
          </w:tcPr>
          <w:p w14:paraId="038FA110"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30.50</w:t>
            </w:r>
          </w:p>
          <w:p w14:paraId="38228641" w14:textId="77777777" w:rsidR="00CE0B1B" w:rsidRDefault="00FF4B67">
            <w:pPr>
              <w:jc w:val="center"/>
              <w:rPr>
                <w:rFonts w:ascii="Arial" w:hAnsi="Arial" w:cs="Arial"/>
                <w:sz w:val="18"/>
                <w:szCs w:val="18"/>
              </w:rPr>
            </w:pPr>
            <w:r>
              <w:rPr>
                <w:rFonts w:ascii="Arial" w:hAnsi="Arial" w:cs="Arial"/>
                <w:color w:val="000000"/>
                <w:sz w:val="18"/>
                <w:szCs w:val="18"/>
              </w:rPr>
              <w:t>(5.61)</w:t>
            </w:r>
          </w:p>
        </w:tc>
        <w:tc>
          <w:tcPr>
            <w:tcW w:w="751" w:type="dxa"/>
            <w:tcBorders>
              <w:top w:val="nil"/>
              <w:left w:val="nil"/>
              <w:bottom w:val="nil"/>
              <w:right w:val="nil"/>
            </w:tcBorders>
            <w:vAlign w:val="center"/>
          </w:tcPr>
          <w:p w14:paraId="1F85423C"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23.70</w:t>
            </w:r>
          </w:p>
          <w:p w14:paraId="564AAA5F" w14:textId="77777777" w:rsidR="00CE0B1B" w:rsidRDefault="00FF4B67">
            <w:pPr>
              <w:jc w:val="center"/>
              <w:rPr>
                <w:rFonts w:ascii="Arial" w:hAnsi="Arial" w:cs="Arial"/>
                <w:sz w:val="18"/>
                <w:szCs w:val="18"/>
              </w:rPr>
            </w:pPr>
            <w:r>
              <w:rPr>
                <w:rFonts w:ascii="Arial" w:hAnsi="Arial" w:cs="Arial"/>
                <w:color w:val="000000"/>
                <w:sz w:val="18"/>
                <w:szCs w:val="18"/>
              </w:rPr>
              <w:t>(4.96)</w:t>
            </w:r>
          </w:p>
        </w:tc>
        <w:tc>
          <w:tcPr>
            <w:tcW w:w="751" w:type="dxa"/>
            <w:tcBorders>
              <w:top w:val="nil"/>
              <w:left w:val="nil"/>
              <w:bottom w:val="nil"/>
              <w:right w:val="nil"/>
            </w:tcBorders>
            <w:vAlign w:val="center"/>
          </w:tcPr>
          <w:p w14:paraId="0976EFA8"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20.55</w:t>
            </w:r>
          </w:p>
          <w:p w14:paraId="32D4BE26" w14:textId="77777777" w:rsidR="00CE0B1B" w:rsidRDefault="00FF4B67">
            <w:pPr>
              <w:jc w:val="center"/>
              <w:rPr>
                <w:rFonts w:ascii="Arial" w:hAnsi="Arial" w:cs="Arial"/>
                <w:sz w:val="18"/>
                <w:szCs w:val="18"/>
              </w:rPr>
            </w:pPr>
            <w:r>
              <w:rPr>
                <w:rFonts w:ascii="Arial" w:hAnsi="Arial" w:cs="Arial"/>
                <w:sz w:val="18"/>
                <w:szCs w:val="18"/>
              </w:rPr>
              <w:t>(4.64)</w:t>
            </w:r>
          </w:p>
        </w:tc>
        <w:tc>
          <w:tcPr>
            <w:tcW w:w="751" w:type="dxa"/>
            <w:tcBorders>
              <w:top w:val="nil"/>
              <w:left w:val="nil"/>
              <w:bottom w:val="nil"/>
              <w:right w:val="nil"/>
            </w:tcBorders>
            <w:vAlign w:val="center"/>
          </w:tcPr>
          <w:p w14:paraId="268F8189"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13.58</w:t>
            </w:r>
          </w:p>
          <w:p w14:paraId="6A69346B" w14:textId="77777777" w:rsidR="00CE0B1B" w:rsidRDefault="00FF4B67">
            <w:pPr>
              <w:jc w:val="center"/>
              <w:rPr>
                <w:rFonts w:ascii="Arial" w:hAnsi="Arial" w:cs="Arial"/>
                <w:sz w:val="18"/>
                <w:szCs w:val="18"/>
              </w:rPr>
            </w:pPr>
            <w:r>
              <w:rPr>
                <w:rFonts w:ascii="Arial" w:hAnsi="Arial" w:cs="Arial"/>
                <w:sz w:val="18"/>
                <w:szCs w:val="18"/>
              </w:rPr>
              <w:t>(3.81)</w:t>
            </w:r>
          </w:p>
        </w:tc>
        <w:tc>
          <w:tcPr>
            <w:tcW w:w="745" w:type="dxa"/>
            <w:tcBorders>
              <w:top w:val="nil"/>
              <w:left w:val="nil"/>
              <w:bottom w:val="nil"/>
              <w:right w:val="nil"/>
            </w:tcBorders>
            <w:vAlign w:val="center"/>
          </w:tcPr>
          <w:p w14:paraId="610CC9EE" w14:textId="77777777" w:rsidR="00CE0B1B" w:rsidRDefault="00FF4B67">
            <w:pPr>
              <w:jc w:val="center"/>
              <w:rPr>
                <w:rFonts w:ascii="Arial" w:hAnsi="Arial" w:cs="Arial"/>
                <w:sz w:val="18"/>
                <w:szCs w:val="18"/>
              </w:rPr>
            </w:pPr>
            <w:r>
              <w:rPr>
                <w:rFonts w:ascii="Arial" w:hAnsi="Arial" w:cs="Arial"/>
                <w:color w:val="000000"/>
                <w:sz w:val="18"/>
                <w:szCs w:val="18"/>
              </w:rPr>
              <w:t>38.26</w:t>
            </w:r>
          </w:p>
        </w:tc>
        <w:tc>
          <w:tcPr>
            <w:tcW w:w="745" w:type="dxa"/>
            <w:tcBorders>
              <w:top w:val="nil"/>
              <w:left w:val="nil"/>
              <w:bottom w:val="nil"/>
              <w:right w:val="nil"/>
            </w:tcBorders>
            <w:vAlign w:val="center"/>
          </w:tcPr>
          <w:p w14:paraId="42ABA03A" w14:textId="77777777" w:rsidR="00CE0B1B" w:rsidRDefault="00FF4B67">
            <w:pPr>
              <w:jc w:val="center"/>
              <w:rPr>
                <w:rFonts w:ascii="Arial" w:hAnsi="Arial" w:cs="Arial"/>
                <w:sz w:val="18"/>
                <w:szCs w:val="18"/>
              </w:rPr>
            </w:pPr>
            <w:r>
              <w:rPr>
                <w:rFonts w:ascii="Arial" w:hAnsi="Arial" w:cs="Arial"/>
                <w:color w:val="000000"/>
                <w:sz w:val="18"/>
                <w:szCs w:val="18"/>
              </w:rPr>
              <w:t>66.11</w:t>
            </w:r>
          </w:p>
        </w:tc>
        <w:tc>
          <w:tcPr>
            <w:tcW w:w="745" w:type="dxa"/>
            <w:tcBorders>
              <w:top w:val="nil"/>
              <w:left w:val="nil"/>
              <w:bottom w:val="nil"/>
              <w:right w:val="nil"/>
            </w:tcBorders>
            <w:vAlign w:val="center"/>
          </w:tcPr>
          <w:p w14:paraId="4D2EB912" w14:textId="77777777" w:rsidR="00CE0B1B" w:rsidRDefault="00FF4B67">
            <w:pPr>
              <w:jc w:val="center"/>
              <w:rPr>
                <w:rFonts w:ascii="Arial" w:hAnsi="Arial" w:cs="Arial"/>
                <w:sz w:val="18"/>
                <w:szCs w:val="18"/>
              </w:rPr>
            </w:pPr>
            <w:r>
              <w:rPr>
                <w:rFonts w:ascii="Arial" w:hAnsi="Arial" w:cs="Arial"/>
                <w:color w:val="000000"/>
                <w:sz w:val="18"/>
                <w:szCs w:val="18"/>
              </w:rPr>
              <w:t>73.67</w:t>
            </w:r>
          </w:p>
        </w:tc>
        <w:tc>
          <w:tcPr>
            <w:tcW w:w="745" w:type="dxa"/>
            <w:tcBorders>
              <w:top w:val="nil"/>
              <w:left w:val="nil"/>
              <w:bottom w:val="nil"/>
              <w:right w:val="nil"/>
            </w:tcBorders>
            <w:vAlign w:val="center"/>
          </w:tcPr>
          <w:p w14:paraId="147EC5E0" w14:textId="77777777" w:rsidR="00CE0B1B" w:rsidRDefault="00FF4B67">
            <w:pPr>
              <w:jc w:val="center"/>
              <w:rPr>
                <w:rFonts w:ascii="Arial" w:hAnsi="Arial" w:cs="Arial"/>
                <w:sz w:val="18"/>
                <w:szCs w:val="18"/>
              </w:rPr>
            </w:pPr>
            <w:r>
              <w:rPr>
                <w:rFonts w:ascii="Arial" w:hAnsi="Arial" w:cs="Arial"/>
                <w:color w:val="000000"/>
                <w:sz w:val="18"/>
                <w:szCs w:val="18"/>
              </w:rPr>
              <w:t>77.16</w:t>
            </w:r>
          </w:p>
        </w:tc>
        <w:tc>
          <w:tcPr>
            <w:tcW w:w="745" w:type="dxa"/>
            <w:tcBorders>
              <w:top w:val="nil"/>
              <w:left w:val="nil"/>
              <w:bottom w:val="nil"/>
              <w:right w:val="nil"/>
            </w:tcBorders>
            <w:vAlign w:val="center"/>
          </w:tcPr>
          <w:p w14:paraId="5E79F026" w14:textId="77777777" w:rsidR="00CE0B1B" w:rsidRDefault="00FF4B67">
            <w:pPr>
              <w:jc w:val="center"/>
              <w:rPr>
                <w:rFonts w:ascii="Arial" w:hAnsi="Arial" w:cs="Arial"/>
                <w:sz w:val="18"/>
                <w:szCs w:val="18"/>
              </w:rPr>
            </w:pPr>
            <w:r>
              <w:rPr>
                <w:rFonts w:ascii="Arial" w:hAnsi="Arial" w:cs="Arial"/>
                <w:color w:val="000000"/>
                <w:sz w:val="18"/>
                <w:szCs w:val="18"/>
              </w:rPr>
              <w:t>84.91</w:t>
            </w:r>
          </w:p>
        </w:tc>
      </w:tr>
      <w:tr w:rsidR="00CE0B1B" w14:paraId="46AF2052" w14:textId="77777777">
        <w:tc>
          <w:tcPr>
            <w:tcW w:w="1636" w:type="dxa"/>
            <w:tcBorders>
              <w:top w:val="nil"/>
              <w:left w:val="nil"/>
              <w:bottom w:val="single" w:sz="4" w:space="0" w:color="auto"/>
              <w:right w:val="nil"/>
            </w:tcBorders>
            <w:vAlign w:val="center"/>
          </w:tcPr>
          <w:p w14:paraId="789096A8" w14:textId="1ED9A7DF" w:rsidR="00CE0B1B" w:rsidRDefault="00FF4B67">
            <w:pPr>
              <w:jc w:val="center"/>
              <w:rPr>
                <w:rFonts w:ascii="Arial" w:hAnsi="Arial" w:cs="Arial"/>
                <w:sz w:val="18"/>
                <w:szCs w:val="18"/>
              </w:rPr>
            </w:pPr>
            <w:r>
              <w:rPr>
                <w:rFonts w:ascii="Arial" w:hAnsi="Arial" w:cs="Arial"/>
                <w:b/>
                <w:bCs/>
                <w:color w:val="000000"/>
                <w:sz w:val="18"/>
                <w:szCs w:val="18"/>
              </w:rPr>
              <w:t>Control</w:t>
            </w:r>
          </w:p>
        </w:tc>
        <w:tc>
          <w:tcPr>
            <w:tcW w:w="651" w:type="dxa"/>
            <w:tcBorders>
              <w:top w:val="nil"/>
              <w:left w:val="nil"/>
              <w:bottom w:val="single" w:sz="4" w:space="0" w:color="auto"/>
              <w:right w:val="nil"/>
            </w:tcBorders>
            <w:vAlign w:val="center"/>
          </w:tcPr>
          <w:p w14:paraId="5DF0B007"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90.00</w:t>
            </w:r>
          </w:p>
          <w:p w14:paraId="759DE644" w14:textId="77777777" w:rsidR="00CE0B1B" w:rsidRDefault="00FF4B67">
            <w:pPr>
              <w:jc w:val="center"/>
              <w:rPr>
                <w:rFonts w:ascii="Arial" w:hAnsi="Arial" w:cs="Arial"/>
                <w:sz w:val="18"/>
                <w:szCs w:val="18"/>
              </w:rPr>
            </w:pPr>
            <w:r>
              <w:rPr>
                <w:rFonts w:ascii="Arial" w:hAnsi="Arial" w:cs="Arial"/>
                <w:color w:val="000000"/>
                <w:sz w:val="18"/>
                <w:szCs w:val="18"/>
              </w:rPr>
              <w:t>(9.53)</w:t>
            </w:r>
          </w:p>
        </w:tc>
        <w:tc>
          <w:tcPr>
            <w:tcW w:w="751" w:type="dxa"/>
            <w:tcBorders>
              <w:top w:val="nil"/>
              <w:left w:val="nil"/>
              <w:bottom w:val="single" w:sz="4" w:space="0" w:color="auto"/>
              <w:right w:val="nil"/>
            </w:tcBorders>
            <w:vAlign w:val="center"/>
          </w:tcPr>
          <w:p w14:paraId="4597A3DB"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90.00</w:t>
            </w:r>
          </w:p>
          <w:p w14:paraId="6575EACA" w14:textId="77777777" w:rsidR="00CE0B1B" w:rsidRDefault="00FF4B67">
            <w:pPr>
              <w:jc w:val="center"/>
              <w:rPr>
                <w:rFonts w:ascii="Arial" w:hAnsi="Arial" w:cs="Arial"/>
                <w:sz w:val="18"/>
                <w:szCs w:val="18"/>
              </w:rPr>
            </w:pPr>
            <w:r>
              <w:rPr>
                <w:rFonts w:ascii="Arial" w:hAnsi="Arial" w:cs="Arial"/>
                <w:color w:val="000000"/>
                <w:sz w:val="18"/>
                <w:szCs w:val="18"/>
              </w:rPr>
              <w:t>(9.53)</w:t>
            </w:r>
          </w:p>
        </w:tc>
        <w:tc>
          <w:tcPr>
            <w:tcW w:w="751" w:type="dxa"/>
            <w:tcBorders>
              <w:top w:val="nil"/>
              <w:left w:val="nil"/>
              <w:bottom w:val="single" w:sz="4" w:space="0" w:color="auto"/>
              <w:right w:val="nil"/>
            </w:tcBorders>
            <w:vAlign w:val="center"/>
          </w:tcPr>
          <w:p w14:paraId="77BD263D"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90.00</w:t>
            </w:r>
          </w:p>
          <w:p w14:paraId="2E70F0B7" w14:textId="77777777" w:rsidR="00CE0B1B" w:rsidRDefault="00FF4B67">
            <w:pPr>
              <w:jc w:val="center"/>
              <w:rPr>
                <w:rFonts w:ascii="Arial" w:hAnsi="Arial" w:cs="Arial"/>
                <w:sz w:val="18"/>
                <w:szCs w:val="18"/>
              </w:rPr>
            </w:pPr>
            <w:r>
              <w:rPr>
                <w:rFonts w:ascii="Arial" w:hAnsi="Arial" w:cs="Arial"/>
                <w:sz w:val="18"/>
                <w:szCs w:val="18"/>
              </w:rPr>
              <w:t>(9.53)</w:t>
            </w:r>
          </w:p>
        </w:tc>
        <w:tc>
          <w:tcPr>
            <w:tcW w:w="751" w:type="dxa"/>
            <w:tcBorders>
              <w:top w:val="nil"/>
              <w:left w:val="nil"/>
              <w:bottom w:val="single" w:sz="4" w:space="0" w:color="auto"/>
              <w:right w:val="nil"/>
            </w:tcBorders>
            <w:vAlign w:val="center"/>
          </w:tcPr>
          <w:p w14:paraId="3DCF6E61"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90.00</w:t>
            </w:r>
          </w:p>
          <w:p w14:paraId="59CA472B" w14:textId="77777777" w:rsidR="00CE0B1B" w:rsidRDefault="00FF4B67">
            <w:pPr>
              <w:jc w:val="center"/>
              <w:rPr>
                <w:rFonts w:ascii="Arial" w:hAnsi="Arial" w:cs="Arial"/>
                <w:sz w:val="18"/>
                <w:szCs w:val="18"/>
              </w:rPr>
            </w:pPr>
            <w:r>
              <w:rPr>
                <w:rFonts w:ascii="Arial" w:hAnsi="Arial" w:cs="Arial"/>
                <w:sz w:val="18"/>
                <w:szCs w:val="18"/>
              </w:rPr>
              <w:t>(9.53)</w:t>
            </w:r>
          </w:p>
        </w:tc>
        <w:tc>
          <w:tcPr>
            <w:tcW w:w="751" w:type="dxa"/>
            <w:tcBorders>
              <w:top w:val="nil"/>
              <w:left w:val="nil"/>
              <w:bottom w:val="single" w:sz="4" w:space="0" w:color="auto"/>
              <w:right w:val="nil"/>
            </w:tcBorders>
            <w:vAlign w:val="center"/>
          </w:tcPr>
          <w:p w14:paraId="401924D9" w14:textId="77777777" w:rsidR="00CE0B1B" w:rsidRDefault="00FF4B67">
            <w:pPr>
              <w:spacing w:line="276" w:lineRule="auto"/>
              <w:jc w:val="center"/>
              <w:rPr>
                <w:rFonts w:ascii="Arial" w:hAnsi="Arial" w:cs="Arial"/>
                <w:color w:val="000000"/>
                <w:sz w:val="18"/>
                <w:szCs w:val="18"/>
              </w:rPr>
            </w:pPr>
            <w:r>
              <w:rPr>
                <w:rFonts w:ascii="Arial" w:hAnsi="Arial" w:cs="Arial"/>
                <w:color w:val="000000"/>
                <w:sz w:val="18"/>
                <w:szCs w:val="18"/>
              </w:rPr>
              <w:t>90.00</w:t>
            </w:r>
          </w:p>
          <w:p w14:paraId="1FA765B6" w14:textId="77777777" w:rsidR="00CE0B1B" w:rsidRDefault="00FF4B67">
            <w:pPr>
              <w:jc w:val="center"/>
              <w:rPr>
                <w:rFonts w:ascii="Arial" w:hAnsi="Arial" w:cs="Arial"/>
                <w:sz w:val="18"/>
                <w:szCs w:val="18"/>
              </w:rPr>
            </w:pPr>
            <w:r>
              <w:rPr>
                <w:rFonts w:ascii="Arial" w:hAnsi="Arial" w:cs="Arial"/>
                <w:sz w:val="18"/>
                <w:szCs w:val="18"/>
              </w:rPr>
              <w:t>(9.53)</w:t>
            </w:r>
          </w:p>
        </w:tc>
        <w:tc>
          <w:tcPr>
            <w:tcW w:w="745" w:type="dxa"/>
            <w:tcBorders>
              <w:top w:val="nil"/>
              <w:left w:val="nil"/>
              <w:bottom w:val="nil"/>
              <w:right w:val="nil"/>
            </w:tcBorders>
            <w:vAlign w:val="center"/>
          </w:tcPr>
          <w:p w14:paraId="73F5B887" w14:textId="77777777" w:rsidR="00CE0B1B" w:rsidRDefault="00FF4B67">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14:paraId="34B502D6" w14:textId="77777777" w:rsidR="00CE0B1B" w:rsidRDefault="00FF4B67">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14:paraId="1F3AA5E2" w14:textId="77777777" w:rsidR="00CE0B1B" w:rsidRDefault="00FF4B67">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14:paraId="27FA9649" w14:textId="77777777" w:rsidR="00CE0B1B" w:rsidRDefault="00FF4B67">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14:paraId="5364376D" w14:textId="77777777" w:rsidR="00CE0B1B" w:rsidRDefault="00FF4B67">
            <w:pPr>
              <w:jc w:val="center"/>
              <w:rPr>
                <w:rFonts w:ascii="Arial" w:hAnsi="Arial" w:cs="Arial"/>
                <w:sz w:val="18"/>
                <w:szCs w:val="18"/>
              </w:rPr>
            </w:pPr>
            <w:r>
              <w:rPr>
                <w:rFonts w:ascii="Arial" w:hAnsi="Arial" w:cs="Arial"/>
                <w:color w:val="000000"/>
                <w:sz w:val="18"/>
                <w:szCs w:val="18"/>
              </w:rPr>
              <w:t>0.00</w:t>
            </w:r>
          </w:p>
        </w:tc>
      </w:tr>
      <w:tr w:rsidR="00CE0B1B" w14:paraId="25F5C628" w14:textId="77777777">
        <w:tc>
          <w:tcPr>
            <w:tcW w:w="1636" w:type="dxa"/>
            <w:tcBorders>
              <w:top w:val="single" w:sz="4" w:space="0" w:color="auto"/>
              <w:left w:val="nil"/>
              <w:bottom w:val="single" w:sz="4" w:space="0" w:color="auto"/>
              <w:right w:val="nil"/>
            </w:tcBorders>
            <w:vAlign w:val="center"/>
          </w:tcPr>
          <w:p w14:paraId="4777CDD1" w14:textId="77777777" w:rsidR="00CE0B1B" w:rsidRDefault="00CE0B1B">
            <w:pPr>
              <w:jc w:val="center"/>
              <w:rPr>
                <w:rFonts w:ascii="Arial" w:hAnsi="Arial" w:cs="Arial"/>
                <w:sz w:val="18"/>
                <w:szCs w:val="18"/>
              </w:rPr>
            </w:pPr>
          </w:p>
        </w:tc>
        <w:tc>
          <w:tcPr>
            <w:tcW w:w="3655" w:type="dxa"/>
            <w:gridSpan w:val="5"/>
            <w:tcBorders>
              <w:top w:val="single" w:sz="4" w:space="0" w:color="auto"/>
              <w:left w:val="nil"/>
              <w:bottom w:val="single" w:sz="4" w:space="0" w:color="auto"/>
              <w:right w:val="nil"/>
            </w:tcBorders>
            <w:vAlign w:val="center"/>
          </w:tcPr>
          <w:p w14:paraId="5A1FB792" w14:textId="77777777" w:rsidR="00CE0B1B" w:rsidRDefault="00FF4B67">
            <w:pPr>
              <w:rPr>
                <w:rFonts w:ascii="Arial" w:hAnsi="Arial" w:cs="Arial"/>
                <w:sz w:val="18"/>
                <w:szCs w:val="18"/>
              </w:rPr>
            </w:pPr>
            <w:r>
              <w:rPr>
                <w:rFonts w:ascii="Arial" w:eastAsia="Times New Roman" w:hAnsi="Arial" w:cs="Arial"/>
                <w:b/>
                <w:bCs/>
                <w:sz w:val="18"/>
                <w:szCs w:val="18"/>
              </w:rPr>
              <w:t>CD (p=0.05)</w:t>
            </w:r>
          </w:p>
        </w:tc>
        <w:tc>
          <w:tcPr>
            <w:tcW w:w="745" w:type="dxa"/>
            <w:tcBorders>
              <w:top w:val="nil"/>
              <w:left w:val="nil"/>
              <w:bottom w:val="nil"/>
              <w:right w:val="nil"/>
            </w:tcBorders>
            <w:vAlign w:val="center"/>
          </w:tcPr>
          <w:p w14:paraId="0DD2446B" w14:textId="77777777" w:rsidR="00CE0B1B" w:rsidRDefault="00CE0B1B">
            <w:pPr>
              <w:jc w:val="center"/>
              <w:rPr>
                <w:rFonts w:ascii="Arial" w:hAnsi="Arial" w:cs="Arial"/>
                <w:sz w:val="18"/>
                <w:szCs w:val="18"/>
              </w:rPr>
            </w:pPr>
          </w:p>
        </w:tc>
        <w:tc>
          <w:tcPr>
            <w:tcW w:w="745" w:type="dxa"/>
            <w:tcBorders>
              <w:top w:val="nil"/>
              <w:left w:val="nil"/>
              <w:bottom w:val="nil"/>
              <w:right w:val="nil"/>
            </w:tcBorders>
            <w:vAlign w:val="center"/>
          </w:tcPr>
          <w:p w14:paraId="56977152" w14:textId="77777777" w:rsidR="00CE0B1B" w:rsidRDefault="00CE0B1B">
            <w:pPr>
              <w:jc w:val="center"/>
              <w:rPr>
                <w:rFonts w:ascii="Arial" w:hAnsi="Arial" w:cs="Arial"/>
                <w:sz w:val="18"/>
                <w:szCs w:val="18"/>
              </w:rPr>
            </w:pPr>
          </w:p>
        </w:tc>
        <w:tc>
          <w:tcPr>
            <w:tcW w:w="745" w:type="dxa"/>
            <w:tcBorders>
              <w:top w:val="nil"/>
              <w:left w:val="nil"/>
              <w:bottom w:val="nil"/>
              <w:right w:val="nil"/>
            </w:tcBorders>
            <w:vAlign w:val="center"/>
          </w:tcPr>
          <w:p w14:paraId="0AE33654" w14:textId="77777777" w:rsidR="00CE0B1B" w:rsidRDefault="00CE0B1B">
            <w:pPr>
              <w:jc w:val="center"/>
              <w:rPr>
                <w:rFonts w:ascii="Arial" w:hAnsi="Arial" w:cs="Arial"/>
                <w:sz w:val="18"/>
                <w:szCs w:val="18"/>
              </w:rPr>
            </w:pPr>
          </w:p>
        </w:tc>
        <w:tc>
          <w:tcPr>
            <w:tcW w:w="745" w:type="dxa"/>
            <w:tcBorders>
              <w:top w:val="nil"/>
              <w:left w:val="nil"/>
              <w:bottom w:val="nil"/>
              <w:right w:val="nil"/>
            </w:tcBorders>
            <w:vAlign w:val="center"/>
          </w:tcPr>
          <w:p w14:paraId="49A7D855" w14:textId="77777777" w:rsidR="00CE0B1B" w:rsidRDefault="00CE0B1B">
            <w:pPr>
              <w:jc w:val="center"/>
              <w:rPr>
                <w:rFonts w:ascii="Arial" w:hAnsi="Arial" w:cs="Arial"/>
                <w:sz w:val="18"/>
                <w:szCs w:val="18"/>
              </w:rPr>
            </w:pPr>
          </w:p>
        </w:tc>
        <w:tc>
          <w:tcPr>
            <w:tcW w:w="745" w:type="dxa"/>
            <w:tcBorders>
              <w:top w:val="nil"/>
              <w:left w:val="nil"/>
              <w:bottom w:val="nil"/>
              <w:right w:val="nil"/>
            </w:tcBorders>
            <w:vAlign w:val="center"/>
          </w:tcPr>
          <w:p w14:paraId="472307F9" w14:textId="77777777" w:rsidR="00CE0B1B" w:rsidRDefault="00CE0B1B">
            <w:pPr>
              <w:jc w:val="center"/>
              <w:rPr>
                <w:rFonts w:ascii="Arial" w:hAnsi="Arial" w:cs="Arial"/>
                <w:sz w:val="18"/>
                <w:szCs w:val="18"/>
              </w:rPr>
            </w:pPr>
          </w:p>
        </w:tc>
      </w:tr>
      <w:tr w:rsidR="00CE0B1B" w14:paraId="439BE1CF" w14:textId="77777777">
        <w:tc>
          <w:tcPr>
            <w:tcW w:w="1636" w:type="dxa"/>
            <w:tcBorders>
              <w:top w:val="single" w:sz="4" w:space="0" w:color="auto"/>
              <w:left w:val="nil"/>
              <w:bottom w:val="nil"/>
              <w:right w:val="nil"/>
            </w:tcBorders>
            <w:vAlign w:val="center"/>
          </w:tcPr>
          <w:p w14:paraId="60BFB92E" w14:textId="77777777" w:rsidR="00CE0B1B" w:rsidRDefault="00FF4B67">
            <w:pPr>
              <w:rPr>
                <w:rFonts w:ascii="Arial" w:hAnsi="Arial" w:cs="Arial"/>
                <w:sz w:val="18"/>
                <w:szCs w:val="18"/>
              </w:rPr>
            </w:pPr>
            <w:r>
              <w:rPr>
                <w:rFonts w:ascii="Arial" w:hAnsi="Arial" w:cs="Arial"/>
                <w:b/>
                <w:bCs/>
                <w:color w:val="000000"/>
                <w:sz w:val="18"/>
                <w:szCs w:val="18"/>
              </w:rPr>
              <w:t>Botanicals (A)</w:t>
            </w:r>
          </w:p>
        </w:tc>
        <w:tc>
          <w:tcPr>
            <w:tcW w:w="3655" w:type="dxa"/>
            <w:gridSpan w:val="5"/>
            <w:tcBorders>
              <w:top w:val="single" w:sz="4" w:space="0" w:color="auto"/>
              <w:left w:val="nil"/>
              <w:bottom w:val="nil"/>
              <w:right w:val="nil"/>
            </w:tcBorders>
            <w:vAlign w:val="center"/>
          </w:tcPr>
          <w:p w14:paraId="363012F2" w14:textId="77777777" w:rsidR="00CE0B1B" w:rsidRDefault="00FF4B67">
            <w:pPr>
              <w:rPr>
                <w:rFonts w:ascii="Arial" w:hAnsi="Arial" w:cs="Arial"/>
                <w:sz w:val="18"/>
                <w:szCs w:val="18"/>
              </w:rPr>
            </w:pPr>
            <w:r>
              <w:rPr>
                <w:rFonts w:ascii="Arial" w:eastAsia="Times New Roman" w:hAnsi="Arial" w:cs="Arial"/>
                <w:sz w:val="18"/>
                <w:szCs w:val="18"/>
              </w:rPr>
              <w:t>0.078</w:t>
            </w:r>
          </w:p>
        </w:tc>
        <w:tc>
          <w:tcPr>
            <w:tcW w:w="745" w:type="dxa"/>
            <w:tcBorders>
              <w:top w:val="nil"/>
              <w:left w:val="nil"/>
              <w:bottom w:val="nil"/>
              <w:right w:val="nil"/>
            </w:tcBorders>
          </w:tcPr>
          <w:p w14:paraId="6D53A3B4" w14:textId="77777777" w:rsidR="00CE0B1B" w:rsidRDefault="00CE0B1B">
            <w:pPr>
              <w:rPr>
                <w:rFonts w:ascii="Arial" w:hAnsi="Arial" w:cs="Arial"/>
                <w:sz w:val="18"/>
                <w:szCs w:val="18"/>
              </w:rPr>
            </w:pPr>
          </w:p>
        </w:tc>
        <w:tc>
          <w:tcPr>
            <w:tcW w:w="745" w:type="dxa"/>
            <w:tcBorders>
              <w:top w:val="nil"/>
              <w:left w:val="nil"/>
              <w:bottom w:val="nil"/>
              <w:right w:val="nil"/>
            </w:tcBorders>
          </w:tcPr>
          <w:p w14:paraId="3CBC2FC5" w14:textId="77777777" w:rsidR="00CE0B1B" w:rsidRDefault="00CE0B1B">
            <w:pPr>
              <w:rPr>
                <w:rFonts w:ascii="Arial" w:hAnsi="Arial" w:cs="Arial"/>
                <w:sz w:val="18"/>
                <w:szCs w:val="18"/>
              </w:rPr>
            </w:pPr>
          </w:p>
        </w:tc>
        <w:tc>
          <w:tcPr>
            <w:tcW w:w="745" w:type="dxa"/>
            <w:tcBorders>
              <w:top w:val="nil"/>
              <w:left w:val="nil"/>
              <w:bottom w:val="nil"/>
              <w:right w:val="nil"/>
            </w:tcBorders>
          </w:tcPr>
          <w:p w14:paraId="1A816A51" w14:textId="77777777" w:rsidR="00CE0B1B" w:rsidRDefault="00CE0B1B">
            <w:pPr>
              <w:rPr>
                <w:rFonts w:ascii="Arial" w:hAnsi="Arial" w:cs="Arial"/>
                <w:sz w:val="18"/>
                <w:szCs w:val="18"/>
              </w:rPr>
            </w:pPr>
          </w:p>
        </w:tc>
        <w:tc>
          <w:tcPr>
            <w:tcW w:w="745" w:type="dxa"/>
            <w:tcBorders>
              <w:top w:val="nil"/>
              <w:left w:val="nil"/>
              <w:bottom w:val="nil"/>
              <w:right w:val="nil"/>
            </w:tcBorders>
          </w:tcPr>
          <w:p w14:paraId="71D85F6B" w14:textId="77777777" w:rsidR="00CE0B1B" w:rsidRDefault="00CE0B1B">
            <w:pPr>
              <w:rPr>
                <w:rFonts w:ascii="Arial" w:hAnsi="Arial" w:cs="Arial"/>
                <w:sz w:val="18"/>
                <w:szCs w:val="18"/>
              </w:rPr>
            </w:pPr>
          </w:p>
        </w:tc>
        <w:tc>
          <w:tcPr>
            <w:tcW w:w="745" w:type="dxa"/>
            <w:tcBorders>
              <w:top w:val="nil"/>
              <w:left w:val="nil"/>
              <w:bottom w:val="nil"/>
              <w:right w:val="nil"/>
            </w:tcBorders>
          </w:tcPr>
          <w:p w14:paraId="14D17C57" w14:textId="77777777" w:rsidR="00CE0B1B" w:rsidRDefault="00CE0B1B">
            <w:pPr>
              <w:rPr>
                <w:rFonts w:ascii="Arial" w:hAnsi="Arial" w:cs="Arial"/>
                <w:sz w:val="18"/>
                <w:szCs w:val="18"/>
              </w:rPr>
            </w:pPr>
          </w:p>
        </w:tc>
      </w:tr>
      <w:tr w:rsidR="00CE0B1B" w14:paraId="3FBB2BEA" w14:textId="77777777">
        <w:tc>
          <w:tcPr>
            <w:tcW w:w="1636" w:type="dxa"/>
            <w:tcBorders>
              <w:top w:val="nil"/>
              <w:left w:val="nil"/>
              <w:bottom w:val="nil"/>
              <w:right w:val="nil"/>
            </w:tcBorders>
            <w:vAlign w:val="center"/>
          </w:tcPr>
          <w:p w14:paraId="4E32919F" w14:textId="77777777" w:rsidR="00CE0B1B" w:rsidRDefault="00FF4B67">
            <w:pPr>
              <w:rPr>
                <w:rFonts w:ascii="Arial" w:hAnsi="Arial" w:cs="Arial"/>
                <w:sz w:val="18"/>
                <w:szCs w:val="18"/>
              </w:rPr>
            </w:pPr>
            <w:r>
              <w:rPr>
                <w:rFonts w:ascii="Arial" w:hAnsi="Arial" w:cs="Arial"/>
                <w:b/>
                <w:bCs/>
                <w:color w:val="000000"/>
                <w:sz w:val="18"/>
                <w:szCs w:val="18"/>
              </w:rPr>
              <w:t>Concentrations (B)</w:t>
            </w:r>
          </w:p>
        </w:tc>
        <w:tc>
          <w:tcPr>
            <w:tcW w:w="3655" w:type="dxa"/>
            <w:gridSpan w:val="5"/>
            <w:tcBorders>
              <w:top w:val="nil"/>
              <w:left w:val="nil"/>
              <w:bottom w:val="nil"/>
              <w:right w:val="nil"/>
            </w:tcBorders>
            <w:vAlign w:val="center"/>
          </w:tcPr>
          <w:p w14:paraId="05096F49" w14:textId="77777777" w:rsidR="00CE0B1B" w:rsidRDefault="00FF4B67">
            <w:pPr>
              <w:rPr>
                <w:rFonts w:ascii="Arial" w:hAnsi="Arial" w:cs="Arial"/>
                <w:sz w:val="18"/>
                <w:szCs w:val="18"/>
              </w:rPr>
            </w:pPr>
            <w:r>
              <w:rPr>
                <w:rFonts w:ascii="Arial" w:eastAsia="Times New Roman" w:hAnsi="Arial" w:cs="Arial"/>
                <w:sz w:val="18"/>
                <w:szCs w:val="18"/>
              </w:rPr>
              <w:t>0.078</w:t>
            </w:r>
          </w:p>
        </w:tc>
        <w:tc>
          <w:tcPr>
            <w:tcW w:w="745" w:type="dxa"/>
            <w:tcBorders>
              <w:top w:val="nil"/>
              <w:left w:val="nil"/>
              <w:bottom w:val="nil"/>
              <w:right w:val="nil"/>
            </w:tcBorders>
          </w:tcPr>
          <w:p w14:paraId="55FEF3EC" w14:textId="77777777" w:rsidR="00CE0B1B" w:rsidRDefault="00CE0B1B">
            <w:pPr>
              <w:rPr>
                <w:rFonts w:ascii="Arial" w:hAnsi="Arial" w:cs="Arial"/>
                <w:sz w:val="18"/>
                <w:szCs w:val="18"/>
              </w:rPr>
            </w:pPr>
          </w:p>
        </w:tc>
        <w:tc>
          <w:tcPr>
            <w:tcW w:w="745" w:type="dxa"/>
            <w:tcBorders>
              <w:top w:val="nil"/>
              <w:left w:val="nil"/>
              <w:bottom w:val="nil"/>
              <w:right w:val="nil"/>
            </w:tcBorders>
          </w:tcPr>
          <w:p w14:paraId="30E08B9D" w14:textId="77777777" w:rsidR="00CE0B1B" w:rsidRDefault="00CE0B1B">
            <w:pPr>
              <w:rPr>
                <w:rFonts w:ascii="Arial" w:hAnsi="Arial" w:cs="Arial"/>
                <w:sz w:val="18"/>
                <w:szCs w:val="18"/>
              </w:rPr>
            </w:pPr>
          </w:p>
        </w:tc>
        <w:tc>
          <w:tcPr>
            <w:tcW w:w="745" w:type="dxa"/>
            <w:tcBorders>
              <w:top w:val="nil"/>
              <w:left w:val="nil"/>
              <w:bottom w:val="nil"/>
              <w:right w:val="nil"/>
            </w:tcBorders>
          </w:tcPr>
          <w:p w14:paraId="3158C893" w14:textId="77777777" w:rsidR="00CE0B1B" w:rsidRDefault="00CE0B1B">
            <w:pPr>
              <w:rPr>
                <w:rFonts w:ascii="Arial" w:hAnsi="Arial" w:cs="Arial"/>
                <w:sz w:val="18"/>
                <w:szCs w:val="18"/>
              </w:rPr>
            </w:pPr>
          </w:p>
        </w:tc>
        <w:tc>
          <w:tcPr>
            <w:tcW w:w="745" w:type="dxa"/>
            <w:tcBorders>
              <w:top w:val="nil"/>
              <w:left w:val="nil"/>
              <w:bottom w:val="nil"/>
              <w:right w:val="nil"/>
            </w:tcBorders>
          </w:tcPr>
          <w:p w14:paraId="36136E45" w14:textId="77777777" w:rsidR="00CE0B1B" w:rsidRDefault="00CE0B1B">
            <w:pPr>
              <w:rPr>
                <w:rFonts w:ascii="Arial" w:hAnsi="Arial" w:cs="Arial"/>
                <w:sz w:val="18"/>
                <w:szCs w:val="18"/>
              </w:rPr>
            </w:pPr>
          </w:p>
        </w:tc>
        <w:tc>
          <w:tcPr>
            <w:tcW w:w="745" w:type="dxa"/>
            <w:tcBorders>
              <w:top w:val="nil"/>
              <w:left w:val="nil"/>
              <w:bottom w:val="nil"/>
              <w:right w:val="nil"/>
            </w:tcBorders>
          </w:tcPr>
          <w:p w14:paraId="227A0FC1" w14:textId="77777777" w:rsidR="00CE0B1B" w:rsidRDefault="00CE0B1B">
            <w:pPr>
              <w:rPr>
                <w:rFonts w:ascii="Arial" w:hAnsi="Arial" w:cs="Arial"/>
                <w:sz w:val="18"/>
                <w:szCs w:val="18"/>
              </w:rPr>
            </w:pPr>
          </w:p>
        </w:tc>
      </w:tr>
      <w:tr w:rsidR="00CE0B1B" w14:paraId="3619FF26" w14:textId="77777777">
        <w:tc>
          <w:tcPr>
            <w:tcW w:w="1636" w:type="dxa"/>
            <w:tcBorders>
              <w:top w:val="nil"/>
              <w:left w:val="nil"/>
              <w:bottom w:val="nil"/>
              <w:right w:val="nil"/>
            </w:tcBorders>
            <w:vAlign w:val="center"/>
          </w:tcPr>
          <w:p w14:paraId="0A9090D2" w14:textId="77777777" w:rsidR="00CE0B1B" w:rsidRDefault="00FF4B67">
            <w:pPr>
              <w:rPr>
                <w:rFonts w:ascii="Arial" w:hAnsi="Arial" w:cs="Arial"/>
                <w:sz w:val="18"/>
                <w:szCs w:val="18"/>
              </w:rPr>
            </w:pPr>
            <w:r>
              <w:rPr>
                <w:rFonts w:ascii="Arial" w:hAnsi="Arial" w:cs="Arial"/>
                <w:b/>
                <w:bCs/>
                <w:sz w:val="18"/>
                <w:szCs w:val="18"/>
              </w:rPr>
              <w:t>Factor (A×B)</w:t>
            </w:r>
          </w:p>
        </w:tc>
        <w:tc>
          <w:tcPr>
            <w:tcW w:w="3655" w:type="dxa"/>
            <w:gridSpan w:val="5"/>
            <w:tcBorders>
              <w:top w:val="nil"/>
              <w:left w:val="nil"/>
              <w:bottom w:val="nil"/>
              <w:right w:val="nil"/>
            </w:tcBorders>
            <w:vAlign w:val="center"/>
          </w:tcPr>
          <w:p w14:paraId="67106F79" w14:textId="77777777" w:rsidR="00CE0B1B" w:rsidRDefault="00FF4B67">
            <w:pPr>
              <w:rPr>
                <w:rFonts w:ascii="Arial" w:hAnsi="Arial" w:cs="Arial"/>
                <w:sz w:val="18"/>
                <w:szCs w:val="18"/>
              </w:rPr>
            </w:pPr>
            <w:r>
              <w:rPr>
                <w:rFonts w:ascii="Arial" w:eastAsia="Times New Roman" w:hAnsi="Arial" w:cs="Arial"/>
                <w:sz w:val="18"/>
                <w:szCs w:val="18"/>
              </w:rPr>
              <w:t>0.174</w:t>
            </w:r>
          </w:p>
        </w:tc>
        <w:tc>
          <w:tcPr>
            <w:tcW w:w="745" w:type="dxa"/>
            <w:tcBorders>
              <w:top w:val="nil"/>
              <w:left w:val="nil"/>
              <w:bottom w:val="nil"/>
              <w:right w:val="nil"/>
            </w:tcBorders>
          </w:tcPr>
          <w:p w14:paraId="7C917515" w14:textId="77777777" w:rsidR="00CE0B1B" w:rsidRDefault="00CE0B1B">
            <w:pPr>
              <w:rPr>
                <w:rFonts w:ascii="Arial" w:hAnsi="Arial" w:cs="Arial"/>
                <w:sz w:val="18"/>
                <w:szCs w:val="18"/>
              </w:rPr>
            </w:pPr>
          </w:p>
        </w:tc>
        <w:tc>
          <w:tcPr>
            <w:tcW w:w="745" w:type="dxa"/>
            <w:tcBorders>
              <w:top w:val="nil"/>
              <w:left w:val="nil"/>
              <w:bottom w:val="nil"/>
              <w:right w:val="nil"/>
            </w:tcBorders>
          </w:tcPr>
          <w:p w14:paraId="734597B1" w14:textId="77777777" w:rsidR="00CE0B1B" w:rsidRDefault="00CE0B1B">
            <w:pPr>
              <w:rPr>
                <w:rFonts w:ascii="Arial" w:hAnsi="Arial" w:cs="Arial"/>
                <w:sz w:val="18"/>
                <w:szCs w:val="18"/>
              </w:rPr>
            </w:pPr>
          </w:p>
        </w:tc>
        <w:tc>
          <w:tcPr>
            <w:tcW w:w="745" w:type="dxa"/>
            <w:tcBorders>
              <w:top w:val="nil"/>
              <w:left w:val="nil"/>
              <w:bottom w:val="nil"/>
              <w:right w:val="nil"/>
            </w:tcBorders>
          </w:tcPr>
          <w:p w14:paraId="4FD96540" w14:textId="77777777" w:rsidR="00CE0B1B" w:rsidRDefault="00CE0B1B">
            <w:pPr>
              <w:rPr>
                <w:rFonts w:ascii="Arial" w:hAnsi="Arial" w:cs="Arial"/>
                <w:sz w:val="18"/>
                <w:szCs w:val="18"/>
              </w:rPr>
            </w:pPr>
          </w:p>
        </w:tc>
        <w:tc>
          <w:tcPr>
            <w:tcW w:w="745" w:type="dxa"/>
            <w:tcBorders>
              <w:top w:val="nil"/>
              <w:left w:val="nil"/>
              <w:bottom w:val="nil"/>
              <w:right w:val="nil"/>
            </w:tcBorders>
          </w:tcPr>
          <w:p w14:paraId="620E1D24" w14:textId="77777777" w:rsidR="00CE0B1B" w:rsidRDefault="00CE0B1B">
            <w:pPr>
              <w:rPr>
                <w:rFonts w:ascii="Arial" w:hAnsi="Arial" w:cs="Arial"/>
                <w:sz w:val="18"/>
                <w:szCs w:val="18"/>
              </w:rPr>
            </w:pPr>
          </w:p>
        </w:tc>
        <w:tc>
          <w:tcPr>
            <w:tcW w:w="745" w:type="dxa"/>
            <w:tcBorders>
              <w:top w:val="nil"/>
              <w:left w:val="nil"/>
              <w:bottom w:val="nil"/>
              <w:right w:val="nil"/>
            </w:tcBorders>
          </w:tcPr>
          <w:p w14:paraId="5280E690" w14:textId="77777777" w:rsidR="00CE0B1B" w:rsidRDefault="00CE0B1B">
            <w:pPr>
              <w:rPr>
                <w:rFonts w:ascii="Arial" w:hAnsi="Arial" w:cs="Arial"/>
                <w:sz w:val="18"/>
                <w:szCs w:val="18"/>
              </w:rPr>
            </w:pPr>
          </w:p>
        </w:tc>
      </w:tr>
      <w:tr w:rsidR="00CE0B1B" w14:paraId="1E7DDE20" w14:textId="77777777">
        <w:tc>
          <w:tcPr>
            <w:tcW w:w="9016" w:type="dxa"/>
            <w:gridSpan w:val="11"/>
            <w:tcBorders>
              <w:top w:val="nil"/>
              <w:left w:val="nil"/>
              <w:bottom w:val="single" w:sz="4" w:space="0" w:color="auto"/>
              <w:right w:val="nil"/>
            </w:tcBorders>
            <w:vAlign w:val="center"/>
          </w:tcPr>
          <w:p w14:paraId="1E5E30AB" w14:textId="77777777" w:rsidR="00CE0B1B" w:rsidRDefault="00FF4B67">
            <w:pPr>
              <w:rPr>
                <w:rFonts w:ascii="Arial" w:hAnsi="Arial" w:cs="Arial"/>
                <w:i/>
                <w:iCs/>
                <w:sz w:val="18"/>
                <w:szCs w:val="18"/>
              </w:rPr>
            </w:pPr>
            <w:r>
              <w:rPr>
                <w:rFonts w:ascii="Arial" w:hAnsi="Arial" w:cs="Arial"/>
                <w:i/>
                <w:iCs/>
                <w:sz w:val="18"/>
                <w:szCs w:val="18"/>
              </w:rPr>
              <w:t>* Figures in the parentheses are angular transformed values</w:t>
            </w:r>
          </w:p>
        </w:tc>
      </w:tr>
    </w:tbl>
    <w:p w14:paraId="5DBF2879" w14:textId="77777777" w:rsidR="00CE0B1B" w:rsidRDefault="00CE0B1B">
      <w:pPr>
        <w:spacing w:after="0" w:line="36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4442"/>
        <w:gridCol w:w="4442"/>
      </w:tblGrid>
      <w:tr w:rsidR="00CE0B1B" w14:paraId="60BD5E3B" w14:textId="77777777">
        <w:trPr>
          <w:trHeight w:val="3377"/>
        </w:trPr>
        <w:tc>
          <w:tcPr>
            <w:tcW w:w="4442" w:type="dxa"/>
          </w:tcPr>
          <w:p w14:paraId="0980824D" w14:textId="77777777" w:rsidR="00CE0B1B" w:rsidRDefault="00FF4B67">
            <w:r>
              <w:rPr>
                <w:noProof/>
                <w:lang w:val="en-US"/>
              </w:rPr>
              <w:drawing>
                <wp:inline distT="0" distB="0" distL="0" distR="0" wp14:anchorId="41DCC702" wp14:editId="4DCB5FBB">
                  <wp:extent cx="2664000" cy="2217600"/>
                  <wp:effectExtent l="0" t="0" r="3175" b="0"/>
                  <wp:docPr id="21393408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9340857" name=""/>
                          <pic:cNvPicPr/>
                        </pic:nvPicPr>
                        <pic:blipFill rotWithShape="1">
                          <a:blip r:embed="rId8" cstate="print">
                            <a:extLst>
                              <a:ext uri="{28A0092B-C50C-407E-A947-70E740481C1C}">
                                <a14:useLocalDpi xmlns:a14="http://schemas.microsoft.com/office/drawing/2010/main" val="0"/>
                              </a:ext>
                            </a:extLst>
                          </a:blip>
                          <a:srcRect l="10742" t="-1" r="10233" b="958"/>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2" w:type="dxa"/>
          </w:tcPr>
          <w:p w14:paraId="22137D5F" w14:textId="77777777" w:rsidR="00CE0B1B" w:rsidRDefault="00FF4B67">
            <w:r>
              <w:rPr>
                <w:noProof/>
                <w:lang w:val="en-US"/>
              </w:rPr>
              <w:drawing>
                <wp:inline distT="0" distB="0" distL="0" distR="0" wp14:anchorId="0E247821" wp14:editId="282152BF">
                  <wp:extent cx="2664000" cy="2217600"/>
                  <wp:effectExtent l="0" t="0" r="3175" b="0"/>
                  <wp:docPr id="12202544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254420" name=""/>
                          <pic:cNvPicPr/>
                        </pic:nvPicPr>
                        <pic:blipFill rotWithShape="1">
                          <a:blip r:embed="rId9"/>
                          <a:srcRect l="7020"/>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r>
      <w:tr w:rsidR="00CE0B1B" w14:paraId="42CA8EBC" w14:textId="77777777">
        <w:trPr>
          <w:trHeight w:val="542"/>
        </w:trPr>
        <w:tc>
          <w:tcPr>
            <w:tcW w:w="4442" w:type="dxa"/>
          </w:tcPr>
          <w:p w14:paraId="5BD4EA87" w14:textId="77777777" w:rsidR="00CE0B1B" w:rsidRDefault="00FF4B67">
            <w:pPr>
              <w:tabs>
                <w:tab w:val="left" w:pos="960"/>
              </w:tabs>
              <w:rPr>
                <w:rFonts w:ascii="Arial" w:hAnsi="Arial" w:cs="Arial"/>
                <w:b/>
                <w:bCs/>
                <w:sz w:val="20"/>
                <w:szCs w:val="20"/>
              </w:rPr>
            </w:pPr>
            <w:r>
              <w:rPr>
                <w:sz w:val="28"/>
                <w:szCs w:val="28"/>
              </w:rPr>
              <w:tab/>
            </w:r>
            <w:r>
              <w:rPr>
                <w:rFonts w:ascii="Arial" w:hAnsi="Arial" w:cs="Arial"/>
                <w:b/>
                <w:bCs/>
                <w:i/>
                <w:iCs/>
                <w:sz w:val="20"/>
                <w:szCs w:val="20"/>
              </w:rPr>
              <w:t>Ageratum conyzoides</w:t>
            </w:r>
          </w:p>
        </w:tc>
        <w:tc>
          <w:tcPr>
            <w:tcW w:w="4442" w:type="dxa"/>
          </w:tcPr>
          <w:p w14:paraId="123628DE" w14:textId="7708BF49" w:rsidR="00CE0B1B" w:rsidRDefault="00FF4B67">
            <w:pPr>
              <w:jc w:val="center"/>
              <w:rPr>
                <w:rFonts w:ascii="Arial" w:hAnsi="Arial" w:cs="Arial"/>
                <w:b/>
                <w:bCs/>
                <w:sz w:val="20"/>
                <w:szCs w:val="20"/>
              </w:rPr>
            </w:pPr>
            <w:r>
              <w:rPr>
                <w:rFonts w:ascii="Arial" w:hAnsi="Arial" w:cs="Arial"/>
                <w:b/>
                <w:bCs/>
                <w:i/>
                <w:iCs/>
                <w:sz w:val="20"/>
                <w:szCs w:val="20"/>
              </w:rPr>
              <w:t xml:space="preserve">Eucalyptus </w:t>
            </w:r>
            <w:r w:rsidR="008C0BB3" w:rsidRPr="008C0BB3">
              <w:rPr>
                <w:rFonts w:ascii="Arial" w:hAnsi="Arial" w:cs="Arial"/>
                <w:b/>
                <w:bCs/>
                <w:i/>
                <w:iCs/>
                <w:sz w:val="20"/>
                <w:szCs w:val="20"/>
              </w:rPr>
              <w:t>globulus</w:t>
            </w:r>
          </w:p>
        </w:tc>
      </w:tr>
      <w:tr w:rsidR="00CE0B1B" w14:paraId="75BBD3C3" w14:textId="77777777">
        <w:trPr>
          <w:trHeight w:val="3377"/>
        </w:trPr>
        <w:tc>
          <w:tcPr>
            <w:tcW w:w="4442" w:type="dxa"/>
          </w:tcPr>
          <w:p w14:paraId="6FD2A413" w14:textId="77777777" w:rsidR="00CE0B1B" w:rsidRDefault="00FF4B67">
            <w:pPr>
              <w:rPr>
                <w:sz w:val="28"/>
                <w:szCs w:val="28"/>
              </w:rPr>
            </w:pPr>
            <w:r>
              <w:rPr>
                <w:noProof/>
                <w:sz w:val="28"/>
                <w:szCs w:val="28"/>
                <w:lang w:val="en-US"/>
              </w:rPr>
              <w:drawing>
                <wp:inline distT="0" distB="0" distL="0" distR="0" wp14:anchorId="21702B2D" wp14:editId="67352341">
                  <wp:extent cx="2664000" cy="2217600"/>
                  <wp:effectExtent l="0" t="0" r="3175" b="0"/>
                  <wp:docPr id="5419604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960494" name=""/>
                          <pic:cNvPicPr/>
                        </pic:nvPicPr>
                        <pic:blipFill rotWithShape="1">
                          <a:blip r:embed="rId10"/>
                          <a:srcRect l="4148"/>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2" w:type="dxa"/>
          </w:tcPr>
          <w:p w14:paraId="7EED6EAD" w14:textId="77777777" w:rsidR="00CE0B1B" w:rsidRDefault="00FF4B67">
            <w:pPr>
              <w:rPr>
                <w:sz w:val="28"/>
                <w:szCs w:val="28"/>
              </w:rPr>
            </w:pPr>
            <w:r>
              <w:rPr>
                <w:noProof/>
                <w:sz w:val="28"/>
                <w:szCs w:val="28"/>
                <w:lang w:val="en-US"/>
              </w:rPr>
              <w:drawing>
                <wp:inline distT="0" distB="0" distL="0" distR="0" wp14:anchorId="7C966082" wp14:editId="30014AA5">
                  <wp:extent cx="2664000" cy="2217600"/>
                  <wp:effectExtent l="0" t="0" r="3175" b="0"/>
                  <wp:docPr id="2020165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16548" name=""/>
                          <pic:cNvPicPr/>
                        </pic:nvPicPr>
                        <pic:blipFill rotWithShape="1">
                          <a:blip r:embed="rId11"/>
                          <a:srcRect l="958" r="874"/>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r>
      <w:tr w:rsidR="00CE0B1B" w14:paraId="796B333F" w14:textId="77777777">
        <w:trPr>
          <w:trHeight w:val="488"/>
        </w:trPr>
        <w:tc>
          <w:tcPr>
            <w:tcW w:w="4442" w:type="dxa"/>
          </w:tcPr>
          <w:p w14:paraId="41B7D5DA" w14:textId="77777777" w:rsidR="00CE0B1B" w:rsidRDefault="00FF4B67">
            <w:pPr>
              <w:jc w:val="center"/>
              <w:rPr>
                <w:rFonts w:ascii="Arial" w:hAnsi="Arial" w:cs="Arial"/>
                <w:b/>
                <w:bCs/>
                <w:sz w:val="20"/>
                <w:szCs w:val="20"/>
              </w:rPr>
            </w:pPr>
            <w:r>
              <w:rPr>
                <w:rFonts w:ascii="Arial" w:hAnsi="Arial" w:cs="Arial"/>
                <w:b/>
                <w:bCs/>
                <w:i/>
                <w:iCs/>
                <w:color w:val="000000"/>
                <w:sz w:val="20"/>
                <w:szCs w:val="20"/>
              </w:rPr>
              <w:t>Lantana camera</w:t>
            </w:r>
          </w:p>
        </w:tc>
        <w:tc>
          <w:tcPr>
            <w:tcW w:w="4442" w:type="dxa"/>
          </w:tcPr>
          <w:p w14:paraId="4493E955" w14:textId="77777777" w:rsidR="00CE0B1B" w:rsidRDefault="00FF4B67">
            <w:pPr>
              <w:jc w:val="center"/>
              <w:rPr>
                <w:rFonts w:ascii="Arial" w:hAnsi="Arial" w:cs="Arial"/>
                <w:b/>
                <w:bCs/>
                <w:sz w:val="20"/>
                <w:szCs w:val="20"/>
              </w:rPr>
            </w:pPr>
            <w:r>
              <w:rPr>
                <w:rFonts w:ascii="Arial" w:hAnsi="Arial" w:cs="Arial"/>
                <w:b/>
                <w:bCs/>
                <w:i/>
                <w:iCs/>
                <w:color w:val="000000"/>
                <w:sz w:val="20"/>
                <w:szCs w:val="20"/>
              </w:rPr>
              <w:t>Melia azedarach</w:t>
            </w:r>
          </w:p>
        </w:tc>
      </w:tr>
    </w:tbl>
    <w:p w14:paraId="209A0222" w14:textId="71C45B0D" w:rsidR="00CE0B1B" w:rsidRDefault="00FF4B67">
      <w:pPr>
        <w:spacing w:line="240" w:lineRule="auto"/>
        <w:jc w:val="center"/>
        <w:rPr>
          <w:rFonts w:ascii="Arial" w:hAnsi="Arial" w:cs="Arial"/>
          <w:b/>
          <w:bCs/>
          <w:sz w:val="20"/>
          <w:szCs w:val="20"/>
        </w:rPr>
      </w:pPr>
      <w:r>
        <w:rPr>
          <w:rFonts w:ascii="Arial" w:hAnsi="Arial" w:cs="Arial"/>
          <w:b/>
          <w:bCs/>
          <w:sz w:val="20"/>
          <w:szCs w:val="20"/>
        </w:rPr>
        <w:t xml:space="preserve">Fig 1. Mycelial inhibition of </w:t>
      </w:r>
      <w:r>
        <w:rPr>
          <w:rFonts w:ascii="Arial" w:hAnsi="Arial" w:cs="Arial"/>
          <w:b/>
          <w:bCs/>
          <w:i/>
          <w:iCs/>
          <w:sz w:val="20"/>
          <w:szCs w:val="20"/>
        </w:rPr>
        <w:t>Bipolaris maydis</w:t>
      </w:r>
      <w:r>
        <w:rPr>
          <w:rFonts w:ascii="Arial" w:hAnsi="Arial" w:cs="Arial"/>
          <w:b/>
          <w:bCs/>
          <w:sz w:val="20"/>
          <w:szCs w:val="20"/>
        </w:rPr>
        <w:t xml:space="preserve"> with alcoholic extract of botanicals</w:t>
      </w:r>
      <w:r w:rsidR="00D14E87">
        <w:rPr>
          <w:rFonts w:ascii="Arial" w:hAnsi="Arial" w:cs="Arial"/>
          <w:b/>
          <w:bCs/>
          <w:sz w:val="20"/>
          <w:szCs w:val="20"/>
        </w:rPr>
        <w:t xml:space="preserve"> after nine days</w:t>
      </w:r>
    </w:p>
    <w:p w14:paraId="4F508AC6" w14:textId="77777777" w:rsidR="00CE0B1B" w:rsidRDefault="00FF4B67">
      <w:pPr>
        <w:spacing w:after="0" w:line="360" w:lineRule="auto"/>
        <w:jc w:val="both"/>
        <w:rPr>
          <w:rFonts w:ascii="Times New Roman" w:hAnsi="Times New Roman" w:cs="Times New Roman"/>
          <w:sz w:val="24"/>
          <w:szCs w:val="24"/>
        </w:rPr>
      </w:pPr>
      <w:r>
        <w:rPr>
          <w:noProof/>
          <w:lang w:val="en-US"/>
        </w:rPr>
        <w:lastRenderedPageBreak/>
        <w:drawing>
          <wp:inline distT="0" distB="0" distL="0" distR="0" wp14:anchorId="3C9979AD" wp14:editId="66DDC49A">
            <wp:extent cx="5486400" cy="3200400"/>
            <wp:effectExtent l="0" t="0" r="0" b="0"/>
            <wp:docPr id="9821701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E89F26" w14:textId="77777777" w:rsidR="00CE0B1B" w:rsidRDefault="00FF4B67">
      <w:pPr>
        <w:spacing w:line="240" w:lineRule="auto"/>
        <w:jc w:val="center"/>
        <w:rPr>
          <w:rFonts w:ascii="Arial" w:hAnsi="Arial" w:cs="Arial"/>
          <w:b/>
          <w:bCs/>
          <w:sz w:val="20"/>
          <w:szCs w:val="20"/>
        </w:rPr>
      </w:pPr>
      <w:r>
        <w:rPr>
          <w:rFonts w:ascii="Arial" w:hAnsi="Arial" w:cs="Arial"/>
          <w:b/>
          <w:bCs/>
          <w:sz w:val="20"/>
          <w:szCs w:val="20"/>
        </w:rPr>
        <w:t xml:space="preserve">Fig 2. Mycelial inhibition (%) of the different treatments at varying concentrations on the growth of </w:t>
      </w:r>
      <w:r>
        <w:rPr>
          <w:rFonts w:ascii="Arial" w:hAnsi="Arial" w:cs="Arial"/>
          <w:b/>
          <w:bCs/>
          <w:i/>
          <w:iCs/>
          <w:sz w:val="20"/>
          <w:szCs w:val="20"/>
        </w:rPr>
        <w:t>Bipolaris maydis</w:t>
      </w:r>
    </w:p>
    <w:p w14:paraId="7A2E711C" w14:textId="77777777" w:rsidR="00CE0B1B" w:rsidRDefault="00FF4B67">
      <w:pPr>
        <w:spacing w:line="360" w:lineRule="auto"/>
        <w:ind w:firstLine="720"/>
        <w:jc w:val="both"/>
        <w:rPr>
          <w:rFonts w:ascii="Arial" w:hAnsi="Arial" w:cs="Arial"/>
          <w:sz w:val="20"/>
          <w:szCs w:val="20"/>
        </w:rPr>
      </w:pPr>
      <w:r>
        <w:rPr>
          <w:rFonts w:ascii="Arial" w:hAnsi="Arial" w:cs="Arial"/>
          <w:sz w:val="20"/>
          <w:szCs w:val="20"/>
        </w:rPr>
        <w:t xml:space="preserve">This concentration-dependent response suggests a dose-response relationship, where higher concentrations of the extracts led to greater inhibition of fungal growth. This aligns with the principle that higher concentrations of bioactive compounds present in the extracts can exert stronger inhibitory effects on the pathogen. So, among the four botanicals tested, </w:t>
      </w:r>
      <w:r>
        <w:rPr>
          <w:rFonts w:ascii="Arial" w:hAnsi="Arial" w:cs="Arial"/>
          <w:i/>
          <w:iCs/>
          <w:sz w:val="20"/>
          <w:szCs w:val="20"/>
        </w:rPr>
        <w:t xml:space="preserve">Lantana camera </w:t>
      </w:r>
      <w:r>
        <w:rPr>
          <w:rFonts w:ascii="Arial" w:hAnsi="Arial" w:cs="Arial"/>
          <w:sz w:val="20"/>
          <w:szCs w:val="20"/>
        </w:rPr>
        <w:t xml:space="preserve">emerged as the most effective, demonstrating the highest mycelial inhibition of 100 per cent at the 5 per cent concentration. This suggests that </w:t>
      </w:r>
      <w:r>
        <w:rPr>
          <w:rFonts w:ascii="Arial" w:hAnsi="Arial" w:cs="Arial"/>
          <w:i/>
          <w:iCs/>
          <w:sz w:val="20"/>
          <w:szCs w:val="20"/>
        </w:rPr>
        <w:t xml:space="preserve">Lantana camera </w:t>
      </w:r>
      <w:r>
        <w:rPr>
          <w:rFonts w:ascii="Arial" w:hAnsi="Arial" w:cs="Arial"/>
          <w:sz w:val="20"/>
          <w:szCs w:val="20"/>
        </w:rPr>
        <w:t xml:space="preserve">possesses potent antifungal compounds that are particularly effective against </w:t>
      </w:r>
      <w:r>
        <w:rPr>
          <w:rFonts w:ascii="Arial" w:hAnsi="Arial" w:cs="Arial"/>
          <w:i/>
          <w:iCs/>
          <w:sz w:val="20"/>
          <w:szCs w:val="20"/>
        </w:rPr>
        <w:t xml:space="preserve">B. maydis. </w:t>
      </w:r>
      <w:r>
        <w:rPr>
          <w:rFonts w:ascii="Arial" w:hAnsi="Arial" w:cs="Arial"/>
          <w:sz w:val="20"/>
          <w:szCs w:val="20"/>
        </w:rPr>
        <w:t xml:space="preserve">The antifungal potential of aqueous and crude extracts of botanicals against pathogens have also been reported by various workers in the recent past. </w:t>
      </w:r>
    </w:p>
    <w:p w14:paraId="62B6261F" w14:textId="77777777" w:rsidR="00CE0B1B" w:rsidRDefault="00FF4B67">
      <w:pPr>
        <w:spacing w:line="360" w:lineRule="auto"/>
        <w:ind w:firstLine="720"/>
        <w:jc w:val="both"/>
        <w:rPr>
          <w:rFonts w:ascii="Times New Roman" w:hAnsi="Times New Roman" w:cs="Times New Roman"/>
          <w:sz w:val="24"/>
          <w:szCs w:val="24"/>
        </w:rPr>
      </w:pPr>
      <w:r>
        <w:rPr>
          <w:rFonts w:ascii="Arial" w:hAnsi="Arial" w:cs="Arial"/>
          <w:sz w:val="20"/>
          <w:szCs w:val="20"/>
        </w:rPr>
        <w:t xml:space="preserve">Rehena et al. (2022) evaluated eight ethanolic plant extracts for controlling wheat blast caused by </w:t>
      </w:r>
      <w:r>
        <w:rPr>
          <w:rFonts w:ascii="Arial" w:hAnsi="Arial" w:cs="Arial"/>
          <w:i/>
          <w:iCs/>
          <w:sz w:val="20"/>
          <w:szCs w:val="20"/>
        </w:rPr>
        <w:t xml:space="preserve">Magnaporthe oryzae </w:t>
      </w:r>
      <w:r>
        <w:rPr>
          <w:rFonts w:ascii="Arial" w:hAnsi="Arial" w:cs="Arial"/>
          <w:sz w:val="20"/>
          <w:szCs w:val="20"/>
        </w:rPr>
        <w:t xml:space="preserve">and recorded that the lowest mycelial growth was recorded with Aloe vera extracts and </w:t>
      </w:r>
      <w:r>
        <w:rPr>
          <w:rFonts w:ascii="Arial" w:hAnsi="Arial" w:cs="Arial"/>
          <w:i/>
          <w:iCs/>
          <w:sz w:val="20"/>
          <w:szCs w:val="20"/>
        </w:rPr>
        <w:t>Nigella sativa</w:t>
      </w:r>
      <w:r>
        <w:rPr>
          <w:rFonts w:ascii="Arial" w:hAnsi="Arial" w:cs="Arial"/>
          <w:sz w:val="20"/>
          <w:szCs w:val="20"/>
        </w:rPr>
        <w:t xml:space="preserve"> (black cummin seeds) extracts at 1:1 w/v and 1:0,25 w/v, respectively at 7 days after inoculation. Chhabra and Sharma (2023) evaluated two botanicals with two different solvents i.e., aqueous and 50% ethanol against sheath blight of rice and recorded that ethanolic extracts have higher number of secondary metabolites than aqueous one. Kaur et al. 2024 test botanicals, under which </w:t>
      </w:r>
      <w:r>
        <w:rPr>
          <w:rFonts w:ascii="Arial" w:hAnsi="Arial" w:cs="Arial"/>
          <w:i/>
          <w:iCs/>
          <w:sz w:val="20"/>
          <w:szCs w:val="20"/>
        </w:rPr>
        <w:t xml:space="preserve">Eupatorium adenophorum </w:t>
      </w:r>
      <w:r>
        <w:rPr>
          <w:rFonts w:ascii="Arial" w:hAnsi="Arial" w:cs="Arial"/>
          <w:sz w:val="20"/>
          <w:szCs w:val="20"/>
        </w:rPr>
        <w:t xml:space="preserve">was found the most efficient against </w:t>
      </w:r>
      <w:r>
        <w:rPr>
          <w:rFonts w:ascii="Arial" w:hAnsi="Arial" w:cs="Arial"/>
          <w:i/>
          <w:iCs/>
          <w:sz w:val="20"/>
          <w:szCs w:val="20"/>
        </w:rPr>
        <w:t xml:space="preserve">F. solani </w:t>
      </w:r>
      <w:r>
        <w:rPr>
          <w:rFonts w:ascii="Arial" w:hAnsi="Arial" w:cs="Arial"/>
          <w:sz w:val="20"/>
          <w:szCs w:val="20"/>
        </w:rPr>
        <w:t xml:space="preserve">f. sp. </w:t>
      </w:r>
      <w:r>
        <w:rPr>
          <w:rFonts w:ascii="Arial" w:hAnsi="Arial" w:cs="Arial"/>
          <w:i/>
          <w:iCs/>
          <w:sz w:val="20"/>
          <w:szCs w:val="20"/>
        </w:rPr>
        <w:t>pisi</w:t>
      </w:r>
      <w:r>
        <w:rPr>
          <w:rFonts w:ascii="Arial" w:hAnsi="Arial" w:cs="Arial"/>
          <w:sz w:val="20"/>
          <w:szCs w:val="20"/>
        </w:rPr>
        <w:t xml:space="preserve">. These results highlight the potential of these botanical extracts as natural antifungal agents for managing </w:t>
      </w:r>
      <w:r>
        <w:rPr>
          <w:rFonts w:ascii="Arial" w:hAnsi="Arial" w:cs="Arial"/>
          <w:i/>
          <w:iCs/>
          <w:sz w:val="20"/>
          <w:szCs w:val="20"/>
        </w:rPr>
        <w:t>B. maydis</w:t>
      </w:r>
      <w:r>
        <w:rPr>
          <w:rFonts w:ascii="Arial" w:hAnsi="Arial" w:cs="Arial"/>
          <w:sz w:val="20"/>
          <w:szCs w:val="20"/>
        </w:rPr>
        <w:t>. However, further studies are required to elucidate the specific bioactive compounds responsible for the observed antifungal activity and to assess their efficacy under field conditions</w:t>
      </w:r>
      <w:r>
        <w:rPr>
          <w:rFonts w:ascii="Times New Roman" w:hAnsi="Times New Roman" w:cs="Times New Roman"/>
          <w:sz w:val="24"/>
          <w:szCs w:val="24"/>
        </w:rPr>
        <w:t>.</w:t>
      </w:r>
    </w:p>
    <w:p w14:paraId="00E16349" w14:textId="77777777" w:rsidR="00CE0B1B" w:rsidRDefault="00FF4B67">
      <w:pPr>
        <w:pStyle w:val="ListParagraph"/>
        <w:numPr>
          <w:ilvl w:val="0"/>
          <w:numId w:val="10"/>
        </w:numPr>
        <w:spacing w:after="0" w:line="360" w:lineRule="auto"/>
        <w:ind w:left="360"/>
        <w:jc w:val="both"/>
        <w:rPr>
          <w:rFonts w:ascii="Arial" w:hAnsi="Arial" w:cs="Arial"/>
          <w:b/>
          <w:bCs/>
        </w:rPr>
      </w:pPr>
      <w:r>
        <w:rPr>
          <w:rFonts w:ascii="Arial" w:hAnsi="Arial" w:cs="Arial"/>
          <w:b/>
          <w:bCs/>
        </w:rPr>
        <w:t>CONCLUSION</w:t>
      </w:r>
    </w:p>
    <w:p w14:paraId="61AA89D6" w14:textId="0CC6640D" w:rsidR="00CE0B1B" w:rsidRDefault="00FF4B67">
      <w:pPr>
        <w:pStyle w:val="NormalWeb"/>
        <w:spacing w:before="0" w:beforeAutospacing="0" w:after="200" w:afterAutospacing="0" w:line="360" w:lineRule="auto"/>
        <w:ind w:firstLine="720"/>
        <w:jc w:val="both"/>
        <w:rPr>
          <w:rFonts w:ascii="Arial" w:hAnsi="Arial" w:cs="Arial"/>
          <w:sz w:val="20"/>
          <w:szCs w:val="20"/>
        </w:rPr>
      </w:pPr>
      <w:r>
        <w:rPr>
          <w:rFonts w:ascii="Arial" w:hAnsi="Arial" w:cs="Arial"/>
          <w:sz w:val="20"/>
          <w:szCs w:val="20"/>
        </w:rPr>
        <w:t xml:space="preserve">The present investigation highlighted the potentialities of ethanolic leaf extracts in managing Maydis leaf blight of maize. Increasing concentrations of the extracts correlated with higher efficacy, having </w:t>
      </w:r>
      <w:r>
        <w:rPr>
          <w:rFonts w:ascii="Arial" w:hAnsi="Arial" w:cs="Arial"/>
          <w:i/>
          <w:iCs/>
          <w:sz w:val="20"/>
          <w:szCs w:val="20"/>
        </w:rPr>
        <w:t xml:space="preserve">Lantana camera </w:t>
      </w:r>
      <w:r>
        <w:rPr>
          <w:rFonts w:ascii="Arial" w:hAnsi="Arial" w:cs="Arial"/>
          <w:sz w:val="20"/>
          <w:szCs w:val="20"/>
        </w:rPr>
        <w:t>exhibiting the most significant inhibition of mycelial growth</w:t>
      </w:r>
      <w:r w:rsidR="00B95418">
        <w:rPr>
          <w:rFonts w:ascii="Arial" w:hAnsi="Arial" w:cs="Arial"/>
          <w:sz w:val="20"/>
          <w:szCs w:val="20"/>
        </w:rPr>
        <w:t xml:space="preserve"> followed by </w:t>
      </w:r>
      <w:r w:rsidR="00B95418">
        <w:rPr>
          <w:rFonts w:ascii="Arial" w:hAnsi="Arial" w:cs="Arial"/>
          <w:i/>
          <w:iCs/>
          <w:sz w:val="20"/>
          <w:szCs w:val="20"/>
        </w:rPr>
        <w:lastRenderedPageBreak/>
        <w:t>Eucalyptus globulus</w:t>
      </w:r>
      <w:r>
        <w:rPr>
          <w:rFonts w:ascii="Arial" w:hAnsi="Arial" w:cs="Arial"/>
          <w:sz w:val="20"/>
          <w:szCs w:val="20"/>
        </w:rPr>
        <w:t>. The management of Maydis leaf blight in maize through ethanolic extracts may offers a sustainable and environmentally responsible alternative to conventional chemical control methods. Due to increasing regulatory and consumer-driven demand for sustainable agriculture, the integration of ethanolic based plant extracts may act as a viable long-term strategy for effective MLB and other fungal diseases management in agriculture.</w:t>
      </w:r>
    </w:p>
    <w:p w14:paraId="737AD497" w14:textId="77777777" w:rsidR="00D354E2" w:rsidRPr="00D354E2" w:rsidRDefault="00D354E2" w:rsidP="00D354E2">
      <w:pPr>
        <w:spacing w:after="200" w:line="276" w:lineRule="auto"/>
        <w:rPr>
          <w:rFonts w:ascii="Calibri" w:eastAsia="Calibri" w:hAnsi="Calibri" w:cs="Times New Roman"/>
          <w:highlight w:val="yellow"/>
          <w:lang w:val="en-US"/>
        </w:rPr>
      </w:pPr>
      <w:r w:rsidRPr="000065D1">
        <w:rPr>
          <w:rFonts w:ascii="Calibri" w:eastAsia="Calibri" w:hAnsi="Calibri" w:cs="Times New Roman"/>
          <w:lang w:val="en-US"/>
        </w:rPr>
        <w:t>Disclaimer (Artificial intelligence)</w:t>
      </w:r>
    </w:p>
    <w:p w14:paraId="68FD7D25" w14:textId="77777777" w:rsidR="00203BF8" w:rsidRPr="00E4140D" w:rsidRDefault="00203BF8" w:rsidP="00203BF8">
      <w:pPr>
        <w:jc w:val="both"/>
        <w:rPr>
          <w:rFonts w:ascii="Calibri" w:eastAsia="Calibri" w:hAnsi="Calibri" w:cs="Times New Roman"/>
          <w:lang w:val="en-US"/>
        </w:rPr>
      </w:pPr>
      <w:r w:rsidRPr="00E4140D">
        <w:rPr>
          <w:rFonts w:ascii="Calibri" w:eastAsia="Calibri" w:hAnsi="Calibri" w:cs="Times New Roman"/>
          <w:lang w:val="en-US"/>
        </w:rPr>
        <w:t>Author(s) hereby declare</w:t>
      </w:r>
      <w:r>
        <w:rPr>
          <w:rFonts w:ascii="Calibri" w:eastAsia="Calibri" w:hAnsi="Calibri" w:cs="Times New Roman"/>
          <w:lang w:val="en-US"/>
        </w:rPr>
        <w:t>s</w:t>
      </w:r>
      <w:r w:rsidRPr="00E4140D">
        <w:rPr>
          <w:rFonts w:ascii="Calibri" w:eastAsia="Calibri" w:hAnsi="Calibri" w:cs="Times New Roman"/>
          <w:lang w:val="en-US"/>
        </w:rPr>
        <w:t xml:space="preserve"> that NO generative AI technologies such as Large Language Models (ChatGPT, COPILOT, etc.) and text-to-image generators have been used during the writing or editing of this manuscript. </w:t>
      </w:r>
    </w:p>
    <w:p w14:paraId="561C3B1F" w14:textId="77777777" w:rsidR="00D354E2" w:rsidRDefault="00D354E2" w:rsidP="00203BF8">
      <w:pPr>
        <w:pStyle w:val="NormalWeb"/>
        <w:spacing w:before="0" w:beforeAutospacing="0" w:after="200" w:afterAutospacing="0" w:line="360" w:lineRule="auto"/>
        <w:jc w:val="both"/>
        <w:rPr>
          <w:rFonts w:ascii="Arial" w:hAnsi="Arial" w:cs="Arial"/>
          <w:sz w:val="20"/>
          <w:szCs w:val="20"/>
        </w:rPr>
      </w:pPr>
    </w:p>
    <w:p w14:paraId="1414E902" w14:textId="77777777" w:rsidR="00CE0B1B" w:rsidRDefault="00FF4B67">
      <w:pPr>
        <w:pStyle w:val="NormalWeb"/>
        <w:spacing w:before="0" w:beforeAutospacing="0" w:after="0" w:afterAutospacing="0" w:line="360" w:lineRule="auto"/>
        <w:jc w:val="both"/>
        <w:rPr>
          <w:rFonts w:ascii="Arial" w:hAnsi="Arial" w:cs="Arial"/>
          <w:b/>
          <w:bCs/>
          <w:sz w:val="22"/>
          <w:szCs w:val="22"/>
        </w:rPr>
      </w:pPr>
      <w:r>
        <w:rPr>
          <w:rFonts w:ascii="Arial" w:hAnsi="Arial" w:cs="Arial"/>
          <w:b/>
          <w:bCs/>
          <w:sz w:val="22"/>
          <w:szCs w:val="22"/>
        </w:rPr>
        <w:t>REFERENCES</w:t>
      </w:r>
    </w:p>
    <w:p w14:paraId="159C97DA" w14:textId="77777777" w:rsidR="009A6476" w:rsidRDefault="009A6476">
      <w:pPr>
        <w:spacing w:before="240" w:after="240" w:line="276" w:lineRule="auto"/>
        <w:ind w:left="450" w:hanging="450"/>
        <w:jc w:val="both"/>
        <w:rPr>
          <w:rFonts w:ascii="Arial" w:hAnsi="Arial" w:cs="Arial"/>
          <w:sz w:val="20"/>
          <w:szCs w:val="20"/>
          <w:shd w:val="clear" w:color="auto" w:fill="FFFFFF"/>
        </w:rPr>
      </w:pPr>
      <w:r>
        <w:rPr>
          <w:rFonts w:ascii="Arial" w:hAnsi="Arial" w:cs="Arial"/>
          <w:sz w:val="20"/>
          <w:szCs w:val="20"/>
          <w:shd w:val="clear" w:color="auto" w:fill="FFFFFF"/>
        </w:rPr>
        <w:t xml:space="preserve">Bharti, P., Chand, P., &amp; Gupta, P. K. (2020). Effective chemical protection against Maydis Leaf Blight of Maize incited by </w:t>
      </w:r>
      <w:r>
        <w:rPr>
          <w:rFonts w:ascii="Arial" w:hAnsi="Arial" w:cs="Arial"/>
          <w:i/>
          <w:iCs/>
          <w:sz w:val="20"/>
          <w:szCs w:val="20"/>
          <w:shd w:val="clear" w:color="auto" w:fill="FFFFFF"/>
        </w:rPr>
        <w:t>Helminthosporium maydis</w:t>
      </w:r>
      <w:r>
        <w:rPr>
          <w:rFonts w:ascii="Arial" w:hAnsi="Arial" w:cs="Arial"/>
          <w:sz w:val="20"/>
          <w:szCs w:val="20"/>
          <w:shd w:val="clear" w:color="auto" w:fill="FFFFFF"/>
        </w:rPr>
        <w:t xml:space="preserve"> under the </w:t>
      </w:r>
      <w:r>
        <w:rPr>
          <w:rFonts w:ascii="Arial" w:hAnsi="Arial" w:cs="Arial"/>
          <w:i/>
          <w:iCs/>
          <w:sz w:val="20"/>
          <w:szCs w:val="20"/>
          <w:shd w:val="clear" w:color="auto" w:fill="FFFFFF"/>
        </w:rPr>
        <w:t>in-vitro</w:t>
      </w:r>
      <w:r>
        <w:rPr>
          <w:rFonts w:ascii="Arial" w:hAnsi="Arial" w:cs="Arial"/>
          <w:sz w:val="20"/>
          <w:szCs w:val="20"/>
          <w:shd w:val="clear" w:color="auto" w:fill="FFFFFF"/>
        </w:rPr>
        <w:t xml:space="preserve"> and </w:t>
      </w:r>
      <w:r>
        <w:rPr>
          <w:rFonts w:ascii="Arial" w:hAnsi="Arial" w:cs="Arial"/>
          <w:i/>
          <w:iCs/>
          <w:sz w:val="20"/>
          <w:szCs w:val="20"/>
          <w:shd w:val="clear" w:color="auto" w:fill="FFFFFF"/>
        </w:rPr>
        <w:t>in-vivo</w:t>
      </w:r>
      <w:r>
        <w:rPr>
          <w:rFonts w:ascii="Arial" w:hAnsi="Arial" w:cs="Arial"/>
          <w:sz w:val="20"/>
          <w:szCs w:val="20"/>
          <w:shd w:val="clear" w:color="auto" w:fill="FFFFFF"/>
        </w:rPr>
        <w:t xml:space="preserve"> condition. </w:t>
      </w:r>
      <w:r>
        <w:rPr>
          <w:rFonts w:ascii="Arial" w:hAnsi="Arial" w:cs="Arial"/>
          <w:i/>
          <w:iCs/>
          <w:sz w:val="20"/>
          <w:szCs w:val="20"/>
          <w:shd w:val="clear" w:color="auto" w:fill="FFFFFF"/>
        </w:rPr>
        <w:t>International Journal of Current Science and Research,</w:t>
      </w:r>
      <w:r>
        <w:rPr>
          <w:rFonts w:ascii="Arial" w:hAnsi="Arial" w:cs="Arial"/>
          <w:sz w:val="20"/>
          <w:szCs w:val="20"/>
          <w:shd w:val="clear" w:color="auto" w:fill="FFFFFF"/>
        </w:rPr>
        <w:t> 8(3), 742-748.</w:t>
      </w:r>
    </w:p>
    <w:p w14:paraId="337A44FC"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Bharti, P., Chand, P., Jha, P. K., Rai, B., &amp; Gupta, P. K. (2017). Sources of resistance against maydis leaf blight of maize caused by </w:t>
      </w:r>
      <w:r>
        <w:rPr>
          <w:rFonts w:ascii="Arial" w:hAnsi="Arial" w:cs="Arial"/>
          <w:i/>
          <w:iCs/>
          <w:color w:val="000000" w:themeColor="text1"/>
          <w:kern w:val="0"/>
          <w:sz w:val="20"/>
          <w:szCs w:val="20"/>
        </w:rPr>
        <w:t xml:space="preserve">Helminthosporium maydis. Bulletin of Environmental Pharmacology and Life Science, </w:t>
      </w:r>
      <w:r>
        <w:rPr>
          <w:rFonts w:ascii="Arial" w:hAnsi="Arial" w:cs="Arial"/>
          <w:color w:val="000000" w:themeColor="text1"/>
          <w:kern w:val="0"/>
          <w:sz w:val="20"/>
          <w:szCs w:val="20"/>
        </w:rPr>
        <w:t>6(5), 475-478.</w:t>
      </w:r>
    </w:p>
    <w:p w14:paraId="74B559A0" w14:textId="77777777" w:rsidR="009A6476" w:rsidRDefault="009A6476">
      <w:pPr>
        <w:spacing w:before="240" w:line="276" w:lineRule="auto"/>
        <w:ind w:left="450" w:hanging="450"/>
        <w:jc w:val="both"/>
        <w:rPr>
          <w:rFonts w:ascii="Arial" w:hAnsi="Arial" w:cs="Arial"/>
          <w:bCs/>
          <w:sz w:val="20"/>
          <w:szCs w:val="20"/>
        </w:rPr>
      </w:pPr>
      <w:r>
        <w:rPr>
          <w:rFonts w:ascii="Arial" w:hAnsi="Arial" w:cs="Arial"/>
          <w:bCs/>
          <w:sz w:val="20"/>
          <w:szCs w:val="20"/>
        </w:rPr>
        <w:t xml:space="preserve">Chandra, P. B., Naik B. S., &amp; Hooda K. S. (2020). Reaction of maize inbred lines to Maydis leaf blight incited by </w:t>
      </w:r>
      <w:r>
        <w:rPr>
          <w:rFonts w:ascii="Arial" w:hAnsi="Arial" w:cs="Arial"/>
          <w:bCs/>
          <w:i/>
          <w:iCs/>
          <w:sz w:val="20"/>
          <w:szCs w:val="20"/>
        </w:rPr>
        <w:t>Bipolaris maydis</w:t>
      </w:r>
      <w:r>
        <w:rPr>
          <w:rFonts w:ascii="Arial" w:hAnsi="Arial" w:cs="Arial"/>
          <w:bCs/>
          <w:sz w:val="20"/>
          <w:szCs w:val="20"/>
        </w:rPr>
        <w:t>. </w:t>
      </w:r>
      <w:r>
        <w:rPr>
          <w:rFonts w:ascii="Arial" w:hAnsi="Arial" w:cs="Arial"/>
          <w:bCs/>
          <w:i/>
          <w:iCs/>
          <w:sz w:val="20"/>
          <w:szCs w:val="20"/>
        </w:rPr>
        <w:t>International Journal of Current Microbiology and Applied Sciences,</w:t>
      </w:r>
      <w:r>
        <w:rPr>
          <w:rFonts w:ascii="Arial" w:hAnsi="Arial" w:cs="Arial"/>
          <w:bCs/>
          <w:sz w:val="20"/>
          <w:szCs w:val="20"/>
        </w:rPr>
        <w:t> 9(10), 4067-4072.</w:t>
      </w:r>
    </w:p>
    <w:p w14:paraId="6C3C4669" w14:textId="659DF3FB" w:rsidR="009A6476" w:rsidRDefault="009A6476">
      <w:pPr>
        <w:spacing w:before="100" w:beforeAutospacing="1" w:after="100" w:afterAutospacing="1" w:line="276" w:lineRule="auto"/>
        <w:ind w:left="450" w:hanging="450"/>
        <w:jc w:val="both"/>
        <w:rPr>
          <w:rFonts w:ascii="Arial" w:eastAsia="Times New Roman" w:hAnsi="Arial" w:cs="Arial"/>
          <w:sz w:val="20"/>
          <w:szCs w:val="20"/>
          <w:lang w:eastAsia="en-IN"/>
        </w:rPr>
      </w:pPr>
      <w:r>
        <w:rPr>
          <w:rFonts w:ascii="Arial" w:eastAsia="Times New Roman" w:hAnsi="Arial" w:cs="Arial"/>
          <w:sz w:val="20"/>
          <w:szCs w:val="20"/>
          <w:lang w:eastAsia="en-IN"/>
        </w:rPr>
        <w:t xml:space="preserve">Chen, Y., Fu, X., &amp; Liu, Y. (2022). Effect of farmland scale on farmers’ application behavior with organic fertilizer. </w:t>
      </w:r>
      <w:r>
        <w:rPr>
          <w:rFonts w:ascii="Arial" w:eastAsia="Times New Roman" w:hAnsi="Arial" w:cs="Arial"/>
          <w:i/>
          <w:iCs/>
          <w:sz w:val="20"/>
          <w:szCs w:val="20"/>
          <w:lang w:eastAsia="en-IN"/>
        </w:rPr>
        <w:t>International Journal of Environmental Research and Public Health</w:t>
      </w:r>
      <w:r>
        <w:rPr>
          <w:rFonts w:ascii="Arial" w:eastAsia="Times New Roman" w:hAnsi="Arial" w:cs="Arial"/>
          <w:sz w:val="20"/>
          <w:szCs w:val="20"/>
          <w:lang w:eastAsia="en-IN"/>
        </w:rPr>
        <w:t xml:space="preserve">, 19(9), 4967. </w:t>
      </w:r>
      <w:hyperlink r:id="rId13" w:tgtFrame="_new" w:history="1">
        <w:r>
          <w:rPr>
            <w:rFonts w:ascii="Arial" w:eastAsia="Times New Roman" w:hAnsi="Arial" w:cs="Arial"/>
            <w:color w:val="0000FF"/>
            <w:sz w:val="20"/>
            <w:szCs w:val="20"/>
            <w:u w:val="single"/>
            <w:lang w:eastAsia="en-IN"/>
          </w:rPr>
          <w:t>https://doi.org/10.3390/IJERPH19094967</w:t>
        </w:r>
      </w:hyperlink>
      <w:r w:rsidR="00203BF8">
        <w:t>.</w:t>
      </w:r>
    </w:p>
    <w:p w14:paraId="5F660A93" w14:textId="77777777" w:rsidR="009A6476" w:rsidRDefault="009A6476">
      <w:pPr>
        <w:spacing w:line="276" w:lineRule="auto"/>
        <w:ind w:left="450" w:hanging="450"/>
        <w:jc w:val="both"/>
        <w:rPr>
          <w:rFonts w:ascii="Arial" w:hAnsi="Arial" w:cs="Arial"/>
          <w:sz w:val="20"/>
          <w:szCs w:val="20"/>
        </w:rPr>
      </w:pPr>
      <w:r>
        <w:rPr>
          <w:rFonts w:ascii="Arial" w:hAnsi="Arial" w:cs="Arial"/>
          <w:sz w:val="20"/>
          <w:szCs w:val="20"/>
        </w:rPr>
        <w:t xml:space="preserve">Chhabra, R., &amp; Sharma, R. (2023). Qualitative phytochemical screening of botanical extracts and their effect on yield parameters of rice against sheath blight. </w:t>
      </w:r>
      <w:r>
        <w:rPr>
          <w:rFonts w:ascii="Arial" w:hAnsi="Arial" w:cs="Arial"/>
          <w:i/>
          <w:iCs/>
          <w:sz w:val="20"/>
          <w:szCs w:val="20"/>
        </w:rPr>
        <w:t xml:space="preserve">Annals pf Plant and Soil Research, </w:t>
      </w:r>
      <w:r>
        <w:rPr>
          <w:rFonts w:ascii="Arial" w:hAnsi="Arial" w:cs="Arial"/>
          <w:sz w:val="20"/>
          <w:szCs w:val="20"/>
        </w:rPr>
        <w:t>25(4), 672-680.</w:t>
      </w:r>
    </w:p>
    <w:p w14:paraId="68B0A0E9" w14:textId="77777777" w:rsidR="009A6476" w:rsidRDefault="009A6476">
      <w:pPr>
        <w:spacing w:line="276" w:lineRule="auto"/>
        <w:ind w:left="450" w:hanging="450"/>
        <w:jc w:val="both"/>
        <w:rPr>
          <w:rFonts w:ascii="Arial" w:hAnsi="Arial" w:cs="Arial"/>
          <w:sz w:val="20"/>
          <w:szCs w:val="20"/>
        </w:rPr>
      </w:pPr>
      <w:r>
        <w:rPr>
          <w:rFonts w:ascii="Arial" w:hAnsi="Arial" w:cs="Arial"/>
          <w:sz w:val="20"/>
          <w:szCs w:val="20"/>
        </w:rPr>
        <w:t xml:space="preserve">Falck, R. (1907). Wachtumgesetze, wachstum Laktorehnund temperature wertder hilzersterenden. </w:t>
      </w:r>
      <w:r>
        <w:rPr>
          <w:rFonts w:ascii="Arial" w:hAnsi="Arial" w:cs="Arial"/>
          <w:i/>
          <w:iCs/>
          <w:sz w:val="20"/>
          <w:szCs w:val="20"/>
        </w:rPr>
        <w:t xml:space="preserve">Myceture, </w:t>
      </w:r>
      <w:r>
        <w:rPr>
          <w:rFonts w:ascii="Arial" w:hAnsi="Arial" w:cs="Arial"/>
          <w:sz w:val="20"/>
          <w:szCs w:val="20"/>
        </w:rPr>
        <w:t>32, 38-39</w:t>
      </w:r>
    </w:p>
    <w:p w14:paraId="5B19FFFB"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FAOSTAT. (2022a). </w:t>
      </w:r>
      <w:hyperlink r:id="rId14" w:anchor="data/QCL" w:history="1">
        <w:r>
          <w:rPr>
            <w:rStyle w:val="Hyperlink"/>
            <w:rFonts w:ascii="Arial" w:hAnsi="Arial" w:cs="Arial"/>
            <w:kern w:val="0"/>
            <w:sz w:val="20"/>
            <w:szCs w:val="20"/>
          </w:rPr>
          <w:t>https://www.fao.org/faostat/en#data/QCL</w:t>
        </w:r>
      </w:hyperlink>
      <w:r>
        <w:rPr>
          <w:rFonts w:ascii="Arial" w:hAnsi="Arial" w:cs="Arial"/>
          <w:sz w:val="20"/>
          <w:szCs w:val="20"/>
        </w:rPr>
        <w:t>.</w:t>
      </w:r>
    </w:p>
    <w:p w14:paraId="0F7E2B42"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Haque, M. A., Marwaha, S., Arora, A., Deb, C. K., Misra, T., Nigam, S., &amp; Hooda, K. S. (2022). A lightweight convolutional neural network for recognition of severity stages of maydis leaf blight disease of maize. </w:t>
      </w:r>
      <w:r>
        <w:rPr>
          <w:rFonts w:ascii="Arial" w:hAnsi="Arial" w:cs="Arial"/>
          <w:i/>
          <w:iCs/>
          <w:color w:val="000000" w:themeColor="text1"/>
          <w:kern w:val="0"/>
          <w:sz w:val="20"/>
          <w:szCs w:val="20"/>
        </w:rPr>
        <w:t xml:space="preserve">Frontiers in Plant Science, </w:t>
      </w:r>
      <w:r>
        <w:rPr>
          <w:rFonts w:ascii="Arial" w:hAnsi="Arial" w:cs="Arial"/>
          <w:color w:val="000000" w:themeColor="text1"/>
          <w:kern w:val="0"/>
          <w:sz w:val="20"/>
          <w:szCs w:val="20"/>
        </w:rPr>
        <w:t>13, 1077568.</w:t>
      </w:r>
    </w:p>
    <w:p w14:paraId="764E4C1B"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HPDOA. (2022b). </w:t>
      </w:r>
      <w:hyperlink r:id="rId15" w:history="1">
        <w:r>
          <w:rPr>
            <w:rStyle w:val="Hyperlink"/>
            <w:rFonts w:ascii="Arial" w:hAnsi="Arial" w:cs="Arial"/>
            <w:kern w:val="0"/>
            <w:sz w:val="20"/>
            <w:szCs w:val="20"/>
          </w:rPr>
          <w:t>https://agriculture.hp.gov.in/en/production-2</w:t>
        </w:r>
      </w:hyperlink>
      <w:r>
        <w:rPr>
          <w:rFonts w:ascii="Arial" w:hAnsi="Arial" w:cs="Arial"/>
          <w:sz w:val="20"/>
          <w:szCs w:val="20"/>
        </w:rPr>
        <w:t>.</w:t>
      </w:r>
    </w:p>
    <w:p w14:paraId="34CA8C70" w14:textId="77777777" w:rsidR="009A6476" w:rsidRDefault="009A6476">
      <w:pPr>
        <w:spacing w:line="276" w:lineRule="auto"/>
        <w:ind w:left="450" w:hanging="450"/>
        <w:jc w:val="both"/>
        <w:rPr>
          <w:rFonts w:ascii="Arial" w:hAnsi="Arial" w:cs="Arial"/>
          <w:sz w:val="20"/>
          <w:szCs w:val="20"/>
        </w:rPr>
      </w:pPr>
      <w:r>
        <w:rPr>
          <w:rFonts w:ascii="Arial" w:hAnsi="Arial" w:cs="Arial"/>
          <w:color w:val="222222"/>
          <w:sz w:val="20"/>
          <w:szCs w:val="20"/>
          <w:shd w:val="clear" w:color="auto" w:fill="FFFFFF"/>
        </w:rPr>
        <w:t xml:space="preserve">Kaur, K., Thakur, B. R., &amp; Dhillon, K. S. (2024). Bio-efficacy of Alcoholic Extracts of Botanicals to Mitigate Pea Root Rot Caused by </w:t>
      </w:r>
      <w:r>
        <w:rPr>
          <w:rFonts w:ascii="Arial" w:hAnsi="Arial" w:cs="Arial"/>
          <w:i/>
          <w:iCs/>
          <w:color w:val="222222"/>
          <w:sz w:val="20"/>
          <w:szCs w:val="20"/>
          <w:shd w:val="clear" w:color="auto" w:fill="FFFFFF"/>
        </w:rPr>
        <w:t>Fusarium solani f. sp. pisi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Advances in Microbiology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(3), 30-35.</w:t>
      </w:r>
    </w:p>
    <w:p w14:paraId="597A7C6D" w14:textId="77777777" w:rsidR="009A6476" w:rsidRDefault="009A6476">
      <w:pPr>
        <w:spacing w:line="276" w:lineRule="auto"/>
        <w:ind w:left="450" w:hanging="45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Kumar, B., Choudhary, M., Kumar, K., Kumar, P., Kumar, S., Bagaria, P. K., Sharma, M., Lahkar, C., Singh, B. K., Pradhan, H., &amp; Jha, A. K. (2022). Maydis leaf blight of maize: Update on status, </w:t>
      </w:r>
      <w:r>
        <w:rPr>
          <w:rFonts w:ascii="Arial" w:hAnsi="Arial" w:cs="Arial"/>
          <w:color w:val="222222"/>
          <w:sz w:val="20"/>
          <w:szCs w:val="20"/>
          <w:shd w:val="clear" w:color="auto" w:fill="FFFFFF"/>
        </w:rPr>
        <w:lastRenderedPageBreak/>
        <w:t>sustainable management and genetic architecture of its resistance. </w:t>
      </w:r>
      <w:r>
        <w:rPr>
          <w:rFonts w:ascii="Arial" w:hAnsi="Arial" w:cs="Arial"/>
          <w:i/>
          <w:iCs/>
          <w:color w:val="222222"/>
          <w:sz w:val="20"/>
          <w:szCs w:val="20"/>
          <w:shd w:val="clear" w:color="auto" w:fill="FFFFFF"/>
        </w:rPr>
        <w:t>Physiological and Molecular Plant Pathology,</w:t>
      </w:r>
      <w:r>
        <w:rPr>
          <w:rFonts w:ascii="Arial" w:hAnsi="Arial" w:cs="Arial"/>
          <w:color w:val="222222"/>
          <w:sz w:val="20"/>
          <w:szCs w:val="20"/>
          <w:shd w:val="clear" w:color="auto" w:fill="FFFFFF"/>
        </w:rPr>
        <w:t> 121, 101889.</w:t>
      </w:r>
    </w:p>
    <w:p w14:paraId="4B045656" w14:textId="77777777" w:rsidR="009A6476" w:rsidRDefault="009A6476">
      <w:pPr>
        <w:spacing w:line="276" w:lineRule="auto"/>
        <w:ind w:left="450" w:hanging="450"/>
        <w:jc w:val="both"/>
        <w:rPr>
          <w:rFonts w:ascii="Arial" w:hAnsi="Arial" w:cs="Arial"/>
          <w:sz w:val="20"/>
          <w:szCs w:val="20"/>
        </w:rPr>
      </w:pPr>
      <w:r>
        <w:rPr>
          <w:rFonts w:ascii="Arial" w:hAnsi="Arial" w:cs="Arial"/>
          <w:sz w:val="20"/>
          <w:szCs w:val="20"/>
        </w:rPr>
        <w:t xml:space="preserve">Kursa, W., Jamiolkowska, A., Wyrostek, J., &amp; Kowalski, R. (2022). Antifungal effect of plant extracts on the growth of the cereal pathogen </w:t>
      </w:r>
      <w:r>
        <w:rPr>
          <w:rFonts w:ascii="Arial" w:hAnsi="Arial" w:cs="Arial"/>
          <w:i/>
          <w:iCs/>
          <w:sz w:val="20"/>
          <w:szCs w:val="20"/>
        </w:rPr>
        <w:t xml:space="preserve">Fusarium </w:t>
      </w:r>
      <w:r>
        <w:rPr>
          <w:rFonts w:ascii="Arial" w:hAnsi="Arial" w:cs="Arial"/>
          <w:sz w:val="20"/>
          <w:szCs w:val="20"/>
        </w:rPr>
        <w:t xml:space="preserve">spp.-An </w:t>
      </w:r>
      <w:r>
        <w:rPr>
          <w:rFonts w:ascii="Arial" w:hAnsi="Arial" w:cs="Arial"/>
          <w:i/>
          <w:iCs/>
          <w:sz w:val="20"/>
          <w:szCs w:val="20"/>
        </w:rPr>
        <w:t xml:space="preserve">in vitro </w:t>
      </w:r>
      <w:r>
        <w:rPr>
          <w:rFonts w:ascii="Arial" w:hAnsi="Arial" w:cs="Arial"/>
          <w:sz w:val="20"/>
          <w:szCs w:val="20"/>
        </w:rPr>
        <w:t xml:space="preserve">study. </w:t>
      </w:r>
      <w:r>
        <w:rPr>
          <w:rFonts w:ascii="Arial" w:hAnsi="Arial" w:cs="Arial"/>
          <w:i/>
          <w:iCs/>
          <w:sz w:val="20"/>
          <w:szCs w:val="20"/>
        </w:rPr>
        <w:t xml:space="preserve">Agronomy, </w:t>
      </w:r>
      <w:r>
        <w:rPr>
          <w:rFonts w:ascii="Arial" w:hAnsi="Arial" w:cs="Arial"/>
          <w:sz w:val="20"/>
          <w:szCs w:val="20"/>
        </w:rPr>
        <w:t>12(12), 3204.</w:t>
      </w:r>
    </w:p>
    <w:p w14:paraId="0070FAF0"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Kutawa, A. B., Ahmad, K., Ali, A., Hussein, M. Z., Wahab, M. A. A., &amp; Sijam, K. (2021). State of the art on southern corn leaf blight disease incited by </w:t>
      </w:r>
      <w:r>
        <w:rPr>
          <w:rFonts w:ascii="Arial" w:hAnsi="Arial" w:cs="Arial"/>
          <w:i/>
          <w:iCs/>
          <w:color w:val="000000" w:themeColor="text1"/>
          <w:kern w:val="0"/>
          <w:sz w:val="20"/>
          <w:szCs w:val="20"/>
        </w:rPr>
        <w:t xml:space="preserve">Cochliobolus heterostrophus: </w:t>
      </w:r>
      <w:r>
        <w:rPr>
          <w:rFonts w:ascii="Arial" w:hAnsi="Arial" w:cs="Arial"/>
          <w:color w:val="000000" w:themeColor="text1"/>
          <w:kern w:val="0"/>
          <w:sz w:val="20"/>
          <w:szCs w:val="20"/>
        </w:rPr>
        <w:t xml:space="preserve">detection, pathogenic variability and novel control measures. </w:t>
      </w:r>
      <w:r>
        <w:rPr>
          <w:rFonts w:ascii="Arial" w:hAnsi="Arial" w:cs="Arial"/>
          <w:i/>
          <w:iCs/>
          <w:color w:val="000000" w:themeColor="text1"/>
          <w:kern w:val="0"/>
          <w:sz w:val="20"/>
          <w:szCs w:val="20"/>
        </w:rPr>
        <w:t xml:space="preserve">Bulgarian Journal of Agricultural Science, </w:t>
      </w:r>
      <w:r>
        <w:rPr>
          <w:rFonts w:ascii="Arial" w:hAnsi="Arial" w:cs="Arial"/>
          <w:color w:val="000000" w:themeColor="text1"/>
          <w:kern w:val="0"/>
          <w:sz w:val="20"/>
          <w:szCs w:val="20"/>
        </w:rPr>
        <w:t>27(1), 147-155.</w:t>
      </w:r>
    </w:p>
    <w:p w14:paraId="09576690" w14:textId="77777777" w:rsidR="009A6476" w:rsidRPr="005361B5" w:rsidRDefault="009A6476" w:rsidP="009A6476">
      <w:pPr>
        <w:spacing w:before="240" w:line="360" w:lineRule="auto"/>
        <w:ind w:left="426" w:hanging="426"/>
        <w:jc w:val="both"/>
        <w:rPr>
          <w:rFonts w:ascii="Arial" w:hAnsi="Arial" w:cs="Arial"/>
          <w:bCs/>
          <w:sz w:val="20"/>
          <w:szCs w:val="20"/>
        </w:rPr>
      </w:pPr>
      <w:r w:rsidRPr="005361B5">
        <w:rPr>
          <w:rFonts w:ascii="Arial" w:hAnsi="Arial" w:cs="Arial"/>
          <w:bCs/>
          <w:sz w:val="20"/>
          <w:szCs w:val="20"/>
        </w:rPr>
        <w:t>Leonard</w:t>
      </w:r>
      <w:r>
        <w:rPr>
          <w:rFonts w:ascii="Arial" w:hAnsi="Arial" w:cs="Arial"/>
          <w:bCs/>
          <w:sz w:val="20"/>
          <w:szCs w:val="20"/>
        </w:rPr>
        <w:t>,</w:t>
      </w:r>
      <w:r w:rsidRPr="005361B5">
        <w:rPr>
          <w:rFonts w:ascii="Arial" w:hAnsi="Arial" w:cs="Arial"/>
          <w:bCs/>
          <w:sz w:val="20"/>
          <w:szCs w:val="20"/>
        </w:rPr>
        <w:t xml:space="preserve"> K</w:t>
      </w:r>
      <w:r>
        <w:rPr>
          <w:rFonts w:ascii="Arial" w:hAnsi="Arial" w:cs="Arial"/>
          <w:bCs/>
          <w:sz w:val="20"/>
          <w:szCs w:val="20"/>
        </w:rPr>
        <w:t xml:space="preserve">. </w:t>
      </w:r>
      <w:r w:rsidRPr="005361B5">
        <w:rPr>
          <w:rFonts w:ascii="Arial" w:hAnsi="Arial" w:cs="Arial"/>
          <w:bCs/>
          <w:sz w:val="20"/>
          <w:szCs w:val="20"/>
        </w:rPr>
        <w:t>J</w:t>
      </w:r>
      <w:r>
        <w:rPr>
          <w:rFonts w:ascii="Arial" w:hAnsi="Arial" w:cs="Arial"/>
          <w:bCs/>
          <w:sz w:val="20"/>
          <w:szCs w:val="20"/>
        </w:rPr>
        <w:t>.</w:t>
      </w:r>
      <w:r w:rsidRPr="005361B5">
        <w:rPr>
          <w:rFonts w:ascii="Arial" w:hAnsi="Arial" w:cs="Arial"/>
          <w:bCs/>
          <w:sz w:val="20"/>
          <w:szCs w:val="20"/>
        </w:rPr>
        <w:t xml:space="preserve"> </w:t>
      </w:r>
      <w:r>
        <w:rPr>
          <w:rFonts w:ascii="Arial" w:hAnsi="Arial" w:cs="Arial"/>
          <w:bCs/>
          <w:sz w:val="20"/>
          <w:szCs w:val="20"/>
        </w:rPr>
        <w:t>&amp;</w:t>
      </w:r>
      <w:r w:rsidRPr="005361B5">
        <w:rPr>
          <w:rFonts w:ascii="Arial" w:hAnsi="Arial" w:cs="Arial"/>
          <w:bCs/>
          <w:sz w:val="20"/>
          <w:szCs w:val="20"/>
        </w:rPr>
        <w:t xml:space="preserve"> Suggs</w:t>
      </w:r>
      <w:r>
        <w:rPr>
          <w:rFonts w:ascii="Arial" w:hAnsi="Arial" w:cs="Arial"/>
          <w:bCs/>
          <w:sz w:val="20"/>
          <w:szCs w:val="20"/>
        </w:rPr>
        <w:t>,</w:t>
      </w:r>
      <w:r w:rsidRPr="005361B5">
        <w:rPr>
          <w:rFonts w:ascii="Arial" w:hAnsi="Arial" w:cs="Arial"/>
          <w:bCs/>
          <w:sz w:val="20"/>
          <w:szCs w:val="20"/>
        </w:rPr>
        <w:t xml:space="preserve"> E</w:t>
      </w:r>
      <w:r>
        <w:rPr>
          <w:rFonts w:ascii="Arial" w:hAnsi="Arial" w:cs="Arial"/>
          <w:bCs/>
          <w:sz w:val="20"/>
          <w:szCs w:val="20"/>
        </w:rPr>
        <w:t xml:space="preserve">. </w:t>
      </w:r>
      <w:r w:rsidRPr="005361B5">
        <w:rPr>
          <w:rFonts w:ascii="Arial" w:hAnsi="Arial" w:cs="Arial"/>
          <w:bCs/>
          <w:sz w:val="20"/>
          <w:szCs w:val="20"/>
        </w:rPr>
        <w:t xml:space="preserve">G. </w:t>
      </w:r>
      <w:r>
        <w:rPr>
          <w:rFonts w:ascii="Arial" w:hAnsi="Arial" w:cs="Arial"/>
          <w:bCs/>
          <w:sz w:val="20"/>
          <w:szCs w:val="20"/>
        </w:rPr>
        <w:t>(</w:t>
      </w:r>
      <w:r w:rsidRPr="005361B5">
        <w:rPr>
          <w:rFonts w:ascii="Arial" w:hAnsi="Arial" w:cs="Arial"/>
          <w:bCs/>
          <w:sz w:val="20"/>
          <w:szCs w:val="20"/>
        </w:rPr>
        <w:t>1974</w:t>
      </w:r>
      <w:r>
        <w:rPr>
          <w:rFonts w:ascii="Arial" w:hAnsi="Arial" w:cs="Arial"/>
          <w:bCs/>
          <w:sz w:val="20"/>
          <w:szCs w:val="20"/>
        </w:rPr>
        <w:t>)</w:t>
      </w:r>
      <w:r w:rsidRPr="005361B5">
        <w:rPr>
          <w:rFonts w:ascii="Arial" w:hAnsi="Arial" w:cs="Arial"/>
          <w:bCs/>
          <w:sz w:val="20"/>
          <w:szCs w:val="20"/>
        </w:rPr>
        <w:t xml:space="preserve">. </w:t>
      </w:r>
      <w:r w:rsidRPr="005361B5">
        <w:rPr>
          <w:rFonts w:ascii="Arial" w:hAnsi="Arial" w:cs="Arial"/>
          <w:bCs/>
          <w:i/>
          <w:iCs/>
          <w:sz w:val="20"/>
          <w:szCs w:val="20"/>
        </w:rPr>
        <w:t>Setosphaeria prolata</w:t>
      </w:r>
      <w:r w:rsidRPr="005361B5">
        <w:rPr>
          <w:rFonts w:ascii="Arial" w:hAnsi="Arial" w:cs="Arial"/>
          <w:bCs/>
          <w:sz w:val="20"/>
          <w:szCs w:val="20"/>
        </w:rPr>
        <w:t xml:space="preserve">, the Ascigerous state of </w:t>
      </w:r>
      <w:r w:rsidRPr="005361B5">
        <w:rPr>
          <w:rFonts w:ascii="Arial" w:hAnsi="Arial" w:cs="Arial"/>
          <w:bCs/>
          <w:i/>
          <w:iCs/>
          <w:sz w:val="20"/>
          <w:szCs w:val="20"/>
        </w:rPr>
        <w:t>Exserohilum prolatum</w:t>
      </w:r>
      <w:r>
        <w:rPr>
          <w:rFonts w:ascii="Arial" w:hAnsi="Arial" w:cs="Arial"/>
          <w:bCs/>
          <w:sz w:val="20"/>
          <w:szCs w:val="20"/>
        </w:rPr>
        <w:t>.</w:t>
      </w:r>
      <w:r w:rsidRPr="005361B5">
        <w:rPr>
          <w:rFonts w:ascii="Arial" w:hAnsi="Arial" w:cs="Arial"/>
          <w:bCs/>
          <w:sz w:val="20"/>
          <w:szCs w:val="20"/>
        </w:rPr>
        <w:t xml:space="preserve"> </w:t>
      </w:r>
      <w:r w:rsidRPr="005361B5">
        <w:rPr>
          <w:rFonts w:ascii="Arial" w:hAnsi="Arial" w:cs="Arial"/>
          <w:bCs/>
          <w:i/>
          <w:iCs/>
          <w:sz w:val="20"/>
          <w:szCs w:val="20"/>
        </w:rPr>
        <w:t>Mycological Society of America</w:t>
      </w:r>
      <w:r>
        <w:rPr>
          <w:rFonts w:ascii="Arial" w:hAnsi="Arial" w:cs="Arial"/>
          <w:bCs/>
          <w:i/>
          <w:iCs/>
          <w:sz w:val="20"/>
          <w:szCs w:val="20"/>
        </w:rPr>
        <w:t>,</w:t>
      </w:r>
      <w:r w:rsidRPr="005361B5">
        <w:rPr>
          <w:rFonts w:ascii="Arial" w:hAnsi="Arial" w:cs="Arial"/>
          <w:bCs/>
          <w:sz w:val="20"/>
          <w:szCs w:val="20"/>
        </w:rPr>
        <w:t xml:space="preserve"> 66</w:t>
      </w:r>
      <w:r>
        <w:rPr>
          <w:rFonts w:ascii="Arial" w:hAnsi="Arial" w:cs="Arial"/>
          <w:bCs/>
          <w:sz w:val="20"/>
          <w:szCs w:val="20"/>
        </w:rPr>
        <w:t>,</w:t>
      </w:r>
      <w:r w:rsidRPr="005361B5">
        <w:rPr>
          <w:rFonts w:ascii="Arial" w:hAnsi="Arial" w:cs="Arial"/>
          <w:bCs/>
          <w:sz w:val="20"/>
          <w:szCs w:val="20"/>
        </w:rPr>
        <w:t xml:space="preserve"> 281-297</w:t>
      </w:r>
      <w:r>
        <w:rPr>
          <w:rFonts w:ascii="Arial" w:hAnsi="Arial" w:cs="Arial"/>
          <w:bCs/>
          <w:sz w:val="20"/>
          <w:szCs w:val="20"/>
        </w:rPr>
        <w:t>.</w:t>
      </w:r>
    </w:p>
    <w:p w14:paraId="79065D94"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Malik, V. K., Singh, M., Hooda, K. S., Yadav, N. K., &amp; Chauhan, P. K. (2018). Efficacy of newer molecules, bioagents and botanicals against maydis leaf blight and banded leaf and sheath blight of maize. </w:t>
      </w:r>
      <w:r>
        <w:rPr>
          <w:rFonts w:ascii="Arial" w:hAnsi="Arial" w:cs="Arial"/>
          <w:i/>
          <w:iCs/>
          <w:color w:val="000000" w:themeColor="text1"/>
          <w:kern w:val="0"/>
          <w:sz w:val="20"/>
          <w:szCs w:val="20"/>
        </w:rPr>
        <w:t xml:space="preserve">The Plant Pathology Journal, </w:t>
      </w:r>
      <w:r>
        <w:rPr>
          <w:rFonts w:ascii="Arial" w:hAnsi="Arial" w:cs="Arial"/>
          <w:color w:val="000000" w:themeColor="text1"/>
          <w:kern w:val="0"/>
          <w:sz w:val="20"/>
          <w:szCs w:val="20"/>
        </w:rPr>
        <w:t>34(2), 121-125.</w:t>
      </w:r>
    </w:p>
    <w:p w14:paraId="0440F61C"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Manzar, N., Kashyap, A. S., Maurya, A., Rajawat, M. V. S., Sharma, P. K., Srivastava, A. K., Roy, M., Saxena, A. K., &amp; Singh, H. V. (2022). Multi-gene phylogenetic approach for identification and diversity analysis of </w:t>
      </w:r>
      <w:r>
        <w:rPr>
          <w:rFonts w:ascii="Arial" w:hAnsi="Arial" w:cs="Arial"/>
          <w:i/>
          <w:iCs/>
          <w:color w:val="000000" w:themeColor="text1"/>
          <w:kern w:val="0"/>
          <w:sz w:val="20"/>
          <w:szCs w:val="20"/>
        </w:rPr>
        <w:t xml:space="preserve">Bipolaris maydis </w:t>
      </w:r>
      <w:r>
        <w:rPr>
          <w:rFonts w:ascii="Arial" w:hAnsi="Arial" w:cs="Arial"/>
          <w:color w:val="000000" w:themeColor="text1"/>
          <w:kern w:val="0"/>
          <w:sz w:val="20"/>
          <w:szCs w:val="20"/>
        </w:rPr>
        <w:t xml:space="preserve">and </w:t>
      </w:r>
      <w:r>
        <w:rPr>
          <w:rFonts w:ascii="Arial" w:hAnsi="Arial" w:cs="Arial"/>
          <w:i/>
          <w:iCs/>
          <w:color w:val="000000" w:themeColor="text1"/>
          <w:kern w:val="0"/>
          <w:sz w:val="20"/>
          <w:szCs w:val="20"/>
        </w:rPr>
        <w:t xml:space="preserve">Curvularia lunata </w:t>
      </w:r>
      <w:r>
        <w:rPr>
          <w:rFonts w:ascii="Arial" w:hAnsi="Arial" w:cs="Arial"/>
          <w:color w:val="000000" w:themeColor="text1"/>
          <w:kern w:val="0"/>
          <w:sz w:val="20"/>
          <w:szCs w:val="20"/>
        </w:rPr>
        <w:t xml:space="preserve">isolates causing foliar blight of </w:t>
      </w:r>
      <w:r>
        <w:rPr>
          <w:rFonts w:ascii="Arial" w:hAnsi="Arial" w:cs="Arial"/>
          <w:i/>
          <w:iCs/>
          <w:color w:val="000000" w:themeColor="text1"/>
          <w:kern w:val="0"/>
          <w:sz w:val="20"/>
          <w:szCs w:val="20"/>
        </w:rPr>
        <w:t xml:space="preserve">Zea mays. Journal of Fungi, </w:t>
      </w:r>
      <w:r>
        <w:rPr>
          <w:rFonts w:ascii="Arial" w:hAnsi="Arial" w:cs="Arial"/>
          <w:color w:val="000000" w:themeColor="text1"/>
          <w:kern w:val="0"/>
          <w:sz w:val="20"/>
          <w:szCs w:val="20"/>
        </w:rPr>
        <w:t>8(8), 802.</w:t>
      </w:r>
    </w:p>
    <w:p w14:paraId="4B2E4B4A" w14:textId="77777777" w:rsidR="009A6476" w:rsidRPr="005361B5" w:rsidRDefault="009A6476" w:rsidP="009A6476">
      <w:pPr>
        <w:spacing w:before="240" w:line="360" w:lineRule="auto"/>
        <w:ind w:left="426" w:hanging="426"/>
        <w:jc w:val="both"/>
        <w:rPr>
          <w:rFonts w:ascii="Arial" w:hAnsi="Arial" w:cs="Arial"/>
          <w:bCs/>
          <w:sz w:val="20"/>
          <w:szCs w:val="20"/>
        </w:rPr>
      </w:pPr>
      <w:r w:rsidRPr="005361B5">
        <w:rPr>
          <w:rFonts w:ascii="Arial" w:hAnsi="Arial" w:cs="Arial"/>
          <w:bCs/>
          <w:sz w:val="20"/>
          <w:szCs w:val="20"/>
        </w:rPr>
        <w:t>Navi</w:t>
      </w:r>
      <w:r>
        <w:rPr>
          <w:rFonts w:ascii="Arial" w:hAnsi="Arial" w:cs="Arial"/>
          <w:bCs/>
          <w:sz w:val="20"/>
          <w:szCs w:val="20"/>
        </w:rPr>
        <w:t>,</w:t>
      </w:r>
      <w:r w:rsidRPr="005361B5">
        <w:rPr>
          <w:rFonts w:ascii="Arial" w:hAnsi="Arial" w:cs="Arial"/>
          <w:bCs/>
          <w:sz w:val="20"/>
          <w:szCs w:val="20"/>
        </w:rPr>
        <w:t xml:space="preserve"> S</w:t>
      </w:r>
      <w:r>
        <w:rPr>
          <w:rFonts w:ascii="Arial" w:hAnsi="Arial" w:cs="Arial"/>
          <w:bCs/>
          <w:sz w:val="20"/>
          <w:szCs w:val="20"/>
        </w:rPr>
        <w:t xml:space="preserve">. </w:t>
      </w:r>
      <w:r w:rsidRPr="005361B5">
        <w:rPr>
          <w:rFonts w:ascii="Arial" w:hAnsi="Arial" w:cs="Arial"/>
          <w:bCs/>
          <w:sz w:val="20"/>
          <w:szCs w:val="20"/>
        </w:rPr>
        <w:t>S</w:t>
      </w:r>
      <w:r>
        <w:rPr>
          <w:rFonts w:ascii="Arial" w:hAnsi="Arial" w:cs="Arial"/>
          <w:bCs/>
          <w:sz w:val="20"/>
          <w:szCs w:val="20"/>
        </w:rPr>
        <w:t>.</w:t>
      </w:r>
      <w:r w:rsidRPr="005361B5">
        <w:rPr>
          <w:rFonts w:ascii="Arial" w:hAnsi="Arial" w:cs="Arial"/>
          <w:bCs/>
          <w:sz w:val="20"/>
          <w:szCs w:val="20"/>
        </w:rPr>
        <w:t>, Bandyopadhyay</w:t>
      </w:r>
      <w:r>
        <w:rPr>
          <w:rFonts w:ascii="Arial" w:hAnsi="Arial" w:cs="Arial"/>
          <w:bCs/>
          <w:sz w:val="20"/>
          <w:szCs w:val="20"/>
        </w:rPr>
        <w:t>,</w:t>
      </w:r>
      <w:r w:rsidRPr="005361B5">
        <w:rPr>
          <w:rFonts w:ascii="Arial" w:hAnsi="Arial" w:cs="Arial"/>
          <w:bCs/>
          <w:sz w:val="20"/>
          <w:szCs w:val="20"/>
        </w:rPr>
        <w:t xml:space="preserve"> R</w:t>
      </w:r>
      <w:r>
        <w:rPr>
          <w:rFonts w:ascii="Arial" w:hAnsi="Arial" w:cs="Arial"/>
          <w:bCs/>
          <w:sz w:val="20"/>
          <w:szCs w:val="20"/>
        </w:rPr>
        <w:t>.</w:t>
      </w:r>
      <w:r w:rsidRPr="005361B5">
        <w:rPr>
          <w:rFonts w:ascii="Arial" w:hAnsi="Arial" w:cs="Arial"/>
          <w:bCs/>
          <w:sz w:val="20"/>
          <w:szCs w:val="20"/>
        </w:rPr>
        <w:t>, Hall</w:t>
      </w:r>
      <w:r>
        <w:rPr>
          <w:rFonts w:ascii="Arial" w:hAnsi="Arial" w:cs="Arial"/>
          <w:bCs/>
          <w:sz w:val="20"/>
          <w:szCs w:val="20"/>
        </w:rPr>
        <w:t>,</w:t>
      </w:r>
      <w:r w:rsidRPr="005361B5">
        <w:rPr>
          <w:rFonts w:ascii="Arial" w:hAnsi="Arial" w:cs="Arial"/>
          <w:bCs/>
          <w:sz w:val="20"/>
          <w:szCs w:val="20"/>
        </w:rPr>
        <w:t xml:space="preserve"> A</w:t>
      </w:r>
      <w:r>
        <w:rPr>
          <w:rFonts w:ascii="Arial" w:hAnsi="Arial" w:cs="Arial"/>
          <w:bCs/>
          <w:sz w:val="20"/>
          <w:szCs w:val="20"/>
        </w:rPr>
        <w:t xml:space="preserve">. </w:t>
      </w:r>
      <w:r w:rsidRPr="005361B5">
        <w:rPr>
          <w:rFonts w:ascii="Arial" w:hAnsi="Arial" w:cs="Arial"/>
          <w:bCs/>
          <w:sz w:val="20"/>
          <w:szCs w:val="20"/>
        </w:rPr>
        <w:t>J</w:t>
      </w:r>
      <w:r>
        <w:rPr>
          <w:rFonts w:ascii="Arial" w:hAnsi="Arial" w:cs="Arial"/>
          <w:bCs/>
          <w:sz w:val="20"/>
          <w:szCs w:val="20"/>
        </w:rPr>
        <w:t>.</w:t>
      </w:r>
      <w:r w:rsidRPr="005361B5">
        <w:rPr>
          <w:rFonts w:ascii="Arial" w:hAnsi="Arial" w:cs="Arial"/>
          <w:bCs/>
          <w:sz w:val="20"/>
          <w:szCs w:val="20"/>
        </w:rPr>
        <w:t xml:space="preserve"> </w:t>
      </w:r>
      <w:r>
        <w:rPr>
          <w:rFonts w:ascii="Arial" w:hAnsi="Arial" w:cs="Arial"/>
          <w:bCs/>
          <w:sz w:val="20"/>
          <w:szCs w:val="20"/>
        </w:rPr>
        <w:t>&amp;</w:t>
      </w:r>
      <w:r w:rsidRPr="005361B5">
        <w:rPr>
          <w:rFonts w:ascii="Arial" w:hAnsi="Arial" w:cs="Arial"/>
          <w:bCs/>
          <w:sz w:val="20"/>
          <w:szCs w:val="20"/>
        </w:rPr>
        <w:t xml:space="preserve"> Bramel-Cox</w:t>
      </w:r>
      <w:r>
        <w:rPr>
          <w:rFonts w:ascii="Arial" w:hAnsi="Arial" w:cs="Arial"/>
          <w:bCs/>
          <w:sz w:val="20"/>
          <w:szCs w:val="20"/>
        </w:rPr>
        <w:t>,</w:t>
      </w:r>
      <w:r w:rsidRPr="005361B5">
        <w:rPr>
          <w:rFonts w:ascii="Arial" w:hAnsi="Arial" w:cs="Arial"/>
          <w:bCs/>
          <w:sz w:val="20"/>
          <w:szCs w:val="20"/>
        </w:rPr>
        <w:t xml:space="preserve"> P</w:t>
      </w:r>
      <w:r>
        <w:rPr>
          <w:rFonts w:ascii="Arial" w:hAnsi="Arial" w:cs="Arial"/>
          <w:bCs/>
          <w:sz w:val="20"/>
          <w:szCs w:val="20"/>
        </w:rPr>
        <w:t xml:space="preserve">. </w:t>
      </w:r>
      <w:r w:rsidRPr="005361B5">
        <w:rPr>
          <w:rFonts w:ascii="Arial" w:hAnsi="Arial" w:cs="Arial"/>
          <w:bCs/>
          <w:sz w:val="20"/>
          <w:szCs w:val="20"/>
        </w:rPr>
        <w:t xml:space="preserve">J. </w:t>
      </w:r>
      <w:r>
        <w:rPr>
          <w:rFonts w:ascii="Arial" w:hAnsi="Arial" w:cs="Arial"/>
          <w:bCs/>
          <w:sz w:val="20"/>
          <w:szCs w:val="20"/>
        </w:rPr>
        <w:t>(</w:t>
      </w:r>
      <w:r w:rsidRPr="005361B5">
        <w:rPr>
          <w:rFonts w:ascii="Arial" w:hAnsi="Arial" w:cs="Arial"/>
          <w:bCs/>
          <w:sz w:val="20"/>
          <w:szCs w:val="20"/>
        </w:rPr>
        <w:t>1999</w:t>
      </w:r>
      <w:r>
        <w:rPr>
          <w:rFonts w:ascii="Arial" w:hAnsi="Arial" w:cs="Arial"/>
          <w:bCs/>
          <w:sz w:val="20"/>
          <w:szCs w:val="20"/>
        </w:rPr>
        <w:t>)</w:t>
      </w:r>
      <w:r w:rsidRPr="005361B5">
        <w:rPr>
          <w:rFonts w:ascii="Arial" w:hAnsi="Arial" w:cs="Arial"/>
          <w:bCs/>
          <w:sz w:val="20"/>
          <w:szCs w:val="20"/>
        </w:rPr>
        <w:t xml:space="preserve">. A pictorial guide for the identification of mold fungi on sorghum grain (No. 59). </w:t>
      </w:r>
      <w:r w:rsidRPr="005361B5">
        <w:rPr>
          <w:rFonts w:ascii="Arial" w:hAnsi="Arial" w:cs="Arial"/>
          <w:bCs/>
          <w:i/>
          <w:iCs/>
          <w:sz w:val="20"/>
          <w:szCs w:val="20"/>
        </w:rPr>
        <w:t>International Crops Research Institute for Semi-Arid Tropics, Andhra Pradesh, India</w:t>
      </w:r>
      <w:r w:rsidRPr="005361B5">
        <w:rPr>
          <w:rFonts w:ascii="Arial" w:hAnsi="Arial" w:cs="Arial"/>
          <w:bCs/>
          <w:sz w:val="20"/>
          <w:szCs w:val="20"/>
        </w:rPr>
        <w:t>.</w:t>
      </w:r>
      <w:r w:rsidRPr="005361B5">
        <w:rPr>
          <w:rFonts w:ascii="Arial" w:hAnsi="Arial" w:cs="Arial"/>
          <w:bCs/>
          <w:i/>
          <w:iCs/>
          <w:sz w:val="20"/>
          <w:szCs w:val="20"/>
        </w:rPr>
        <w:t xml:space="preserve"> </w:t>
      </w:r>
      <w:r w:rsidRPr="005361B5">
        <w:rPr>
          <w:rFonts w:ascii="Arial" w:hAnsi="Arial" w:cs="Arial"/>
          <w:bCs/>
          <w:sz w:val="20"/>
          <w:szCs w:val="20"/>
        </w:rPr>
        <w:t>p 78.</w:t>
      </w:r>
    </w:p>
    <w:p w14:paraId="4A0B3BC9" w14:textId="77777777" w:rsidR="009A6476" w:rsidRDefault="009A6476">
      <w:pPr>
        <w:spacing w:line="276" w:lineRule="auto"/>
        <w:ind w:left="450" w:hanging="450"/>
        <w:jc w:val="both"/>
        <w:rPr>
          <w:rFonts w:ascii="Arial" w:hAnsi="Arial" w:cs="Arial"/>
          <w:sz w:val="20"/>
          <w:szCs w:val="20"/>
        </w:rPr>
      </w:pPr>
      <w:r>
        <w:rPr>
          <w:rFonts w:ascii="Arial" w:hAnsi="Arial" w:cs="Arial"/>
          <w:sz w:val="20"/>
          <w:szCs w:val="20"/>
        </w:rPr>
        <w:t>Pathak, N., Prajneshu, M., Ahmad, S., Kumar, L., Bhaduri, A., Dhandapani, A., &amp; Sharma, O. P. (2020). Phytochemical analysis and antifungal activity of weed extracts against Rhizoctonia root rot in buckwheat (</w:t>
      </w:r>
      <w:r>
        <w:rPr>
          <w:rFonts w:ascii="Arial" w:hAnsi="Arial" w:cs="Arial"/>
          <w:i/>
          <w:iCs/>
          <w:sz w:val="20"/>
          <w:szCs w:val="20"/>
        </w:rPr>
        <w:t>Fagopyrum tataricum</w:t>
      </w:r>
      <w:r>
        <w:rPr>
          <w:rFonts w:ascii="Arial" w:hAnsi="Arial" w:cs="Arial"/>
          <w:sz w:val="20"/>
          <w:szCs w:val="20"/>
        </w:rPr>
        <w:t xml:space="preserve">). </w:t>
      </w:r>
      <w:r>
        <w:rPr>
          <w:rFonts w:ascii="Arial" w:hAnsi="Arial" w:cs="Arial"/>
          <w:i/>
          <w:iCs/>
          <w:sz w:val="20"/>
          <w:szCs w:val="20"/>
        </w:rPr>
        <w:t xml:space="preserve">Biopesticides International, </w:t>
      </w:r>
      <w:r>
        <w:rPr>
          <w:rFonts w:ascii="Arial" w:hAnsi="Arial" w:cs="Arial"/>
          <w:sz w:val="20"/>
          <w:szCs w:val="20"/>
        </w:rPr>
        <w:t>16(2), 125.</w:t>
      </w:r>
    </w:p>
    <w:p w14:paraId="2C01690F" w14:textId="77777777" w:rsidR="009A6476" w:rsidRDefault="009A6476">
      <w:pPr>
        <w:spacing w:line="276" w:lineRule="auto"/>
        <w:ind w:left="450" w:hanging="450"/>
        <w:jc w:val="both"/>
        <w:rPr>
          <w:rFonts w:ascii="Arial" w:hAnsi="Arial" w:cs="Arial"/>
          <w:sz w:val="20"/>
          <w:szCs w:val="20"/>
        </w:rPr>
      </w:pPr>
      <w:r>
        <w:rPr>
          <w:rFonts w:ascii="Arial" w:hAnsi="Arial" w:cs="Arial"/>
          <w:sz w:val="20"/>
          <w:szCs w:val="20"/>
        </w:rPr>
        <w:t xml:space="preserve">Rehena, M. K., Aminuzzaman, F. M., Ashrafi, M. L., Chowdhury, M. S. M., Habiba, U. A., Nazifa, Z., &amp; Ahmed, M. (2022). Efficacy of ethanol extract of botanicals in controlling wheat blast fungus </w:t>
      </w:r>
      <w:r>
        <w:rPr>
          <w:rFonts w:ascii="Arial" w:hAnsi="Arial" w:cs="Arial"/>
          <w:i/>
          <w:iCs/>
          <w:sz w:val="20"/>
          <w:szCs w:val="20"/>
        </w:rPr>
        <w:t xml:space="preserve">Magnaporthe oryzae triticum in vitro. Nepal Journal of Biotechnology, </w:t>
      </w:r>
      <w:r>
        <w:rPr>
          <w:rFonts w:ascii="Arial" w:hAnsi="Arial" w:cs="Arial"/>
          <w:sz w:val="20"/>
          <w:szCs w:val="20"/>
        </w:rPr>
        <w:t>10(2), 77-84.</w:t>
      </w:r>
    </w:p>
    <w:p w14:paraId="1A2722DD" w14:textId="77777777" w:rsidR="009A6476" w:rsidRDefault="009A6476">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Vanlahruaia, S., Mahapatra, S., Chakraborty, S., &amp; Das, S. (2022). Prevalence of southern leaf blight of maize in two major maize producing states of India. </w:t>
      </w:r>
      <w:r>
        <w:rPr>
          <w:rFonts w:ascii="Arial" w:hAnsi="Arial" w:cs="Arial"/>
          <w:i/>
          <w:iCs/>
          <w:color w:val="000000" w:themeColor="text1"/>
          <w:kern w:val="0"/>
          <w:sz w:val="20"/>
          <w:szCs w:val="20"/>
        </w:rPr>
        <w:t xml:space="preserve">Journal of Cereal Research, </w:t>
      </w:r>
      <w:r>
        <w:rPr>
          <w:rFonts w:ascii="Arial" w:hAnsi="Arial" w:cs="Arial"/>
          <w:color w:val="000000" w:themeColor="text1"/>
          <w:kern w:val="0"/>
          <w:sz w:val="20"/>
          <w:szCs w:val="20"/>
        </w:rPr>
        <w:t>14(2), 161-167.</w:t>
      </w:r>
    </w:p>
    <w:p w14:paraId="6A712624" w14:textId="77777777" w:rsidR="009A6476" w:rsidRDefault="009A6476">
      <w:pPr>
        <w:spacing w:line="276" w:lineRule="auto"/>
        <w:ind w:left="450" w:hanging="450"/>
        <w:jc w:val="both"/>
        <w:rPr>
          <w:rFonts w:ascii="Arial" w:hAnsi="Arial" w:cs="Arial"/>
          <w:sz w:val="20"/>
          <w:szCs w:val="20"/>
        </w:rPr>
      </w:pPr>
      <w:r>
        <w:rPr>
          <w:rFonts w:ascii="Arial" w:hAnsi="Arial" w:cs="Arial"/>
          <w:sz w:val="20"/>
          <w:szCs w:val="20"/>
        </w:rPr>
        <w:t xml:space="preserve">Vincent, J. M. (1947). Distortion of fungal hyphae in the presence of certain inhibitors. </w:t>
      </w:r>
      <w:r>
        <w:rPr>
          <w:rFonts w:ascii="Arial" w:hAnsi="Arial" w:cs="Arial"/>
          <w:i/>
          <w:iCs/>
          <w:sz w:val="20"/>
          <w:szCs w:val="20"/>
        </w:rPr>
        <w:t xml:space="preserve">Nature, </w:t>
      </w:r>
      <w:r>
        <w:rPr>
          <w:rFonts w:ascii="Arial" w:hAnsi="Arial" w:cs="Arial"/>
          <w:sz w:val="20"/>
          <w:szCs w:val="20"/>
        </w:rPr>
        <w:t>159, 850.</w:t>
      </w:r>
    </w:p>
    <w:p w14:paraId="77AACBB0" w14:textId="77777777" w:rsidR="009A6476" w:rsidRDefault="009A6476">
      <w:pPr>
        <w:spacing w:line="276" w:lineRule="auto"/>
        <w:ind w:left="450" w:hanging="450"/>
        <w:jc w:val="both"/>
        <w:rPr>
          <w:rFonts w:ascii="Arial" w:hAnsi="Arial" w:cs="Arial"/>
          <w:sz w:val="20"/>
          <w:szCs w:val="20"/>
        </w:rPr>
      </w:pPr>
    </w:p>
    <w:p w14:paraId="12A7F4BD" w14:textId="77777777" w:rsidR="00CE0B1B" w:rsidRDefault="00CE0B1B">
      <w:pPr>
        <w:spacing w:line="360" w:lineRule="auto"/>
        <w:rPr>
          <w:rFonts w:ascii="Times New Roman" w:hAnsi="Times New Roman" w:cs="Times New Roman"/>
          <w:sz w:val="24"/>
          <w:szCs w:val="24"/>
        </w:rPr>
      </w:pPr>
    </w:p>
    <w:p w14:paraId="5064B0BB" w14:textId="77777777" w:rsidR="00CE0B1B" w:rsidRDefault="00CE0B1B">
      <w:pPr>
        <w:spacing w:after="0" w:line="360" w:lineRule="auto"/>
        <w:jc w:val="both"/>
        <w:rPr>
          <w:rFonts w:ascii="Times New Roman" w:hAnsi="Times New Roman" w:cs="Times New Roman"/>
          <w:sz w:val="24"/>
          <w:szCs w:val="24"/>
        </w:rPr>
      </w:pPr>
    </w:p>
    <w:sectPr w:rsidR="00CE0B1B">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BA502" w14:textId="77777777" w:rsidR="00F169EA" w:rsidRDefault="00F169EA">
      <w:pPr>
        <w:spacing w:after="0" w:line="240" w:lineRule="auto"/>
      </w:pPr>
      <w:r>
        <w:separator/>
      </w:r>
    </w:p>
  </w:endnote>
  <w:endnote w:type="continuationSeparator" w:id="0">
    <w:p w14:paraId="51195961" w14:textId="77777777" w:rsidR="00F169EA" w:rsidRDefault="00F16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7EA16" w14:textId="77777777" w:rsidR="00F169EA" w:rsidRDefault="00F169EA">
      <w:pPr>
        <w:spacing w:after="0" w:line="240" w:lineRule="auto"/>
      </w:pPr>
      <w:r>
        <w:separator/>
      </w:r>
    </w:p>
  </w:footnote>
  <w:footnote w:type="continuationSeparator" w:id="0">
    <w:p w14:paraId="5064148A" w14:textId="77777777" w:rsidR="00F169EA" w:rsidRDefault="00F16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B5C2" w14:textId="77777777" w:rsidR="00CE0B1B" w:rsidRDefault="00000000">
    <w:pPr>
      <w:pStyle w:val="Header"/>
    </w:pPr>
    <w:r>
      <w:rPr>
        <w:noProof/>
      </w:rPr>
      <w:pict w14:anchorId="37826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FFC3" w14:textId="77777777" w:rsidR="00CE0B1B" w:rsidRDefault="00000000" w:rsidP="00AA356F">
    <w:pPr>
      <w:pStyle w:val="Header"/>
      <w:tabs>
        <w:tab w:val="left" w:pos="4820"/>
      </w:tabs>
    </w:pPr>
    <w:r>
      <w:rPr>
        <w:noProof/>
      </w:rPr>
      <w:pict w14:anchorId="20657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12FB1" w14:textId="77777777" w:rsidR="00CE0B1B" w:rsidRDefault="00000000">
    <w:pPr>
      <w:pStyle w:val="Header"/>
    </w:pPr>
    <w:r>
      <w:rPr>
        <w:noProof/>
      </w:rPr>
      <w:pict w14:anchorId="70262E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8A1"/>
    <w:multiLevelType w:val="hybridMultilevel"/>
    <w:tmpl w:val="E5E089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BB1D66"/>
    <w:multiLevelType w:val="hybridMultilevel"/>
    <w:tmpl w:val="BB30CB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992772"/>
    <w:multiLevelType w:val="hybridMultilevel"/>
    <w:tmpl w:val="42949FB0"/>
    <w:lvl w:ilvl="0" w:tplc="76123512">
      <w:start w:val="9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4F83428"/>
    <w:multiLevelType w:val="hybridMultilevel"/>
    <w:tmpl w:val="5FEEBAC4"/>
    <w:lvl w:ilvl="0" w:tplc="89B45264">
      <w:start w:val="9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21D4650"/>
    <w:multiLevelType w:val="hybridMultilevel"/>
    <w:tmpl w:val="8B3C13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C17759"/>
    <w:multiLevelType w:val="multilevel"/>
    <w:tmpl w:val="B4F81DA0"/>
    <w:lvl w:ilvl="0">
      <w:start w:val="1"/>
      <w:numFmt w:val="decimal"/>
      <w:lvlText w:val="%1."/>
      <w:lvlJc w:val="left"/>
      <w:pPr>
        <w:ind w:left="720" w:hanging="360"/>
      </w:pPr>
      <w:rPr>
        <w:rFonts w:hint="default"/>
      </w:rPr>
    </w:lvl>
    <w:lvl w:ilvl="1">
      <w:start w:val="3"/>
      <w:numFmt w:val="decimal"/>
      <w:isLgl/>
      <w:lvlText w:val="%1.%2"/>
      <w:lvlJc w:val="left"/>
      <w:pPr>
        <w:ind w:left="27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A1A3BA7"/>
    <w:multiLevelType w:val="hybridMultilevel"/>
    <w:tmpl w:val="6CBE2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E868D8"/>
    <w:multiLevelType w:val="hybridMultilevel"/>
    <w:tmpl w:val="5412CD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D620AA"/>
    <w:multiLevelType w:val="hybridMultilevel"/>
    <w:tmpl w:val="8E74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2875A6"/>
    <w:multiLevelType w:val="hybridMultilevel"/>
    <w:tmpl w:val="B212F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40563650">
    <w:abstractNumId w:val="0"/>
  </w:num>
  <w:num w:numId="2" w16cid:durableId="1884751575">
    <w:abstractNumId w:val="4"/>
  </w:num>
  <w:num w:numId="3" w16cid:durableId="1351567252">
    <w:abstractNumId w:val="6"/>
  </w:num>
  <w:num w:numId="4" w16cid:durableId="303119006">
    <w:abstractNumId w:val="9"/>
  </w:num>
  <w:num w:numId="5" w16cid:durableId="40829430">
    <w:abstractNumId w:val="7"/>
  </w:num>
  <w:num w:numId="6" w16cid:durableId="578246766">
    <w:abstractNumId w:val="3"/>
  </w:num>
  <w:num w:numId="7" w16cid:durableId="789741225">
    <w:abstractNumId w:val="2"/>
  </w:num>
  <w:num w:numId="8" w16cid:durableId="1200555920">
    <w:abstractNumId w:val="1"/>
  </w:num>
  <w:num w:numId="9" w16cid:durableId="1562714739">
    <w:abstractNumId w:val="5"/>
  </w:num>
  <w:num w:numId="10" w16cid:durableId="17922811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xsTS0MDayNDYHcpV0lIJTi4sz8/NACgxrAc3IgewsAAAA"/>
  </w:docVars>
  <w:rsids>
    <w:rsidRoot w:val="00CE0B1B"/>
    <w:rsid w:val="000065D1"/>
    <w:rsid w:val="000840FC"/>
    <w:rsid w:val="001517E3"/>
    <w:rsid w:val="00203BF8"/>
    <w:rsid w:val="002273D6"/>
    <w:rsid w:val="002A0FAC"/>
    <w:rsid w:val="00333C6A"/>
    <w:rsid w:val="00375FA7"/>
    <w:rsid w:val="004514C3"/>
    <w:rsid w:val="005B2E94"/>
    <w:rsid w:val="00617436"/>
    <w:rsid w:val="007342B9"/>
    <w:rsid w:val="00745E57"/>
    <w:rsid w:val="007B5DAF"/>
    <w:rsid w:val="008C0BB3"/>
    <w:rsid w:val="008F2627"/>
    <w:rsid w:val="008F5691"/>
    <w:rsid w:val="009A6476"/>
    <w:rsid w:val="009E075A"/>
    <w:rsid w:val="00A41FEE"/>
    <w:rsid w:val="00A4391B"/>
    <w:rsid w:val="00A94674"/>
    <w:rsid w:val="00AA356F"/>
    <w:rsid w:val="00AD0B28"/>
    <w:rsid w:val="00AF59DE"/>
    <w:rsid w:val="00B85506"/>
    <w:rsid w:val="00B95418"/>
    <w:rsid w:val="00BA5B15"/>
    <w:rsid w:val="00BD09AE"/>
    <w:rsid w:val="00BF182B"/>
    <w:rsid w:val="00CA04A3"/>
    <w:rsid w:val="00CE0B1B"/>
    <w:rsid w:val="00D063FB"/>
    <w:rsid w:val="00D14E87"/>
    <w:rsid w:val="00D2379A"/>
    <w:rsid w:val="00D354E2"/>
    <w:rsid w:val="00DD1E17"/>
    <w:rsid w:val="00DF61D5"/>
    <w:rsid w:val="00E714A0"/>
    <w:rsid w:val="00F169EA"/>
    <w:rsid w:val="00F22F51"/>
    <w:rsid w:val="00F40CDE"/>
    <w:rsid w:val="00FF4B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AA14BD"/>
  <w15:chartTrackingRefBased/>
  <w15:docId w15:val="{7F8CCB84-6F52-458B-A529-FCE4C11B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630930">
      <w:bodyDiv w:val="1"/>
      <w:marLeft w:val="0"/>
      <w:marRight w:val="0"/>
      <w:marTop w:val="0"/>
      <w:marBottom w:val="0"/>
      <w:divBdr>
        <w:top w:val="none" w:sz="0" w:space="0" w:color="auto"/>
        <w:left w:val="none" w:sz="0" w:space="0" w:color="auto"/>
        <w:bottom w:val="none" w:sz="0" w:space="0" w:color="auto"/>
        <w:right w:val="none" w:sz="0" w:space="0" w:color="auto"/>
      </w:divBdr>
    </w:div>
    <w:div w:id="1403454972">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IJERPH19094967"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griculture.hp.gov.in/en/production-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o.org/faostat/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Sheet1!$B$2:$B$5</c:f>
              <c:numCache>
                <c:formatCode>General</c:formatCode>
                <c:ptCount val="4"/>
                <c:pt idx="0">
                  <c:v>64.790000000000006</c:v>
                </c:pt>
                <c:pt idx="1">
                  <c:v>75.11</c:v>
                </c:pt>
                <c:pt idx="2">
                  <c:v>66.03</c:v>
                </c:pt>
                <c:pt idx="3">
                  <c:v>38.26</c:v>
                </c:pt>
              </c:numCache>
            </c:numRef>
          </c:val>
          <c:extLst>
            <c:ext xmlns:c16="http://schemas.microsoft.com/office/drawing/2014/chart" uri="{C3380CC4-5D6E-409C-BE32-E72D297353CC}">
              <c16:uniqueId val="{00000000-7F69-485A-8828-6E777FA821F3}"/>
            </c:ext>
          </c:extLst>
        </c:ser>
        <c:ser>
          <c:idx val="1"/>
          <c:order val="1"/>
          <c:tx>
            <c:strRef>
              <c:f>Sheet1!$C$1</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Sheet1!$C$2:$C$5</c:f>
              <c:numCache>
                <c:formatCode>General</c:formatCode>
                <c:ptCount val="4"/>
                <c:pt idx="0">
                  <c:v>73.94</c:v>
                </c:pt>
                <c:pt idx="1">
                  <c:v>79.38</c:v>
                </c:pt>
                <c:pt idx="2">
                  <c:v>75.16</c:v>
                </c:pt>
                <c:pt idx="3">
                  <c:v>66.11</c:v>
                </c:pt>
              </c:numCache>
            </c:numRef>
          </c:val>
          <c:extLst>
            <c:ext xmlns:c16="http://schemas.microsoft.com/office/drawing/2014/chart" uri="{C3380CC4-5D6E-409C-BE32-E72D297353CC}">
              <c16:uniqueId val="{00000001-7F69-485A-8828-6E777FA821F3}"/>
            </c:ext>
          </c:extLst>
        </c:ser>
        <c:ser>
          <c:idx val="2"/>
          <c:order val="2"/>
          <c:tx>
            <c:strRef>
              <c:f>Sheet1!$D$1</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Sheet1!$D$2:$D$5</c:f>
              <c:numCache>
                <c:formatCode>General</c:formatCode>
                <c:ptCount val="4"/>
                <c:pt idx="0">
                  <c:v>82.81</c:v>
                </c:pt>
                <c:pt idx="1">
                  <c:v>84.96</c:v>
                </c:pt>
                <c:pt idx="2">
                  <c:v>79.36</c:v>
                </c:pt>
                <c:pt idx="3">
                  <c:v>73.67</c:v>
                </c:pt>
              </c:numCache>
            </c:numRef>
          </c:val>
          <c:extLst>
            <c:ext xmlns:c16="http://schemas.microsoft.com/office/drawing/2014/chart" uri="{C3380CC4-5D6E-409C-BE32-E72D297353CC}">
              <c16:uniqueId val="{00000002-7F69-485A-8828-6E777FA821F3}"/>
            </c:ext>
          </c:extLst>
        </c:ser>
        <c:ser>
          <c:idx val="3"/>
          <c:order val="3"/>
          <c:tx>
            <c:strRef>
              <c:f>Sheet1!$E$1</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Sheet1!$E$2:$E$5</c:f>
              <c:numCache>
                <c:formatCode>General</c:formatCode>
                <c:ptCount val="4"/>
                <c:pt idx="0">
                  <c:v>87.2</c:v>
                </c:pt>
                <c:pt idx="1">
                  <c:v>90.43</c:v>
                </c:pt>
                <c:pt idx="2">
                  <c:v>90.63</c:v>
                </c:pt>
                <c:pt idx="3">
                  <c:v>77.16</c:v>
                </c:pt>
              </c:numCache>
            </c:numRef>
          </c:val>
          <c:extLst>
            <c:ext xmlns:c16="http://schemas.microsoft.com/office/drawing/2014/chart" uri="{C3380CC4-5D6E-409C-BE32-E72D297353CC}">
              <c16:uniqueId val="{00000003-7F69-485A-8828-6E777FA821F3}"/>
            </c:ext>
          </c:extLst>
        </c:ser>
        <c:ser>
          <c:idx val="4"/>
          <c:order val="4"/>
          <c:tx>
            <c:strRef>
              <c:f>Sheet1!$F$1</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Sheet1!$F$2:$F$5</c:f>
              <c:numCache>
                <c:formatCode>General</c:formatCode>
                <c:ptCount val="4"/>
                <c:pt idx="0">
                  <c:v>90.43</c:v>
                </c:pt>
                <c:pt idx="1">
                  <c:v>100</c:v>
                </c:pt>
                <c:pt idx="2">
                  <c:v>92.8</c:v>
                </c:pt>
                <c:pt idx="3">
                  <c:v>84.91</c:v>
                </c:pt>
              </c:numCache>
            </c:numRef>
          </c:val>
          <c:extLst>
            <c:ext xmlns:c16="http://schemas.microsoft.com/office/drawing/2014/chart" uri="{C3380CC4-5D6E-409C-BE32-E72D297353CC}">
              <c16:uniqueId val="{00000004-7F69-485A-8828-6E777FA821F3}"/>
            </c:ext>
          </c:extLst>
        </c:ser>
        <c:dLbls>
          <c:showLegendKey val="0"/>
          <c:showVal val="0"/>
          <c:showCatName val="0"/>
          <c:showSerName val="0"/>
          <c:showPercent val="0"/>
          <c:showBubbleSize val="0"/>
        </c:dLbls>
        <c:gapWidth val="150"/>
        <c:shape val="box"/>
        <c:axId val="1123851488"/>
        <c:axId val="1123853408"/>
        <c:axId val="0"/>
      </c:bar3DChart>
      <c:catAx>
        <c:axId val="11238514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Alcoholic Botanical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853408"/>
        <c:crosses val="autoZero"/>
        <c:auto val="1"/>
        <c:lblAlgn val="ctr"/>
        <c:lblOffset val="100"/>
        <c:noMultiLvlLbl val="0"/>
      </c:catAx>
      <c:valAx>
        <c:axId val="112385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Inhition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851488"/>
        <c:crosses val="autoZero"/>
        <c:crossBetween val="between"/>
      </c:valAx>
      <c:spPr>
        <a:noFill/>
        <a:ln>
          <a:noFill/>
        </a:ln>
        <a:effectLst/>
      </c:spPr>
    </c:plotArea>
    <c:legend>
      <c:legendPos val="b"/>
      <c:layout>
        <c:manualLayout>
          <c:xMode val="edge"/>
          <c:yMode val="edge"/>
          <c:x val="0.38347313356663759"/>
          <c:y val="0.88144794400699911"/>
          <c:w val="0.302498177311169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C64DE-45A2-42ED-AC75-2ACE25D8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JASWAL</dc:creator>
  <cp:keywords/>
  <dc:description/>
  <cp:lastModifiedBy>Chetna Mahajan</cp:lastModifiedBy>
  <cp:revision>29</cp:revision>
  <dcterms:created xsi:type="dcterms:W3CDTF">2025-07-17T04:50:00Z</dcterms:created>
  <dcterms:modified xsi:type="dcterms:W3CDTF">2025-07-17T16:55:00Z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4d6dbf50-28b2-44ae-bc3e-e9d3d10ad945</vt:lpwstr>
  </property>
</Properties>
</file>