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6EF77" w14:textId="77777777" w:rsidR="00EB1BB8" w:rsidRPr="00EB1BB8" w:rsidRDefault="00EB1BB8" w:rsidP="00EB1BB8">
      <w:pPr>
        <w:spacing w:line="360" w:lineRule="auto"/>
        <w:jc w:val="center"/>
        <w:rPr>
          <w:rFonts w:ascii="Times New Roman" w:hAnsi="Times New Roman" w:cs="Times New Roman"/>
          <w:b/>
          <w:bCs/>
          <w:i/>
          <w:iCs/>
          <w:sz w:val="20"/>
          <w:szCs w:val="20"/>
          <w:u w:val="single"/>
          <w:lang w:val="en-US"/>
        </w:rPr>
      </w:pPr>
      <w:r w:rsidRPr="00EB1BB8">
        <w:rPr>
          <w:rFonts w:ascii="Times New Roman" w:hAnsi="Times New Roman" w:cs="Times New Roman"/>
          <w:b/>
          <w:bCs/>
          <w:i/>
          <w:iCs/>
          <w:sz w:val="20"/>
          <w:szCs w:val="20"/>
          <w:u w:val="single"/>
          <w:lang w:val="en-US"/>
        </w:rPr>
        <w:t>Review Article</w:t>
      </w:r>
    </w:p>
    <w:p w14:paraId="1B91408A" w14:textId="77777777" w:rsidR="00EB1BB8" w:rsidRDefault="00EB1BB8" w:rsidP="00AD1BAB">
      <w:pPr>
        <w:spacing w:line="360" w:lineRule="auto"/>
        <w:jc w:val="center"/>
        <w:rPr>
          <w:rFonts w:ascii="Times New Roman" w:hAnsi="Times New Roman" w:cs="Times New Roman"/>
          <w:b/>
          <w:bCs/>
          <w:sz w:val="20"/>
          <w:szCs w:val="20"/>
        </w:rPr>
      </w:pPr>
    </w:p>
    <w:p w14:paraId="7ED01C3E" w14:textId="38547820" w:rsidR="008C206B" w:rsidRPr="003D34F7" w:rsidRDefault="008C206B" w:rsidP="00AD1BAB">
      <w:pPr>
        <w:spacing w:line="360" w:lineRule="auto"/>
        <w:jc w:val="center"/>
        <w:rPr>
          <w:rFonts w:ascii="Times New Roman" w:hAnsi="Times New Roman" w:cs="Times New Roman"/>
          <w:b/>
          <w:bCs/>
          <w:sz w:val="20"/>
          <w:szCs w:val="20"/>
        </w:rPr>
      </w:pPr>
      <w:r w:rsidRPr="003D34F7">
        <w:rPr>
          <w:rFonts w:ascii="Times New Roman" w:hAnsi="Times New Roman" w:cs="Times New Roman"/>
          <w:b/>
          <w:bCs/>
          <w:sz w:val="20"/>
          <w:szCs w:val="20"/>
        </w:rPr>
        <w:t xml:space="preserve">Fruit and Seed Development of </w:t>
      </w:r>
      <w:r w:rsidR="00F77DB8" w:rsidRPr="003D34F7">
        <w:rPr>
          <w:rFonts w:ascii="Times New Roman" w:hAnsi="Times New Roman" w:cs="Times New Roman"/>
          <w:b/>
          <w:bCs/>
          <w:sz w:val="20"/>
          <w:szCs w:val="20"/>
        </w:rPr>
        <w:t xml:space="preserve">critically endangered </w:t>
      </w:r>
      <w:r w:rsidRPr="003D34F7">
        <w:rPr>
          <w:rFonts w:ascii="Times New Roman" w:hAnsi="Times New Roman" w:cs="Times New Roman"/>
          <w:b/>
          <w:bCs/>
          <w:i/>
          <w:iCs/>
          <w:sz w:val="20"/>
          <w:szCs w:val="20"/>
        </w:rPr>
        <w:t xml:space="preserve">Commiphora </w:t>
      </w:r>
      <w:proofErr w:type="spellStart"/>
      <w:r w:rsidRPr="003D34F7">
        <w:rPr>
          <w:rFonts w:ascii="Times New Roman" w:hAnsi="Times New Roman" w:cs="Times New Roman"/>
          <w:b/>
          <w:bCs/>
          <w:i/>
          <w:iCs/>
          <w:sz w:val="20"/>
          <w:szCs w:val="20"/>
        </w:rPr>
        <w:t>wightii</w:t>
      </w:r>
      <w:proofErr w:type="spellEnd"/>
      <w:r w:rsidRPr="003D34F7">
        <w:rPr>
          <w:rFonts w:ascii="Times New Roman" w:hAnsi="Times New Roman" w:cs="Times New Roman"/>
          <w:b/>
          <w:bCs/>
          <w:sz w:val="20"/>
          <w:szCs w:val="20"/>
        </w:rPr>
        <w:t xml:space="preserve"> (</w:t>
      </w:r>
      <w:proofErr w:type="spellStart"/>
      <w:r w:rsidRPr="003D34F7">
        <w:rPr>
          <w:rFonts w:ascii="Times New Roman" w:hAnsi="Times New Roman" w:cs="Times New Roman"/>
          <w:b/>
          <w:bCs/>
          <w:sz w:val="20"/>
          <w:szCs w:val="20"/>
        </w:rPr>
        <w:t>Arn</w:t>
      </w:r>
      <w:proofErr w:type="spellEnd"/>
      <w:r w:rsidRPr="003D34F7">
        <w:rPr>
          <w:rFonts w:ascii="Times New Roman" w:hAnsi="Times New Roman" w:cs="Times New Roman"/>
          <w:b/>
          <w:bCs/>
          <w:sz w:val="20"/>
          <w:szCs w:val="20"/>
        </w:rPr>
        <w:t>.) Bhandari: Insights into Physiological Maturation and Germination Potential</w:t>
      </w:r>
    </w:p>
    <w:p w14:paraId="1E78649D" w14:textId="77777777" w:rsidR="000C5F35" w:rsidRDefault="000C5F35" w:rsidP="00AD1BAB">
      <w:pPr>
        <w:autoSpaceDE w:val="0"/>
        <w:autoSpaceDN w:val="0"/>
        <w:adjustRightInd w:val="0"/>
        <w:spacing w:after="0" w:line="360" w:lineRule="auto"/>
        <w:jc w:val="both"/>
        <w:rPr>
          <w:rFonts w:ascii="Times New Roman" w:hAnsi="Times New Roman" w:cs="Times New Roman"/>
          <w:bCs/>
          <w:sz w:val="20"/>
          <w:szCs w:val="20"/>
        </w:rPr>
      </w:pPr>
    </w:p>
    <w:p w14:paraId="34A27230" w14:textId="12F3650D" w:rsidR="00E44AE8" w:rsidRPr="003D34F7" w:rsidRDefault="00427566" w:rsidP="00AD1BAB">
      <w:pPr>
        <w:autoSpaceDE w:val="0"/>
        <w:autoSpaceDN w:val="0"/>
        <w:adjustRightInd w:val="0"/>
        <w:spacing w:after="0" w:line="360" w:lineRule="auto"/>
        <w:jc w:val="both"/>
        <w:rPr>
          <w:rFonts w:ascii="Times New Roman" w:hAnsi="Times New Roman" w:cs="Times New Roman"/>
          <w:bCs/>
          <w:sz w:val="20"/>
          <w:szCs w:val="20"/>
        </w:rPr>
      </w:pPr>
      <w:r w:rsidRPr="003D34F7">
        <w:rPr>
          <w:rFonts w:ascii="Times New Roman" w:hAnsi="Times New Roman" w:cs="Times New Roman"/>
          <w:bCs/>
          <w:sz w:val="20"/>
          <w:szCs w:val="20"/>
        </w:rPr>
        <w:t xml:space="preserve"> </w:t>
      </w:r>
    </w:p>
    <w:p w14:paraId="472E122D" w14:textId="14C8F66F" w:rsidR="006C7BE6" w:rsidRPr="003D34F7" w:rsidRDefault="008C206B" w:rsidP="00AD1BAB">
      <w:pPr>
        <w:spacing w:line="360" w:lineRule="auto"/>
        <w:jc w:val="both"/>
        <w:rPr>
          <w:rFonts w:ascii="Times New Roman" w:hAnsi="Times New Roman" w:cs="Times New Roman"/>
          <w:sz w:val="20"/>
          <w:szCs w:val="20"/>
        </w:rPr>
      </w:pPr>
      <w:r w:rsidRPr="003D34F7">
        <w:rPr>
          <w:rFonts w:ascii="Times New Roman" w:hAnsi="Times New Roman" w:cs="Times New Roman"/>
          <w:b/>
          <w:bCs/>
          <w:sz w:val="20"/>
          <w:szCs w:val="20"/>
        </w:rPr>
        <w:t>Abstract</w:t>
      </w:r>
      <w:r w:rsidRPr="003D34F7">
        <w:rPr>
          <w:rFonts w:ascii="Times New Roman" w:hAnsi="Times New Roman" w:cs="Times New Roman"/>
          <w:sz w:val="20"/>
          <w:szCs w:val="20"/>
        </w:rPr>
        <w:br/>
      </w:r>
      <w:r w:rsidR="006C7BE6" w:rsidRPr="003D34F7">
        <w:rPr>
          <w:rFonts w:ascii="Times New Roman" w:hAnsi="Times New Roman" w:cs="Times New Roman"/>
          <w:i/>
          <w:iCs/>
          <w:sz w:val="20"/>
          <w:szCs w:val="20"/>
        </w:rPr>
        <w:t xml:space="preserve">Commiphora wightii </w:t>
      </w:r>
      <w:r w:rsidR="006C7BE6" w:rsidRPr="003D34F7">
        <w:rPr>
          <w:rFonts w:ascii="Times New Roman" w:hAnsi="Times New Roman" w:cs="Times New Roman"/>
          <w:sz w:val="20"/>
          <w:szCs w:val="20"/>
        </w:rPr>
        <w:t xml:space="preserve">(Arnott) Bhandari, commonly known as guggul, is a plant species renowned for its medicinal properties. Overexploitation of its oleo-gum resin has led to its inclusion in the IUCN Red List as "critically endangered." To ensure the survival of this ecologically and medicinally significant species, ex situ conservation strategies and cultivation practices must be adopted. Understanding the morphometric, colorimetric, and physiological traits associated with fruit and seed maturity is crucial for developing effective conservation strategies. This study evaluates fruit and seed development across five maturity stages—40, 60, 80, 90, and 100 days after anthesis (DAA)—by assessing key morphological traits such as length, width, fresh and dry weight, and moisture content, as well as color changes using the RHS color chart. Physiological assessments, including germination percentage (before and after desiccation), seedling length, and vigor index, were conducted. Results indicate that the optimal time for seed collection is 80–90 days after anthesis, a stage that ensures maximum germination potential and seedling vigor while minimizing losses due to natural seed fall. These findings identify reliable indicators of seed maturity, such as morphometric and physiological parameters, to guide seed collection practices. By providing critical insights into the developmental stages of </w:t>
      </w:r>
      <w:r w:rsidR="006C7BE6" w:rsidRPr="003D34F7">
        <w:rPr>
          <w:rFonts w:ascii="Times New Roman" w:hAnsi="Times New Roman" w:cs="Times New Roman"/>
          <w:i/>
          <w:iCs/>
          <w:sz w:val="20"/>
          <w:szCs w:val="20"/>
        </w:rPr>
        <w:t>C. wightii</w:t>
      </w:r>
      <w:r w:rsidR="006C7BE6" w:rsidRPr="003D34F7">
        <w:rPr>
          <w:rFonts w:ascii="Times New Roman" w:hAnsi="Times New Roman" w:cs="Times New Roman"/>
          <w:sz w:val="20"/>
          <w:szCs w:val="20"/>
        </w:rPr>
        <w:t>, this study contributes to the formulation of effective propagation and conservation strategies, ensuring the sustainability of this critically engendered species.</w:t>
      </w:r>
    </w:p>
    <w:p w14:paraId="0CE5579D" w14:textId="50AEE409" w:rsidR="00FF4096" w:rsidRPr="003D34F7" w:rsidRDefault="008C206B" w:rsidP="00AD1BAB">
      <w:pPr>
        <w:spacing w:line="360" w:lineRule="auto"/>
        <w:jc w:val="both"/>
        <w:rPr>
          <w:rFonts w:ascii="Times New Roman" w:hAnsi="Times New Roman" w:cs="Times New Roman"/>
          <w:sz w:val="20"/>
          <w:szCs w:val="20"/>
        </w:rPr>
      </w:pPr>
      <w:r w:rsidRPr="003D34F7">
        <w:rPr>
          <w:rFonts w:ascii="Times New Roman" w:hAnsi="Times New Roman" w:cs="Times New Roman"/>
          <w:b/>
          <w:bCs/>
          <w:sz w:val="20"/>
          <w:szCs w:val="20"/>
        </w:rPr>
        <w:t>Keywords</w:t>
      </w:r>
      <w:r w:rsidRPr="003D34F7">
        <w:rPr>
          <w:rFonts w:ascii="Times New Roman" w:hAnsi="Times New Roman" w:cs="Times New Roman"/>
          <w:sz w:val="20"/>
          <w:szCs w:val="20"/>
        </w:rPr>
        <w:t xml:space="preserve">: </w:t>
      </w:r>
      <w:commentRangeStart w:id="0"/>
      <w:r w:rsidR="00FF4096" w:rsidRPr="003D34F7">
        <w:rPr>
          <w:rFonts w:ascii="Times New Roman" w:hAnsi="Times New Roman" w:cs="Times New Roman"/>
          <w:sz w:val="20"/>
          <w:szCs w:val="20"/>
        </w:rPr>
        <w:t>Seed maturity, fruit development, germination percentage, ex situ conservation, morphometric traits, medicinal plants</w:t>
      </w:r>
      <w:commentRangeEnd w:id="0"/>
      <w:r w:rsidR="00DC46F5">
        <w:rPr>
          <w:rStyle w:val="CommentReference"/>
        </w:rPr>
        <w:commentReference w:id="0"/>
      </w:r>
    </w:p>
    <w:p w14:paraId="774708B2" w14:textId="77777777" w:rsidR="00971E7F" w:rsidRPr="003D34F7" w:rsidRDefault="00971E7F"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Introduction</w:t>
      </w:r>
    </w:p>
    <w:p w14:paraId="6CB1669E" w14:textId="77777777" w:rsidR="00AD1BAB" w:rsidRPr="00AD1BAB" w:rsidRDefault="00AD1BAB" w:rsidP="00AD1BAB">
      <w:pPr>
        <w:pStyle w:val="NormalWeb"/>
        <w:spacing w:line="360" w:lineRule="auto"/>
        <w:jc w:val="both"/>
        <w:rPr>
          <w:sz w:val="20"/>
          <w:szCs w:val="20"/>
        </w:rPr>
      </w:pPr>
      <w:r w:rsidRPr="00AD1BAB">
        <w:rPr>
          <w:sz w:val="20"/>
          <w:szCs w:val="20"/>
        </w:rPr>
        <w:t>Guggul (</w:t>
      </w:r>
      <w:r w:rsidRPr="00AD1BAB">
        <w:rPr>
          <w:rStyle w:val="Emphasis"/>
          <w:sz w:val="20"/>
          <w:szCs w:val="20"/>
        </w:rPr>
        <w:t xml:space="preserve">Commiphora </w:t>
      </w:r>
      <w:proofErr w:type="spellStart"/>
      <w:r w:rsidRPr="00AD1BAB">
        <w:rPr>
          <w:rStyle w:val="Emphasis"/>
          <w:sz w:val="20"/>
          <w:szCs w:val="20"/>
        </w:rPr>
        <w:t>wightii</w:t>
      </w:r>
      <w:proofErr w:type="spellEnd"/>
      <w:r w:rsidRPr="00AD1BAB">
        <w:rPr>
          <w:sz w:val="20"/>
          <w:szCs w:val="20"/>
        </w:rPr>
        <w:t xml:space="preserve"> (</w:t>
      </w:r>
      <w:proofErr w:type="spellStart"/>
      <w:r w:rsidRPr="00AD1BAB">
        <w:rPr>
          <w:sz w:val="20"/>
          <w:szCs w:val="20"/>
        </w:rPr>
        <w:t>Arn</w:t>
      </w:r>
      <w:proofErr w:type="spellEnd"/>
      <w:r w:rsidRPr="00AD1BAB">
        <w:rPr>
          <w:sz w:val="20"/>
          <w:szCs w:val="20"/>
        </w:rPr>
        <w:t xml:space="preserve">.) Bhandari), also known as Indian bdellium, is a slow-growing, aromatic shrub or small tree belonging to the family Burseraceae. The genus name </w:t>
      </w:r>
      <w:r w:rsidRPr="00AD1BAB">
        <w:rPr>
          <w:rStyle w:val="Emphasis"/>
          <w:sz w:val="20"/>
          <w:szCs w:val="20"/>
        </w:rPr>
        <w:t>Commiphora</w:t>
      </w:r>
      <w:r w:rsidRPr="00AD1BAB">
        <w:rPr>
          <w:sz w:val="20"/>
          <w:szCs w:val="20"/>
        </w:rPr>
        <w:t xml:space="preserve"> is derived from the Greek words "</w:t>
      </w:r>
      <w:proofErr w:type="spellStart"/>
      <w:r w:rsidRPr="00AD1BAB">
        <w:rPr>
          <w:sz w:val="20"/>
          <w:szCs w:val="20"/>
        </w:rPr>
        <w:t>kommi</w:t>
      </w:r>
      <w:proofErr w:type="spellEnd"/>
      <w:r w:rsidRPr="00AD1BAB">
        <w:rPr>
          <w:sz w:val="20"/>
          <w:szCs w:val="20"/>
        </w:rPr>
        <w:t>" (meaning "gum") and "</w:t>
      </w:r>
      <w:proofErr w:type="spellStart"/>
      <w:r w:rsidRPr="00AD1BAB">
        <w:rPr>
          <w:sz w:val="20"/>
          <w:szCs w:val="20"/>
        </w:rPr>
        <w:t>phoros</w:t>
      </w:r>
      <w:proofErr w:type="spellEnd"/>
      <w:r w:rsidRPr="00AD1BAB">
        <w:rPr>
          <w:sz w:val="20"/>
          <w:szCs w:val="20"/>
        </w:rPr>
        <w:t>" (meaning "bearing"), likely referring to the resinous sap produced by many species within this genus. The specific epithet "</w:t>
      </w:r>
      <w:proofErr w:type="spellStart"/>
      <w:r w:rsidRPr="00AD1BAB">
        <w:rPr>
          <w:sz w:val="20"/>
          <w:szCs w:val="20"/>
        </w:rPr>
        <w:t>wightii</w:t>
      </w:r>
      <w:proofErr w:type="spellEnd"/>
      <w:r w:rsidRPr="00AD1BAB">
        <w:rPr>
          <w:sz w:val="20"/>
          <w:szCs w:val="20"/>
        </w:rPr>
        <w:t xml:space="preserve">" </w:t>
      </w:r>
      <w:proofErr w:type="spellStart"/>
      <w:r w:rsidRPr="00AD1BAB">
        <w:rPr>
          <w:sz w:val="20"/>
          <w:szCs w:val="20"/>
        </w:rPr>
        <w:t>honors</w:t>
      </w:r>
      <w:proofErr w:type="spellEnd"/>
      <w:r w:rsidRPr="00AD1BAB">
        <w:rPr>
          <w:sz w:val="20"/>
          <w:szCs w:val="20"/>
        </w:rPr>
        <w:t xml:space="preserve"> British botanist Dr. Robert Wight (1796–1872), who made significant contributions to the study of Indian flora. The author abbreviation "(</w:t>
      </w:r>
      <w:proofErr w:type="spellStart"/>
      <w:r w:rsidRPr="00AD1BAB">
        <w:rPr>
          <w:sz w:val="20"/>
          <w:szCs w:val="20"/>
        </w:rPr>
        <w:t>Arn</w:t>
      </w:r>
      <w:proofErr w:type="spellEnd"/>
      <w:r w:rsidRPr="00AD1BAB">
        <w:rPr>
          <w:sz w:val="20"/>
          <w:szCs w:val="20"/>
        </w:rPr>
        <w:t>.) Bhandari" denotes the individuals involved in classifying the species, with "</w:t>
      </w:r>
      <w:proofErr w:type="spellStart"/>
      <w:r w:rsidRPr="00AD1BAB">
        <w:rPr>
          <w:sz w:val="20"/>
          <w:szCs w:val="20"/>
        </w:rPr>
        <w:t>Arn</w:t>
      </w:r>
      <w:proofErr w:type="spellEnd"/>
      <w:r w:rsidRPr="00AD1BAB">
        <w:rPr>
          <w:sz w:val="20"/>
          <w:szCs w:val="20"/>
        </w:rPr>
        <w:t xml:space="preserve">." referring to botanist George Arnold Walker Arnott and "Bhandari" to Indian botanist Harbans Lal Bhandari. The species is also known by several synonyms, including </w:t>
      </w:r>
      <w:proofErr w:type="spellStart"/>
      <w:r w:rsidRPr="00AD1BAB">
        <w:rPr>
          <w:rStyle w:val="Emphasis"/>
          <w:sz w:val="20"/>
          <w:szCs w:val="20"/>
        </w:rPr>
        <w:t>Balsamodendron</w:t>
      </w:r>
      <w:proofErr w:type="spellEnd"/>
      <w:r w:rsidRPr="00AD1BAB">
        <w:rPr>
          <w:rStyle w:val="Emphasis"/>
          <w:sz w:val="20"/>
          <w:szCs w:val="20"/>
        </w:rPr>
        <w:t xml:space="preserve"> </w:t>
      </w:r>
      <w:proofErr w:type="spellStart"/>
      <w:r w:rsidRPr="00AD1BAB">
        <w:rPr>
          <w:rStyle w:val="Emphasis"/>
          <w:sz w:val="20"/>
          <w:szCs w:val="20"/>
        </w:rPr>
        <w:t>wightii</w:t>
      </w:r>
      <w:proofErr w:type="spellEnd"/>
      <w:r w:rsidRPr="00AD1BAB">
        <w:rPr>
          <w:sz w:val="20"/>
          <w:szCs w:val="20"/>
        </w:rPr>
        <w:t xml:space="preserve"> </w:t>
      </w:r>
      <w:proofErr w:type="spellStart"/>
      <w:r w:rsidRPr="00AD1BAB">
        <w:rPr>
          <w:sz w:val="20"/>
          <w:szCs w:val="20"/>
        </w:rPr>
        <w:t>Arn</w:t>
      </w:r>
      <w:proofErr w:type="spellEnd"/>
      <w:r w:rsidRPr="00AD1BAB">
        <w:rPr>
          <w:sz w:val="20"/>
          <w:szCs w:val="20"/>
        </w:rPr>
        <w:t xml:space="preserve">. and </w:t>
      </w:r>
      <w:r w:rsidRPr="00AD1BAB">
        <w:rPr>
          <w:rStyle w:val="Emphasis"/>
          <w:sz w:val="20"/>
          <w:szCs w:val="20"/>
        </w:rPr>
        <w:t xml:space="preserve">Commiphora </w:t>
      </w:r>
      <w:proofErr w:type="spellStart"/>
      <w:r w:rsidRPr="00AD1BAB">
        <w:rPr>
          <w:rStyle w:val="Emphasis"/>
          <w:sz w:val="20"/>
          <w:szCs w:val="20"/>
        </w:rPr>
        <w:t>mukul</w:t>
      </w:r>
      <w:proofErr w:type="spellEnd"/>
      <w:r w:rsidRPr="00AD1BAB">
        <w:rPr>
          <w:sz w:val="20"/>
          <w:szCs w:val="20"/>
        </w:rPr>
        <w:t xml:space="preserve"> (Hook. ex Stocks) Engl. (</w:t>
      </w:r>
      <w:proofErr w:type="spellStart"/>
      <w:r w:rsidRPr="00AD1BAB">
        <w:rPr>
          <w:rStyle w:val="Emphasis"/>
          <w:sz w:val="20"/>
          <w:szCs w:val="20"/>
        </w:rPr>
        <w:t>Balsamodendron</w:t>
      </w:r>
      <w:proofErr w:type="spellEnd"/>
      <w:r w:rsidRPr="00AD1BAB">
        <w:rPr>
          <w:rStyle w:val="Emphasis"/>
          <w:sz w:val="20"/>
          <w:szCs w:val="20"/>
        </w:rPr>
        <w:t xml:space="preserve"> </w:t>
      </w:r>
      <w:proofErr w:type="spellStart"/>
      <w:r w:rsidRPr="00AD1BAB">
        <w:rPr>
          <w:rStyle w:val="Emphasis"/>
          <w:sz w:val="20"/>
          <w:szCs w:val="20"/>
        </w:rPr>
        <w:t>mukul</w:t>
      </w:r>
      <w:proofErr w:type="spellEnd"/>
      <w:r w:rsidRPr="00AD1BAB">
        <w:rPr>
          <w:sz w:val="20"/>
          <w:szCs w:val="20"/>
        </w:rPr>
        <w:t xml:space="preserve"> Hook. ex Stocks). This woody plant typically grows to a height of 3 to 3.5 meters in 8 to 10 years (Hooker 1872).</w:t>
      </w:r>
    </w:p>
    <w:p w14:paraId="6CBAB54E" w14:textId="77777777" w:rsidR="00AD1BAB" w:rsidRPr="00AD1BAB" w:rsidRDefault="00AD1BAB" w:rsidP="00AD1BAB">
      <w:pPr>
        <w:pStyle w:val="NormalWeb"/>
        <w:spacing w:line="360" w:lineRule="auto"/>
        <w:jc w:val="both"/>
        <w:rPr>
          <w:sz w:val="20"/>
          <w:szCs w:val="20"/>
        </w:rPr>
      </w:pPr>
      <w:r w:rsidRPr="00AD1BAB">
        <w:rPr>
          <w:rStyle w:val="Emphasis"/>
          <w:sz w:val="20"/>
          <w:szCs w:val="20"/>
        </w:rPr>
        <w:t>Commiphora wightii</w:t>
      </w:r>
      <w:r w:rsidRPr="00AD1BAB">
        <w:rPr>
          <w:sz w:val="20"/>
          <w:szCs w:val="20"/>
        </w:rPr>
        <w:t xml:space="preserve"> is characterized by its perennial, highly branched, thorny, and woody shrub form. It thrives in arid, semi-arid, and rocky environments, exhibiting a slow growth rate, long dormant phases, and deciduous </w:t>
      </w:r>
      <w:r w:rsidRPr="00AD1BAB">
        <w:rPr>
          <w:sz w:val="20"/>
          <w:szCs w:val="20"/>
        </w:rPr>
        <w:lastRenderedPageBreak/>
        <w:t xml:space="preserve">nature. Native to Africa and Asia, the species is widely distributed across tropical regions, including Northern Africa, Madagascar, Central Asia, Australia, the Pacific Islands, and the Indian subcontinent, with significant populations in India (Rajasthan, Gujarat, Maharashtra, Madhya Pradesh, Karnataka) and Pakistan (Sindh and </w:t>
      </w:r>
      <w:proofErr w:type="spellStart"/>
      <w:r w:rsidRPr="00AD1BAB">
        <w:rPr>
          <w:sz w:val="20"/>
          <w:szCs w:val="20"/>
        </w:rPr>
        <w:t>Balochistan</w:t>
      </w:r>
      <w:proofErr w:type="spellEnd"/>
      <w:r w:rsidRPr="00AD1BAB">
        <w:rPr>
          <w:sz w:val="20"/>
          <w:szCs w:val="20"/>
        </w:rPr>
        <w:t xml:space="preserve">). In India, </w:t>
      </w:r>
      <w:r w:rsidRPr="00AD1BAB">
        <w:rPr>
          <w:rStyle w:val="Emphasis"/>
          <w:sz w:val="20"/>
          <w:szCs w:val="20"/>
        </w:rPr>
        <w:t>C. wightii</w:t>
      </w:r>
      <w:r w:rsidRPr="00AD1BAB">
        <w:rPr>
          <w:sz w:val="20"/>
          <w:szCs w:val="20"/>
        </w:rPr>
        <w:t xml:space="preserve"> grows in rocky, hilly terrains, sandy tracts, and semi-arid regions, adapting to altitudes ranging from 250 to 1800 meters and annual rainfall between 225-500 mm. It is often found alongside species like </w:t>
      </w:r>
      <w:r w:rsidRPr="00AD1BAB">
        <w:rPr>
          <w:rStyle w:val="Emphasis"/>
          <w:sz w:val="20"/>
          <w:szCs w:val="20"/>
        </w:rPr>
        <w:t>Anogeissus pendula</w:t>
      </w:r>
      <w:r w:rsidRPr="00AD1BAB">
        <w:rPr>
          <w:sz w:val="20"/>
          <w:szCs w:val="20"/>
        </w:rPr>
        <w:t xml:space="preserve">, </w:t>
      </w:r>
      <w:r w:rsidRPr="00AD1BAB">
        <w:rPr>
          <w:rStyle w:val="Emphasis"/>
          <w:sz w:val="20"/>
          <w:szCs w:val="20"/>
        </w:rPr>
        <w:t>Acacia</w:t>
      </w:r>
      <w:r w:rsidRPr="00AD1BAB">
        <w:rPr>
          <w:sz w:val="20"/>
          <w:szCs w:val="20"/>
        </w:rPr>
        <w:t xml:space="preserve"> spp., and </w:t>
      </w:r>
      <w:r w:rsidRPr="00AD1BAB">
        <w:rPr>
          <w:rStyle w:val="Emphasis"/>
          <w:sz w:val="20"/>
          <w:szCs w:val="20"/>
        </w:rPr>
        <w:t xml:space="preserve">Rhus </w:t>
      </w:r>
      <w:proofErr w:type="spellStart"/>
      <w:r w:rsidRPr="00AD1BAB">
        <w:rPr>
          <w:rStyle w:val="Emphasis"/>
          <w:sz w:val="20"/>
          <w:szCs w:val="20"/>
        </w:rPr>
        <w:t>mysorensis</w:t>
      </w:r>
      <w:proofErr w:type="spellEnd"/>
      <w:r w:rsidRPr="00AD1BAB">
        <w:rPr>
          <w:sz w:val="20"/>
          <w:szCs w:val="20"/>
        </w:rPr>
        <w:t xml:space="preserve"> in areas with scarce rainfall. </w:t>
      </w:r>
      <w:proofErr w:type="spellStart"/>
      <w:r w:rsidRPr="00AD1BAB">
        <w:rPr>
          <w:sz w:val="20"/>
          <w:szCs w:val="20"/>
        </w:rPr>
        <w:t>Bishoyi</w:t>
      </w:r>
      <w:proofErr w:type="spellEnd"/>
      <w:r w:rsidRPr="00AD1BAB">
        <w:rPr>
          <w:sz w:val="20"/>
          <w:szCs w:val="20"/>
        </w:rPr>
        <w:t xml:space="preserve"> </w:t>
      </w:r>
      <w:commentRangeStart w:id="1"/>
      <w:r w:rsidRPr="00AD1BAB">
        <w:rPr>
          <w:sz w:val="20"/>
          <w:szCs w:val="20"/>
        </w:rPr>
        <w:t xml:space="preserve">et al. </w:t>
      </w:r>
      <w:commentRangeEnd w:id="1"/>
      <w:r w:rsidR="00E112F1">
        <w:rPr>
          <w:rStyle w:val="CommentReference"/>
          <w:rFonts w:asciiTheme="minorHAnsi" w:eastAsiaTheme="minorHAnsi" w:hAnsiTheme="minorHAnsi" w:cstheme="minorBidi"/>
          <w:kern w:val="2"/>
          <w:lang w:eastAsia="en-US"/>
          <w14:ligatures w14:val="standardContextual"/>
        </w:rPr>
        <w:commentReference w:id="1"/>
      </w:r>
      <w:r w:rsidRPr="00AD1BAB">
        <w:rPr>
          <w:sz w:val="20"/>
          <w:szCs w:val="20"/>
        </w:rPr>
        <w:t xml:space="preserve">(2018) observed that populations with maximum genetic diversity and sexual reproductive forms were primarily located in Gujarat, particularly in the regions of Kutch, Dwarka, Jamnagar, and Porbandar. The study suggested that these areas represent the original distribution zones of </w:t>
      </w:r>
      <w:r w:rsidRPr="00AD1BAB">
        <w:rPr>
          <w:rStyle w:val="Emphasis"/>
          <w:sz w:val="20"/>
          <w:szCs w:val="20"/>
        </w:rPr>
        <w:t>Commiphora wightii</w:t>
      </w:r>
      <w:r w:rsidRPr="00AD1BAB">
        <w:rPr>
          <w:sz w:val="20"/>
          <w:szCs w:val="20"/>
        </w:rPr>
        <w:t>, from which the species spread to other parts of Gujarat and Rajasthan.</w:t>
      </w:r>
    </w:p>
    <w:p w14:paraId="51CA5F8E" w14:textId="77777777" w:rsidR="00AD1BAB" w:rsidRPr="00AD1BAB" w:rsidRDefault="00AD1BAB" w:rsidP="00AD1BAB">
      <w:pPr>
        <w:pStyle w:val="NormalWeb"/>
        <w:spacing w:line="360" w:lineRule="auto"/>
        <w:jc w:val="both"/>
        <w:rPr>
          <w:sz w:val="20"/>
          <w:szCs w:val="20"/>
        </w:rPr>
      </w:pPr>
      <w:r w:rsidRPr="00AD1BAB">
        <w:rPr>
          <w:sz w:val="20"/>
          <w:szCs w:val="20"/>
        </w:rPr>
        <w:t xml:space="preserve">Guggul is highly valued for its oleo-gum resin, which contains bioactive compounds, particularly </w:t>
      </w:r>
      <w:commentRangeStart w:id="2"/>
      <w:proofErr w:type="spellStart"/>
      <w:r w:rsidRPr="00AD1BAB">
        <w:rPr>
          <w:sz w:val="20"/>
          <w:szCs w:val="20"/>
        </w:rPr>
        <w:t>guggulsterone</w:t>
      </w:r>
      <w:proofErr w:type="spellEnd"/>
      <w:r w:rsidRPr="00AD1BAB">
        <w:rPr>
          <w:sz w:val="20"/>
          <w:szCs w:val="20"/>
        </w:rPr>
        <w:t xml:space="preserve"> </w:t>
      </w:r>
      <w:commentRangeEnd w:id="2"/>
      <w:r w:rsidR="00E112F1">
        <w:rPr>
          <w:rStyle w:val="CommentReference"/>
          <w:rFonts w:asciiTheme="minorHAnsi" w:eastAsiaTheme="minorHAnsi" w:hAnsiTheme="minorHAnsi" w:cstheme="minorBidi"/>
          <w:kern w:val="2"/>
          <w:lang w:eastAsia="en-US"/>
          <w14:ligatures w14:val="standardContextual"/>
        </w:rPr>
        <w:commentReference w:id="2"/>
      </w:r>
      <w:r w:rsidRPr="00AD1BAB">
        <w:rPr>
          <w:sz w:val="20"/>
          <w:szCs w:val="20"/>
        </w:rPr>
        <w:t xml:space="preserve">E and Z. These compounds are known for their broad pharmacological activities, including anti-inflammatory, antirheumatic, </w:t>
      </w:r>
      <w:proofErr w:type="spellStart"/>
      <w:r w:rsidRPr="00AD1BAB">
        <w:rPr>
          <w:sz w:val="20"/>
          <w:szCs w:val="20"/>
        </w:rPr>
        <w:t>hypocholesterolemic</w:t>
      </w:r>
      <w:proofErr w:type="spellEnd"/>
      <w:r w:rsidRPr="00AD1BAB">
        <w:rPr>
          <w:sz w:val="20"/>
          <w:szCs w:val="20"/>
        </w:rPr>
        <w:t xml:space="preserve">, hypolipidemic, antifertility, and anticancer effects </w:t>
      </w:r>
      <w:commentRangeStart w:id="3"/>
      <w:r w:rsidRPr="00AD1BAB">
        <w:rPr>
          <w:sz w:val="20"/>
          <w:szCs w:val="20"/>
        </w:rPr>
        <w:t xml:space="preserve">(Satyavati 1990). </w:t>
      </w:r>
      <w:commentRangeEnd w:id="3"/>
      <w:r w:rsidR="00E112F1">
        <w:rPr>
          <w:rStyle w:val="CommentReference"/>
          <w:rFonts w:asciiTheme="minorHAnsi" w:eastAsiaTheme="minorHAnsi" w:hAnsiTheme="minorHAnsi" w:cstheme="minorBidi"/>
          <w:kern w:val="2"/>
          <w:lang w:eastAsia="en-US"/>
          <w14:ligatures w14:val="standardContextual"/>
        </w:rPr>
        <w:commentReference w:id="3"/>
      </w:r>
      <w:r w:rsidRPr="00AD1BAB">
        <w:rPr>
          <w:sz w:val="20"/>
          <w:szCs w:val="20"/>
        </w:rPr>
        <w:t>The resin is extensively used in traditional medicine systems such as Ayurveda and Unani, as well as in allopathic medicine. In addition to its medicinal uses, guggul is also employed in perfumery, calico printing, dyeing silk and cotton, as firewood, and as incense in cultural rituals like meditation and purification. Notably, it has been recognized for its cardiovascular benefits, as it helps reduce serum triglycerides, LDL, and VLDL cholesterol levels while enhancing HDL cholesterol.</w:t>
      </w:r>
    </w:p>
    <w:p w14:paraId="5BC0ABEB" w14:textId="77777777" w:rsidR="00AD1BAB" w:rsidRPr="00AD1BAB" w:rsidRDefault="00AD1BAB" w:rsidP="00AD1BAB">
      <w:pPr>
        <w:pStyle w:val="NormalWeb"/>
        <w:spacing w:line="360" w:lineRule="auto"/>
        <w:jc w:val="both"/>
        <w:rPr>
          <w:sz w:val="20"/>
          <w:szCs w:val="20"/>
        </w:rPr>
      </w:pPr>
      <w:r w:rsidRPr="00AD1BAB">
        <w:rPr>
          <w:sz w:val="20"/>
          <w:szCs w:val="20"/>
        </w:rPr>
        <w:t xml:space="preserve">Despite its immense value, </w:t>
      </w:r>
      <w:r w:rsidRPr="00AD1BAB">
        <w:rPr>
          <w:rStyle w:val="Emphasis"/>
          <w:sz w:val="20"/>
          <w:szCs w:val="20"/>
        </w:rPr>
        <w:t>C. wightii</w:t>
      </w:r>
      <w:r w:rsidRPr="00AD1BAB">
        <w:rPr>
          <w:sz w:val="20"/>
          <w:szCs w:val="20"/>
        </w:rPr>
        <w:t xml:space="preserve"> faces critical threats to its survival. The species is not cultivated systematically, and natural populations are heavily exploited for their oleo-gum resin through a practice called "tapping," which involves making deep cuts in the trunk. This process, typically performed by local tribal communities, often results in the plant's death within two to six months after a single tapping session (</w:t>
      </w:r>
      <w:commentRangeStart w:id="4"/>
      <w:r w:rsidRPr="00AD1BAB">
        <w:rPr>
          <w:sz w:val="20"/>
          <w:szCs w:val="20"/>
        </w:rPr>
        <w:t xml:space="preserve">Bhatt </w:t>
      </w:r>
      <w:commentRangeStart w:id="5"/>
      <w:r w:rsidRPr="00AD1BAB">
        <w:rPr>
          <w:sz w:val="20"/>
          <w:szCs w:val="20"/>
        </w:rPr>
        <w:t xml:space="preserve">et al. </w:t>
      </w:r>
      <w:commentRangeEnd w:id="5"/>
      <w:r w:rsidR="00E112F1">
        <w:rPr>
          <w:rStyle w:val="CommentReference"/>
          <w:rFonts w:asciiTheme="minorHAnsi" w:eastAsiaTheme="minorHAnsi" w:hAnsiTheme="minorHAnsi" w:cstheme="minorBidi"/>
          <w:kern w:val="2"/>
          <w:lang w:eastAsia="en-US"/>
          <w14:ligatures w14:val="standardContextual"/>
        </w:rPr>
        <w:commentReference w:id="5"/>
      </w:r>
      <w:r w:rsidRPr="00AD1BAB">
        <w:rPr>
          <w:sz w:val="20"/>
          <w:szCs w:val="20"/>
        </w:rPr>
        <w:t xml:space="preserve">1989; </w:t>
      </w:r>
      <w:commentRangeEnd w:id="4"/>
      <w:r w:rsidR="00E112F1">
        <w:rPr>
          <w:rStyle w:val="CommentReference"/>
          <w:rFonts w:asciiTheme="minorHAnsi" w:eastAsiaTheme="minorHAnsi" w:hAnsiTheme="minorHAnsi" w:cstheme="minorBidi"/>
          <w:kern w:val="2"/>
          <w:lang w:eastAsia="en-US"/>
          <w14:ligatures w14:val="standardContextual"/>
        </w:rPr>
        <w:commentReference w:id="4"/>
      </w:r>
      <w:r w:rsidRPr="00AD1BAB">
        <w:rPr>
          <w:sz w:val="20"/>
          <w:szCs w:val="20"/>
        </w:rPr>
        <w:t>Paliwal 2010). Additional pressures, including poor seed production, low germination rates, slow growth, overgrazing, habitat destruction, mining activities, and the invasion of alien species, exacerbate the species' decline (</w:t>
      </w:r>
      <w:proofErr w:type="spellStart"/>
      <w:r w:rsidRPr="00AD1BAB">
        <w:rPr>
          <w:sz w:val="20"/>
          <w:szCs w:val="20"/>
        </w:rPr>
        <w:t>Kasera</w:t>
      </w:r>
      <w:proofErr w:type="spellEnd"/>
      <w:r w:rsidRPr="00AD1BAB">
        <w:rPr>
          <w:sz w:val="20"/>
          <w:szCs w:val="20"/>
        </w:rPr>
        <w:t xml:space="preserve"> and Prakash 2005). As a result, the International Union for Conservation of Nature (IUCN) has classified </w:t>
      </w:r>
      <w:r w:rsidRPr="00AD1BAB">
        <w:rPr>
          <w:rStyle w:val="Emphasis"/>
          <w:sz w:val="20"/>
          <w:szCs w:val="20"/>
        </w:rPr>
        <w:t>C. wightii</w:t>
      </w:r>
      <w:r w:rsidRPr="00AD1BAB">
        <w:rPr>
          <w:sz w:val="20"/>
          <w:szCs w:val="20"/>
        </w:rPr>
        <w:t xml:space="preserve"> as "critically endangered" (Ved </w:t>
      </w:r>
      <w:commentRangeStart w:id="6"/>
      <w:r w:rsidRPr="00AD1BAB">
        <w:rPr>
          <w:sz w:val="20"/>
          <w:szCs w:val="20"/>
        </w:rPr>
        <w:t xml:space="preserve">et al. </w:t>
      </w:r>
      <w:commentRangeEnd w:id="6"/>
      <w:r w:rsidR="00E112F1">
        <w:rPr>
          <w:rStyle w:val="CommentReference"/>
          <w:rFonts w:asciiTheme="minorHAnsi" w:eastAsiaTheme="minorHAnsi" w:hAnsiTheme="minorHAnsi" w:cstheme="minorBidi"/>
          <w:kern w:val="2"/>
          <w:lang w:eastAsia="en-US"/>
          <w14:ligatures w14:val="standardContextual"/>
        </w:rPr>
        <w:commentReference w:id="6"/>
      </w:r>
      <w:r w:rsidRPr="00AD1BAB">
        <w:rPr>
          <w:sz w:val="20"/>
          <w:szCs w:val="20"/>
        </w:rPr>
        <w:t>2015). The plant primarily regenerates vegetatively through stem cuttings or air-layering, with natural regeneration from seeds being rare (</w:t>
      </w:r>
      <w:proofErr w:type="spellStart"/>
      <w:r w:rsidRPr="00AD1BAB">
        <w:rPr>
          <w:sz w:val="20"/>
          <w:szCs w:val="20"/>
        </w:rPr>
        <w:t>Kasera</w:t>
      </w:r>
      <w:proofErr w:type="spellEnd"/>
      <w:r w:rsidRPr="00AD1BAB">
        <w:rPr>
          <w:sz w:val="20"/>
          <w:szCs w:val="20"/>
        </w:rPr>
        <w:t xml:space="preserve"> and Prakash 2005). This underscores the need for </w:t>
      </w:r>
      <w:commentRangeStart w:id="7"/>
      <w:r w:rsidRPr="00AD1BAB">
        <w:rPr>
          <w:sz w:val="20"/>
          <w:szCs w:val="20"/>
        </w:rPr>
        <w:t xml:space="preserve">ex situ </w:t>
      </w:r>
      <w:commentRangeEnd w:id="7"/>
      <w:r w:rsidR="00E112F1">
        <w:rPr>
          <w:rStyle w:val="CommentReference"/>
          <w:rFonts w:asciiTheme="minorHAnsi" w:eastAsiaTheme="minorHAnsi" w:hAnsiTheme="minorHAnsi" w:cstheme="minorBidi"/>
          <w:kern w:val="2"/>
          <w:lang w:eastAsia="en-US"/>
          <w14:ligatures w14:val="standardContextual"/>
        </w:rPr>
        <w:commentReference w:id="7"/>
      </w:r>
      <w:r w:rsidRPr="00AD1BAB">
        <w:rPr>
          <w:sz w:val="20"/>
          <w:szCs w:val="20"/>
        </w:rPr>
        <w:t xml:space="preserve">conservation strategies and the systematic cultivation of </w:t>
      </w:r>
      <w:r w:rsidRPr="00AD1BAB">
        <w:rPr>
          <w:rStyle w:val="Emphasis"/>
          <w:sz w:val="20"/>
          <w:szCs w:val="20"/>
        </w:rPr>
        <w:t>C. wightii</w:t>
      </w:r>
      <w:r w:rsidRPr="00AD1BAB">
        <w:rPr>
          <w:sz w:val="20"/>
          <w:szCs w:val="20"/>
        </w:rPr>
        <w:t xml:space="preserve"> to prevent its extinction.</w:t>
      </w:r>
    </w:p>
    <w:p w14:paraId="09902E57" w14:textId="77777777" w:rsidR="00AD1BAB" w:rsidRPr="00AD1BAB" w:rsidRDefault="00AD1BAB" w:rsidP="00AD1BAB">
      <w:pPr>
        <w:pStyle w:val="NormalWeb"/>
        <w:spacing w:line="360" w:lineRule="auto"/>
        <w:jc w:val="both"/>
        <w:rPr>
          <w:sz w:val="20"/>
          <w:szCs w:val="20"/>
        </w:rPr>
      </w:pPr>
      <w:r w:rsidRPr="00AD1BAB">
        <w:rPr>
          <w:sz w:val="20"/>
          <w:szCs w:val="20"/>
        </w:rPr>
        <w:t xml:space="preserve">Understanding the morphometric, colorimetric, and physiological traits of fruit and seed maturity is crucial for developing effective propagation techniques. Ethnobotanical (Hocking 1993), anatomical (Shah </w:t>
      </w:r>
      <w:commentRangeStart w:id="8"/>
      <w:r w:rsidRPr="00AD1BAB">
        <w:rPr>
          <w:sz w:val="20"/>
          <w:szCs w:val="20"/>
        </w:rPr>
        <w:t xml:space="preserve">et al. </w:t>
      </w:r>
      <w:commentRangeEnd w:id="8"/>
      <w:r w:rsidR="00E112F1">
        <w:rPr>
          <w:rStyle w:val="CommentReference"/>
          <w:rFonts w:asciiTheme="minorHAnsi" w:eastAsiaTheme="minorHAnsi" w:hAnsiTheme="minorHAnsi" w:cstheme="minorBidi"/>
          <w:kern w:val="2"/>
          <w:lang w:eastAsia="en-US"/>
          <w14:ligatures w14:val="standardContextual"/>
        </w:rPr>
        <w:commentReference w:id="8"/>
      </w:r>
      <w:r w:rsidRPr="00AD1BAB">
        <w:rPr>
          <w:sz w:val="20"/>
          <w:szCs w:val="20"/>
        </w:rPr>
        <w:t xml:space="preserve">1982), and ecological (Dixit and Subba Rao 2000) aspects of </w:t>
      </w:r>
      <w:r w:rsidRPr="00AD1BAB">
        <w:rPr>
          <w:rStyle w:val="Emphasis"/>
          <w:sz w:val="20"/>
          <w:szCs w:val="20"/>
        </w:rPr>
        <w:t>C. wightii</w:t>
      </w:r>
      <w:r w:rsidRPr="00AD1BAB">
        <w:rPr>
          <w:sz w:val="20"/>
          <w:szCs w:val="20"/>
        </w:rPr>
        <w:t xml:space="preserve"> have been well documented, but there is a lack of research on the physiological maturity indicators for this endangered species. This study examines the developmental parameters of </w:t>
      </w:r>
      <w:r w:rsidRPr="00AD1BAB">
        <w:rPr>
          <w:rStyle w:val="Emphasis"/>
          <w:sz w:val="20"/>
          <w:szCs w:val="20"/>
        </w:rPr>
        <w:t>C. wightii</w:t>
      </w:r>
      <w:r w:rsidRPr="00AD1BAB">
        <w:rPr>
          <w:sz w:val="20"/>
          <w:szCs w:val="20"/>
        </w:rPr>
        <w:t xml:space="preserve"> fruits and seeds, focusing on traits such as morphology, moisture content, color changes, and germination potential at various maturity stages. The goal is to identify key maturity indicators that will optimize seed collection timing, enhancing propagation techniques and supporting the long-term conservation and sustainable management of this species, particularly for future afforestation efforts.</w:t>
      </w:r>
    </w:p>
    <w:p w14:paraId="0EA47E03" w14:textId="2470431E" w:rsidR="008C206B"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lastRenderedPageBreak/>
        <w:t>Materials and Methods</w:t>
      </w:r>
    </w:p>
    <w:p w14:paraId="56E47DD8" w14:textId="77777777" w:rsidR="00FF4096" w:rsidRPr="003D34F7" w:rsidRDefault="00FF4096" w:rsidP="00AD1BAB">
      <w:pPr>
        <w:spacing w:line="360" w:lineRule="auto"/>
        <w:jc w:val="both"/>
        <w:rPr>
          <w:rFonts w:ascii="Times New Roman" w:hAnsi="Times New Roman" w:cs="Times New Roman"/>
          <w:b/>
          <w:bCs/>
          <w:i/>
          <w:iCs/>
          <w:sz w:val="20"/>
          <w:szCs w:val="20"/>
        </w:rPr>
      </w:pPr>
      <w:r w:rsidRPr="003D34F7">
        <w:rPr>
          <w:rFonts w:ascii="Times New Roman" w:hAnsi="Times New Roman" w:cs="Times New Roman"/>
          <w:b/>
          <w:bCs/>
          <w:i/>
          <w:iCs/>
          <w:sz w:val="20"/>
          <w:szCs w:val="20"/>
        </w:rPr>
        <w:t>Study Area</w:t>
      </w:r>
    </w:p>
    <w:p w14:paraId="07D9F3A7" w14:textId="78AAF983" w:rsidR="00FF4096" w:rsidRPr="003D34F7" w:rsidRDefault="00FF409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The study on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was conducted in its natural habitat in the tropical thorn forest of Bhind district, Madhya Pradesh, India, selected for its mature plant presence and accessibility for regular monitoring. Bhind experiences a semi-arid climate with extremely hot summers (35°C to 47°C) from March to June, mild winters (6°C to 25°C) from November to February, and a monsoon season (July to September) with moderate rainfall (800-1,000 mm). Humidity is low in summer, rising to 60%-90% during the monsoon and dropping to 30%-50% in winter. The district also faces dry, hot winds (loo) in summer, moderate winds during the monsoon, and local thunderstorms. The region has alluvial and black soils, mainly dry deciduous forests and </w:t>
      </w:r>
      <w:r w:rsidRPr="003552ED">
        <w:rPr>
          <w:rFonts w:ascii="Times New Roman" w:hAnsi="Times New Roman" w:cs="Times New Roman"/>
          <w:sz w:val="20"/>
          <w:szCs w:val="20"/>
        </w:rPr>
        <w:t>shrubs</w:t>
      </w:r>
      <w:r w:rsidR="003552ED" w:rsidRP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p>
    <w:p w14:paraId="600636EA" w14:textId="6170D84A" w:rsidR="00FF4096" w:rsidRPr="003D34F7" w:rsidRDefault="00FF4096" w:rsidP="00AD1BAB">
      <w:pPr>
        <w:spacing w:line="360" w:lineRule="auto"/>
        <w:jc w:val="both"/>
        <w:rPr>
          <w:rFonts w:ascii="Times New Roman" w:hAnsi="Times New Roman" w:cs="Times New Roman"/>
          <w:b/>
          <w:bCs/>
          <w:i/>
          <w:iCs/>
          <w:sz w:val="20"/>
          <w:szCs w:val="20"/>
        </w:rPr>
      </w:pPr>
      <w:r w:rsidRPr="003D34F7">
        <w:rPr>
          <w:rFonts w:ascii="Times New Roman" w:hAnsi="Times New Roman" w:cs="Times New Roman"/>
          <w:b/>
          <w:bCs/>
          <w:i/>
          <w:iCs/>
          <w:sz w:val="20"/>
          <w:szCs w:val="20"/>
        </w:rPr>
        <w:t>Sample Collection</w:t>
      </w:r>
    </w:p>
    <w:p w14:paraId="394A3BF1" w14:textId="1837EC61" w:rsidR="00312FA9" w:rsidRPr="003D34F7" w:rsidRDefault="00312FA9"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Fruit and seed samples were collected at various stages of maturity, ranging from early development to full ripeness. To ensure consistency, fruits of similar age were randomly selected and tagged from twenty different plants in nearby area. The collection process was carried out at five distinct stages of fruit maturity: 40 days after anthesis (DAA), 60 DAA, 80 DAA, 90 DAA and 100 DAA. These seeds were used to assess both morphometric, colorimetric and physiological parameters. </w:t>
      </w:r>
    </w:p>
    <w:p w14:paraId="57BF858F" w14:textId="44932419" w:rsidR="008C206B" w:rsidRPr="003D34F7" w:rsidRDefault="008C206B" w:rsidP="00AD1BAB">
      <w:pPr>
        <w:spacing w:line="360" w:lineRule="auto"/>
        <w:jc w:val="both"/>
        <w:rPr>
          <w:rFonts w:ascii="Times New Roman" w:hAnsi="Times New Roman" w:cs="Times New Roman"/>
          <w:i/>
          <w:iCs/>
          <w:sz w:val="20"/>
          <w:szCs w:val="20"/>
        </w:rPr>
      </w:pPr>
      <w:r w:rsidRPr="003D34F7">
        <w:rPr>
          <w:rFonts w:ascii="Times New Roman" w:hAnsi="Times New Roman" w:cs="Times New Roman"/>
          <w:b/>
          <w:bCs/>
          <w:i/>
          <w:iCs/>
          <w:sz w:val="20"/>
          <w:szCs w:val="20"/>
        </w:rPr>
        <w:t>Data Collection</w:t>
      </w:r>
    </w:p>
    <w:p w14:paraId="53297747" w14:textId="3B6A7DF7" w:rsidR="006C3E2C" w:rsidRPr="003D34F7" w:rsidRDefault="006C3E2C"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Data collection involved assessing various parameters at different stages of fruit and seed development. Fruits were transported in cotton bags, and seeds were extracted through depulping. </w:t>
      </w:r>
      <w:r w:rsidR="00D52997" w:rsidRPr="003D34F7">
        <w:rPr>
          <w:rFonts w:ascii="Times New Roman" w:hAnsi="Times New Roman" w:cs="Times New Roman"/>
          <w:sz w:val="20"/>
          <w:szCs w:val="20"/>
        </w:rPr>
        <w:t xml:space="preserve">Seed collection and processing involve manually depulping the fruits by rubbing and washing them with water. After drying in the shade, the seeds are sorted based on color (black, brown, and white) and the number of lobes. Black seeds are viable and polyembryonic, while whitish-black seeds are non-viable due to the absence of an embryo. </w:t>
      </w:r>
      <w:r w:rsidRPr="003D34F7">
        <w:rPr>
          <w:rFonts w:ascii="Times New Roman" w:hAnsi="Times New Roman" w:cs="Times New Roman"/>
          <w:sz w:val="20"/>
          <w:szCs w:val="20"/>
        </w:rPr>
        <w:t xml:space="preserve">Measurements included fruit and seed dimensions (length and width) using a digital caliper, recorded from three replicates of ten fruits and fifty seeds each. Fresh and dry weights were determined using an analytical balance, with fresh mass measured from the same replicates and dry mass recorded after drying at 80°C until a constant weight was achieved. These weights were scaled to represent 100 fruits and 100 seeds. Color was assessed using the RHS color chart </w:t>
      </w:r>
      <w:r w:rsidR="00427566" w:rsidRPr="003D34F7">
        <w:rPr>
          <w:rFonts w:ascii="Times New Roman" w:hAnsi="Times New Roman" w:cs="Times New Roman"/>
          <w:sz w:val="20"/>
          <w:szCs w:val="20"/>
        </w:rPr>
        <w:t xml:space="preserve">(2015; 2019 reprint) </w:t>
      </w:r>
      <w:r w:rsidRPr="003D34F7">
        <w:rPr>
          <w:rFonts w:ascii="Times New Roman" w:hAnsi="Times New Roman" w:cs="Times New Roman"/>
          <w:sz w:val="20"/>
          <w:szCs w:val="20"/>
        </w:rPr>
        <w:t>for 20 samples at each harvest stage. Germination was tested according to ISTA rules</w:t>
      </w:r>
      <w:r w:rsidR="00427566" w:rsidRPr="003D34F7">
        <w:rPr>
          <w:rFonts w:ascii="Times New Roman" w:hAnsi="Times New Roman" w:cs="Times New Roman"/>
          <w:sz w:val="20"/>
          <w:szCs w:val="20"/>
        </w:rPr>
        <w:t xml:space="preserve"> </w:t>
      </w:r>
      <w:r w:rsidRPr="003D34F7">
        <w:rPr>
          <w:rFonts w:ascii="Times New Roman" w:hAnsi="Times New Roman" w:cs="Times New Roman"/>
          <w:sz w:val="20"/>
          <w:szCs w:val="20"/>
        </w:rPr>
        <w:t>by placing three replicates of 50 seeds each on filter paper in petri dishes, incubated at 35± 1°C with a 16/8 light/dark cycle, and assessed daily for 28 days. Seeds were considered germinated when radicles reached 1 cm, and desiccation sensitivity was also tested. Seed vigor was calculated using the mean germination percentage and mean seedling length, as outlined by Abdul-Baki and Anderson (1973)</w:t>
      </w:r>
    </w:p>
    <w:p w14:paraId="3DA83103" w14:textId="52D86863" w:rsidR="00222062"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Statistical Analysis</w:t>
      </w:r>
      <w:r w:rsidR="00222062" w:rsidRPr="003D34F7">
        <w:rPr>
          <w:rFonts w:ascii="Times New Roman" w:hAnsi="Times New Roman" w:cs="Times New Roman"/>
          <w:b/>
          <w:bCs/>
          <w:sz w:val="20"/>
          <w:szCs w:val="20"/>
        </w:rPr>
        <w:t xml:space="preserve"> </w:t>
      </w:r>
    </w:p>
    <w:p w14:paraId="364DC114" w14:textId="2E20CF2C" w:rsidR="008C206B" w:rsidRPr="003D34F7" w:rsidRDefault="008C206B"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All data were </w:t>
      </w:r>
      <w:proofErr w:type="spellStart"/>
      <w:r w:rsidRPr="003D34F7">
        <w:rPr>
          <w:rFonts w:ascii="Times New Roman" w:hAnsi="Times New Roman" w:cs="Times New Roman"/>
          <w:sz w:val="20"/>
          <w:szCs w:val="20"/>
        </w:rPr>
        <w:t>analyzed</w:t>
      </w:r>
      <w:proofErr w:type="spellEnd"/>
      <w:r w:rsidRPr="003D34F7">
        <w:rPr>
          <w:rFonts w:ascii="Times New Roman" w:hAnsi="Times New Roman" w:cs="Times New Roman"/>
          <w:sz w:val="20"/>
          <w:szCs w:val="20"/>
        </w:rPr>
        <w:t xml:space="preserve"> using analysis of variance (ANOVA) with significance determined at </w:t>
      </w:r>
      <w:r w:rsidRPr="003D34F7">
        <w:rPr>
          <w:rFonts w:ascii="Times New Roman" w:hAnsi="Times New Roman" w:cs="Times New Roman"/>
          <w:i/>
          <w:iCs/>
          <w:sz w:val="20"/>
          <w:szCs w:val="20"/>
        </w:rPr>
        <w:t>p</w:t>
      </w:r>
      <w:r w:rsidRPr="003D34F7">
        <w:rPr>
          <w:rFonts w:ascii="Times New Roman" w:hAnsi="Times New Roman" w:cs="Times New Roman"/>
          <w:sz w:val="20"/>
          <w:szCs w:val="20"/>
        </w:rPr>
        <w:t xml:space="preserve"> &lt; 0.05. </w:t>
      </w:r>
      <w:r w:rsidR="00866A2E" w:rsidRPr="003D34F7">
        <w:rPr>
          <w:rFonts w:ascii="Times New Roman" w:hAnsi="Times New Roman" w:cs="Times New Roman"/>
          <w:sz w:val="20"/>
          <w:szCs w:val="20"/>
        </w:rPr>
        <w:t>Least Significant Difference</w:t>
      </w:r>
      <w:r w:rsidRPr="003D34F7">
        <w:rPr>
          <w:rFonts w:ascii="Times New Roman" w:hAnsi="Times New Roman" w:cs="Times New Roman"/>
          <w:sz w:val="20"/>
          <w:szCs w:val="20"/>
        </w:rPr>
        <w:t xml:space="preserve"> (</w:t>
      </w:r>
      <w:r w:rsidR="00866A2E" w:rsidRPr="003D34F7">
        <w:rPr>
          <w:rFonts w:ascii="Times New Roman" w:hAnsi="Times New Roman" w:cs="Times New Roman"/>
          <w:sz w:val="20"/>
          <w:szCs w:val="20"/>
        </w:rPr>
        <w:t>LSD</w:t>
      </w:r>
      <w:r w:rsidRPr="003D34F7">
        <w:rPr>
          <w:rFonts w:ascii="Times New Roman" w:hAnsi="Times New Roman" w:cs="Times New Roman"/>
          <w:sz w:val="20"/>
          <w:szCs w:val="20"/>
        </w:rPr>
        <w:t>) and F-test results were used to determine consistency and significance across stages.</w:t>
      </w:r>
    </w:p>
    <w:p w14:paraId="5FF4DBF4" w14:textId="079B1AEE" w:rsidR="008C206B"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Results</w:t>
      </w:r>
    </w:p>
    <w:p w14:paraId="707C0C87" w14:textId="7D7E192C" w:rsidR="00D52997" w:rsidRPr="003D34F7" w:rsidRDefault="00D52997" w:rsidP="00AD1BAB">
      <w:pPr>
        <w:spacing w:line="360" w:lineRule="auto"/>
        <w:jc w:val="both"/>
        <w:rPr>
          <w:rFonts w:ascii="Times New Roman" w:hAnsi="Times New Roman" w:cs="Times New Roman"/>
          <w:sz w:val="20"/>
          <w:szCs w:val="20"/>
          <w:lang w:val="en-US"/>
        </w:rPr>
      </w:pPr>
      <w:r w:rsidRPr="003D34F7">
        <w:rPr>
          <w:rFonts w:ascii="Times New Roman" w:hAnsi="Times New Roman" w:cs="Times New Roman"/>
          <w:sz w:val="20"/>
          <w:szCs w:val="20"/>
          <w:lang w:val="en-US"/>
        </w:rPr>
        <w:t xml:space="preserve">The plant exhibits distinct phenological patterns, with leafless periods in winter (October to March) and leaf growth initiated by short spells of rainfall in April. Flowering and fruiting occur year-round, with peaks in summer </w:t>
      </w:r>
      <w:r w:rsidRPr="003D34F7">
        <w:rPr>
          <w:rFonts w:ascii="Times New Roman" w:hAnsi="Times New Roman" w:cs="Times New Roman"/>
          <w:sz w:val="20"/>
          <w:szCs w:val="20"/>
          <w:lang w:val="en-US"/>
        </w:rPr>
        <w:lastRenderedPageBreak/>
        <w:t xml:space="preserve">(April-May) and winter (November). </w:t>
      </w:r>
      <w:r w:rsidR="00897961" w:rsidRPr="003D34F7">
        <w:rPr>
          <w:rFonts w:ascii="Times New Roman" w:hAnsi="Times New Roman" w:cs="Times New Roman"/>
          <w:sz w:val="20"/>
          <w:szCs w:val="20"/>
          <w:lang w:val="en-US"/>
        </w:rPr>
        <w:t xml:space="preserve">The fruits of </w:t>
      </w:r>
      <w:r w:rsidR="00897961" w:rsidRPr="003D34F7">
        <w:rPr>
          <w:rFonts w:ascii="Times New Roman" w:hAnsi="Times New Roman" w:cs="Times New Roman"/>
          <w:i/>
          <w:sz w:val="20"/>
          <w:szCs w:val="20"/>
          <w:lang w:val="en-US"/>
        </w:rPr>
        <w:t>Commiphora wightii</w:t>
      </w:r>
      <w:r w:rsidR="00897961" w:rsidRPr="003D34F7">
        <w:rPr>
          <w:rFonts w:ascii="Times New Roman" w:hAnsi="Times New Roman" w:cs="Times New Roman"/>
          <w:sz w:val="20"/>
          <w:szCs w:val="20"/>
          <w:lang w:val="en-US"/>
        </w:rPr>
        <w:t xml:space="preserve"> are oval drupes that start green, turn pinkish, and finally red when ripe </w:t>
      </w:r>
      <w:r w:rsidRPr="003D34F7">
        <w:rPr>
          <w:rFonts w:ascii="Times New Roman" w:hAnsi="Times New Roman" w:cs="Times New Roman"/>
          <w:sz w:val="20"/>
          <w:szCs w:val="20"/>
          <w:lang w:val="en-US"/>
        </w:rPr>
        <w:t>Fruits contain black and white seeds, with black seeds being viable, especially prevalent in winter. Black seeds collected in winter exhibit higher germination rates compared to those collected in summer, while white seeds show low or no germination, indicating seasonal variations in seed viability and germination.</w:t>
      </w:r>
      <w:r w:rsidR="00897961" w:rsidRPr="003D34F7">
        <w:rPr>
          <w:rFonts w:ascii="Times New Roman" w:hAnsi="Times New Roman" w:cs="Times New Roman"/>
          <w:sz w:val="20"/>
          <w:szCs w:val="20"/>
          <w:lang w:val="en-US"/>
        </w:rPr>
        <w:t xml:space="preserve"> </w:t>
      </w:r>
      <w:r w:rsidRPr="003D34F7">
        <w:rPr>
          <w:rFonts w:ascii="Times New Roman" w:hAnsi="Times New Roman" w:cs="Times New Roman"/>
          <w:sz w:val="20"/>
          <w:szCs w:val="20"/>
          <w:lang w:val="en-US"/>
        </w:rPr>
        <w:t>Seed maturation may take longer in winter, resulting in a higher yield of mature seeds</w:t>
      </w:r>
      <w:r w:rsidR="003552ED">
        <w:rPr>
          <w:rFonts w:ascii="Times New Roman" w:hAnsi="Times New Roman" w:cs="Times New Roman"/>
          <w:sz w:val="20"/>
          <w:szCs w:val="20"/>
          <w:lang w:val="en-US"/>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I</w:t>
      </w:r>
      <w:r w:rsidR="003552ED" w:rsidRPr="003552ED">
        <w:rPr>
          <w:rFonts w:ascii="Times New Roman" w:hAnsi="Times New Roman" w:cs="Times New Roman"/>
          <w:b/>
          <w:bCs/>
          <w:sz w:val="20"/>
          <w:szCs w:val="20"/>
        </w:rPr>
        <w:t>)</w:t>
      </w:r>
      <w:r w:rsidRPr="003D34F7">
        <w:rPr>
          <w:rFonts w:ascii="Times New Roman" w:hAnsi="Times New Roman" w:cs="Times New Roman"/>
          <w:sz w:val="20"/>
          <w:szCs w:val="20"/>
          <w:lang w:val="en-US"/>
        </w:rPr>
        <w:t xml:space="preserve">. </w:t>
      </w:r>
    </w:p>
    <w:p w14:paraId="4FC0FD1D" w14:textId="77777777" w:rsidR="008141C7" w:rsidRPr="003D34F7" w:rsidRDefault="008C206B" w:rsidP="00AD1BAB">
      <w:pPr>
        <w:spacing w:line="360" w:lineRule="auto"/>
        <w:jc w:val="both"/>
        <w:rPr>
          <w:rFonts w:ascii="Times New Roman" w:hAnsi="Times New Roman" w:cs="Times New Roman"/>
          <w:b/>
          <w:bCs/>
          <w:i/>
          <w:iCs/>
          <w:sz w:val="20"/>
          <w:szCs w:val="20"/>
        </w:rPr>
      </w:pPr>
      <w:commentRangeStart w:id="9"/>
      <w:r w:rsidRPr="003D34F7">
        <w:rPr>
          <w:rFonts w:ascii="Times New Roman" w:hAnsi="Times New Roman" w:cs="Times New Roman"/>
          <w:b/>
          <w:bCs/>
          <w:i/>
          <w:iCs/>
          <w:sz w:val="20"/>
          <w:szCs w:val="20"/>
        </w:rPr>
        <w:t xml:space="preserve">Fruit </w:t>
      </w:r>
      <w:r w:rsidR="009421A0" w:rsidRPr="003D34F7">
        <w:rPr>
          <w:rFonts w:ascii="Times New Roman" w:hAnsi="Times New Roman" w:cs="Times New Roman"/>
          <w:b/>
          <w:bCs/>
          <w:i/>
          <w:iCs/>
          <w:sz w:val="20"/>
          <w:szCs w:val="20"/>
        </w:rPr>
        <w:t>Development</w:t>
      </w:r>
      <w:commentRangeEnd w:id="9"/>
      <w:r w:rsidR="00C04F4F">
        <w:rPr>
          <w:rStyle w:val="CommentReference"/>
        </w:rPr>
        <w:commentReference w:id="9"/>
      </w:r>
    </w:p>
    <w:p w14:paraId="29A13A4B" w14:textId="3845E5F1" w:rsidR="009421A0" w:rsidRPr="003D34F7" w:rsidRDefault="009421A0"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 </w:t>
      </w:r>
      <w:r w:rsidRPr="003D34F7">
        <w:rPr>
          <w:rFonts w:ascii="Times New Roman" w:hAnsi="Times New Roman" w:cs="Times New Roman"/>
          <w:sz w:val="20"/>
          <w:szCs w:val="20"/>
        </w:rPr>
        <w:t>Table 1 presents the fruit development parameters of</w:t>
      </w:r>
      <w:r w:rsidRPr="003D34F7">
        <w:rPr>
          <w:rFonts w:ascii="Times New Roman" w:hAnsi="Times New Roman" w:cs="Times New Roman"/>
          <w:i/>
          <w:iCs/>
          <w:sz w:val="20"/>
          <w:szCs w:val="20"/>
        </w:rPr>
        <w:t xml:space="preserve"> Commiphora wightii </w:t>
      </w:r>
      <w:r w:rsidRPr="003D34F7">
        <w:rPr>
          <w:rFonts w:ascii="Times New Roman" w:hAnsi="Times New Roman" w:cs="Times New Roman"/>
          <w:sz w:val="20"/>
          <w:szCs w:val="20"/>
        </w:rPr>
        <w:t xml:space="preserve">at different stages of maturity, measured in Days After Anthesis (DAA). The data shows a clear progression in fruit characteristics as the fruits mature. At 40 DAA, the fruit length is 0.79 cm, width is </w:t>
      </w:r>
      <w:commentRangeStart w:id="10"/>
      <w:r w:rsidRPr="003D34F7">
        <w:rPr>
          <w:rFonts w:ascii="Times New Roman" w:hAnsi="Times New Roman" w:cs="Times New Roman"/>
          <w:sz w:val="20"/>
          <w:szCs w:val="20"/>
        </w:rPr>
        <w:t xml:space="preserve">0.563 </w:t>
      </w:r>
      <w:commentRangeEnd w:id="10"/>
      <w:r w:rsidR="00C04F4F">
        <w:rPr>
          <w:rStyle w:val="CommentReference"/>
        </w:rPr>
        <w:commentReference w:id="10"/>
      </w:r>
      <w:r w:rsidRPr="003D34F7">
        <w:rPr>
          <w:rFonts w:ascii="Times New Roman" w:hAnsi="Times New Roman" w:cs="Times New Roman"/>
          <w:sz w:val="20"/>
          <w:szCs w:val="20"/>
        </w:rPr>
        <w:t>cm, and the fresh weight of 100 fruits is 13.43 g, with an initial moisture content of 82.61%. The fruit is green in color (Group 142, Strong Yellow Green). By 60 DAA, the fruit length increases to 0.847 cm, width to 0.613 cm, and fresh weight to 28.17 g, with moisture content decreasing to 78.56%. The fruit color shifts to yellow-green (Group 145, Strong Yellow Green). At 80 DAA, the fruit length reaches 1.027 cm, width 0.643 cm, and fresh weight 42.9 g, with moisture content dropping to 74.67%, and the fruit color changes to red-purple (Group 58, Moderate Purplish Red)</w:t>
      </w:r>
      <w:r w:rsid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II</w:t>
      </w:r>
      <w:r w:rsidR="003552ED" w:rsidRPr="003552ED">
        <w:rPr>
          <w:rFonts w:ascii="Times New Roman" w:hAnsi="Times New Roman" w:cs="Times New Roman"/>
          <w:b/>
          <w:bCs/>
          <w:sz w:val="20"/>
          <w:szCs w:val="20"/>
        </w:rPr>
        <w:t>)</w:t>
      </w:r>
      <w:r w:rsidRPr="003D34F7">
        <w:rPr>
          <w:rFonts w:ascii="Times New Roman" w:hAnsi="Times New Roman" w:cs="Times New Roman"/>
          <w:sz w:val="20"/>
          <w:szCs w:val="20"/>
        </w:rPr>
        <w:t>. At 90 DAA, the fruit length and width further increase to 1.13 cm and 0.673 cm, respectively, while the fresh weight of 100 fruits rises to 45.91 g and moisture content decreases to 65.61%. The fruit color remains red-purple. At 100 DAA, the fruit length is 1.193 cm, width is 0.697 cm, and fresh weight of 100 fruits is 39.19 g, with moisture content at 51.40%. The fruit color is red-purple (Group 59, Moderate Purplish Red). Statistical analysis (F test, p &lt; 0.001) indicates significant differences in fruit development across all stages, with relatively low coefficients of variation (C.V.) for fruit length, width, fresh weight, and moisture content, suggesting consistent development during the maturation process</w:t>
      </w:r>
      <w:r w:rsidR="000A07AC">
        <w:rPr>
          <w:rFonts w:ascii="Times New Roman" w:hAnsi="Times New Roman" w:cs="Times New Roman"/>
          <w:sz w:val="20"/>
          <w:szCs w:val="20"/>
        </w:rPr>
        <w:t xml:space="preserve"> </w:t>
      </w:r>
      <w:r w:rsidR="000A07AC" w:rsidRPr="003552ED">
        <w:rPr>
          <w:rFonts w:ascii="Times New Roman" w:hAnsi="Times New Roman" w:cs="Times New Roman"/>
          <w:b/>
          <w:bCs/>
          <w:sz w:val="20"/>
          <w:szCs w:val="20"/>
        </w:rPr>
        <w:t xml:space="preserve">(see </w:t>
      </w:r>
      <w:r w:rsidR="000A07AC">
        <w:rPr>
          <w:rFonts w:ascii="Times New Roman" w:hAnsi="Times New Roman" w:cs="Times New Roman"/>
          <w:b/>
          <w:bCs/>
          <w:sz w:val="20"/>
          <w:szCs w:val="20"/>
        </w:rPr>
        <w:t>Table</w:t>
      </w:r>
      <w:r w:rsidR="000A07AC" w:rsidRPr="003552ED">
        <w:rPr>
          <w:rFonts w:ascii="Times New Roman" w:hAnsi="Times New Roman" w:cs="Times New Roman"/>
          <w:b/>
          <w:bCs/>
          <w:sz w:val="20"/>
          <w:szCs w:val="20"/>
        </w:rPr>
        <w:t xml:space="preserve"> I)</w:t>
      </w:r>
      <w:r w:rsidRPr="003D34F7">
        <w:rPr>
          <w:rFonts w:ascii="Times New Roman" w:hAnsi="Times New Roman" w:cs="Times New Roman"/>
          <w:sz w:val="20"/>
          <w:szCs w:val="20"/>
        </w:rPr>
        <w:t>.</w:t>
      </w:r>
    </w:p>
    <w:p w14:paraId="2F8F09D0" w14:textId="77777777" w:rsidR="008141C7" w:rsidRPr="003D34F7" w:rsidRDefault="008C206B" w:rsidP="00AD1BAB">
      <w:pPr>
        <w:spacing w:line="360" w:lineRule="auto"/>
        <w:jc w:val="both"/>
        <w:rPr>
          <w:rFonts w:ascii="Times New Roman" w:hAnsi="Times New Roman" w:cs="Times New Roman"/>
          <w:b/>
          <w:bCs/>
          <w:i/>
          <w:iCs/>
          <w:sz w:val="20"/>
          <w:szCs w:val="20"/>
        </w:rPr>
      </w:pPr>
      <w:r w:rsidRPr="003D34F7">
        <w:rPr>
          <w:rFonts w:ascii="Times New Roman" w:hAnsi="Times New Roman" w:cs="Times New Roman"/>
          <w:b/>
          <w:bCs/>
          <w:i/>
          <w:iCs/>
          <w:sz w:val="20"/>
          <w:szCs w:val="20"/>
        </w:rPr>
        <w:t>Seed Development</w:t>
      </w:r>
      <w:r w:rsidR="008141C7" w:rsidRPr="003D34F7">
        <w:rPr>
          <w:rFonts w:ascii="Times New Roman" w:hAnsi="Times New Roman" w:cs="Times New Roman"/>
          <w:b/>
          <w:bCs/>
          <w:i/>
          <w:iCs/>
          <w:sz w:val="20"/>
          <w:szCs w:val="20"/>
        </w:rPr>
        <w:t xml:space="preserve"> </w:t>
      </w:r>
    </w:p>
    <w:p w14:paraId="4CE4B835" w14:textId="5425C920" w:rsidR="00267899" w:rsidRPr="003D34F7" w:rsidRDefault="00267899"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Table 2 illustrates the changes in various seed growth parameters of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at different stages of maturity, from 40 to 100 days after anthesis (DAA). Seed length and width gradually increase over time, with seed length growing from 0.59 cm at 40 DAA to 0.73 cm at 100 DAA, and seed width increasing from 0.46 cm to 0.56 cm. Fresh and dry weights of 100 seeds also show a steady increase, with fresh weight rising from 1.97 g at 40 DAA to 5.42 g at 90 DAA, and dry weight growing from 1.05 g to 4.19 g by 100 DAA. Moisture content significantly decreases over the period, dropping from 46.36% at 40 DAA to 14.59% at 100 DAA. Seed color, measured using the RHS color code, transitions from yellow-green at 40 DAA (RHS N144 A, Strong Yellow Green A) to red-purple shades at 60 DAA (RHS Group 58, Moderate Purple Red A / Light Yellow Green D)</w:t>
      </w:r>
      <w:r w:rsid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V</w:t>
      </w:r>
      <w:r w:rsidR="003552ED" w:rsidRPr="003552ED">
        <w:rPr>
          <w:rFonts w:ascii="Times New Roman" w:hAnsi="Times New Roman" w:cs="Times New Roman"/>
          <w:b/>
          <w:bCs/>
          <w:sz w:val="20"/>
          <w:szCs w:val="20"/>
        </w:rPr>
        <w:t>)</w:t>
      </w:r>
      <w:r w:rsidR="003552ED" w:rsidRPr="003D34F7">
        <w:rPr>
          <w:rFonts w:ascii="Times New Roman" w:hAnsi="Times New Roman" w:cs="Times New Roman"/>
          <w:sz w:val="20"/>
          <w:szCs w:val="20"/>
        </w:rPr>
        <w:t>.</w:t>
      </w:r>
      <w:r w:rsidRPr="003D34F7">
        <w:rPr>
          <w:rFonts w:ascii="Times New Roman" w:hAnsi="Times New Roman" w:cs="Times New Roman"/>
          <w:sz w:val="20"/>
          <w:szCs w:val="20"/>
        </w:rPr>
        <w:t xml:space="preserve"> At 80 DAA, the seeds are predominantly dark red (RHS Group 59, Dark Red A), with 30% of the seeds showing black (RHS Group 203, Black A). By 90 DAA, 64% of the seeds are dark red (RHS Group 59, Dark Red A), and 36% are black. At 100 DAA, the seed color is split between dark red (55%) and black (45%), both of which are represented by RHS Group 59 (Dark Red A) and Group 203 (Black A), respectively. The changes in these parameters are statistically significant, with p-values less than 0.05 for most measurements, indicating meaningful growth and maturation of the seeds</w:t>
      </w:r>
      <w:r w:rsidR="000A07AC">
        <w:rPr>
          <w:rFonts w:ascii="Times New Roman" w:hAnsi="Times New Roman" w:cs="Times New Roman"/>
          <w:sz w:val="20"/>
          <w:szCs w:val="20"/>
        </w:rPr>
        <w:t xml:space="preserve"> (see </w:t>
      </w:r>
      <w:r w:rsidR="000A07AC" w:rsidRPr="003D34F7">
        <w:rPr>
          <w:rFonts w:ascii="Times New Roman" w:hAnsi="Times New Roman" w:cs="Times New Roman"/>
          <w:b/>
          <w:bCs/>
          <w:sz w:val="20"/>
          <w:szCs w:val="20"/>
        </w:rPr>
        <w:t xml:space="preserve">Table </w:t>
      </w:r>
      <w:r w:rsidR="000A07AC">
        <w:rPr>
          <w:rFonts w:ascii="Times New Roman" w:hAnsi="Times New Roman" w:cs="Times New Roman"/>
          <w:b/>
          <w:bCs/>
          <w:sz w:val="20"/>
          <w:szCs w:val="20"/>
        </w:rPr>
        <w:t>II)</w:t>
      </w:r>
      <w:r w:rsidRPr="003D34F7">
        <w:rPr>
          <w:rFonts w:ascii="Times New Roman" w:hAnsi="Times New Roman" w:cs="Times New Roman"/>
          <w:sz w:val="20"/>
          <w:szCs w:val="20"/>
        </w:rPr>
        <w:t>.</w:t>
      </w:r>
    </w:p>
    <w:p w14:paraId="4193E66F" w14:textId="77777777" w:rsidR="008141C7" w:rsidRPr="003D34F7" w:rsidRDefault="008141C7" w:rsidP="00AD1BAB">
      <w:pPr>
        <w:spacing w:line="360" w:lineRule="auto"/>
        <w:jc w:val="both"/>
        <w:rPr>
          <w:rFonts w:ascii="Times New Roman" w:hAnsi="Times New Roman" w:cs="Times New Roman"/>
          <w:sz w:val="20"/>
          <w:szCs w:val="20"/>
        </w:rPr>
      </w:pPr>
    </w:p>
    <w:p w14:paraId="162C1432" w14:textId="77777777" w:rsidR="0091323C" w:rsidRPr="003D34F7" w:rsidRDefault="008C206B" w:rsidP="00AD1BAB">
      <w:pPr>
        <w:spacing w:line="360" w:lineRule="auto"/>
        <w:jc w:val="both"/>
        <w:rPr>
          <w:rFonts w:ascii="Times New Roman" w:hAnsi="Times New Roman" w:cs="Times New Roman"/>
          <w:b/>
          <w:bCs/>
          <w:i/>
          <w:iCs/>
          <w:sz w:val="20"/>
          <w:szCs w:val="20"/>
        </w:rPr>
      </w:pPr>
      <w:commentRangeStart w:id="11"/>
      <w:r w:rsidRPr="003D34F7">
        <w:rPr>
          <w:rFonts w:ascii="Times New Roman" w:hAnsi="Times New Roman" w:cs="Times New Roman"/>
          <w:b/>
          <w:bCs/>
          <w:i/>
          <w:iCs/>
          <w:sz w:val="20"/>
          <w:szCs w:val="20"/>
        </w:rPr>
        <w:lastRenderedPageBreak/>
        <w:t>Seed Physiological Parameters</w:t>
      </w:r>
      <w:r w:rsidR="0091323C" w:rsidRPr="003D34F7">
        <w:rPr>
          <w:rFonts w:ascii="Times New Roman" w:hAnsi="Times New Roman" w:cs="Times New Roman"/>
          <w:b/>
          <w:bCs/>
          <w:i/>
          <w:iCs/>
          <w:sz w:val="20"/>
          <w:szCs w:val="20"/>
        </w:rPr>
        <w:t xml:space="preserve"> </w:t>
      </w:r>
      <w:commentRangeEnd w:id="11"/>
      <w:r w:rsidR="00C04F4F">
        <w:rPr>
          <w:rStyle w:val="CommentReference"/>
        </w:rPr>
        <w:commentReference w:id="11"/>
      </w:r>
    </w:p>
    <w:p w14:paraId="487E7B0E" w14:textId="20A757F0" w:rsidR="004B7D54" w:rsidRPr="003D34F7" w:rsidRDefault="004B7D54" w:rsidP="00AD1BAB">
      <w:pPr>
        <w:spacing w:before="100" w:beforeAutospacing="1" w:after="100" w:afterAutospacing="1"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Table 3 shows the changes in seed physiological parameters at different stages of maturity in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Germination percentage remained at zero until 80 days after anthesis (DAA), with a gradual increase observed at 90 DAA (5.67%) and a more significant rise at 100 DAA (14.50%). Seedling length, which started at zero, reached 6.83 cm by 80 DAA and continued to grow to 8.55 cm by 100 DAA, indicating steady development of seedlings. The seed vigour index, which combines germination percentage and seedling length, increased from 25.66 at 80 DAA to 185.68 at 100 DAA, reflecting enhanced seed vitality as they matured. Statistical analysis shows significant differences in all three parameters, with the LSD values indicating the minimum significant differences for each parameter. The standard error of the mean (SE) values for germination percentage, seedling length, and seed vigour index were 1.11, 0.42, and 13.75, respectively, and the F-test results (&lt; 0.001) confirm that the observed changes are statistically significant. Overall, the data highlights the progressive improvement in seed physiological traits as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seeds mature</w:t>
      </w:r>
      <w:r w:rsidR="000A07AC">
        <w:rPr>
          <w:rFonts w:ascii="Times New Roman" w:hAnsi="Times New Roman" w:cs="Times New Roman"/>
          <w:sz w:val="20"/>
          <w:szCs w:val="20"/>
        </w:rPr>
        <w:t xml:space="preserve"> (see</w:t>
      </w:r>
      <w:r w:rsidR="000A07AC" w:rsidRPr="000A07AC">
        <w:rPr>
          <w:rFonts w:ascii="Times New Roman" w:eastAsia="Times New Roman" w:hAnsi="Times New Roman" w:cs="Times New Roman"/>
          <w:b/>
          <w:bCs/>
          <w:kern w:val="0"/>
          <w:sz w:val="20"/>
          <w:szCs w:val="20"/>
          <w:lang w:eastAsia="en-IN"/>
          <w14:ligatures w14:val="none"/>
        </w:rPr>
        <w:t xml:space="preserve"> </w:t>
      </w:r>
      <w:r w:rsidR="000A07AC" w:rsidRPr="003D34F7">
        <w:rPr>
          <w:rFonts w:ascii="Times New Roman" w:eastAsia="Times New Roman" w:hAnsi="Times New Roman" w:cs="Times New Roman"/>
          <w:b/>
          <w:bCs/>
          <w:kern w:val="0"/>
          <w:sz w:val="20"/>
          <w:szCs w:val="20"/>
          <w:lang w:eastAsia="en-IN"/>
          <w14:ligatures w14:val="none"/>
        </w:rPr>
        <w:t xml:space="preserve">Table </w:t>
      </w:r>
      <w:r w:rsidR="000A07AC">
        <w:rPr>
          <w:rFonts w:ascii="Times New Roman" w:eastAsia="Times New Roman" w:hAnsi="Times New Roman" w:cs="Times New Roman"/>
          <w:b/>
          <w:bCs/>
          <w:kern w:val="0"/>
          <w:sz w:val="20"/>
          <w:szCs w:val="20"/>
          <w:lang w:eastAsia="en-IN"/>
          <w14:ligatures w14:val="none"/>
        </w:rPr>
        <w:t>III)</w:t>
      </w:r>
      <w:r w:rsidR="000A07AC">
        <w:rPr>
          <w:rFonts w:ascii="Times New Roman" w:hAnsi="Times New Roman" w:cs="Times New Roman"/>
          <w:sz w:val="20"/>
          <w:szCs w:val="20"/>
        </w:rPr>
        <w:t xml:space="preserve"> </w:t>
      </w:r>
      <w:r w:rsidRPr="003D34F7">
        <w:rPr>
          <w:rFonts w:ascii="Times New Roman" w:hAnsi="Times New Roman" w:cs="Times New Roman"/>
          <w:sz w:val="20"/>
          <w:szCs w:val="20"/>
        </w:rPr>
        <w:t>.</w:t>
      </w:r>
    </w:p>
    <w:p w14:paraId="122037EF" w14:textId="4FC04304" w:rsidR="004F69C6"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Discussion</w:t>
      </w:r>
      <w:r w:rsidR="004F69C6" w:rsidRPr="003D34F7">
        <w:rPr>
          <w:rFonts w:ascii="Times New Roman" w:hAnsi="Times New Roman" w:cs="Times New Roman"/>
          <w:b/>
          <w:bCs/>
          <w:sz w:val="20"/>
          <w:szCs w:val="20"/>
        </w:rPr>
        <w:t xml:space="preserve"> </w:t>
      </w:r>
    </w:p>
    <w:p w14:paraId="5C9B0D94" w14:textId="77777777" w:rsidR="004E154F" w:rsidRPr="004E154F" w:rsidRDefault="004E154F" w:rsidP="00AD1BAB">
      <w:pPr>
        <w:pStyle w:val="NormalWeb"/>
        <w:spacing w:line="360" w:lineRule="auto"/>
        <w:jc w:val="both"/>
        <w:rPr>
          <w:sz w:val="20"/>
          <w:szCs w:val="20"/>
        </w:rPr>
      </w:pPr>
      <w:r w:rsidRPr="004E154F">
        <w:rPr>
          <w:sz w:val="20"/>
          <w:szCs w:val="20"/>
        </w:rPr>
        <w:t xml:space="preserve">Understanding the reproductive biology and phenology of forest species is integral to the success of silvicultural and horticultural practices. While extensive research has been conducted on the reproductive biology of agricultural crops, forest tree species have lagged behind due to their perennial nature and large size, which complicate controlled studies. Despite these challenges, the timing of fruit and seed maturity remains critical for ensuring high-quality planting materials. Mature seeds typically exhibit superior germinative energy, storage potential, and seedling vigor compared to immature seeds. Optimal harvesting often coincides with natural dispersal phases, marked by observable changes such as color shifts, pulp softening, and the development of distinct fragrances (Gera et al. 2001; Indira and </w:t>
      </w:r>
      <w:commentRangeStart w:id="12"/>
      <w:r w:rsidRPr="004E154F">
        <w:rPr>
          <w:sz w:val="20"/>
          <w:szCs w:val="20"/>
        </w:rPr>
        <w:t>Chand Basha 1999</w:t>
      </w:r>
      <w:commentRangeEnd w:id="12"/>
      <w:r w:rsidR="00C04F4F">
        <w:rPr>
          <w:rStyle w:val="CommentReference"/>
          <w:rFonts w:asciiTheme="minorHAnsi" w:eastAsiaTheme="minorHAnsi" w:hAnsiTheme="minorHAnsi" w:cstheme="minorBidi"/>
          <w:kern w:val="2"/>
          <w:lang w:eastAsia="en-US"/>
          <w14:ligatures w14:val="standardContextual"/>
        </w:rPr>
        <w:commentReference w:id="12"/>
      </w:r>
      <w:r w:rsidRPr="004E154F">
        <w:rPr>
          <w:sz w:val="20"/>
          <w:szCs w:val="20"/>
        </w:rPr>
        <w:t>). In some cases, harvesting fruits prior to full ripening, allowing seeds to mature under controlled conditions, can enhance germinability and ensure the production of quality nursery stock for reforestation and conservation efforts.</w:t>
      </w:r>
    </w:p>
    <w:p w14:paraId="4364BDAF" w14:textId="77777777" w:rsidR="004E154F" w:rsidRPr="004E154F" w:rsidRDefault="004E154F" w:rsidP="00AD1BAB">
      <w:pPr>
        <w:pStyle w:val="NormalWeb"/>
        <w:spacing w:line="360" w:lineRule="auto"/>
        <w:jc w:val="both"/>
        <w:rPr>
          <w:sz w:val="20"/>
          <w:szCs w:val="20"/>
        </w:rPr>
      </w:pPr>
      <w:r w:rsidRPr="004E154F">
        <w:rPr>
          <w:sz w:val="20"/>
          <w:szCs w:val="20"/>
        </w:rPr>
        <w:t xml:space="preserve">For </w:t>
      </w:r>
      <w:r w:rsidRPr="004E154F">
        <w:rPr>
          <w:rStyle w:val="Emphasis"/>
          <w:sz w:val="20"/>
          <w:szCs w:val="20"/>
        </w:rPr>
        <w:t>Commiphora wightii</w:t>
      </w:r>
      <w:r w:rsidRPr="004E154F">
        <w:rPr>
          <w:sz w:val="20"/>
          <w:szCs w:val="20"/>
        </w:rPr>
        <w:t xml:space="preserve">, the development of fruits and seeds exhibited clear and progressive changes across maturity stages, including significant increases in size, weight, and physiological parameters. Early in development (40 days after anthesis, DAA), the fruits were small, green, and characterized by a high moisture content (82.61%). By 100 DAA, the fruits reached an average length of 1.19 cm and width of 0.70 cm, with moisture content reduced to 51.40%, reflecting the transition from water accumulation to preparation for seed dispersal. Changes in fruit color, from green to yellow-green and then red-purple, aligned with ripening processes and served as visual cues for harvest timing. These trends are consistent with observations in other species, where moisture loss and color changes signal maturation (Kundu and Singh 2021; </w:t>
      </w:r>
      <w:proofErr w:type="spellStart"/>
      <w:r w:rsidRPr="004E154F">
        <w:rPr>
          <w:sz w:val="20"/>
          <w:szCs w:val="20"/>
        </w:rPr>
        <w:t>Rathiesh</w:t>
      </w:r>
      <w:proofErr w:type="spellEnd"/>
      <w:r w:rsidRPr="004E154F">
        <w:rPr>
          <w:sz w:val="20"/>
          <w:szCs w:val="20"/>
        </w:rPr>
        <w:t xml:space="preserve"> and Negi 2020).</w:t>
      </w:r>
    </w:p>
    <w:p w14:paraId="0ACDB107" w14:textId="77777777" w:rsidR="004E154F" w:rsidRPr="004E154F" w:rsidRDefault="004E154F" w:rsidP="00AD1BAB">
      <w:pPr>
        <w:pStyle w:val="NormalWeb"/>
        <w:spacing w:line="360" w:lineRule="auto"/>
        <w:jc w:val="both"/>
        <w:rPr>
          <w:sz w:val="20"/>
          <w:szCs w:val="20"/>
        </w:rPr>
      </w:pPr>
      <w:r w:rsidRPr="004E154F">
        <w:rPr>
          <w:sz w:val="20"/>
          <w:szCs w:val="20"/>
        </w:rPr>
        <w:t xml:space="preserve">Similarly, the seeds of </w:t>
      </w:r>
      <w:r w:rsidRPr="004E154F">
        <w:rPr>
          <w:rStyle w:val="Emphasis"/>
          <w:sz w:val="20"/>
          <w:szCs w:val="20"/>
        </w:rPr>
        <w:t>C. wightii</w:t>
      </w:r>
      <w:r w:rsidRPr="004E154F">
        <w:rPr>
          <w:sz w:val="20"/>
          <w:szCs w:val="20"/>
        </w:rPr>
        <w:t xml:space="preserve"> exhibited notable changes in size, weight, and color during maturation. At 40 DAA, seeds measured 0.59 cm in length and 0.46 cm in width with a moisture content of 46.36%. As maturation progressed, both fresh and dry weights increased significantly, with the fresh weight of 100 seeds rising from 1.97 g at 40 DAA to 5.42 g at 90 DAA. Color changes, progressing from yellow-green to red-purple and black, reflected chemical and physiological transformations, such as the development of protective pigments and initiation of </w:t>
      </w:r>
      <w:r w:rsidRPr="004E154F">
        <w:rPr>
          <w:sz w:val="20"/>
          <w:szCs w:val="20"/>
        </w:rPr>
        <w:lastRenderedPageBreak/>
        <w:t xml:space="preserve">dormancy mechanisms. The observed moisture content reduction, from 46.36% at 40 DAA to 14.59% at 100 DAA, aligns with seed desiccation, crucial for longevity and viability. The relationship between seed dry weight and viability underscores the importance of harvesting at optimal maturity stages to maximize germination potential and storage life. However, this correlation often varies among species and environmental conditions (Takac </w:t>
      </w:r>
      <w:commentRangeStart w:id="13"/>
      <w:r w:rsidRPr="004E154F">
        <w:rPr>
          <w:sz w:val="20"/>
          <w:szCs w:val="20"/>
        </w:rPr>
        <w:t>et al</w:t>
      </w:r>
      <w:commentRangeEnd w:id="13"/>
      <w:r w:rsidR="00C04F4F">
        <w:rPr>
          <w:rStyle w:val="CommentReference"/>
          <w:rFonts w:asciiTheme="minorHAnsi" w:eastAsiaTheme="minorHAnsi" w:hAnsiTheme="minorHAnsi" w:cstheme="minorBidi"/>
          <w:kern w:val="2"/>
          <w:lang w:eastAsia="en-US"/>
          <w14:ligatures w14:val="standardContextual"/>
        </w:rPr>
        <w:commentReference w:id="13"/>
      </w:r>
      <w:r w:rsidRPr="004E154F">
        <w:rPr>
          <w:sz w:val="20"/>
          <w:szCs w:val="20"/>
        </w:rPr>
        <w:t xml:space="preserve">. 2015; </w:t>
      </w:r>
      <w:proofErr w:type="spellStart"/>
      <w:r w:rsidRPr="004E154F">
        <w:rPr>
          <w:sz w:val="20"/>
          <w:szCs w:val="20"/>
        </w:rPr>
        <w:t>Bortey</w:t>
      </w:r>
      <w:proofErr w:type="spellEnd"/>
      <w:r w:rsidRPr="004E154F">
        <w:rPr>
          <w:sz w:val="20"/>
          <w:szCs w:val="20"/>
        </w:rPr>
        <w:t xml:space="preserve"> and </w:t>
      </w:r>
      <w:proofErr w:type="spellStart"/>
      <w:r w:rsidRPr="004E154F">
        <w:rPr>
          <w:sz w:val="20"/>
          <w:szCs w:val="20"/>
        </w:rPr>
        <w:t>Dzomeku</w:t>
      </w:r>
      <w:proofErr w:type="spellEnd"/>
      <w:r w:rsidRPr="004E154F">
        <w:rPr>
          <w:sz w:val="20"/>
          <w:szCs w:val="20"/>
        </w:rPr>
        <w:t xml:space="preserve"> 2016; Ribalta </w:t>
      </w:r>
      <w:commentRangeStart w:id="14"/>
      <w:r w:rsidRPr="004E154F">
        <w:rPr>
          <w:sz w:val="20"/>
          <w:szCs w:val="20"/>
        </w:rPr>
        <w:t xml:space="preserve">et al. </w:t>
      </w:r>
      <w:commentRangeEnd w:id="14"/>
      <w:r w:rsidR="00C04F4F">
        <w:rPr>
          <w:rStyle w:val="CommentReference"/>
          <w:rFonts w:asciiTheme="minorHAnsi" w:eastAsiaTheme="minorHAnsi" w:hAnsiTheme="minorHAnsi" w:cstheme="minorBidi"/>
          <w:kern w:val="2"/>
          <w:lang w:eastAsia="en-US"/>
          <w14:ligatures w14:val="standardContextual"/>
        </w:rPr>
        <w:commentReference w:id="14"/>
      </w:r>
      <w:r w:rsidRPr="004E154F">
        <w:rPr>
          <w:sz w:val="20"/>
          <w:szCs w:val="20"/>
        </w:rPr>
        <w:t xml:space="preserve">2017). For example, cone color transitions from light green to dark brown in </w:t>
      </w:r>
      <w:proofErr w:type="spellStart"/>
      <w:r w:rsidRPr="004E154F">
        <w:rPr>
          <w:rStyle w:val="Emphasis"/>
          <w:sz w:val="20"/>
          <w:szCs w:val="20"/>
        </w:rPr>
        <w:t>Cedrus</w:t>
      </w:r>
      <w:proofErr w:type="spellEnd"/>
      <w:r w:rsidRPr="004E154F">
        <w:rPr>
          <w:rStyle w:val="Emphasis"/>
          <w:sz w:val="20"/>
          <w:szCs w:val="20"/>
        </w:rPr>
        <w:t xml:space="preserve"> deodara</w:t>
      </w:r>
      <w:r w:rsidRPr="004E154F">
        <w:rPr>
          <w:sz w:val="20"/>
          <w:szCs w:val="20"/>
        </w:rPr>
        <w:t xml:space="preserve"> serve as a reliable maturity index (Mughal and Thapliyal 2006).</w:t>
      </w:r>
    </w:p>
    <w:p w14:paraId="100D13D7" w14:textId="77777777" w:rsidR="004E154F" w:rsidRPr="004E154F" w:rsidRDefault="004E154F" w:rsidP="00AD1BAB">
      <w:pPr>
        <w:pStyle w:val="NormalWeb"/>
        <w:spacing w:line="360" w:lineRule="auto"/>
        <w:jc w:val="both"/>
        <w:rPr>
          <w:sz w:val="20"/>
          <w:szCs w:val="20"/>
        </w:rPr>
      </w:pPr>
      <w:r w:rsidRPr="004E154F">
        <w:rPr>
          <w:sz w:val="20"/>
          <w:szCs w:val="20"/>
        </w:rPr>
        <w:t xml:space="preserve">In </w:t>
      </w:r>
      <w:r w:rsidRPr="004E154F">
        <w:rPr>
          <w:rStyle w:val="Emphasis"/>
          <w:sz w:val="20"/>
          <w:szCs w:val="20"/>
        </w:rPr>
        <w:t>C. wightii</w:t>
      </w:r>
      <w:r w:rsidRPr="004E154F">
        <w:rPr>
          <w:sz w:val="20"/>
          <w:szCs w:val="20"/>
        </w:rPr>
        <w:t>, germination rates were initially zero until 80 DAA, likely due to dormancy mechanisms, but began to rise significantly after 90 DAA, reaching 14.50% at 100 DAA. Seedling length also increased steadily, from 6.83 cm at 80 DAA to 8.55 cm at 100 DAA, indicating the seeds’ readiness for healthy seedling establishment. The seed vigor index, combining germination percentage and seedling growth, showed a sharp increase from 25.66 at 80 DAA to 185.68 at 100 DAA, reflecting improved seed vitality due to energy reserve accumulation and metabolic stabilization. These findings echo similar trends observed in other species, where fruit size, weight, and seed development are influenced by genetic and environmental factors, as well as competition for assimilates during the maturation phase (Sharma and Sharma 1990; Sharma and Nigam 1994; Sud et al. 1979).</w:t>
      </w:r>
    </w:p>
    <w:p w14:paraId="60BEDEB8" w14:textId="77777777" w:rsidR="004E154F" w:rsidRPr="004E154F" w:rsidRDefault="004E154F" w:rsidP="00AD1BAB">
      <w:pPr>
        <w:pStyle w:val="NormalWeb"/>
        <w:spacing w:line="360" w:lineRule="auto"/>
        <w:jc w:val="both"/>
        <w:rPr>
          <w:sz w:val="20"/>
          <w:szCs w:val="20"/>
        </w:rPr>
      </w:pPr>
      <w:r w:rsidRPr="004E154F">
        <w:rPr>
          <w:sz w:val="20"/>
          <w:szCs w:val="20"/>
        </w:rPr>
        <w:t xml:space="preserve">Accurate documentation of color changes during maturation is particularly crucial. The RHS Colour Chart (Royal Horticultural Society 2015) provides a standardized approach for categorizing these changes, enhancing reproducibility and comparative research. For </w:t>
      </w:r>
      <w:r w:rsidRPr="004E154F">
        <w:rPr>
          <w:rStyle w:val="Emphasis"/>
          <w:sz w:val="20"/>
          <w:szCs w:val="20"/>
        </w:rPr>
        <w:t>C. wightii</w:t>
      </w:r>
      <w:r w:rsidRPr="004E154F">
        <w:rPr>
          <w:sz w:val="20"/>
          <w:szCs w:val="20"/>
        </w:rPr>
        <w:t xml:space="preserve">, shifts from green (Group 142, Strong Yellow Green) at 40 DAA to red-purple hues (Groups 58 and 59, Moderate Purplish Red) at 80–100 DAA were instrumental in correlating visual markers with physiological maturity. These observations align with other studies, which document dramatic changes in fruit color due to chloroplast replacement by chromoplasts and carotenoids (Leopold and </w:t>
      </w:r>
      <w:proofErr w:type="spellStart"/>
      <w:r w:rsidRPr="004E154F">
        <w:rPr>
          <w:sz w:val="20"/>
          <w:szCs w:val="20"/>
        </w:rPr>
        <w:t>Kriedmann</w:t>
      </w:r>
      <w:proofErr w:type="spellEnd"/>
      <w:r w:rsidRPr="004E154F">
        <w:rPr>
          <w:sz w:val="20"/>
          <w:szCs w:val="20"/>
        </w:rPr>
        <w:t xml:space="preserve"> 1983).</w:t>
      </w:r>
    </w:p>
    <w:p w14:paraId="15731ADA" w14:textId="77777777" w:rsidR="004E154F" w:rsidRDefault="004E154F" w:rsidP="00AD1BAB">
      <w:pPr>
        <w:pStyle w:val="NormalWeb"/>
        <w:spacing w:line="360" w:lineRule="auto"/>
        <w:jc w:val="both"/>
      </w:pPr>
      <w:r w:rsidRPr="004E154F">
        <w:rPr>
          <w:sz w:val="20"/>
          <w:szCs w:val="20"/>
        </w:rPr>
        <w:t xml:space="preserve">Parallel research highlights the relevance of similar phenological and germination insights in ecological restoration efforts. For example, Nuñez-Cruz, Meave, and Bonfil (2024) studied the reproductive phenology of tropical dry forest species, noting significant seasonal variations in flowering and fruiting and the role of pre-germination treatments in improving germination success. </w:t>
      </w:r>
      <w:proofErr w:type="spellStart"/>
      <w:r w:rsidRPr="004E154F">
        <w:rPr>
          <w:sz w:val="20"/>
          <w:szCs w:val="20"/>
        </w:rPr>
        <w:t>Tamta</w:t>
      </w:r>
      <w:proofErr w:type="spellEnd"/>
      <w:r w:rsidRPr="004E154F">
        <w:rPr>
          <w:sz w:val="20"/>
          <w:szCs w:val="20"/>
        </w:rPr>
        <w:t xml:space="preserve"> and Tewari (2018) emphasized the disparity between fruit and seed maturation timings in </w:t>
      </w:r>
      <w:r w:rsidRPr="004E154F">
        <w:rPr>
          <w:rStyle w:val="Emphasis"/>
          <w:sz w:val="20"/>
          <w:szCs w:val="20"/>
        </w:rPr>
        <w:t xml:space="preserve">Prunus </w:t>
      </w:r>
      <w:proofErr w:type="spellStart"/>
      <w:r w:rsidRPr="004E154F">
        <w:rPr>
          <w:rStyle w:val="Emphasis"/>
          <w:sz w:val="20"/>
          <w:szCs w:val="20"/>
        </w:rPr>
        <w:t>armeniaca</w:t>
      </w:r>
      <w:proofErr w:type="spellEnd"/>
      <w:r w:rsidRPr="004E154F">
        <w:rPr>
          <w:sz w:val="20"/>
          <w:szCs w:val="20"/>
        </w:rPr>
        <w:t>, stressing the need for optimal seed collection to enhance conservation efforts. Research on grapefruit by El-</w:t>
      </w:r>
      <w:proofErr w:type="spellStart"/>
      <w:r w:rsidRPr="004E154F">
        <w:rPr>
          <w:sz w:val="20"/>
          <w:szCs w:val="20"/>
        </w:rPr>
        <w:t>Beltagi</w:t>
      </w:r>
      <w:proofErr w:type="spellEnd"/>
      <w:r w:rsidRPr="004E154F">
        <w:rPr>
          <w:sz w:val="20"/>
          <w:szCs w:val="20"/>
        </w:rPr>
        <w:t xml:space="preserve"> </w:t>
      </w:r>
      <w:commentRangeStart w:id="15"/>
      <w:r w:rsidRPr="004E154F">
        <w:rPr>
          <w:sz w:val="20"/>
          <w:szCs w:val="20"/>
        </w:rPr>
        <w:t>et al</w:t>
      </w:r>
      <w:commentRangeEnd w:id="15"/>
      <w:r w:rsidR="00C04F4F">
        <w:rPr>
          <w:rStyle w:val="CommentReference"/>
          <w:rFonts w:asciiTheme="minorHAnsi" w:eastAsiaTheme="minorHAnsi" w:hAnsiTheme="minorHAnsi" w:cstheme="minorBidi"/>
          <w:kern w:val="2"/>
          <w:lang w:eastAsia="en-US"/>
          <w14:ligatures w14:val="standardContextual"/>
        </w:rPr>
        <w:commentReference w:id="15"/>
      </w:r>
      <w:r w:rsidRPr="004E154F">
        <w:rPr>
          <w:sz w:val="20"/>
          <w:szCs w:val="20"/>
        </w:rPr>
        <w:t xml:space="preserve">. (2022) revealed that maturity stages significantly influenced quality attributes during storage. For </w:t>
      </w:r>
      <w:r w:rsidRPr="004E154F">
        <w:rPr>
          <w:rStyle w:val="Emphasis"/>
          <w:sz w:val="20"/>
          <w:szCs w:val="20"/>
        </w:rPr>
        <w:t>C. wightii</w:t>
      </w:r>
      <w:r w:rsidRPr="004E154F">
        <w:rPr>
          <w:sz w:val="20"/>
          <w:szCs w:val="20"/>
        </w:rPr>
        <w:t>, the detailed understanding of fruit and seed maturation, supported by physiological, morphological, and visual indicators, is invaluable for developing strategies to improve propagation, nursery practices, and conservation efforts. These insights, coupled with standardized methods like the RHS Colour Chart, contribute significantly to the broader goals of forest species conservation and sustainable utilization.</w:t>
      </w:r>
    </w:p>
    <w:p w14:paraId="5D00D752" w14:textId="77777777" w:rsidR="004F69C6" w:rsidRPr="003552ED" w:rsidRDefault="004F69C6" w:rsidP="00AD1BAB">
      <w:pPr>
        <w:spacing w:line="360" w:lineRule="auto"/>
        <w:jc w:val="both"/>
        <w:rPr>
          <w:rFonts w:ascii="Times New Roman" w:hAnsi="Times New Roman" w:cs="Times New Roman"/>
          <w:b/>
          <w:bCs/>
          <w:i/>
          <w:iCs/>
          <w:sz w:val="20"/>
          <w:szCs w:val="20"/>
        </w:rPr>
      </w:pPr>
      <w:r w:rsidRPr="003552ED">
        <w:rPr>
          <w:rFonts w:ascii="Times New Roman" w:hAnsi="Times New Roman" w:cs="Times New Roman"/>
          <w:b/>
          <w:bCs/>
          <w:i/>
          <w:iCs/>
          <w:sz w:val="20"/>
          <w:szCs w:val="20"/>
        </w:rPr>
        <w:t>Implications for Cultivation and Harvesting</w:t>
      </w:r>
    </w:p>
    <w:p w14:paraId="3EB3B771" w14:textId="0E7421E6" w:rsidR="004F69C6" w:rsidRPr="003D34F7" w:rsidRDefault="004F69C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The results of this study provide valuable insights into the optimal timing for harvesting both fruit and seeds of </w:t>
      </w:r>
      <w:r w:rsidRPr="003D34F7">
        <w:rPr>
          <w:rFonts w:ascii="Times New Roman" w:hAnsi="Times New Roman" w:cs="Times New Roman"/>
          <w:i/>
          <w:sz w:val="20"/>
          <w:szCs w:val="20"/>
        </w:rPr>
        <w:t>C. wightii.</w:t>
      </w:r>
      <w:r w:rsidRPr="003D34F7">
        <w:rPr>
          <w:rFonts w:ascii="Times New Roman" w:hAnsi="Times New Roman" w:cs="Times New Roman"/>
          <w:sz w:val="20"/>
          <w:szCs w:val="20"/>
        </w:rPr>
        <w:t xml:space="preserve"> The significant changes in fruit and seed characteristics, along with the physiological parameters, suggest that harvesting should be timed based on the developmental stage of the fruit and seed. The fruit should likely be harvested around 80-90 DAA, when the seed development is sufficiently advanced, but the fruit has not </w:t>
      </w:r>
      <w:r w:rsidRPr="003D34F7">
        <w:rPr>
          <w:rFonts w:ascii="Times New Roman" w:hAnsi="Times New Roman" w:cs="Times New Roman"/>
          <w:sz w:val="20"/>
          <w:szCs w:val="20"/>
        </w:rPr>
        <w:lastRenderedPageBreak/>
        <w:t>yet undergone excessive drying. For seed collection, the 100 DAA stage would be ideal, as it corresponds to the period when seeds are mature, with improved germination potential and seedling vigor</w:t>
      </w:r>
      <w:r w:rsidR="003552ED">
        <w:rPr>
          <w:rFonts w:ascii="Times New Roman" w:hAnsi="Times New Roman" w:cs="Times New Roman"/>
          <w:sz w:val="20"/>
          <w:szCs w:val="20"/>
        </w:rPr>
        <w:t>, however natural seed fall may affect the seed availability at this stage</w:t>
      </w:r>
      <w:r w:rsidRPr="003D34F7">
        <w:rPr>
          <w:rFonts w:ascii="Times New Roman" w:hAnsi="Times New Roman" w:cs="Times New Roman"/>
          <w:sz w:val="20"/>
          <w:szCs w:val="20"/>
        </w:rPr>
        <w:t>.</w:t>
      </w:r>
    </w:p>
    <w:p w14:paraId="18C0B6CE" w14:textId="77777777" w:rsidR="004F1296" w:rsidRPr="003552ED" w:rsidRDefault="004F1296" w:rsidP="00AD1BAB">
      <w:pPr>
        <w:spacing w:line="360" w:lineRule="auto"/>
        <w:jc w:val="both"/>
        <w:rPr>
          <w:rFonts w:ascii="Times New Roman" w:hAnsi="Times New Roman" w:cs="Times New Roman"/>
          <w:b/>
          <w:bCs/>
          <w:i/>
          <w:iCs/>
          <w:sz w:val="20"/>
          <w:szCs w:val="20"/>
        </w:rPr>
      </w:pPr>
      <w:r w:rsidRPr="003552ED">
        <w:rPr>
          <w:rFonts w:ascii="Times New Roman" w:hAnsi="Times New Roman" w:cs="Times New Roman"/>
          <w:b/>
          <w:bCs/>
          <w:i/>
          <w:iCs/>
          <w:sz w:val="20"/>
          <w:szCs w:val="20"/>
        </w:rPr>
        <w:t xml:space="preserve">Conclusion </w:t>
      </w:r>
    </w:p>
    <w:p w14:paraId="0C15726D" w14:textId="6E0314FD" w:rsidR="008C206B" w:rsidRPr="003D34F7" w:rsidRDefault="004F69C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In conclusion, this study underscores the importance of understanding the developmental and physiological changes in </w:t>
      </w:r>
      <w:commentRangeStart w:id="16"/>
      <w:r w:rsidRPr="003D34F7">
        <w:rPr>
          <w:rFonts w:ascii="Times New Roman" w:hAnsi="Times New Roman" w:cs="Times New Roman"/>
          <w:sz w:val="20"/>
          <w:szCs w:val="20"/>
        </w:rPr>
        <w:t xml:space="preserve">C. </w:t>
      </w:r>
      <w:commentRangeEnd w:id="16"/>
      <w:r w:rsidR="00C04F4F">
        <w:rPr>
          <w:rStyle w:val="CommentReference"/>
        </w:rPr>
        <w:commentReference w:id="16"/>
      </w:r>
      <w:proofErr w:type="spellStart"/>
      <w:r w:rsidRPr="003D34F7">
        <w:rPr>
          <w:rFonts w:ascii="Times New Roman" w:hAnsi="Times New Roman" w:cs="Times New Roman"/>
          <w:sz w:val="20"/>
          <w:szCs w:val="20"/>
        </w:rPr>
        <w:t>wightii</w:t>
      </w:r>
      <w:proofErr w:type="spellEnd"/>
      <w:r w:rsidRPr="003D34F7">
        <w:rPr>
          <w:rFonts w:ascii="Times New Roman" w:hAnsi="Times New Roman" w:cs="Times New Roman"/>
          <w:sz w:val="20"/>
          <w:szCs w:val="20"/>
        </w:rPr>
        <w:t xml:space="preserve"> at various stages of maturation. These insights not only enhance the potential for successful cultivation and harvesting of this species but also contribute to broader efforts in the sustainable management of plant resources. Further research into the environmental conditions influencing seed maturation and germination could provide additional strategies for optimizing seedling establishment in various habitats.</w:t>
      </w:r>
    </w:p>
    <w:p w14:paraId="0B695814" w14:textId="77777777" w:rsidR="003D34F7" w:rsidRPr="007D1C94" w:rsidRDefault="003D34F7" w:rsidP="00AD1BAB">
      <w:pPr>
        <w:spacing w:line="360" w:lineRule="auto"/>
        <w:jc w:val="both"/>
        <w:rPr>
          <w:rFonts w:ascii="Times New Roman" w:hAnsi="Times New Roman" w:cs="Times New Roman"/>
          <w:b/>
          <w:sz w:val="20"/>
          <w:szCs w:val="20"/>
        </w:rPr>
      </w:pPr>
      <w:r w:rsidRPr="007D1C94">
        <w:rPr>
          <w:rFonts w:ascii="Times New Roman" w:hAnsi="Times New Roman" w:cs="Times New Roman"/>
          <w:b/>
          <w:sz w:val="20"/>
          <w:szCs w:val="20"/>
        </w:rPr>
        <w:t>Data Availability Declaration</w:t>
      </w:r>
    </w:p>
    <w:p w14:paraId="6364A62B" w14:textId="1B07687F" w:rsidR="003D34F7" w:rsidRDefault="003D34F7" w:rsidP="00AD1BAB">
      <w:pPr>
        <w:spacing w:line="360" w:lineRule="auto"/>
        <w:jc w:val="both"/>
        <w:rPr>
          <w:rFonts w:ascii="Times New Roman" w:hAnsi="Times New Roman" w:cs="Times New Roman"/>
          <w:bCs/>
          <w:sz w:val="20"/>
          <w:szCs w:val="20"/>
        </w:rPr>
      </w:pPr>
      <w:r w:rsidRPr="007D1C94">
        <w:rPr>
          <w:rFonts w:ascii="Times New Roman" w:hAnsi="Times New Roman" w:cs="Times New Roman"/>
          <w:bCs/>
          <w:sz w:val="20"/>
          <w:szCs w:val="20"/>
        </w:rPr>
        <w:t xml:space="preserve">The data generated and </w:t>
      </w:r>
      <w:r w:rsidR="003552ED" w:rsidRPr="007D1C94">
        <w:rPr>
          <w:rFonts w:ascii="Times New Roman" w:hAnsi="Times New Roman" w:cs="Times New Roman"/>
          <w:bCs/>
          <w:sz w:val="20"/>
          <w:szCs w:val="20"/>
        </w:rPr>
        <w:t>analysed</w:t>
      </w:r>
      <w:r w:rsidRPr="007D1C94">
        <w:rPr>
          <w:rFonts w:ascii="Times New Roman" w:hAnsi="Times New Roman" w:cs="Times New Roman"/>
          <w:bCs/>
          <w:sz w:val="20"/>
          <w:szCs w:val="20"/>
        </w:rPr>
        <w:t xml:space="preserve"> during this study are available from the corresponding author upon reasonable request.</w:t>
      </w:r>
    </w:p>
    <w:p w14:paraId="3D01E4BF" w14:textId="33CCA585" w:rsidR="00610584" w:rsidRDefault="00610584" w:rsidP="00AD1BAB">
      <w:pPr>
        <w:spacing w:line="360" w:lineRule="auto"/>
        <w:contextualSpacing/>
        <w:jc w:val="both"/>
        <w:rPr>
          <w:rFonts w:ascii="Times New Roman" w:hAnsi="Times New Roman" w:cs="Times New Roman"/>
          <w:sz w:val="20"/>
          <w:szCs w:val="20"/>
        </w:rPr>
      </w:pPr>
    </w:p>
    <w:p w14:paraId="4CF6A320" w14:textId="2CDCEB3A" w:rsidR="00D42340" w:rsidRDefault="00D42340" w:rsidP="00AD1BAB">
      <w:pPr>
        <w:spacing w:line="360" w:lineRule="auto"/>
        <w:contextualSpacing/>
        <w:jc w:val="both"/>
        <w:rPr>
          <w:rFonts w:ascii="Times New Roman" w:hAnsi="Times New Roman" w:cs="Times New Roman"/>
          <w:sz w:val="20"/>
          <w:szCs w:val="20"/>
        </w:rPr>
      </w:pPr>
    </w:p>
    <w:p w14:paraId="3238D96D" w14:textId="77777777" w:rsidR="00D42340" w:rsidRPr="003D34F7" w:rsidRDefault="00D42340" w:rsidP="00AD1BAB">
      <w:pPr>
        <w:spacing w:line="360" w:lineRule="auto"/>
        <w:contextualSpacing/>
        <w:jc w:val="both"/>
        <w:rPr>
          <w:rFonts w:ascii="Times New Roman" w:hAnsi="Times New Roman" w:cs="Times New Roman"/>
          <w:sz w:val="20"/>
          <w:szCs w:val="20"/>
        </w:rPr>
      </w:pPr>
    </w:p>
    <w:p w14:paraId="2E49BCAA" w14:textId="53DE8F83" w:rsidR="00C37A6B" w:rsidRPr="003D34F7" w:rsidRDefault="008C206B" w:rsidP="00AD1BAB">
      <w:pPr>
        <w:spacing w:line="360" w:lineRule="auto"/>
        <w:jc w:val="both"/>
        <w:rPr>
          <w:rFonts w:ascii="Times New Roman" w:hAnsi="Times New Roman" w:cs="Times New Roman"/>
          <w:b/>
          <w:bCs/>
          <w:sz w:val="20"/>
          <w:szCs w:val="20"/>
        </w:rPr>
      </w:pPr>
      <w:commentRangeStart w:id="17"/>
      <w:r w:rsidRPr="003D34F7">
        <w:rPr>
          <w:rFonts w:ascii="Times New Roman" w:hAnsi="Times New Roman" w:cs="Times New Roman"/>
          <w:b/>
          <w:bCs/>
          <w:sz w:val="20"/>
          <w:szCs w:val="20"/>
        </w:rPr>
        <w:t>References</w:t>
      </w:r>
      <w:commentRangeEnd w:id="17"/>
      <w:r w:rsidR="00C04F4F">
        <w:rPr>
          <w:rStyle w:val="CommentReference"/>
        </w:rPr>
        <w:commentReference w:id="17"/>
      </w:r>
    </w:p>
    <w:p w14:paraId="4FA3B5AB" w14:textId="196522E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Abdul-Baki AA, Anderson JD (1973) Vigor determination in soybean seed by multiple criteria. Crop Sci 13(6):630–633</w:t>
      </w:r>
    </w:p>
    <w:p w14:paraId="567D2FA5" w14:textId="032AB33D"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Bhatt JR, Nair MNB, Mohan Ram HY (1989) Enhancement of oleo-gum-resin production in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by improved tapping technique. Curr Sci 58:349–357</w:t>
      </w:r>
    </w:p>
    <w:p w14:paraId="1B99B492" w14:textId="09A72B8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t>Bishoyi</w:t>
      </w:r>
      <w:proofErr w:type="spellEnd"/>
      <w:r w:rsidRPr="003D34F7">
        <w:rPr>
          <w:rFonts w:ascii="Times New Roman" w:hAnsi="Times New Roman" w:cs="Times New Roman"/>
          <w:sz w:val="20"/>
          <w:szCs w:val="20"/>
        </w:rPr>
        <w:t xml:space="preserve"> AK, </w:t>
      </w:r>
      <w:proofErr w:type="spellStart"/>
      <w:r w:rsidRPr="003D34F7">
        <w:rPr>
          <w:rFonts w:ascii="Times New Roman" w:hAnsi="Times New Roman" w:cs="Times New Roman"/>
          <w:sz w:val="20"/>
          <w:szCs w:val="20"/>
        </w:rPr>
        <w:t>Kavane</w:t>
      </w:r>
      <w:proofErr w:type="spellEnd"/>
      <w:r w:rsidRPr="003D34F7">
        <w:rPr>
          <w:rFonts w:ascii="Times New Roman" w:hAnsi="Times New Roman" w:cs="Times New Roman"/>
          <w:sz w:val="20"/>
          <w:szCs w:val="20"/>
        </w:rPr>
        <w:t xml:space="preserve"> A, Sharma A, Geetha KA, </w:t>
      </w:r>
      <w:proofErr w:type="spellStart"/>
      <w:r w:rsidRPr="003D34F7">
        <w:rPr>
          <w:rFonts w:ascii="Times New Roman" w:hAnsi="Times New Roman" w:cs="Times New Roman"/>
          <w:sz w:val="20"/>
          <w:szCs w:val="20"/>
        </w:rPr>
        <w:t>Samantaray</w:t>
      </w:r>
      <w:proofErr w:type="spellEnd"/>
      <w:r w:rsidRPr="003D34F7">
        <w:rPr>
          <w:rFonts w:ascii="Times New Roman" w:hAnsi="Times New Roman" w:cs="Times New Roman"/>
          <w:sz w:val="20"/>
          <w:szCs w:val="20"/>
        </w:rPr>
        <w:t xml:space="preserve"> S, Maiti S (2018) Molecular marker analysis of genetic diversity in relation to reproductive behavior of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populations distributed in Gujarat and Rajasthan states of India. S Afr J Bot 117:141–148. </w:t>
      </w:r>
      <w:hyperlink r:id="rId11" w:tgtFrame="_new" w:history="1">
        <w:r w:rsidRPr="003D34F7">
          <w:rPr>
            <w:rStyle w:val="Hyperlink"/>
            <w:rFonts w:ascii="Times New Roman" w:hAnsi="Times New Roman" w:cs="Times New Roman"/>
            <w:sz w:val="20"/>
            <w:szCs w:val="20"/>
          </w:rPr>
          <w:t>https://doi.org/10.1016/j.sajb.2018.05.006</w:t>
        </w:r>
      </w:hyperlink>
    </w:p>
    <w:p w14:paraId="72B10088" w14:textId="25FD7C45"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t>Bortey</w:t>
      </w:r>
      <w:proofErr w:type="spellEnd"/>
      <w:r w:rsidRPr="003D34F7">
        <w:rPr>
          <w:rFonts w:ascii="Times New Roman" w:hAnsi="Times New Roman" w:cs="Times New Roman"/>
          <w:sz w:val="20"/>
          <w:szCs w:val="20"/>
        </w:rPr>
        <w:t xml:space="preserve"> HM, </w:t>
      </w:r>
      <w:proofErr w:type="spellStart"/>
      <w:r w:rsidRPr="003D34F7">
        <w:rPr>
          <w:rFonts w:ascii="Times New Roman" w:hAnsi="Times New Roman" w:cs="Times New Roman"/>
          <w:sz w:val="20"/>
          <w:szCs w:val="20"/>
        </w:rPr>
        <w:t>Dzomeku</w:t>
      </w:r>
      <w:proofErr w:type="spellEnd"/>
      <w:r w:rsidRPr="003D34F7">
        <w:rPr>
          <w:rFonts w:ascii="Times New Roman" w:hAnsi="Times New Roman" w:cs="Times New Roman"/>
          <w:sz w:val="20"/>
          <w:szCs w:val="20"/>
        </w:rPr>
        <w:t xml:space="preserve"> BM (2016) Fruit and seed quality of okra (</w:t>
      </w:r>
      <w:r w:rsidRPr="003D34F7">
        <w:rPr>
          <w:rStyle w:val="Emphasis"/>
          <w:rFonts w:ascii="Times New Roman" w:hAnsi="Times New Roman" w:cs="Times New Roman"/>
          <w:sz w:val="20"/>
          <w:szCs w:val="20"/>
        </w:rPr>
        <w:t>Abelmoschus esculentus</w:t>
      </w:r>
      <w:r w:rsidRPr="003D34F7">
        <w:rPr>
          <w:rFonts w:ascii="Times New Roman" w:hAnsi="Times New Roman" w:cs="Times New Roman"/>
          <w:sz w:val="20"/>
          <w:szCs w:val="20"/>
        </w:rPr>
        <w:t xml:space="preserve"> (L.) Moench) as influenced by harvesting stage and drying method. Indian J Agric Res 50(4):330–334</w:t>
      </w:r>
    </w:p>
    <w:p w14:paraId="0B6E43CA" w14:textId="3D6E447F"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Dixit AM, Subba Rao SV (2000) Observation on distribution and habitat characteristics of </w:t>
      </w:r>
      <w:proofErr w:type="spellStart"/>
      <w:r w:rsidRPr="003D34F7">
        <w:rPr>
          <w:rFonts w:ascii="Times New Roman" w:hAnsi="Times New Roman" w:cs="Times New Roman"/>
          <w:sz w:val="20"/>
          <w:szCs w:val="20"/>
        </w:rPr>
        <w:t>Guggal</w:t>
      </w:r>
      <w:proofErr w:type="spellEnd"/>
      <w:r w:rsidRPr="003D34F7">
        <w:rPr>
          <w:rFonts w:ascii="Times New Roman" w:hAnsi="Times New Roman" w:cs="Times New Roman"/>
          <w:sz w:val="20"/>
          <w:szCs w:val="20"/>
        </w:rPr>
        <w:t xml:space="preserve"> (</w:t>
      </w:r>
      <w:r w:rsidRPr="003D34F7">
        <w:rPr>
          <w:rStyle w:val="Emphasis"/>
          <w:rFonts w:ascii="Times New Roman" w:hAnsi="Times New Roman" w:cs="Times New Roman"/>
          <w:sz w:val="20"/>
          <w:szCs w:val="20"/>
        </w:rPr>
        <w:t xml:space="preserve">Commiphora </w:t>
      </w:r>
      <w:proofErr w:type="spellStart"/>
      <w:r w:rsidRPr="003D34F7">
        <w:rPr>
          <w:rStyle w:val="Emphasis"/>
          <w:rFonts w:ascii="Times New Roman" w:hAnsi="Times New Roman" w:cs="Times New Roman"/>
          <w:sz w:val="20"/>
          <w:szCs w:val="20"/>
        </w:rPr>
        <w:t>wightii</w:t>
      </w:r>
      <w:proofErr w:type="spellEnd"/>
      <w:r w:rsidRPr="003D34F7">
        <w:rPr>
          <w:rFonts w:ascii="Times New Roman" w:hAnsi="Times New Roman" w:cs="Times New Roman"/>
          <w:sz w:val="20"/>
          <w:szCs w:val="20"/>
        </w:rPr>
        <w:t xml:space="preserve">) in the arid region of </w:t>
      </w:r>
      <w:proofErr w:type="spellStart"/>
      <w:r w:rsidRPr="003D34F7">
        <w:rPr>
          <w:rFonts w:ascii="Times New Roman" w:hAnsi="Times New Roman" w:cs="Times New Roman"/>
          <w:sz w:val="20"/>
          <w:szCs w:val="20"/>
        </w:rPr>
        <w:t>Kachch</w:t>
      </w:r>
      <w:proofErr w:type="spellEnd"/>
      <w:r w:rsidRPr="003D34F7">
        <w:rPr>
          <w:rFonts w:ascii="Times New Roman" w:hAnsi="Times New Roman" w:cs="Times New Roman"/>
          <w:sz w:val="20"/>
          <w:szCs w:val="20"/>
        </w:rPr>
        <w:t xml:space="preserve">, Gujarat (India). Trop </w:t>
      </w:r>
      <w:proofErr w:type="spellStart"/>
      <w:r w:rsidRPr="003D34F7">
        <w:rPr>
          <w:rFonts w:ascii="Times New Roman" w:hAnsi="Times New Roman" w:cs="Times New Roman"/>
          <w:sz w:val="20"/>
          <w:szCs w:val="20"/>
        </w:rPr>
        <w:t>Ecol</w:t>
      </w:r>
      <w:proofErr w:type="spellEnd"/>
      <w:r w:rsidRPr="003D34F7">
        <w:rPr>
          <w:rFonts w:ascii="Times New Roman" w:hAnsi="Times New Roman" w:cs="Times New Roman"/>
          <w:sz w:val="20"/>
          <w:szCs w:val="20"/>
        </w:rPr>
        <w:t xml:space="preserve"> 41(1):81–88</w:t>
      </w:r>
    </w:p>
    <w:p w14:paraId="202B62E5" w14:textId="52844346"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El-</w:t>
      </w:r>
      <w:proofErr w:type="spellStart"/>
      <w:r w:rsidRPr="003D34F7">
        <w:rPr>
          <w:rFonts w:ascii="Times New Roman" w:hAnsi="Times New Roman" w:cs="Times New Roman"/>
          <w:sz w:val="20"/>
          <w:szCs w:val="20"/>
        </w:rPr>
        <w:t>Beltagi</w:t>
      </w:r>
      <w:proofErr w:type="spellEnd"/>
      <w:r w:rsidRPr="003D34F7">
        <w:rPr>
          <w:rFonts w:ascii="Times New Roman" w:hAnsi="Times New Roman" w:cs="Times New Roman"/>
          <w:sz w:val="20"/>
          <w:szCs w:val="20"/>
        </w:rPr>
        <w:t xml:space="preserve"> H, Ullah I, Sajid M, Basit A, Shehata W, Shah S, </w:t>
      </w:r>
      <w:proofErr w:type="spellStart"/>
      <w:r w:rsidRPr="003D34F7">
        <w:rPr>
          <w:rFonts w:ascii="Times New Roman" w:hAnsi="Times New Roman" w:cs="Times New Roman"/>
          <w:sz w:val="20"/>
          <w:szCs w:val="20"/>
        </w:rPr>
        <w:t>Alturki</w:t>
      </w:r>
      <w:proofErr w:type="spellEnd"/>
      <w:r w:rsidRPr="003D34F7">
        <w:rPr>
          <w:rFonts w:ascii="Times New Roman" w:hAnsi="Times New Roman" w:cs="Times New Roman"/>
          <w:sz w:val="20"/>
          <w:szCs w:val="20"/>
        </w:rPr>
        <w:t xml:space="preserve"> S, Ullah A, Aziz I, Ali F (2022) Influence of maturity stages on postharvest </w:t>
      </w:r>
      <w:proofErr w:type="spellStart"/>
      <w:r w:rsidRPr="003D34F7">
        <w:rPr>
          <w:rFonts w:ascii="Times New Roman" w:hAnsi="Times New Roman" w:cs="Times New Roman"/>
          <w:sz w:val="20"/>
          <w:szCs w:val="20"/>
        </w:rPr>
        <w:t>physico</w:t>
      </w:r>
      <w:proofErr w:type="spellEnd"/>
      <w:r w:rsidRPr="003D34F7">
        <w:rPr>
          <w:rFonts w:ascii="Times New Roman" w:hAnsi="Times New Roman" w:cs="Times New Roman"/>
          <w:sz w:val="20"/>
          <w:szCs w:val="20"/>
        </w:rPr>
        <w:t>-chemical properties of grapefruit (</w:t>
      </w:r>
      <w:r w:rsidRPr="003D34F7">
        <w:rPr>
          <w:rStyle w:val="Emphasis"/>
          <w:rFonts w:ascii="Times New Roman" w:hAnsi="Times New Roman" w:cs="Times New Roman"/>
          <w:sz w:val="20"/>
          <w:szCs w:val="20"/>
        </w:rPr>
        <w:t>Citrus paradisi</w:t>
      </w:r>
      <w:r w:rsidRPr="003D34F7">
        <w:rPr>
          <w:rFonts w:ascii="Times New Roman" w:hAnsi="Times New Roman" w:cs="Times New Roman"/>
          <w:sz w:val="20"/>
          <w:szCs w:val="20"/>
        </w:rPr>
        <w:t xml:space="preserve"> var. Shamber </w:t>
      </w:r>
      <w:proofErr w:type="spellStart"/>
      <w:r w:rsidRPr="003D34F7">
        <w:rPr>
          <w:rFonts w:ascii="Times New Roman" w:hAnsi="Times New Roman" w:cs="Times New Roman"/>
          <w:sz w:val="20"/>
          <w:szCs w:val="20"/>
        </w:rPr>
        <w:t>Tarnab</w:t>
      </w:r>
      <w:proofErr w:type="spellEnd"/>
      <w:r w:rsidRPr="003D34F7">
        <w:rPr>
          <w:rFonts w:ascii="Times New Roman" w:hAnsi="Times New Roman" w:cs="Times New Roman"/>
          <w:sz w:val="20"/>
          <w:szCs w:val="20"/>
        </w:rPr>
        <w:t xml:space="preserve">) under different storage durations. Not Bot Horti </w:t>
      </w:r>
      <w:proofErr w:type="spellStart"/>
      <w:r w:rsidRPr="003D34F7">
        <w:rPr>
          <w:rFonts w:ascii="Times New Roman" w:hAnsi="Times New Roman" w:cs="Times New Roman"/>
          <w:sz w:val="20"/>
          <w:szCs w:val="20"/>
        </w:rPr>
        <w:t>Agrobo</w:t>
      </w:r>
      <w:proofErr w:type="spellEnd"/>
      <w:r w:rsidRPr="003D34F7">
        <w:rPr>
          <w:rFonts w:ascii="Times New Roman" w:hAnsi="Times New Roman" w:cs="Times New Roman"/>
          <w:sz w:val="20"/>
          <w:szCs w:val="20"/>
        </w:rPr>
        <w:t xml:space="preserve"> 50(1). </w:t>
      </w:r>
      <w:hyperlink r:id="rId12" w:tgtFrame="_new" w:history="1">
        <w:r w:rsidRPr="003D34F7">
          <w:rPr>
            <w:rStyle w:val="Hyperlink"/>
            <w:rFonts w:ascii="Times New Roman" w:hAnsi="Times New Roman" w:cs="Times New Roman"/>
            <w:sz w:val="20"/>
            <w:szCs w:val="20"/>
          </w:rPr>
          <w:t>https://doi.org/10.15835/nbha50112620</w:t>
        </w:r>
      </w:hyperlink>
    </w:p>
    <w:p w14:paraId="3B7D9BBF" w14:textId="5463C2EB"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Gera M, Gera N, Sharma (2001) Estimation of variability in the growth characters of forty clones of </w:t>
      </w:r>
      <w:r w:rsidRPr="003D34F7">
        <w:rPr>
          <w:rStyle w:val="Emphasis"/>
          <w:rFonts w:ascii="Times New Roman" w:hAnsi="Times New Roman" w:cs="Times New Roman"/>
          <w:sz w:val="20"/>
          <w:szCs w:val="20"/>
        </w:rPr>
        <w:t>Tectona grandis</w:t>
      </w:r>
      <w:r w:rsidRPr="003D34F7">
        <w:rPr>
          <w:rFonts w:ascii="Times New Roman" w:hAnsi="Times New Roman" w:cs="Times New Roman"/>
          <w:sz w:val="20"/>
          <w:szCs w:val="20"/>
        </w:rPr>
        <w:t xml:space="preserve"> Linn F. Indian </w:t>
      </w:r>
      <w:proofErr w:type="gramStart"/>
      <w:r w:rsidRPr="003D34F7">
        <w:rPr>
          <w:rFonts w:ascii="Times New Roman" w:hAnsi="Times New Roman" w:cs="Times New Roman"/>
          <w:sz w:val="20"/>
          <w:szCs w:val="20"/>
        </w:rPr>
        <w:t>For</w:t>
      </w:r>
      <w:proofErr w:type="gramEnd"/>
      <w:r w:rsidRPr="003D34F7">
        <w:rPr>
          <w:rFonts w:ascii="Times New Roman" w:hAnsi="Times New Roman" w:cs="Times New Roman"/>
          <w:sz w:val="20"/>
          <w:szCs w:val="20"/>
        </w:rPr>
        <w:t xml:space="preserve"> 127(6):639–644</w:t>
      </w:r>
    </w:p>
    <w:p w14:paraId="5CCCBCD6" w14:textId="76CEACCE"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Hocking D (1993) Trees for drylands. Oxford &amp; IBH Publishing, New Delhi</w:t>
      </w:r>
    </w:p>
    <w:p w14:paraId="35753E67" w14:textId="0B4B747C"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Hooker JD (1872) The Flora of British India (Part I). State for India in Council, Kent</w:t>
      </w:r>
    </w:p>
    <w:p w14:paraId="6DE7B508" w14:textId="5A8DE5EA"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Indira EP, Basha CS (1999) Effect of seeds from different sources on germination and growth in teak (</w:t>
      </w:r>
      <w:r w:rsidRPr="003D34F7">
        <w:rPr>
          <w:rStyle w:val="Emphasis"/>
          <w:rFonts w:ascii="Times New Roman" w:hAnsi="Times New Roman" w:cs="Times New Roman"/>
          <w:sz w:val="20"/>
          <w:szCs w:val="20"/>
        </w:rPr>
        <w:t>Tectona grandis</w:t>
      </w:r>
      <w:r w:rsidRPr="003D34F7">
        <w:rPr>
          <w:rFonts w:ascii="Times New Roman" w:hAnsi="Times New Roman" w:cs="Times New Roman"/>
          <w:sz w:val="20"/>
          <w:szCs w:val="20"/>
        </w:rPr>
        <w:t xml:space="preserve"> Linn f.) nursery. Ann For 7(1):39–44</w:t>
      </w:r>
    </w:p>
    <w:p w14:paraId="6D18D5E9" w14:textId="39565E6C"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lastRenderedPageBreak/>
        <w:t>Kasera</w:t>
      </w:r>
      <w:proofErr w:type="spellEnd"/>
      <w:r w:rsidRPr="003D34F7">
        <w:rPr>
          <w:rFonts w:ascii="Times New Roman" w:hAnsi="Times New Roman" w:cs="Times New Roman"/>
          <w:sz w:val="20"/>
          <w:szCs w:val="20"/>
        </w:rPr>
        <w:t xml:space="preserve"> PK, Prakash J (2005) Ecology and cultivation practices of </w:t>
      </w:r>
      <w:proofErr w:type="spellStart"/>
      <w:r w:rsidRPr="003D34F7">
        <w:rPr>
          <w:rFonts w:ascii="Times New Roman" w:hAnsi="Times New Roman" w:cs="Times New Roman"/>
          <w:sz w:val="20"/>
          <w:szCs w:val="20"/>
        </w:rPr>
        <w:t>Guggal</w:t>
      </w:r>
      <w:proofErr w:type="spellEnd"/>
      <w:r w:rsidRPr="003D34F7">
        <w:rPr>
          <w:rFonts w:ascii="Times New Roman" w:hAnsi="Times New Roman" w:cs="Times New Roman"/>
          <w:sz w:val="20"/>
          <w:szCs w:val="20"/>
        </w:rPr>
        <w:t xml:space="preserve"> (</w:t>
      </w:r>
      <w:r w:rsidRPr="003D34F7">
        <w:rPr>
          <w:rStyle w:val="Emphasis"/>
          <w:rFonts w:ascii="Times New Roman" w:hAnsi="Times New Roman" w:cs="Times New Roman"/>
          <w:sz w:val="20"/>
          <w:szCs w:val="20"/>
        </w:rPr>
        <w:t xml:space="preserve">Commiphora </w:t>
      </w:r>
      <w:proofErr w:type="spellStart"/>
      <w:r w:rsidRPr="003D34F7">
        <w:rPr>
          <w:rStyle w:val="Emphasis"/>
          <w:rFonts w:ascii="Times New Roman" w:hAnsi="Times New Roman" w:cs="Times New Roman"/>
          <w:sz w:val="20"/>
          <w:szCs w:val="20"/>
        </w:rPr>
        <w:t>wightii</w:t>
      </w:r>
      <w:proofErr w:type="spellEnd"/>
      <w:r w:rsidRPr="003D34F7">
        <w:rPr>
          <w:rFonts w:ascii="Times New Roman" w:hAnsi="Times New Roman" w:cs="Times New Roman"/>
          <w:sz w:val="20"/>
          <w:szCs w:val="20"/>
        </w:rPr>
        <w:t xml:space="preserve">): An endangered medicinal plant of the Thar Desert in India. In: </w:t>
      </w:r>
      <w:proofErr w:type="spellStart"/>
      <w:r w:rsidRPr="003D34F7">
        <w:rPr>
          <w:rFonts w:ascii="Times New Roman" w:hAnsi="Times New Roman" w:cs="Times New Roman"/>
          <w:sz w:val="20"/>
          <w:szCs w:val="20"/>
        </w:rPr>
        <w:t>Majumadar</w:t>
      </w:r>
      <w:proofErr w:type="spellEnd"/>
      <w:r w:rsidRPr="003D34F7">
        <w:rPr>
          <w:rFonts w:ascii="Times New Roman" w:hAnsi="Times New Roman" w:cs="Times New Roman"/>
          <w:sz w:val="20"/>
          <w:szCs w:val="20"/>
        </w:rPr>
        <w:t xml:space="preserve"> DK, Govil JN, Singh VK, Sharma RK (eds) Recent Progress in Medicinal Plants, vol 9—Plant </w:t>
      </w:r>
      <w:proofErr w:type="spellStart"/>
      <w:r w:rsidRPr="003D34F7">
        <w:rPr>
          <w:rFonts w:ascii="Times New Roman" w:hAnsi="Times New Roman" w:cs="Times New Roman"/>
          <w:sz w:val="20"/>
          <w:szCs w:val="20"/>
        </w:rPr>
        <w:t>Bioactives</w:t>
      </w:r>
      <w:proofErr w:type="spellEnd"/>
      <w:r w:rsidRPr="003D34F7">
        <w:rPr>
          <w:rFonts w:ascii="Times New Roman" w:hAnsi="Times New Roman" w:cs="Times New Roman"/>
          <w:sz w:val="20"/>
          <w:szCs w:val="20"/>
        </w:rPr>
        <w:t xml:space="preserve"> in Traditional Medicine. Stadium Press LLC, Houston, pp 403–423</w:t>
      </w:r>
    </w:p>
    <w:p w14:paraId="6CD33BF6" w14:textId="0C85F85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Kundu M, Singh T (2021) Optimal harvest time for </w:t>
      </w:r>
      <w:r w:rsidRPr="003D34F7">
        <w:rPr>
          <w:rStyle w:val="Emphasis"/>
          <w:rFonts w:ascii="Times New Roman" w:hAnsi="Times New Roman" w:cs="Times New Roman"/>
          <w:sz w:val="20"/>
          <w:szCs w:val="20"/>
        </w:rPr>
        <w:t>Butea monosperma</w:t>
      </w:r>
      <w:r w:rsidRPr="003D34F7">
        <w:rPr>
          <w:rFonts w:ascii="Times New Roman" w:hAnsi="Times New Roman" w:cs="Times New Roman"/>
          <w:sz w:val="20"/>
          <w:szCs w:val="20"/>
        </w:rPr>
        <w:t xml:space="preserve"> seeds as determined by fruit maturation stage. Int J Plant Sci 16(1):19–24. </w:t>
      </w:r>
      <w:hyperlink r:id="rId13" w:tgtFrame="_new" w:history="1">
        <w:r w:rsidRPr="003D34F7">
          <w:rPr>
            <w:rStyle w:val="Hyperlink"/>
            <w:rFonts w:ascii="Times New Roman" w:hAnsi="Times New Roman" w:cs="Times New Roman"/>
            <w:sz w:val="20"/>
            <w:szCs w:val="20"/>
          </w:rPr>
          <w:t>https://doi.org/10.15740/HAS/IJPS/16.1/19-24</w:t>
        </w:r>
      </w:hyperlink>
    </w:p>
    <w:p w14:paraId="7EB030FE" w14:textId="5B2C63B5"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Leopold AC, </w:t>
      </w:r>
      <w:proofErr w:type="spellStart"/>
      <w:r w:rsidRPr="003D34F7">
        <w:rPr>
          <w:rFonts w:ascii="Times New Roman" w:hAnsi="Times New Roman" w:cs="Times New Roman"/>
          <w:sz w:val="20"/>
          <w:szCs w:val="20"/>
        </w:rPr>
        <w:t>Kriedmann</w:t>
      </w:r>
      <w:proofErr w:type="spellEnd"/>
      <w:r w:rsidRPr="003D34F7">
        <w:rPr>
          <w:rFonts w:ascii="Times New Roman" w:hAnsi="Times New Roman" w:cs="Times New Roman"/>
          <w:sz w:val="20"/>
          <w:szCs w:val="20"/>
        </w:rPr>
        <w:t xml:space="preserve"> PE (1983) Fruiting. In: Plant growth and development. TATA McGraw-Hill Publishing Company Ltd., New Delhi, pp 305–326</w:t>
      </w:r>
    </w:p>
    <w:p w14:paraId="48547E61" w14:textId="2D0876FC"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Mughal AH, Thapliyal RC (2006) Cone and seed maturity indices in </w:t>
      </w:r>
      <w:proofErr w:type="spellStart"/>
      <w:r w:rsidRPr="003D34F7">
        <w:rPr>
          <w:rStyle w:val="Emphasis"/>
          <w:rFonts w:ascii="Times New Roman" w:hAnsi="Times New Roman" w:cs="Times New Roman"/>
          <w:sz w:val="20"/>
          <w:szCs w:val="20"/>
        </w:rPr>
        <w:t>Cedrus</w:t>
      </w:r>
      <w:proofErr w:type="spellEnd"/>
      <w:r w:rsidRPr="003D34F7">
        <w:rPr>
          <w:rStyle w:val="Emphasis"/>
          <w:rFonts w:ascii="Times New Roman" w:hAnsi="Times New Roman" w:cs="Times New Roman"/>
          <w:sz w:val="20"/>
          <w:szCs w:val="20"/>
        </w:rPr>
        <w:t xml:space="preserve"> deodara</w:t>
      </w:r>
      <w:r w:rsidRPr="003D34F7">
        <w:rPr>
          <w:rFonts w:ascii="Times New Roman" w:hAnsi="Times New Roman" w:cs="Times New Roman"/>
          <w:sz w:val="20"/>
          <w:szCs w:val="20"/>
        </w:rPr>
        <w:t xml:space="preserve"> (D. Don, G. Don). Indian J For 29(2):167–174</w:t>
      </w:r>
    </w:p>
    <w:p w14:paraId="6C811DB0" w14:textId="05BB274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Nuñez-Cruz A, Meave JA, Bonfil C (2024) Reproductive phenology and seed germination of eight species from the tropical dry forest of Morelos, Mexico: Implications for ecological restoration. J Trop </w:t>
      </w:r>
      <w:proofErr w:type="spellStart"/>
      <w:r w:rsidRPr="003D34F7">
        <w:rPr>
          <w:rFonts w:ascii="Times New Roman" w:hAnsi="Times New Roman" w:cs="Times New Roman"/>
          <w:sz w:val="20"/>
          <w:szCs w:val="20"/>
        </w:rPr>
        <w:t>Ecol</w:t>
      </w:r>
      <w:proofErr w:type="spellEnd"/>
      <w:r w:rsidRPr="003D34F7">
        <w:rPr>
          <w:rFonts w:ascii="Times New Roman" w:hAnsi="Times New Roman" w:cs="Times New Roman"/>
          <w:sz w:val="20"/>
          <w:szCs w:val="20"/>
        </w:rPr>
        <w:t xml:space="preserve"> 40(3):245–258</w:t>
      </w:r>
    </w:p>
    <w:p w14:paraId="305CC999" w14:textId="698DD76B"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Paliwal A (2010) </w:t>
      </w:r>
      <w:proofErr w:type="spellStart"/>
      <w:r w:rsidRPr="003D34F7">
        <w:rPr>
          <w:rFonts w:ascii="Times New Roman" w:hAnsi="Times New Roman" w:cs="Times New Roman"/>
          <w:sz w:val="20"/>
          <w:szCs w:val="20"/>
        </w:rPr>
        <w:t>Guggal</w:t>
      </w:r>
      <w:proofErr w:type="spellEnd"/>
      <w:r w:rsidRPr="003D34F7">
        <w:rPr>
          <w:rFonts w:ascii="Times New Roman" w:hAnsi="Times New Roman" w:cs="Times New Roman"/>
          <w:sz w:val="20"/>
          <w:szCs w:val="20"/>
        </w:rPr>
        <w:t xml:space="preserve"> faces sticky end. Down Earth 19:24–25</w:t>
      </w:r>
    </w:p>
    <w:p w14:paraId="72AEB258" w14:textId="5623FB4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Prakash J, </w:t>
      </w:r>
      <w:proofErr w:type="spellStart"/>
      <w:r w:rsidRPr="003D34F7">
        <w:rPr>
          <w:rFonts w:ascii="Times New Roman" w:hAnsi="Times New Roman" w:cs="Times New Roman"/>
          <w:sz w:val="20"/>
          <w:szCs w:val="20"/>
        </w:rPr>
        <w:t>Kasera</w:t>
      </w:r>
      <w:proofErr w:type="spellEnd"/>
      <w:r w:rsidRPr="003D34F7">
        <w:rPr>
          <w:rFonts w:ascii="Times New Roman" w:hAnsi="Times New Roman" w:cs="Times New Roman"/>
          <w:sz w:val="20"/>
          <w:szCs w:val="20"/>
        </w:rPr>
        <w:t xml:space="preserve"> PK (2000) A report on polyembryony in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from Thar Desert, India. Curr Sci 78:1185–1187</w:t>
      </w:r>
    </w:p>
    <w:p w14:paraId="32FCC9EA" w14:textId="21320528"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t>Rathiesh</w:t>
      </w:r>
      <w:proofErr w:type="spellEnd"/>
      <w:r w:rsidRPr="003D34F7">
        <w:rPr>
          <w:rFonts w:ascii="Times New Roman" w:hAnsi="Times New Roman" w:cs="Times New Roman"/>
          <w:sz w:val="20"/>
          <w:szCs w:val="20"/>
        </w:rPr>
        <w:t xml:space="preserve"> S, Negi R (2020) Seed maturity indices of </w:t>
      </w:r>
      <w:r w:rsidRPr="003D34F7">
        <w:rPr>
          <w:rStyle w:val="Emphasis"/>
          <w:rFonts w:ascii="Times New Roman" w:hAnsi="Times New Roman" w:cs="Times New Roman"/>
          <w:sz w:val="20"/>
          <w:szCs w:val="20"/>
        </w:rPr>
        <w:t>Semecarpus anacardium</w:t>
      </w:r>
      <w:r w:rsidRPr="003D34F7">
        <w:rPr>
          <w:rFonts w:ascii="Times New Roman" w:hAnsi="Times New Roman" w:cs="Times New Roman"/>
          <w:sz w:val="20"/>
          <w:szCs w:val="20"/>
        </w:rPr>
        <w:t xml:space="preserve"> (marking nut) in the Garhwal Himalayan region. Indian J For 47(4):75–83</w:t>
      </w:r>
    </w:p>
    <w:p w14:paraId="26DAD7DF" w14:textId="2A46E736"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Ribalta FM, Pazos-Navarro M, Nelson K, Edwards K, Ross JJ, Bennett RG, Munday C, Erskine W, Sergio O, </w:t>
      </w:r>
      <w:proofErr w:type="spellStart"/>
      <w:r w:rsidRPr="003D34F7">
        <w:rPr>
          <w:rFonts w:ascii="Times New Roman" w:hAnsi="Times New Roman" w:cs="Times New Roman"/>
          <w:sz w:val="20"/>
          <w:szCs w:val="20"/>
        </w:rPr>
        <w:t>Croser</w:t>
      </w:r>
      <w:proofErr w:type="spellEnd"/>
      <w:r w:rsidRPr="003D34F7">
        <w:rPr>
          <w:rFonts w:ascii="Times New Roman" w:hAnsi="Times New Roman" w:cs="Times New Roman"/>
          <w:sz w:val="20"/>
          <w:szCs w:val="20"/>
        </w:rPr>
        <w:t xml:space="preserve"> JS (2017) Precocious floral initiation and identification of exact timing of embryo physiological maturity facilitate germination of immature seeds to truncate the lifecycle of pea. Plant Growth </w:t>
      </w:r>
      <w:proofErr w:type="spellStart"/>
      <w:r w:rsidRPr="003D34F7">
        <w:rPr>
          <w:rFonts w:ascii="Times New Roman" w:hAnsi="Times New Roman" w:cs="Times New Roman"/>
          <w:sz w:val="20"/>
          <w:szCs w:val="20"/>
        </w:rPr>
        <w:t>Regul</w:t>
      </w:r>
      <w:proofErr w:type="spellEnd"/>
    </w:p>
    <w:p w14:paraId="349852E4" w14:textId="423D85FA"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Royal Horticultural Society (2015) RHS Colour Chart (6th ed). Royal Horticultural Society</w:t>
      </w:r>
    </w:p>
    <w:p w14:paraId="52B0B63D" w14:textId="7E426E4B"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Satyavati GV (1990) Use of plant drugs in Indian traditional systems of medicine and their relevance to primary health care. In: Wagner H, Farnsworth NR (eds) Economic and medicinal plant research, vol 4. Academic Press, pp 39–56</w:t>
      </w:r>
    </w:p>
    <w:p w14:paraId="604C31F4" w14:textId="797BEB06"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Sharma SD, Nigam VN (1994) Variation in biochemical constituents in pericarp and seed of developing New Castle apricot fruit. Punjab </w:t>
      </w:r>
      <w:proofErr w:type="spellStart"/>
      <w:r w:rsidRPr="003D34F7">
        <w:rPr>
          <w:rFonts w:ascii="Times New Roman" w:hAnsi="Times New Roman" w:cs="Times New Roman"/>
          <w:sz w:val="20"/>
          <w:szCs w:val="20"/>
        </w:rPr>
        <w:t>Hortic</w:t>
      </w:r>
      <w:proofErr w:type="spellEnd"/>
      <w:r w:rsidRPr="003D34F7">
        <w:rPr>
          <w:rFonts w:ascii="Times New Roman" w:hAnsi="Times New Roman" w:cs="Times New Roman"/>
          <w:sz w:val="20"/>
          <w:szCs w:val="20"/>
        </w:rPr>
        <w:t xml:space="preserve"> J 24(3–4):93–98</w:t>
      </w:r>
    </w:p>
    <w:p w14:paraId="662537C7" w14:textId="48AE3842"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Sharma SR, Sharma SD (1990) Studies on the </w:t>
      </w:r>
      <w:proofErr w:type="spellStart"/>
      <w:r w:rsidRPr="003D34F7">
        <w:rPr>
          <w:rFonts w:ascii="Times New Roman" w:hAnsi="Times New Roman" w:cs="Times New Roman"/>
          <w:sz w:val="20"/>
          <w:szCs w:val="20"/>
        </w:rPr>
        <w:t>physico</w:t>
      </w:r>
      <w:proofErr w:type="spellEnd"/>
      <w:r w:rsidRPr="003D34F7">
        <w:rPr>
          <w:rFonts w:ascii="Times New Roman" w:hAnsi="Times New Roman" w:cs="Times New Roman"/>
          <w:sz w:val="20"/>
          <w:szCs w:val="20"/>
        </w:rPr>
        <w:t>-chemical changes during fruit development of some Cv. of apricot (</w:t>
      </w:r>
      <w:r w:rsidRPr="003D34F7">
        <w:rPr>
          <w:rStyle w:val="Emphasis"/>
          <w:rFonts w:ascii="Times New Roman" w:hAnsi="Times New Roman" w:cs="Times New Roman"/>
          <w:sz w:val="20"/>
          <w:szCs w:val="20"/>
        </w:rPr>
        <w:t xml:space="preserve">Prunus </w:t>
      </w:r>
      <w:proofErr w:type="spellStart"/>
      <w:r w:rsidRPr="003D34F7">
        <w:rPr>
          <w:rStyle w:val="Emphasis"/>
          <w:rFonts w:ascii="Times New Roman" w:hAnsi="Times New Roman" w:cs="Times New Roman"/>
          <w:sz w:val="20"/>
          <w:szCs w:val="20"/>
        </w:rPr>
        <w:t>armeniaca</w:t>
      </w:r>
      <w:proofErr w:type="spellEnd"/>
      <w:r w:rsidRPr="003D34F7">
        <w:rPr>
          <w:rFonts w:ascii="Times New Roman" w:hAnsi="Times New Roman" w:cs="Times New Roman"/>
          <w:sz w:val="20"/>
          <w:szCs w:val="20"/>
        </w:rPr>
        <w:t xml:space="preserve"> L.). Haryana J </w:t>
      </w:r>
      <w:proofErr w:type="spellStart"/>
      <w:r w:rsidRPr="003D34F7">
        <w:rPr>
          <w:rFonts w:ascii="Times New Roman" w:hAnsi="Times New Roman" w:cs="Times New Roman"/>
          <w:sz w:val="20"/>
          <w:szCs w:val="20"/>
        </w:rPr>
        <w:t>Hortic</w:t>
      </w:r>
      <w:proofErr w:type="spellEnd"/>
      <w:r w:rsidRPr="003D34F7">
        <w:rPr>
          <w:rFonts w:ascii="Times New Roman" w:hAnsi="Times New Roman" w:cs="Times New Roman"/>
          <w:sz w:val="20"/>
          <w:szCs w:val="20"/>
        </w:rPr>
        <w:t xml:space="preserve"> Sci 19(1–2):33–38</w:t>
      </w:r>
    </w:p>
    <w:p w14:paraId="3CD9BAD7" w14:textId="20161B4D"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Shah JJ, Nair GM, Kothari IL (1982) Ultrastructural changes in the gum-resin ducts of the bark of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(Arnott) Bhandari induced by mechanical injury. IAWA Bull 3:185–192</w:t>
      </w:r>
    </w:p>
    <w:p w14:paraId="07E19304" w14:textId="49AF54C9"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Sud G, Kar PL, Dhuria NS (1979) Studies on maturity standard of New Castle apricot. Indian J </w:t>
      </w:r>
      <w:proofErr w:type="spellStart"/>
      <w:r w:rsidRPr="003D34F7">
        <w:rPr>
          <w:rFonts w:ascii="Times New Roman" w:hAnsi="Times New Roman" w:cs="Times New Roman"/>
          <w:sz w:val="20"/>
          <w:szCs w:val="20"/>
        </w:rPr>
        <w:t>Hortic</w:t>
      </w:r>
      <w:proofErr w:type="spellEnd"/>
      <w:r w:rsidRPr="003D34F7">
        <w:rPr>
          <w:rFonts w:ascii="Times New Roman" w:hAnsi="Times New Roman" w:cs="Times New Roman"/>
          <w:sz w:val="20"/>
          <w:szCs w:val="20"/>
        </w:rPr>
        <w:t xml:space="preserve"> 36(3):262–264</w:t>
      </w:r>
    </w:p>
    <w:p w14:paraId="73D1A9D0" w14:textId="0B1641F0"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t>Tamta</w:t>
      </w:r>
      <w:proofErr w:type="spellEnd"/>
      <w:r w:rsidRPr="003D34F7">
        <w:rPr>
          <w:rFonts w:ascii="Times New Roman" w:hAnsi="Times New Roman" w:cs="Times New Roman"/>
          <w:sz w:val="20"/>
          <w:szCs w:val="20"/>
        </w:rPr>
        <w:t xml:space="preserve"> KK, Tewari A (2018) Indicators of seed maturation in </w:t>
      </w:r>
      <w:r w:rsidRPr="003D34F7">
        <w:rPr>
          <w:rStyle w:val="Emphasis"/>
          <w:rFonts w:ascii="Times New Roman" w:hAnsi="Times New Roman" w:cs="Times New Roman"/>
          <w:sz w:val="20"/>
          <w:szCs w:val="20"/>
        </w:rPr>
        <w:t xml:space="preserve">Prunus </w:t>
      </w:r>
      <w:proofErr w:type="spellStart"/>
      <w:r w:rsidRPr="003D34F7">
        <w:rPr>
          <w:rStyle w:val="Emphasis"/>
          <w:rFonts w:ascii="Times New Roman" w:hAnsi="Times New Roman" w:cs="Times New Roman"/>
          <w:sz w:val="20"/>
          <w:szCs w:val="20"/>
        </w:rPr>
        <w:t>armenica</w:t>
      </w:r>
      <w:proofErr w:type="spellEnd"/>
      <w:r w:rsidRPr="003D34F7">
        <w:rPr>
          <w:rFonts w:ascii="Times New Roman" w:hAnsi="Times New Roman" w:cs="Times New Roman"/>
          <w:sz w:val="20"/>
          <w:szCs w:val="20"/>
        </w:rPr>
        <w:t xml:space="preserve"> L. in Indian Himalayan Region. IJRAR Int J Res Anal Rev 5(4):2348–1269</w:t>
      </w:r>
    </w:p>
    <w:p w14:paraId="4D6C7497" w14:textId="4E0A894B"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Takač A, Popović V, </w:t>
      </w:r>
      <w:proofErr w:type="spellStart"/>
      <w:r w:rsidRPr="003D34F7">
        <w:rPr>
          <w:rFonts w:ascii="Times New Roman" w:hAnsi="Times New Roman" w:cs="Times New Roman"/>
          <w:sz w:val="20"/>
          <w:szCs w:val="20"/>
        </w:rPr>
        <w:t>Glogovac</w:t>
      </w:r>
      <w:proofErr w:type="spellEnd"/>
      <w:r w:rsidRPr="003D34F7">
        <w:rPr>
          <w:rFonts w:ascii="Times New Roman" w:hAnsi="Times New Roman" w:cs="Times New Roman"/>
          <w:sz w:val="20"/>
          <w:szCs w:val="20"/>
        </w:rPr>
        <w:t xml:space="preserve"> S, Dokić V, Kovač D (2015) Effects of fruit maturity stages and seed extraction time on the seed quality of eggplant (</w:t>
      </w:r>
      <w:r w:rsidRPr="003D34F7">
        <w:rPr>
          <w:rStyle w:val="Emphasis"/>
          <w:rFonts w:ascii="Times New Roman" w:hAnsi="Times New Roman" w:cs="Times New Roman"/>
          <w:sz w:val="20"/>
          <w:szCs w:val="20"/>
        </w:rPr>
        <w:t>Solanum melongena</w:t>
      </w:r>
      <w:r w:rsidRPr="003D34F7">
        <w:rPr>
          <w:rFonts w:ascii="Times New Roman" w:hAnsi="Times New Roman" w:cs="Times New Roman"/>
          <w:sz w:val="20"/>
          <w:szCs w:val="20"/>
        </w:rPr>
        <w:t xml:space="preserve"> L.). Ratar </w:t>
      </w:r>
      <w:proofErr w:type="spellStart"/>
      <w:r w:rsidRPr="003D34F7">
        <w:rPr>
          <w:rFonts w:ascii="Times New Roman" w:hAnsi="Times New Roman" w:cs="Times New Roman"/>
          <w:sz w:val="20"/>
          <w:szCs w:val="20"/>
        </w:rPr>
        <w:t>Povrtar</w:t>
      </w:r>
      <w:proofErr w:type="spellEnd"/>
      <w:r w:rsidRPr="003D34F7">
        <w:rPr>
          <w:rFonts w:ascii="Times New Roman" w:hAnsi="Times New Roman" w:cs="Times New Roman"/>
          <w:sz w:val="20"/>
          <w:szCs w:val="20"/>
        </w:rPr>
        <w:t xml:space="preserve"> 52:7–13</w:t>
      </w:r>
    </w:p>
    <w:p w14:paraId="1C347433" w14:textId="73FCBFF9" w:rsidR="003552ED"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lastRenderedPageBreak/>
        <w:t xml:space="preserve">Ved D, Saha D, Ravikumar K, </w:t>
      </w:r>
      <w:proofErr w:type="spellStart"/>
      <w:r w:rsidRPr="003D34F7">
        <w:rPr>
          <w:rFonts w:ascii="Times New Roman" w:hAnsi="Times New Roman" w:cs="Times New Roman"/>
          <w:sz w:val="20"/>
          <w:szCs w:val="20"/>
        </w:rPr>
        <w:t>Haridasan</w:t>
      </w:r>
      <w:proofErr w:type="spellEnd"/>
      <w:r w:rsidRPr="003D34F7">
        <w:rPr>
          <w:rFonts w:ascii="Times New Roman" w:hAnsi="Times New Roman" w:cs="Times New Roman"/>
          <w:sz w:val="20"/>
          <w:szCs w:val="20"/>
        </w:rPr>
        <w:t xml:space="preserve"> K (2015)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The IUCN Red List of Threatened Species </w:t>
      </w:r>
      <w:proofErr w:type="gramStart"/>
      <w:r w:rsidRPr="003D34F7">
        <w:rPr>
          <w:rFonts w:ascii="Times New Roman" w:hAnsi="Times New Roman" w:cs="Times New Roman"/>
          <w:sz w:val="20"/>
          <w:szCs w:val="20"/>
        </w:rPr>
        <w:t>2015:e</w:t>
      </w:r>
      <w:proofErr w:type="gramEnd"/>
      <w:r w:rsidRPr="003D34F7">
        <w:rPr>
          <w:rFonts w:ascii="Times New Roman" w:hAnsi="Times New Roman" w:cs="Times New Roman"/>
          <w:sz w:val="20"/>
          <w:szCs w:val="20"/>
        </w:rPr>
        <w:t xml:space="preserve">.T31231A50131117. </w:t>
      </w:r>
      <w:hyperlink r:id="rId14" w:tgtFrame="_new" w:history="1">
        <w:r w:rsidRPr="003D34F7">
          <w:rPr>
            <w:rStyle w:val="Hyperlink"/>
            <w:rFonts w:ascii="Times New Roman" w:hAnsi="Times New Roman" w:cs="Times New Roman"/>
            <w:sz w:val="20"/>
            <w:szCs w:val="20"/>
          </w:rPr>
          <w:t>https://dx.doi.org/10.2305/IUCN.UK.2015-2.RLTS.T31231A50131117.en</w:t>
        </w:r>
      </w:hyperlink>
    </w:p>
    <w:p w14:paraId="425DB5D5" w14:textId="77777777" w:rsidR="003552ED" w:rsidRDefault="003552ED">
      <w:pPr>
        <w:rPr>
          <w:rFonts w:ascii="Times New Roman" w:hAnsi="Times New Roman" w:cs="Times New Roman"/>
          <w:sz w:val="20"/>
          <w:szCs w:val="20"/>
        </w:rPr>
      </w:pPr>
      <w:r>
        <w:rPr>
          <w:rFonts w:ascii="Times New Roman" w:hAnsi="Times New Roman" w:cs="Times New Roman"/>
          <w:sz w:val="20"/>
          <w:szCs w:val="20"/>
        </w:rPr>
        <w:br w:type="page"/>
      </w:r>
    </w:p>
    <w:p w14:paraId="0E023C07"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lastRenderedPageBreak/>
        <w:drawing>
          <wp:inline distT="0" distB="0" distL="0" distR="0" wp14:anchorId="62C4B70E" wp14:editId="2FAF91E4">
            <wp:extent cx="4673919" cy="2722728"/>
            <wp:effectExtent l="0" t="0" r="0" b="1905"/>
            <wp:docPr id="222" name="Picture 1">
              <a:extLst xmlns:a="http://schemas.openxmlformats.org/drawingml/2006/main">
                <a:ext uri="{FF2B5EF4-FFF2-40B4-BE49-F238E27FC236}">
                  <a16:creationId xmlns:a16="http://schemas.microsoft.com/office/drawing/2014/main" id="{EBEFC79F-B190-F1BB-B6E3-C3508C5CC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EBEFC79F-B190-F1BB-B6E3-C3508C5CC6CE}"/>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6271" cy="2741574"/>
                    </a:xfrm>
                    <a:prstGeom prst="rect">
                      <a:avLst/>
                    </a:prstGeom>
                    <a:noFill/>
                    <a:ln>
                      <a:noFill/>
                    </a:ln>
                    <a:effectLst/>
                  </pic:spPr>
                </pic:pic>
              </a:graphicData>
            </a:graphic>
          </wp:inline>
        </w:drawing>
      </w:r>
    </w:p>
    <w:p w14:paraId="06C5867A" w14:textId="77777777" w:rsidR="003552ED" w:rsidRPr="003D34F7" w:rsidRDefault="003552ED" w:rsidP="003552ED">
      <w:pPr>
        <w:spacing w:line="360" w:lineRule="auto"/>
        <w:jc w:val="center"/>
        <w:rPr>
          <w:rFonts w:ascii="Times New Roman" w:hAnsi="Times New Roman" w:cs="Times New Roman"/>
          <w:b/>
          <w:bCs/>
          <w:sz w:val="20"/>
          <w:szCs w:val="20"/>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w:t>
      </w:r>
      <w:r w:rsidRPr="003D34F7">
        <w:rPr>
          <w:rFonts w:ascii="Times New Roman" w:hAnsi="Times New Roman" w:cs="Times New Roman"/>
          <w:b/>
          <w:bCs/>
          <w:sz w:val="20"/>
          <w:szCs w:val="20"/>
        </w:rPr>
        <w:t xml:space="preserve">: Natural habitat of </w:t>
      </w:r>
      <w:r w:rsidRPr="003D34F7">
        <w:rPr>
          <w:rFonts w:ascii="Times New Roman" w:hAnsi="Times New Roman" w:cs="Times New Roman"/>
          <w:b/>
          <w:bCs/>
          <w:i/>
          <w:iCs/>
          <w:sz w:val="20"/>
          <w:szCs w:val="20"/>
        </w:rPr>
        <w:t>Commiphora wightii</w:t>
      </w:r>
      <w:r w:rsidRPr="003D34F7">
        <w:rPr>
          <w:rFonts w:ascii="Times New Roman" w:hAnsi="Times New Roman" w:cs="Times New Roman"/>
          <w:b/>
          <w:bCs/>
          <w:sz w:val="20"/>
          <w:szCs w:val="20"/>
        </w:rPr>
        <w:t xml:space="preserve"> in the Chambal ravines, Bhind district, Madhya Pradesh, India.</w:t>
      </w:r>
    </w:p>
    <w:p w14:paraId="45B45964" w14:textId="03DCC94B" w:rsidR="003552ED" w:rsidRPr="003D34F7" w:rsidRDefault="00E015C9" w:rsidP="003552ED">
      <w:pPr>
        <w:spacing w:line="360" w:lineRule="auto"/>
        <w:rPr>
          <w:rFonts w:ascii="Times New Roman" w:hAnsi="Times New Roman" w:cs="Times New Roman"/>
          <w:sz w:val="20"/>
          <w:szCs w:val="20"/>
        </w:rPr>
      </w:pPr>
      <w:r>
        <w:rPr>
          <w:rFonts w:ascii="Times New Roman" w:hAnsi="Times New Roman" w:cs="Times New Roman"/>
          <w:noProof/>
          <w:sz w:val="20"/>
          <w:szCs w:val="20"/>
          <w:lang w:val="en-US"/>
        </w:rPr>
        <w:lastRenderedPageBreak/>
        <mc:AlternateContent>
          <mc:Choice Requires="wps">
            <w:drawing>
              <wp:anchor distT="0" distB="0" distL="114300" distR="114300" simplePos="0" relativeHeight="251661312" behindDoc="0" locked="0" layoutInCell="1" allowOverlap="1" wp14:anchorId="4822EF6D" wp14:editId="1DA0F6A0">
                <wp:simplePos x="0" y="0"/>
                <wp:positionH relativeFrom="column">
                  <wp:posOffset>5232400</wp:posOffset>
                </wp:positionH>
                <wp:positionV relativeFrom="paragraph">
                  <wp:posOffset>2298700</wp:posOffset>
                </wp:positionV>
                <wp:extent cx="279400" cy="95250"/>
                <wp:effectExtent l="0" t="0" r="25400" b="19050"/>
                <wp:wrapNone/>
                <wp:docPr id="1347050456" name="Rectangle 2"/>
                <wp:cNvGraphicFramePr/>
                <a:graphic xmlns:a="http://schemas.openxmlformats.org/drawingml/2006/main">
                  <a:graphicData uri="http://schemas.microsoft.com/office/word/2010/wordprocessingShape">
                    <wps:wsp>
                      <wps:cNvSpPr/>
                      <wps:spPr>
                        <a:xfrm>
                          <a:off x="0" y="0"/>
                          <a:ext cx="279400"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8088B" id="Rectangle 2" o:spid="_x0000_s1026" style="position:absolute;margin-left:412pt;margin-top:181pt;width:22pt;height: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" fillcolor="#4472c4 [3204]" strokecolor="#09101d [484]" strokeweight="1pt"/>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59264" behindDoc="0" locked="0" layoutInCell="1" allowOverlap="1" wp14:anchorId="4F0D8582" wp14:editId="0B26AF60">
                <wp:simplePos x="0" y="0"/>
                <wp:positionH relativeFrom="column">
                  <wp:posOffset>1162050</wp:posOffset>
                </wp:positionH>
                <wp:positionV relativeFrom="paragraph">
                  <wp:posOffset>2019300</wp:posOffset>
                </wp:positionV>
                <wp:extent cx="279400" cy="127000"/>
                <wp:effectExtent l="0" t="0" r="25400" b="25400"/>
                <wp:wrapNone/>
                <wp:docPr id="605486775" name="Rectangle 2"/>
                <wp:cNvGraphicFramePr/>
                <a:graphic xmlns:a="http://schemas.openxmlformats.org/drawingml/2006/main">
                  <a:graphicData uri="http://schemas.microsoft.com/office/word/2010/wordprocessingShape">
                    <wps:wsp>
                      <wps:cNvSpPr/>
                      <wps:spPr>
                        <a:xfrm>
                          <a:off x="0" y="0"/>
                          <a:ext cx="279400" cy="127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BE951" id="Rectangle 2" o:spid="_x0000_s1026" style="position:absolute;margin-left:91.5pt;margin-top:159pt;width:22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" fillcolor="#4472c4 [3204]" strokecolor="#09101d [484]" strokeweight="1pt"/>
            </w:pict>
          </mc:Fallback>
        </mc:AlternateContent>
      </w:r>
      <w:r w:rsidR="003552ED" w:rsidRPr="003D34F7">
        <w:rPr>
          <w:rFonts w:ascii="Times New Roman" w:hAnsi="Times New Roman" w:cs="Times New Roman"/>
          <w:noProof/>
          <w:sz w:val="20"/>
          <w:szCs w:val="20"/>
          <w:lang w:val="en-US"/>
        </w:rPr>
        <w:drawing>
          <wp:inline distT="0" distB="0" distL="0" distR="0" wp14:anchorId="5AB93F85" wp14:editId="0FC6B559">
            <wp:extent cx="5731510" cy="7058025"/>
            <wp:effectExtent l="0" t="0" r="2540" b="9525"/>
            <wp:docPr id="1581077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058025"/>
                    </a:xfrm>
                    <a:prstGeom prst="rect">
                      <a:avLst/>
                    </a:prstGeom>
                    <a:noFill/>
                  </pic:spPr>
                </pic:pic>
              </a:graphicData>
            </a:graphic>
          </wp:inline>
        </w:drawing>
      </w:r>
    </w:p>
    <w:p w14:paraId="32D61A3C" w14:textId="77777777" w:rsidR="003552ED" w:rsidRPr="003D34F7" w:rsidRDefault="003552ED" w:rsidP="003552ED">
      <w:pPr>
        <w:spacing w:line="360" w:lineRule="auto"/>
        <w:jc w:val="center"/>
        <w:rPr>
          <w:rFonts w:ascii="Times New Roman" w:hAnsi="Times New Roman" w:cs="Times New Roman"/>
          <w:b/>
          <w:bCs/>
          <w:sz w:val="20"/>
          <w:szCs w:val="20"/>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II</w:t>
      </w:r>
      <w:r w:rsidRPr="003D34F7">
        <w:rPr>
          <w:rFonts w:ascii="Times New Roman" w:hAnsi="Times New Roman" w:cs="Times New Roman"/>
          <w:b/>
          <w:bCs/>
          <w:sz w:val="20"/>
          <w:szCs w:val="20"/>
        </w:rPr>
        <w:t>: Different stages of fruit/seed maturity assessment A-C: Seed collection; D-F: Fruit maturity stages; G-H:  Seed maturity stages</w:t>
      </w:r>
    </w:p>
    <w:p w14:paraId="49A25752" w14:textId="27076DE7" w:rsidR="003552ED" w:rsidRDefault="003552ED">
      <w:pPr>
        <w:rPr>
          <w:rFonts w:ascii="Times New Roman" w:hAnsi="Times New Roman" w:cs="Times New Roman"/>
          <w:b/>
          <w:bCs/>
          <w:sz w:val="20"/>
          <w:szCs w:val="20"/>
        </w:rPr>
      </w:pPr>
      <w:r>
        <w:rPr>
          <w:rFonts w:ascii="Times New Roman" w:hAnsi="Times New Roman" w:cs="Times New Roman"/>
          <w:b/>
          <w:bCs/>
          <w:sz w:val="20"/>
          <w:szCs w:val="20"/>
        </w:rPr>
        <w:br w:type="page"/>
      </w:r>
    </w:p>
    <w:p w14:paraId="77B952AB"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lastRenderedPageBreak/>
        <w:drawing>
          <wp:inline distT="0" distB="0" distL="0" distR="0" wp14:anchorId="30212F9D" wp14:editId="042C5FDF">
            <wp:extent cx="5363020" cy="1782524"/>
            <wp:effectExtent l="0" t="0" r="9525" b="8255"/>
            <wp:docPr id="844978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55824"/>
                    <a:stretch/>
                  </pic:blipFill>
                  <pic:spPr bwMode="auto">
                    <a:xfrm rot="10800000">
                      <a:off x="0" y="0"/>
                      <a:ext cx="5371112" cy="1785213"/>
                    </a:xfrm>
                    <a:prstGeom prst="rect">
                      <a:avLst/>
                    </a:prstGeom>
                    <a:noFill/>
                    <a:ln>
                      <a:noFill/>
                    </a:ln>
                    <a:extLst>
                      <a:ext uri="{53640926-AAD7-44D8-BBD7-CCE9431645EC}">
                        <a14:shadowObscured xmlns:a14="http://schemas.microsoft.com/office/drawing/2010/main"/>
                      </a:ext>
                    </a:extLst>
                  </pic:spPr>
                </pic:pic>
              </a:graphicData>
            </a:graphic>
          </wp:inline>
        </w:drawing>
      </w:r>
    </w:p>
    <w:p w14:paraId="1BA55100" w14:textId="77777777" w:rsidR="003552ED" w:rsidRPr="003D34F7" w:rsidRDefault="003552ED" w:rsidP="003552ED">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hAnsi="Times New Roman" w:cs="Times New Roman"/>
          <w:b/>
          <w:bCs/>
          <w:sz w:val="20"/>
          <w:szCs w:val="20"/>
        </w:rPr>
        <w:t>Figure</w:t>
      </w:r>
      <w:r>
        <w:rPr>
          <w:rFonts w:ascii="Times New Roman" w:hAnsi="Times New Roman" w:cs="Times New Roman"/>
          <w:b/>
          <w:bCs/>
          <w:sz w:val="20"/>
          <w:szCs w:val="20"/>
        </w:rPr>
        <w:t xml:space="preserve"> III</w:t>
      </w:r>
      <w:r w:rsidRPr="003D34F7">
        <w:rPr>
          <w:rFonts w:ascii="Times New Roman" w:hAnsi="Times New Roman" w:cs="Times New Roman"/>
          <w:b/>
          <w:bCs/>
          <w:sz w:val="20"/>
          <w:szCs w:val="20"/>
        </w:rPr>
        <w:t xml:space="preserve">: RHS colour measurement of fruit </w:t>
      </w:r>
      <w:r w:rsidRPr="003D34F7">
        <w:rPr>
          <w:rFonts w:ascii="Times New Roman" w:eastAsia="Times New Roman" w:hAnsi="Times New Roman" w:cs="Times New Roman"/>
          <w:b/>
          <w:bCs/>
          <w:kern w:val="0"/>
          <w:sz w:val="20"/>
          <w:szCs w:val="20"/>
          <w:lang w:eastAsia="en-IN"/>
          <w14:ligatures w14:val="none"/>
        </w:rPr>
        <w:t xml:space="preserve">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p w14:paraId="630FFF12" w14:textId="714C6DAB" w:rsidR="00F77DB8" w:rsidRDefault="00F77DB8" w:rsidP="003552ED">
      <w:pPr>
        <w:pStyle w:val="ListParagraph"/>
        <w:spacing w:line="360" w:lineRule="auto"/>
        <w:jc w:val="both"/>
        <w:rPr>
          <w:rFonts w:ascii="Times New Roman" w:hAnsi="Times New Roman" w:cs="Times New Roman"/>
          <w:b/>
          <w:bCs/>
          <w:sz w:val="20"/>
          <w:szCs w:val="20"/>
        </w:rPr>
      </w:pPr>
    </w:p>
    <w:p w14:paraId="67E8FC12"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drawing>
          <wp:inline distT="0" distB="0" distL="0" distR="0" wp14:anchorId="5D321400" wp14:editId="1A960079">
            <wp:extent cx="4927695" cy="1399775"/>
            <wp:effectExtent l="0" t="0" r="6350" b="0"/>
            <wp:docPr id="1715103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5" t="62730"/>
                    <a:stretch/>
                  </pic:blipFill>
                  <pic:spPr bwMode="auto">
                    <a:xfrm rot="10800000">
                      <a:off x="0" y="0"/>
                      <a:ext cx="4950835" cy="1406348"/>
                    </a:xfrm>
                    <a:prstGeom prst="rect">
                      <a:avLst/>
                    </a:prstGeom>
                    <a:noFill/>
                    <a:ln>
                      <a:noFill/>
                    </a:ln>
                    <a:extLst>
                      <a:ext uri="{53640926-AAD7-44D8-BBD7-CCE9431645EC}">
                        <a14:shadowObscured xmlns:a14="http://schemas.microsoft.com/office/drawing/2010/main"/>
                      </a:ext>
                    </a:extLst>
                  </pic:spPr>
                </pic:pic>
              </a:graphicData>
            </a:graphic>
          </wp:inline>
        </w:drawing>
      </w:r>
    </w:p>
    <w:p w14:paraId="701B2A49" w14:textId="77777777" w:rsidR="003552ED" w:rsidRPr="003D34F7" w:rsidRDefault="003552ED" w:rsidP="003552ED">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IV</w:t>
      </w:r>
      <w:r w:rsidRPr="003D34F7">
        <w:rPr>
          <w:rFonts w:ascii="Times New Roman" w:hAnsi="Times New Roman" w:cs="Times New Roman"/>
          <w:b/>
          <w:bCs/>
          <w:sz w:val="20"/>
          <w:szCs w:val="20"/>
        </w:rPr>
        <w:t xml:space="preserve">: RHS colour measurement of seed </w:t>
      </w:r>
      <w:r w:rsidRPr="003D34F7">
        <w:rPr>
          <w:rFonts w:ascii="Times New Roman" w:eastAsia="Times New Roman" w:hAnsi="Times New Roman" w:cs="Times New Roman"/>
          <w:b/>
          <w:bCs/>
          <w:kern w:val="0"/>
          <w:sz w:val="20"/>
          <w:szCs w:val="20"/>
          <w:lang w:eastAsia="en-IN"/>
          <w14:ligatures w14:val="none"/>
        </w:rPr>
        <w:t xml:space="preserve">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p w14:paraId="1C183654" w14:textId="4895884F"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768AE901" w14:textId="77777777" w:rsidR="000A07AC" w:rsidRPr="003D34F7" w:rsidRDefault="000A07AC" w:rsidP="000A07AC">
      <w:pPr>
        <w:spacing w:before="100" w:beforeAutospacing="1" w:after="100" w:afterAutospacing="1"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lastRenderedPageBreak/>
        <w:t xml:space="preserve">Table </w:t>
      </w:r>
      <w:r>
        <w:rPr>
          <w:rFonts w:ascii="Times New Roman" w:eastAsia="Times New Roman" w:hAnsi="Times New Roman" w:cs="Times New Roman"/>
          <w:b/>
          <w:bCs/>
          <w:kern w:val="0"/>
          <w:sz w:val="20"/>
          <w:szCs w:val="20"/>
          <w:lang w:eastAsia="en-IN"/>
          <w14:ligatures w14:val="none"/>
        </w:rPr>
        <w:t>I</w:t>
      </w:r>
      <w:r w:rsidRPr="003D34F7">
        <w:rPr>
          <w:rFonts w:ascii="Times New Roman" w:eastAsia="Times New Roman" w:hAnsi="Times New Roman" w:cs="Times New Roman"/>
          <w:b/>
          <w:bCs/>
          <w:kern w:val="0"/>
          <w:sz w:val="20"/>
          <w:szCs w:val="20"/>
          <w:lang w:eastAsia="en-IN"/>
          <w14:ligatures w14:val="none"/>
        </w:rPr>
        <w:t xml:space="preserve">: Change in the fruit growth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271"/>
        <w:gridCol w:w="1134"/>
        <w:gridCol w:w="1175"/>
        <w:gridCol w:w="1235"/>
        <w:gridCol w:w="1276"/>
        <w:gridCol w:w="1275"/>
        <w:gridCol w:w="1650"/>
      </w:tblGrid>
      <w:tr w:rsidR="000A07AC" w:rsidRPr="003D34F7" w14:paraId="20F45509" w14:textId="77777777" w:rsidTr="00166B2B">
        <w:tc>
          <w:tcPr>
            <w:tcW w:w="1271" w:type="dxa"/>
            <w:hideMark/>
          </w:tcPr>
          <w:p w14:paraId="4A19AFC4"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Day after Anthesis</w:t>
            </w:r>
          </w:p>
        </w:tc>
        <w:tc>
          <w:tcPr>
            <w:tcW w:w="1134" w:type="dxa"/>
            <w:hideMark/>
          </w:tcPr>
          <w:p w14:paraId="5678DB54"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Fruit Length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175" w:type="dxa"/>
            <w:hideMark/>
          </w:tcPr>
          <w:p w14:paraId="7582F948"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Fruit Width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35" w:type="dxa"/>
            <w:hideMark/>
          </w:tcPr>
          <w:p w14:paraId="3CA24235"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Fresh Weight of 100 Fruits (g)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76" w:type="dxa"/>
            <w:hideMark/>
          </w:tcPr>
          <w:p w14:paraId="37D2B941"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Weight of 100 Air Dry Fruits (g)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75" w:type="dxa"/>
            <w:hideMark/>
          </w:tcPr>
          <w:p w14:paraId="2A19CFD3"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Initial Moisture Content (%) Fruit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650" w:type="dxa"/>
            <w:hideMark/>
          </w:tcPr>
          <w:p w14:paraId="3B46A9FE"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Fruit Colour (RHS colour code)</w:t>
            </w:r>
          </w:p>
        </w:tc>
      </w:tr>
      <w:tr w:rsidR="000A07AC" w:rsidRPr="003D34F7" w14:paraId="59C98818" w14:textId="77777777" w:rsidTr="00166B2B">
        <w:tc>
          <w:tcPr>
            <w:tcW w:w="1271" w:type="dxa"/>
            <w:hideMark/>
          </w:tcPr>
          <w:p w14:paraId="586EF2F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 DAA</w:t>
            </w:r>
          </w:p>
        </w:tc>
        <w:tc>
          <w:tcPr>
            <w:tcW w:w="1134" w:type="dxa"/>
            <w:hideMark/>
          </w:tcPr>
          <w:p w14:paraId="336CC1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0.79 ± 0.03</w:t>
            </w:r>
          </w:p>
        </w:tc>
        <w:tc>
          <w:tcPr>
            <w:tcW w:w="1175" w:type="dxa"/>
            <w:hideMark/>
          </w:tcPr>
          <w:p w14:paraId="6E352F2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0.56 ± 0.02</w:t>
            </w:r>
          </w:p>
        </w:tc>
        <w:tc>
          <w:tcPr>
            <w:tcW w:w="1235" w:type="dxa"/>
            <w:hideMark/>
          </w:tcPr>
          <w:p w14:paraId="09600687"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13.43 ± 0.48</w:t>
            </w:r>
          </w:p>
        </w:tc>
        <w:tc>
          <w:tcPr>
            <w:tcW w:w="1276" w:type="dxa"/>
            <w:hideMark/>
          </w:tcPr>
          <w:p w14:paraId="43E7249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2.31 ± 0.26</w:t>
            </w:r>
          </w:p>
        </w:tc>
        <w:tc>
          <w:tcPr>
            <w:tcW w:w="1275" w:type="dxa"/>
            <w:hideMark/>
          </w:tcPr>
          <w:p w14:paraId="15745E0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82.61 ± 2.53</w:t>
            </w:r>
          </w:p>
        </w:tc>
        <w:tc>
          <w:tcPr>
            <w:tcW w:w="1650" w:type="dxa"/>
            <w:hideMark/>
          </w:tcPr>
          <w:p w14:paraId="2C47CE7E"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Green Group 142 (Strong Yellow Green A)</w:t>
            </w:r>
          </w:p>
        </w:tc>
      </w:tr>
      <w:tr w:rsidR="000A07AC" w:rsidRPr="003D34F7" w14:paraId="73741999" w14:textId="77777777" w:rsidTr="00166B2B">
        <w:tc>
          <w:tcPr>
            <w:tcW w:w="1271" w:type="dxa"/>
            <w:hideMark/>
          </w:tcPr>
          <w:p w14:paraId="2376F62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60 DAA</w:t>
            </w:r>
          </w:p>
        </w:tc>
        <w:tc>
          <w:tcPr>
            <w:tcW w:w="1134" w:type="dxa"/>
            <w:hideMark/>
          </w:tcPr>
          <w:p w14:paraId="25CD4208"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0.85 ± 0.03</w:t>
            </w:r>
          </w:p>
        </w:tc>
        <w:tc>
          <w:tcPr>
            <w:tcW w:w="1175" w:type="dxa"/>
            <w:hideMark/>
          </w:tcPr>
          <w:p w14:paraId="4E6AF1E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0.61 ± 0.02</w:t>
            </w:r>
          </w:p>
        </w:tc>
        <w:tc>
          <w:tcPr>
            <w:tcW w:w="1235" w:type="dxa"/>
            <w:hideMark/>
          </w:tcPr>
          <w:p w14:paraId="77CF83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28.17 ± 1.00</w:t>
            </w:r>
          </w:p>
        </w:tc>
        <w:tc>
          <w:tcPr>
            <w:tcW w:w="1276" w:type="dxa"/>
            <w:hideMark/>
          </w:tcPr>
          <w:p w14:paraId="6EE1DE3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5.99 ± 0.47</w:t>
            </w:r>
          </w:p>
        </w:tc>
        <w:tc>
          <w:tcPr>
            <w:tcW w:w="1275" w:type="dxa"/>
            <w:hideMark/>
          </w:tcPr>
          <w:p w14:paraId="6A177D09"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78.56 ± 2.40</w:t>
            </w:r>
          </w:p>
        </w:tc>
        <w:tc>
          <w:tcPr>
            <w:tcW w:w="1650" w:type="dxa"/>
            <w:hideMark/>
          </w:tcPr>
          <w:p w14:paraId="2224A900"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Yellow Green Group 145 (Strong Yellow Green A)</w:t>
            </w:r>
          </w:p>
        </w:tc>
      </w:tr>
      <w:tr w:rsidR="000A07AC" w:rsidRPr="003D34F7" w14:paraId="2FA55046" w14:textId="77777777" w:rsidTr="00166B2B">
        <w:tc>
          <w:tcPr>
            <w:tcW w:w="1271" w:type="dxa"/>
            <w:hideMark/>
          </w:tcPr>
          <w:p w14:paraId="4806F00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80 DAA</w:t>
            </w:r>
          </w:p>
        </w:tc>
        <w:tc>
          <w:tcPr>
            <w:tcW w:w="1134" w:type="dxa"/>
            <w:hideMark/>
          </w:tcPr>
          <w:p w14:paraId="4D340B19"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1.03 ± 0.03</w:t>
            </w:r>
          </w:p>
        </w:tc>
        <w:tc>
          <w:tcPr>
            <w:tcW w:w="1175" w:type="dxa"/>
            <w:hideMark/>
          </w:tcPr>
          <w:p w14:paraId="609A98E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0.64 ± 0.02</w:t>
            </w:r>
          </w:p>
        </w:tc>
        <w:tc>
          <w:tcPr>
            <w:tcW w:w="1235" w:type="dxa"/>
            <w:hideMark/>
          </w:tcPr>
          <w:p w14:paraId="25E868B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42.90 ± 1.52</w:t>
            </w:r>
          </w:p>
        </w:tc>
        <w:tc>
          <w:tcPr>
            <w:tcW w:w="1276" w:type="dxa"/>
            <w:hideMark/>
          </w:tcPr>
          <w:p w14:paraId="600671B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10.80 ± 0.61</w:t>
            </w:r>
          </w:p>
        </w:tc>
        <w:tc>
          <w:tcPr>
            <w:tcW w:w="1275" w:type="dxa"/>
            <w:hideMark/>
          </w:tcPr>
          <w:p w14:paraId="7246A5D8"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74.67 ± 2.28</w:t>
            </w:r>
          </w:p>
        </w:tc>
        <w:tc>
          <w:tcPr>
            <w:tcW w:w="1650" w:type="dxa"/>
            <w:hideMark/>
          </w:tcPr>
          <w:p w14:paraId="1B553A2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58 (Moderate Purple Red A)</w:t>
            </w:r>
          </w:p>
        </w:tc>
      </w:tr>
      <w:tr w:rsidR="000A07AC" w:rsidRPr="003D34F7" w14:paraId="2ABACC04" w14:textId="77777777" w:rsidTr="00166B2B">
        <w:tc>
          <w:tcPr>
            <w:tcW w:w="1271" w:type="dxa"/>
            <w:hideMark/>
          </w:tcPr>
          <w:p w14:paraId="7405604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90 DAA</w:t>
            </w:r>
          </w:p>
        </w:tc>
        <w:tc>
          <w:tcPr>
            <w:tcW w:w="1134" w:type="dxa"/>
            <w:hideMark/>
          </w:tcPr>
          <w:p w14:paraId="0D4C3FC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1.13 ± 0.03</w:t>
            </w:r>
          </w:p>
        </w:tc>
        <w:tc>
          <w:tcPr>
            <w:tcW w:w="1175" w:type="dxa"/>
            <w:hideMark/>
          </w:tcPr>
          <w:p w14:paraId="41371B4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0.67 ± 0.02</w:t>
            </w:r>
          </w:p>
        </w:tc>
        <w:tc>
          <w:tcPr>
            <w:tcW w:w="1235" w:type="dxa"/>
            <w:hideMark/>
          </w:tcPr>
          <w:p w14:paraId="7A1EE4F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45.91 ± 1.63</w:t>
            </w:r>
          </w:p>
        </w:tc>
        <w:tc>
          <w:tcPr>
            <w:tcW w:w="1276" w:type="dxa"/>
            <w:hideMark/>
          </w:tcPr>
          <w:p w14:paraId="0E428D9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15.72 ± 0.38</w:t>
            </w:r>
          </w:p>
        </w:tc>
        <w:tc>
          <w:tcPr>
            <w:tcW w:w="1275" w:type="dxa"/>
            <w:hideMark/>
          </w:tcPr>
          <w:p w14:paraId="2A3F3D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65.61 ± 2.01</w:t>
            </w:r>
          </w:p>
        </w:tc>
        <w:tc>
          <w:tcPr>
            <w:tcW w:w="1650" w:type="dxa"/>
            <w:hideMark/>
          </w:tcPr>
          <w:p w14:paraId="573516D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58 (Moderate Purple Red A)</w:t>
            </w:r>
          </w:p>
        </w:tc>
      </w:tr>
      <w:tr w:rsidR="000A07AC" w:rsidRPr="003D34F7" w14:paraId="05EC8C8C" w14:textId="77777777" w:rsidTr="00166B2B">
        <w:tc>
          <w:tcPr>
            <w:tcW w:w="1271" w:type="dxa"/>
            <w:hideMark/>
          </w:tcPr>
          <w:p w14:paraId="5B3183F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100 DAA</w:t>
            </w:r>
          </w:p>
        </w:tc>
        <w:tc>
          <w:tcPr>
            <w:tcW w:w="1134" w:type="dxa"/>
            <w:hideMark/>
          </w:tcPr>
          <w:p w14:paraId="15A0F573"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1.19 ± 0.03</w:t>
            </w:r>
          </w:p>
        </w:tc>
        <w:tc>
          <w:tcPr>
            <w:tcW w:w="1175" w:type="dxa"/>
            <w:hideMark/>
          </w:tcPr>
          <w:p w14:paraId="5AF4F84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0.70 ± 0.02</w:t>
            </w:r>
          </w:p>
        </w:tc>
        <w:tc>
          <w:tcPr>
            <w:tcW w:w="1235" w:type="dxa"/>
            <w:hideMark/>
          </w:tcPr>
          <w:p w14:paraId="02E5517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39.19 ± 1.39</w:t>
            </w:r>
          </w:p>
        </w:tc>
        <w:tc>
          <w:tcPr>
            <w:tcW w:w="1276" w:type="dxa"/>
            <w:hideMark/>
          </w:tcPr>
          <w:p w14:paraId="32726F3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19.01 ± 0.09</w:t>
            </w:r>
          </w:p>
        </w:tc>
        <w:tc>
          <w:tcPr>
            <w:tcW w:w="1275" w:type="dxa"/>
            <w:hideMark/>
          </w:tcPr>
          <w:p w14:paraId="6B213A9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51.40 ± 1.57</w:t>
            </w:r>
          </w:p>
        </w:tc>
        <w:tc>
          <w:tcPr>
            <w:tcW w:w="1650" w:type="dxa"/>
            <w:hideMark/>
          </w:tcPr>
          <w:p w14:paraId="74D0B63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59 (Moderate Purple Red A)</w:t>
            </w:r>
          </w:p>
        </w:tc>
      </w:tr>
      <w:tr w:rsidR="000A07AC" w:rsidRPr="003D34F7" w14:paraId="574451AF" w14:textId="77777777" w:rsidTr="00166B2B">
        <w:tc>
          <w:tcPr>
            <w:tcW w:w="1271" w:type="dxa"/>
            <w:hideMark/>
          </w:tcPr>
          <w:p w14:paraId="5ED87B7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LSD</w:t>
            </w:r>
          </w:p>
        </w:tc>
        <w:tc>
          <w:tcPr>
            <w:tcW w:w="1134" w:type="dxa"/>
            <w:hideMark/>
          </w:tcPr>
          <w:p w14:paraId="3206B08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0.09</w:t>
            </w:r>
          </w:p>
        </w:tc>
        <w:tc>
          <w:tcPr>
            <w:tcW w:w="1175" w:type="dxa"/>
            <w:hideMark/>
          </w:tcPr>
          <w:p w14:paraId="45AEC20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0.06</w:t>
            </w:r>
          </w:p>
        </w:tc>
        <w:tc>
          <w:tcPr>
            <w:tcW w:w="1235" w:type="dxa"/>
            <w:hideMark/>
          </w:tcPr>
          <w:p w14:paraId="5C57172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4.07</w:t>
            </w:r>
          </w:p>
        </w:tc>
        <w:tc>
          <w:tcPr>
            <w:tcW w:w="1276" w:type="dxa"/>
            <w:hideMark/>
          </w:tcPr>
          <w:p w14:paraId="141F45D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1.29</w:t>
            </w:r>
          </w:p>
        </w:tc>
        <w:tc>
          <w:tcPr>
            <w:tcW w:w="1275" w:type="dxa"/>
            <w:hideMark/>
          </w:tcPr>
          <w:p w14:paraId="0EC76F2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6.98</w:t>
            </w:r>
          </w:p>
        </w:tc>
        <w:tc>
          <w:tcPr>
            <w:tcW w:w="1650" w:type="dxa"/>
            <w:hideMark/>
          </w:tcPr>
          <w:p w14:paraId="13FFCC1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r w:rsidR="000A07AC" w:rsidRPr="003D34F7" w14:paraId="6B28ED6A" w14:textId="77777777" w:rsidTr="00166B2B">
        <w:tc>
          <w:tcPr>
            <w:tcW w:w="1271" w:type="dxa"/>
            <w:hideMark/>
          </w:tcPr>
          <w:p w14:paraId="72FE988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SE(m)</w:t>
            </w:r>
          </w:p>
        </w:tc>
        <w:tc>
          <w:tcPr>
            <w:tcW w:w="1134" w:type="dxa"/>
            <w:hideMark/>
          </w:tcPr>
          <w:p w14:paraId="2C2ECA8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0.03</w:t>
            </w:r>
          </w:p>
        </w:tc>
        <w:tc>
          <w:tcPr>
            <w:tcW w:w="1175" w:type="dxa"/>
            <w:hideMark/>
          </w:tcPr>
          <w:p w14:paraId="1A1CD2E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0.02</w:t>
            </w:r>
          </w:p>
        </w:tc>
        <w:tc>
          <w:tcPr>
            <w:tcW w:w="1235" w:type="dxa"/>
            <w:hideMark/>
          </w:tcPr>
          <w:p w14:paraId="5ED36EF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1.27</w:t>
            </w:r>
          </w:p>
        </w:tc>
        <w:tc>
          <w:tcPr>
            <w:tcW w:w="1276" w:type="dxa"/>
            <w:hideMark/>
          </w:tcPr>
          <w:p w14:paraId="7054B00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0.40</w:t>
            </w:r>
          </w:p>
        </w:tc>
        <w:tc>
          <w:tcPr>
            <w:tcW w:w="1275" w:type="dxa"/>
            <w:hideMark/>
          </w:tcPr>
          <w:p w14:paraId="7BF2D7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2.19</w:t>
            </w:r>
          </w:p>
        </w:tc>
        <w:tc>
          <w:tcPr>
            <w:tcW w:w="1650" w:type="dxa"/>
            <w:hideMark/>
          </w:tcPr>
          <w:p w14:paraId="2E2F645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r w:rsidR="000A07AC" w:rsidRPr="003D34F7" w14:paraId="214FC361" w14:textId="77777777" w:rsidTr="00166B2B">
        <w:tc>
          <w:tcPr>
            <w:tcW w:w="1271" w:type="dxa"/>
            <w:hideMark/>
          </w:tcPr>
          <w:p w14:paraId="1C28E1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sz w:val="20"/>
                <w:szCs w:val="20"/>
              </w:rPr>
              <w:t xml:space="preserve">Significance </w:t>
            </w:r>
          </w:p>
        </w:tc>
        <w:tc>
          <w:tcPr>
            <w:tcW w:w="1134" w:type="dxa"/>
            <w:hideMark/>
          </w:tcPr>
          <w:p w14:paraId="676D938E"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175" w:type="dxa"/>
            <w:hideMark/>
          </w:tcPr>
          <w:p w14:paraId="71C2983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0.005</w:t>
            </w:r>
          </w:p>
        </w:tc>
        <w:tc>
          <w:tcPr>
            <w:tcW w:w="1235" w:type="dxa"/>
            <w:hideMark/>
          </w:tcPr>
          <w:p w14:paraId="515713F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276" w:type="dxa"/>
            <w:hideMark/>
          </w:tcPr>
          <w:p w14:paraId="14A66A77"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275" w:type="dxa"/>
            <w:hideMark/>
          </w:tcPr>
          <w:p w14:paraId="4F4F086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650" w:type="dxa"/>
            <w:hideMark/>
          </w:tcPr>
          <w:p w14:paraId="26017770"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bl>
    <w:p w14:paraId="0C0722DA" w14:textId="77777777" w:rsidR="000A07AC" w:rsidRPr="003D34F7" w:rsidRDefault="000A07AC" w:rsidP="000A07AC">
      <w:pPr>
        <w:spacing w:line="360" w:lineRule="auto"/>
        <w:jc w:val="both"/>
        <w:rPr>
          <w:rFonts w:ascii="Times New Roman" w:hAnsi="Times New Roman" w:cs="Times New Roman"/>
          <w:sz w:val="20"/>
          <w:szCs w:val="20"/>
        </w:rPr>
      </w:pPr>
    </w:p>
    <w:p w14:paraId="2B9B0E93" w14:textId="315D1D36"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30B9EF8A" w14:textId="77777777" w:rsidR="000A07AC" w:rsidRPr="003D34F7" w:rsidRDefault="000A07AC" w:rsidP="000A07AC">
      <w:pPr>
        <w:spacing w:line="360" w:lineRule="auto"/>
        <w:jc w:val="center"/>
        <w:rPr>
          <w:rFonts w:ascii="Times New Roman" w:hAnsi="Times New Roman" w:cs="Times New Roman"/>
          <w:sz w:val="20"/>
          <w:szCs w:val="20"/>
        </w:rPr>
      </w:pPr>
      <w:r w:rsidRPr="003D34F7">
        <w:rPr>
          <w:rFonts w:ascii="Times New Roman" w:hAnsi="Times New Roman" w:cs="Times New Roman"/>
          <w:b/>
          <w:bCs/>
          <w:sz w:val="20"/>
          <w:szCs w:val="20"/>
        </w:rPr>
        <w:lastRenderedPageBreak/>
        <w:t xml:space="preserve">Table </w:t>
      </w:r>
      <w:r>
        <w:rPr>
          <w:rFonts w:ascii="Times New Roman" w:hAnsi="Times New Roman" w:cs="Times New Roman"/>
          <w:b/>
          <w:bCs/>
          <w:sz w:val="20"/>
          <w:szCs w:val="20"/>
        </w:rPr>
        <w:t>II</w:t>
      </w:r>
      <w:r w:rsidRPr="003D34F7">
        <w:rPr>
          <w:rFonts w:ascii="Times New Roman" w:eastAsia="Times New Roman" w:hAnsi="Times New Roman" w:cs="Times New Roman"/>
          <w:b/>
          <w:bCs/>
          <w:kern w:val="0"/>
          <w:sz w:val="20"/>
          <w:szCs w:val="20"/>
          <w:lang w:eastAsia="en-IN"/>
          <w14:ligatures w14:val="none"/>
        </w:rPr>
        <w:t xml:space="preserve">: Change in the seed growth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216"/>
        <w:gridCol w:w="1046"/>
        <w:gridCol w:w="1181"/>
        <w:gridCol w:w="1238"/>
        <w:gridCol w:w="1270"/>
        <w:gridCol w:w="990"/>
        <w:gridCol w:w="2075"/>
      </w:tblGrid>
      <w:tr w:rsidR="000A07AC" w:rsidRPr="003D34F7" w14:paraId="10E1D372" w14:textId="77777777" w:rsidTr="00C5224B">
        <w:tc>
          <w:tcPr>
            <w:tcW w:w="1216" w:type="dxa"/>
            <w:hideMark/>
          </w:tcPr>
          <w:p w14:paraId="68275294"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Day after Anthesis</w:t>
            </w:r>
          </w:p>
        </w:tc>
        <w:tc>
          <w:tcPr>
            <w:tcW w:w="1046" w:type="dxa"/>
            <w:hideMark/>
          </w:tcPr>
          <w:p w14:paraId="4797E29D"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Length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181" w:type="dxa"/>
            <w:hideMark/>
          </w:tcPr>
          <w:p w14:paraId="28DD7BA0"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Width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53DC73C1"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Fresh Weight of 100 Seeds (g)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4B5189A8"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Dry Weight of 100 Dry Seeds (g)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864" w:type="dxa"/>
            <w:hideMark/>
          </w:tcPr>
          <w:p w14:paraId="121AC402"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Moisture Content (%)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2075" w:type="dxa"/>
            <w:hideMark/>
          </w:tcPr>
          <w:p w14:paraId="27DE2944"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Colour </w:t>
            </w:r>
            <w:r w:rsidRPr="003D34F7">
              <w:rPr>
                <w:rFonts w:ascii="Times New Roman" w:eastAsia="Times New Roman" w:hAnsi="Times New Roman" w:cs="Times New Roman"/>
                <w:b/>
                <w:bCs/>
                <w:kern w:val="0"/>
                <w:sz w:val="20"/>
                <w:szCs w:val="20"/>
                <w:lang w:eastAsia="en-IN"/>
                <w14:ligatures w14:val="none"/>
              </w:rPr>
              <w:t>(RHS colour code)</w:t>
            </w:r>
          </w:p>
        </w:tc>
      </w:tr>
      <w:tr w:rsidR="000A07AC" w:rsidRPr="003D34F7" w14:paraId="1A83D467" w14:textId="77777777" w:rsidTr="00C5224B">
        <w:tc>
          <w:tcPr>
            <w:tcW w:w="1216" w:type="dxa"/>
            <w:hideMark/>
          </w:tcPr>
          <w:p w14:paraId="427989AA"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40 DAA</w:t>
            </w:r>
          </w:p>
        </w:tc>
        <w:tc>
          <w:tcPr>
            <w:tcW w:w="1046" w:type="dxa"/>
            <w:hideMark/>
          </w:tcPr>
          <w:p w14:paraId="4BA3230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4C83054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0.46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96E50C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1.97 </w:t>
            </w:r>
            <w:r w:rsidRPr="003D34F7">
              <w:rPr>
                <w:rFonts w:ascii="Times New Roman" w:eastAsia="Times New Roman" w:hAnsi="Times New Roman" w:cs="Times New Roman"/>
                <w:kern w:val="0"/>
                <w:sz w:val="20"/>
                <w:szCs w:val="20"/>
                <w:lang w:eastAsia="en-IN"/>
                <w14:ligatures w14:val="none"/>
              </w:rPr>
              <w:t xml:space="preserve">± </w:t>
            </w:r>
            <w:r w:rsidRPr="003D34F7">
              <w:rPr>
                <w:rFonts w:ascii="Times New Roman" w:hAnsi="Times New Roman" w:cs="Times New Roman"/>
                <w:sz w:val="20"/>
                <w:szCs w:val="20"/>
              </w:rPr>
              <w:t>0.05</w:t>
            </w:r>
          </w:p>
        </w:tc>
        <w:tc>
          <w:tcPr>
            <w:tcW w:w="0" w:type="auto"/>
            <w:hideMark/>
          </w:tcPr>
          <w:p w14:paraId="781ECAC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1.05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0.01</w:t>
            </w:r>
          </w:p>
        </w:tc>
        <w:tc>
          <w:tcPr>
            <w:tcW w:w="864" w:type="dxa"/>
            <w:hideMark/>
          </w:tcPr>
          <w:p w14:paraId="5055E2E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46.36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1.60</w:t>
            </w:r>
          </w:p>
        </w:tc>
        <w:tc>
          <w:tcPr>
            <w:tcW w:w="2075" w:type="dxa"/>
            <w:hideMark/>
          </w:tcPr>
          <w:p w14:paraId="09EE6AC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Yellow Green Group N144 A (Strong Yellow Green A)</w:t>
            </w:r>
          </w:p>
        </w:tc>
      </w:tr>
      <w:tr w:rsidR="000A07AC" w:rsidRPr="003D34F7" w14:paraId="2526308F" w14:textId="77777777" w:rsidTr="00C5224B">
        <w:tc>
          <w:tcPr>
            <w:tcW w:w="1216" w:type="dxa"/>
            <w:hideMark/>
          </w:tcPr>
          <w:p w14:paraId="4E78210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60 DAA</w:t>
            </w:r>
          </w:p>
        </w:tc>
        <w:tc>
          <w:tcPr>
            <w:tcW w:w="1046" w:type="dxa"/>
            <w:hideMark/>
          </w:tcPr>
          <w:p w14:paraId="7198BAF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0.61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0B48E43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0.50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0667765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2.96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0.08</w:t>
            </w:r>
          </w:p>
        </w:tc>
        <w:tc>
          <w:tcPr>
            <w:tcW w:w="0" w:type="auto"/>
            <w:hideMark/>
          </w:tcPr>
          <w:p w14:paraId="4A3373B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2.13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0.03</w:t>
            </w:r>
          </w:p>
        </w:tc>
        <w:tc>
          <w:tcPr>
            <w:tcW w:w="864" w:type="dxa"/>
            <w:hideMark/>
          </w:tcPr>
          <w:p w14:paraId="32EC2A3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27.82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0.96</w:t>
            </w:r>
          </w:p>
        </w:tc>
        <w:tc>
          <w:tcPr>
            <w:tcW w:w="2075" w:type="dxa"/>
            <w:hideMark/>
          </w:tcPr>
          <w:p w14:paraId="291BA8C4"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Red Purple Group 58 (Moderate Purple Red A) </w:t>
            </w:r>
          </w:p>
        </w:tc>
      </w:tr>
      <w:tr w:rsidR="000A07AC" w:rsidRPr="003D34F7" w14:paraId="347BCBDE" w14:textId="77777777" w:rsidTr="00C5224B">
        <w:tc>
          <w:tcPr>
            <w:tcW w:w="1216" w:type="dxa"/>
            <w:hideMark/>
          </w:tcPr>
          <w:p w14:paraId="4521B11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80 DAA</w:t>
            </w:r>
          </w:p>
        </w:tc>
        <w:tc>
          <w:tcPr>
            <w:tcW w:w="1046" w:type="dxa"/>
            <w:hideMark/>
          </w:tcPr>
          <w:p w14:paraId="3894BD9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0.68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3D392C3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561C08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4.72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0.12</w:t>
            </w:r>
          </w:p>
        </w:tc>
        <w:tc>
          <w:tcPr>
            <w:tcW w:w="0" w:type="auto"/>
            <w:hideMark/>
          </w:tcPr>
          <w:p w14:paraId="2222C0C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3.48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0.05</w:t>
            </w:r>
          </w:p>
        </w:tc>
        <w:tc>
          <w:tcPr>
            <w:tcW w:w="864" w:type="dxa"/>
            <w:hideMark/>
          </w:tcPr>
          <w:p w14:paraId="2A4A305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26.08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0.90</w:t>
            </w:r>
          </w:p>
        </w:tc>
        <w:tc>
          <w:tcPr>
            <w:tcW w:w="2075" w:type="dxa"/>
            <w:hideMark/>
          </w:tcPr>
          <w:p w14:paraId="7B2D4D3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70%</w:t>
            </w:r>
          </w:p>
          <w:p w14:paraId="13F878D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30%</w:t>
            </w:r>
          </w:p>
          <w:p w14:paraId="3E3FE688"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5111D4F2" w14:textId="77777777" w:rsidTr="00C5224B">
        <w:tc>
          <w:tcPr>
            <w:tcW w:w="1216" w:type="dxa"/>
            <w:hideMark/>
          </w:tcPr>
          <w:p w14:paraId="0C48E30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90 DAA</w:t>
            </w:r>
          </w:p>
        </w:tc>
        <w:tc>
          <w:tcPr>
            <w:tcW w:w="1046" w:type="dxa"/>
            <w:hideMark/>
          </w:tcPr>
          <w:p w14:paraId="633A8C8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0.71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582D58E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0.53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EB9660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5.42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0.14</w:t>
            </w:r>
          </w:p>
        </w:tc>
        <w:tc>
          <w:tcPr>
            <w:tcW w:w="0" w:type="auto"/>
            <w:hideMark/>
          </w:tcPr>
          <w:p w14:paraId="098CAE0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4.12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0.06</w:t>
            </w:r>
          </w:p>
        </w:tc>
        <w:tc>
          <w:tcPr>
            <w:tcW w:w="864" w:type="dxa"/>
            <w:hideMark/>
          </w:tcPr>
          <w:p w14:paraId="74FE24C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23.96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0.83</w:t>
            </w:r>
          </w:p>
        </w:tc>
        <w:tc>
          <w:tcPr>
            <w:tcW w:w="2075" w:type="dxa"/>
            <w:hideMark/>
          </w:tcPr>
          <w:p w14:paraId="54D6C4E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64%</w:t>
            </w:r>
          </w:p>
          <w:p w14:paraId="4E4BE80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36%</w:t>
            </w:r>
          </w:p>
        </w:tc>
      </w:tr>
      <w:tr w:rsidR="000A07AC" w:rsidRPr="003D34F7" w14:paraId="75B30FA4" w14:textId="77777777" w:rsidTr="00C5224B">
        <w:tc>
          <w:tcPr>
            <w:tcW w:w="1216" w:type="dxa"/>
            <w:hideMark/>
          </w:tcPr>
          <w:p w14:paraId="342337C8"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100 DAA</w:t>
            </w:r>
          </w:p>
        </w:tc>
        <w:tc>
          <w:tcPr>
            <w:tcW w:w="1046" w:type="dxa"/>
            <w:hideMark/>
          </w:tcPr>
          <w:p w14:paraId="461FD4C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0.73 </w:t>
            </w:r>
            <w:r w:rsidRPr="003D34F7">
              <w:rPr>
                <w:rFonts w:ascii="Times New Roman" w:eastAsia="Times New Roman" w:hAnsi="Times New Roman" w:cs="Times New Roman"/>
                <w:kern w:val="0"/>
                <w:sz w:val="20"/>
                <w:szCs w:val="20"/>
                <w:lang w:eastAsia="en-IN"/>
                <w14:ligatures w14:val="none"/>
              </w:rPr>
              <w:t xml:space="preserve">± </w:t>
            </w:r>
            <w:r w:rsidRPr="003D34F7">
              <w:rPr>
                <w:rFonts w:ascii="Times New Roman" w:hAnsi="Times New Roman" w:cs="Times New Roman"/>
                <w:sz w:val="20"/>
                <w:szCs w:val="20"/>
              </w:rPr>
              <w:t>0.02</w:t>
            </w:r>
          </w:p>
        </w:tc>
        <w:tc>
          <w:tcPr>
            <w:tcW w:w="1181" w:type="dxa"/>
            <w:hideMark/>
          </w:tcPr>
          <w:p w14:paraId="4E32264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74F2C7F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4.90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0.13</w:t>
            </w:r>
          </w:p>
        </w:tc>
        <w:tc>
          <w:tcPr>
            <w:tcW w:w="0" w:type="auto"/>
            <w:hideMark/>
          </w:tcPr>
          <w:p w14:paraId="20EEDAC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4.19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0.08</w:t>
            </w:r>
          </w:p>
        </w:tc>
        <w:tc>
          <w:tcPr>
            <w:tcW w:w="864" w:type="dxa"/>
            <w:hideMark/>
          </w:tcPr>
          <w:p w14:paraId="064AC74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14.59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0.50</w:t>
            </w:r>
          </w:p>
        </w:tc>
        <w:tc>
          <w:tcPr>
            <w:tcW w:w="2075" w:type="dxa"/>
            <w:hideMark/>
          </w:tcPr>
          <w:p w14:paraId="7DCAB15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55%</w:t>
            </w:r>
          </w:p>
          <w:p w14:paraId="6403828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45%</w:t>
            </w:r>
          </w:p>
        </w:tc>
      </w:tr>
      <w:tr w:rsidR="000A07AC" w:rsidRPr="003D34F7" w14:paraId="7BD2D6CF" w14:textId="77777777" w:rsidTr="00C5224B">
        <w:tc>
          <w:tcPr>
            <w:tcW w:w="1216" w:type="dxa"/>
            <w:hideMark/>
          </w:tcPr>
          <w:p w14:paraId="716BF2E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LSD</w:t>
            </w:r>
          </w:p>
        </w:tc>
        <w:tc>
          <w:tcPr>
            <w:tcW w:w="1046" w:type="dxa"/>
            <w:hideMark/>
          </w:tcPr>
          <w:p w14:paraId="55533AC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0.07</w:t>
            </w:r>
          </w:p>
        </w:tc>
        <w:tc>
          <w:tcPr>
            <w:tcW w:w="1181" w:type="dxa"/>
            <w:hideMark/>
          </w:tcPr>
          <w:p w14:paraId="7501AAB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0.06</w:t>
            </w:r>
          </w:p>
        </w:tc>
        <w:tc>
          <w:tcPr>
            <w:tcW w:w="0" w:type="auto"/>
            <w:hideMark/>
          </w:tcPr>
          <w:p w14:paraId="5BFE4B6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0.35</w:t>
            </w:r>
          </w:p>
        </w:tc>
        <w:tc>
          <w:tcPr>
            <w:tcW w:w="0" w:type="auto"/>
            <w:hideMark/>
          </w:tcPr>
          <w:p w14:paraId="45A069A4"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0.17</w:t>
            </w:r>
          </w:p>
        </w:tc>
        <w:tc>
          <w:tcPr>
            <w:tcW w:w="864" w:type="dxa"/>
            <w:hideMark/>
          </w:tcPr>
          <w:p w14:paraId="360198A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3.27</w:t>
            </w:r>
          </w:p>
        </w:tc>
        <w:tc>
          <w:tcPr>
            <w:tcW w:w="2075" w:type="dxa"/>
            <w:hideMark/>
          </w:tcPr>
          <w:p w14:paraId="764979CE"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1E896543" w14:textId="77777777" w:rsidTr="00C5224B">
        <w:tc>
          <w:tcPr>
            <w:tcW w:w="1216" w:type="dxa"/>
            <w:hideMark/>
          </w:tcPr>
          <w:p w14:paraId="6287B08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SE(m)</w:t>
            </w:r>
          </w:p>
        </w:tc>
        <w:tc>
          <w:tcPr>
            <w:tcW w:w="1046" w:type="dxa"/>
            <w:hideMark/>
          </w:tcPr>
          <w:p w14:paraId="0A8BB8C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0.02</w:t>
            </w:r>
          </w:p>
        </w:tc>
        <w:tc>
          <w:tcPr>
            <w:tcW w:w="1181" w:type="dxa"/>
            <w:hideMark/>
          </w:tcPr>
          <w:p w14:paraId="2D3BA72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0.02</w:t>
            </w:r>
          </w:p>
        </w:tc>
        <w:tc>
          <w:tcPr>
            <w:tcW w:w="0" w:type="auto"/>
            <w:hideMark/>
          </w:tcPr>
          <w:p w14:paraId="6488FB6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0.11</w:t>
            </w:r>
          </w:p>
        </w:tc>
        <w:tc>
          <w:tcPr>
            <w:tcW w:w="0" w:type="auto"/>
            <w:hideMark/>
          </w:tcPr>
          <w:p w14:paraId="7621960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0.05</w:t>
            </w:r>
          </w:p>
        </w:tc>
        <w:tc>
          <w:tcPr>
            <w:tcW w:w="864" w:type="dxa"/>
            <w:hideMark/>
          </w:tcPr>
          <w:p w14:paraId="01847A4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1.03</w:t>
            </w:r>
          </w:p>
        </w:tc>
        <w:tc>
          <w:tcPr>
            <w:tcW w:w="2075" w:type="dxa"/>
            <w:hideMark/>
          </w:tcPr>
          <w:p w14:paraId="5254E95D"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64755B80" w14:textId="77777777" w:rsidTr="00C5224B">
        <w:tc>
          <w:tcPr>
            <w:tcW w:w="1216" w:type="dxa"/>
            <w:hideMark/>
          </w:tcPr>
          <w:p w14:paraId="17FE7D6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Significance </w:t>
            </w:r>
          </w:p>
        </w:tc>
        <w:tc>
          <w:tcPr>
            <w:tcW w:w="1046" w:type="dxa"/>
            <w:hideMark/>
          </w:tcPr>
          <w:p w14:paraId="191EA06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0.002</w:t>
            </w:r>
          </w:p>
        </w:tc>
        <w:tc>
          <w:tcPr>
            <w:tcW w:w="1181" w:type="dxa"/>
            <w:hideMark/>
          </w:tcPr>
          <w:p w14:paraId="46FB84A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0.041</w:t>
            </w:r>
          </w:p>
        </w:tc>
        <w:tc>
          <w:tcPr>
            <w:tcW w:w="0" w:type="auto"/>
            <w:hideMark/>
          </w:tcPr>
          <w:p w14:paraId="3A1CC53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0" w:type="auto"/>
            <w:hideMark/>
          </w:tcPr>
          <w:p w14:paraId="7CC6EB4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864" w:type="dxa"/>
            <w:hideMark/>
          </w:tcPr>
          <w:p w14:paraId="763CFF3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2075" w:type="dxa"/>
            <w:hideMark/>
          </w:tcPr>
          <w:p w14:paraId="1D1908DA" w14:textId="77777777" w:rsidR="000A07AC" w:rsidRPr="003D34F7" w:rsidRDefault="000A07AC" w:rsidP="00166B2B">
            <w:pPr>
              <w:spacing w:after="160" w:line="360" w:lineRule="auto"/>
              <w:jc w:val="both"/>
              <w:rPr>
                <w:rFonts w:ascii="Times New Roman" w:hAnsi="Times New Roman" w:cs="Times New Roman"/>
                <w:sz w:val="20"/>
                <w:szCs w:val="20"/>
              </w:rPr>
            </w:pPr>
          </w:p>
        </w:tc>
      </w:tr>
    </w:tbl>
    <w:p w14:paraId="5C367882" w14:textId="72DBE553" w:rsidR="000A07AC" w:rsidRDefault="000A07AC" w:rsidP="003552ED">
      <w:pPr>
        <w:pStyle w:val="ListParagraph"/>
        <w:spacing w:line="360" w:lineRule="auto"/>
        <w:jc w:val="both"/>
        <w:rPr>
          <w:rFonts w:ascii="Times New Roman" w:hAnsi="Times New Roman" w:cs="Times New Roman"/>
          <w:b/>
          <w:bCs/>
          <w:sz w:val="20"/>
          <w:szCs w:val="20"/>
        </w:rPr>
      </w:pPr>
    </w:p>
    <w:p w14:paraId="78F98421" w14:textId="77777777"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174EE43F" w14:textId="77777777" w:rsidR="000A07AC" w:rsidRPr="003D34F7" w:rsidRDefault="000A07AC" w:rsidP="000A07AC">
      <w:pPr>
        <w:spacing w:before="100" w:beforeAutospacing="1" w:after="100" w:afterAutospacing="1"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lastRenderedPageBreak/>
        <w:t xml:space="preserve">Table </w:t>
      </w:r>
      <w:r>
        <w:rPr>
          <w:rFonts w:ascii="Times New Roman" w:eastAsia="Times New Roman" w:hAnsi="Times New Roman" w:cs="Times New Roman"/>
          <w:b/>
          <w:bCs/>
          <w:kern w:val="0"/>
          <w:sz w:val="20"/>
          <w:szCs w:val="20"/>
          <w:lang w:eastAsia="en-IN"/>
          <w14:ligatures w14:val="none"/>
        </w:rPr>
        <w:t>III</w:t>
      </w:r>
      <w:r w:rsidRPr="003D34F7">
        <w:rPr>
          <w:rFonts w:ascii="Times New Roman" w:eastAsia="Times New Roman" w:hAnsi="Times New Roman" w:cs="Times New Roman"/>
          <w:b/>
          <w:bCs/>
          <w:kern w:val="0"/>
          <w:sz w:val="20"/>
          <w:szCs w:val="20"/>
          <w:lang w:eastAsia="en-IN"/>
          <w14:ligatures w14:val="none"/>
        </w:rPr>
        <w:t xml:space="preserve">: Change in the seed physiological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411"/>
        <w:gridCol w:w="2100"/>
        <w:gridCol w:w="2269"/>
        <w:gridCol w:w="1677"/>
        <w:gridCol w:w="1559"/>
      </w:tblGrid>
      <w:tr w:rsidR="000A07AC" w:rsidRPr="003D34F7" w14:paraId="794F11EB" w14:textId="77777777" w:rsidTr="00166B2B">
        <w:tc>
          <w:tcPr>
            <w:tcW w:w="0" w:type="auto"/>
            <w:hideMark/>
          </w:tcPr>
          <w:p w14:paraId="4896FAE9"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Day after Anthesis</w:t>
            </w:r>
          </w:p>
        </w:tc>
        <w:tc>
          <w:tcPr>
            <w:tcW w:w="0" w:type="auto"/>
            <w:hideMark/>
          </w:tcPr>
          <w:p w14:paraId="6324950F"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Fresh Seed Germination %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tcPr>
          <w:p w14:paraId="0D77472E"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Germination % After desiccation (Mean </w:t>
            </w:r>
            <w:r w:rsidRPr="003D34F7">
              <w:rPr>
                <w:rFonts w:ascii="Times New Roman" w:eastAsia="Times New Roman" w:hAnsi="Times New Roman" w:cs="Times New Roman"/>
                <w:b/>
                <w:kern w:val="0"/>
                <w:sz w:val="20"/>
                <w:szCs w:val="20"/>
                <w:lang w:eastAsia="en-IN"/>
                <w14:ligatures w14:val="none"/>
              </w:rPr>
              <w:t xml:space="preserve">± </w:t>
            </w:r>
            <w:r w:rsidRPr="003D34F7">
              <w:rPr>
                <w:rFonts w:ascii="Times New Roman" w:eastAsia="Times New Roman" w:hAnsi="Times New Roman" w:cs="Times New Roman"/>
                <w:b/>
                <w:bCs/>
                <w:kern w:val="0"/>
                <w:sz w:val="20"/>
                <w:szCs w:val="20"/>
                <w:lang w:eastAsia="en-IN"/>
                <w14:ligatures w14:val="none"/>
              </w:rPr>
              <w:t>SE)</w:t>
            </w:r>
          </w:p>
        </w:tc>
        <w:tc>
          <w:tcPr>
            <w:tcW w:w="0" w:type="auto"/>
            <w:hideMark/>
          </w:tcPr>
          <w:p w14:paraId="33F26450"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Seedling Length (cm)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74FF182B"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Seed Vigour Index I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r>
      <w:tr w:rsidR="000A07AC" w:rsidRPr="003D34F7" w14:paraId="397AC7BB" w14:textId="77777777" w:rsidTr="00166B2B">
        <w:tc>
          <w:tcPr>
            <w:tcW w:w="0" w:type="auto"/>
            <w:hideMark/>
          </w:tcPr>
          <w:p w14:paraId="696F5E9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 DAA</w:t>
            </w:r>
          </w:p>
        </w:tc>
        <w:tc>
          <w:tcPr>
            <w:tcW w:w="0" w:type="auto"/>
            <w:hideMark/>
          </w:tcPr>
          <w:p w14:paraId="708C377E"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4E39D3E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0.00</w:t>
            </w:r>
          </w:p>
        </w:tc>
        <w:tc>
          <w:tcPr>
            <w:tcW w:w="0" w:type="auto"/>
            <w:hideMark/>
          </w:tcPr>
          <w:p w14:paraId="1B83644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c>
          <w:tcPr>
            <w:tcW w:w="0" w:type="auto"/>
            <w:hideMark/>
          </w:tcPr>
          <w:p w14:paraId="1AAB5223"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r>
      <w:tr w:rsidR="000A07AC" w:rsidRPr="003D34F7" w14:paraId="5DA7D0D1" w14:textId="77777777" w:rsidTr="00166B2B">
        <w:tc>
          <w:tcPr>
            <w:tcW w:w="0" w:type="auto"/>
            <w:hideMark/>
          </w:tcPr>
          <w:p w14:paraId="364D218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60 DAA</w:t>
            </w:r>
          </w:p>
        </w:tc>
        <w:tc>
          <w:tcPr>
            <w:tcW w:w="0" w:type="auto"/>
            <w:hideMark/>
          </w:tcPr>
          <w:p w14:paraId="480D2F82"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3CE46FC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0.00</w:t>
            </w:r>
          </w:p>
        </w:tc>
        <w:tc>
          <w:tcPr>
            <w:tcW w:w="0" w:type="auto"/>
            <w:hideMark/>
          </w:tcPr>
          <w:p w14:paraId="22A1388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c>
          <w:tcPr>
            <w:tcW w:w="0" w:type="auto"/>
            <w:hideMark/>
          </w:tcPr>
          <w:p w14:paraId="1E0269F6"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r>
      <w:tr w:rsidR="000A07AC" w:rsidRPr="003D34F7" w14:paraId="435981F2" w14:textId="77777777" w:rsidTr="00166B2B">
        <w:tc>
          <w:tcPr>
            <w:tcW w:w="0" w:type="auto"/>
            <w:hideMark/>
          </w:tcPr>
          <w:p w14:paraId="0A02C29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80 DAA</w:t>
            </w:r>
          </w:p>
        </w:tc>
        <w:tc>
          <w:tcPr>
            <w:tcW w:w="0" w:type="auto"/>
            <w:hideMark/>
          </w:tcPr>
          <w:p w14:paraId="26EFB41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54DD51D0"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3.83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1.20</w:t>
            </w:r>
          </w:p>
        </w:tc>
        <w:tc>
          <w:tcPr>
            <w:tcW w:w="0" w:type="auto"/>
            <w:hideMark/>
          </w:tcPr>
          <w:p w14:paraId="499888E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6.83 ± 0.63</w:t>
            </w:r>
          </w:p>
        </w:tc>
        <w:tc>
          <w:tcPr>
            <w:tcW w:w="0" w:type="auto"/>
            <w:hideMark/>
          </w:tcPr>
          <w:p w14:paraId="7BC8044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25.66 ± 7.69</w:t>
            </w:r>
          </w:p>
        </w:tc>
      </w:tr>
      <w:tr w:rsidR="000A07AC" w:rsidRPr="003D34F7" w14:paraId="59CA977F" w14:textId="77777777" w:rsidTr="00166B2B">
        <w:tc>
          <w:tcPr>
            <w:tcW w:w="0" w:type="auto"/>
            <w:hideMark/>
          </w:tcPr>
          <w:p w14:paraId="5BDAEC8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90 DAA</w:t>
            </w:r>
          </w:p>
        </w:tc>
        <w:tc>
          <w:tcPr>
            <w:tcW w:w="0" w:type="auto"/>
            <w:hideMark/>
          </w:tcPr>
          <w:p w14:paraId="78B0685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5.67 ± 0.93</w:t>
            </w:r>
          </w:p>
        </w:tc>
        <w:tc>
          <w:tcPr>
            <w:tcW w:w="0" w:type="auto"/>
            <w:vAlign w:val="center"/>
          </w:tcPr>
          <w:p w14:paraId="22A0542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9.17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1.21</w:t>
            </w:r>
          </w:p>
        </w:tc>
        <w:tc>
          <w:tcPr>
            <w:tcW w:w="0" w:type="auto"/>
            <w:hideMark/>
          </w:tcPr>
          <w:p w14:paraId="7BCA62E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7.67 ± 0.49</w:t>
            </w:r>
          </w:p>
        </w:tc>
        <w:tc>
          <w:tcPr>
            <w:tcW w:w="0" w:type="auto"/>
            <w:hideMark/>
          </w:tcPr>
          <w:p w14:paraId="1E41B50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70.46 ± 10.24</w:t>
            </w:r>
          </w:p>
        </w:tc>
      </w:tr>
      <w:tr w:rsidR="000A07AC" w:rsidRPr="003D34F7" w14:paraId="3957E012" w14:textId="77777777" w:rsidTr="00166B2B">
        <w:tc>
          <w:tcPr>
            <w:tcW w:w="0" w:type="auto"/>
            <w:hideMark/>
          </w:tcPr>
          <w:p w14:paraId="4C22C7B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100 DAA</w:t>
            </w:r>
          </w:p>
        </w:tc>
        <w:tc>
          <w:tcPr>
            <w:tcW w:w="0" w:type="auto"/>
            <w:hideMark/>
          </w:tcPr>
          <w:p w14:paraId="6D53A1F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14.50 ± 2.31</w:t>
            </w:r>
          </w:p>
        </w:tc>
        <w:tc>
          <w:tcPr>
            <w:tcW w:w="0" w:type="auto"/>
            <w:vAlign w:val="center"/>
          </w:tcPr>
          <w:p w14:paraId="3C7AA58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21.50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2.04</w:t>
            </w:r>
          </w:p>
        </w:tc>
        <w:tc>
          <w:tcPr>
            <w:tcW w:w="0" w:type="auto"/>
            <w:hideMark/>
          </w:tcPr>
          <w:p w14:paraId="482D097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8.55 ± 0.49</w:t>
            </w:r>
          </w:p>
        </w:tc>
        <w:tc>
          <w:tcPr>
            <w:tcW w:w="0" w:type="auto"/>
            <w:hideMark/>
          </w:tcPr>
          <w:p w14:paraId="02D17A92"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185.68 ± 27.94</w:t>
            </w:r>
          </w:p>
        </w:tc>
      </w:tr>
      <w:tr w:rsidR="000A07AC" w:rsidRPr="003D34F7" w14:paraId="43CA248A" w14:textId="77777777" w:rsidTr="00166B2B">
        <w:tc>
          <w:tcPr>
            <w:tcW w:w="0" w:type="auto"/>
            <w:hideMark/>
          </w:tcPr>
          <w:p w14:paraId="7B3BF2B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LSD</w:t>
            </w:r>
          </w:p>
        </w:tc>
        <w:tc>
          <w:tcPr>
            <w:tcW w:w="0" w:type="auto"/>
            <w:hideMark/>
          </w:tcPr>
          <w:p w14:paraId="45DC82E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3.55</w:t>
            </w:r>
          </w:p>
        </w:tc>
        <w:tc>
          <w:tcPr>
            <w:tcW w:w="0" w:type="auto"/>
          </w:tcPr>
          <w:p w14:paraId="37976330" w14:textId="77777777" w:rsidR="000A07AC" w:rsidRPr="003D34F7" w:rsidRDefault="000A07AC" w:rsidP="00166B2B">
            <w:pPr>
              <w:spacing w:line="360" w:lineRule="auto"/>
              <w:jc w:val="center"/>
              <w:rPr>
                <w:rFonts w:ascii="Times New Roman" w:hAnsi="Times New Roman" w:cs="Times New Roman"/>
                <w:sz w:val="20"/>
                <w:szCs w:val="20"/>
              </w:rPr>
            </w:pPr>
            <w:r w:rsidRPr="003D34F7">
              <w:rPr>
                <w:rFonts w:ascii="Times New Roman" w:hAnsi="Times New Roman" w:cs="Times New Roman"/>
                <w:sz w:val="20"/>
                <w:szCs w:val="20"/>
              </w:rPr>
              <w:t>4.42</w:t>
            </w:r>
          </w:p>
        </w:tc>
        <w:tc>
          <w:tcPr>
            <w:tcW w:w="0" w:type="auto"/>
            <w:hideMark/>
          </w:tcPr>
          <w:p w14:paraId="45C4FEE8"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1.33</w:t>
            </w:r>
          </w:p>
        </w:tc>
        <w:tc>
          <w:tcPr>
            <w:tcW w:w="0" w:type="auto"/>
            <w:hideMark/>
          </w:tcPr>
          <w:p w14:paraId="3173D54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43.87</w:t>
            </w:r>
          </w:p>
        </w:tc>
      </w:tr>
      <w:tr w:rsidR="000A07AC" w:rsidRPr="003D34F7" w14:paraId="2437B62D" w14:textId="77777777" w:rsidTr="00166B2B">
        <w:tc>
          <w:tcPr>
            <w:tcW w:w="0" w:type="auto"/>
            <w:hideMark/>
          </w:tcPr>
          <w:p w14:paraId="3CE8A5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SE(m)</w:t>
            </w:r>
          </w:p>
        </w:tc>
        <w:tc>
          <w:tcPr>
            <w:tcW w:w="0" w:type="auto"/>
            <w:hideMark/>
          </w:tcPr>
          <w:p w14:paraId="442FE00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1.11</w:t>
            </w:r>
          </w:p>
        </w:tc>
        <w:tc>
          <w:tcPr>
            <w:tcW w:w="0" w:type="auto"/>
          </w:tcPr>
          <w:p w14:paraId="7BB371F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1.34</w:t>
            </w:r>
          </w:p>
        </w:tc>
        <w:tc>
          <w:tcPr>
            <w:tcW w:w="0" w:type="auto"/>
            <w:hideMark/>
          </w:tcPr>
          <w:p w14:paraId="2E272A3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0.42</w:t>
            </w:r>
          </w:p>
        </w:tc>
        <w:tc>
          <w:tcPr>
            <w:tcW w:w="0" w:type="auto"/>
            <w:hideMark/>
          </w:tcPr>
          <w:p w14:paraId="2F8BE0B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13.75</w:t>
            </w:r>
          </w:p>
        </w:tc>
      </w:tr>
      <w:tr w:rsidR="000A07AC" w:rsidRPr="003D34F7" w14:paraId="1253F6F6" w14:textId="77777777" w:rsidTr="00166B2B">
        <w:tc>
          <w:tcPr>
            <w:tcW w:w="0" w:type="auto"/>
            <w:hideMark/>
          </w:tcPr>
          <w:p w14:paraId="0854A7F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sz w:val="20"/>
                <w:szCs w:val="20"/>
              </w:rPr>
              <w:t>Significance</w:t>
            </w:r>
          </w:p>
        </w:tc>
        <w:tc>
          <w:tcPr>
            <w:tcW w:w="0" w:type="auto"/>
            <w:hideMark/>
          </w:tcPr>
          <w:p w14:paraId="32BBF9A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tcPr>
          <w:p w14:paraId="70667155"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hideMark/>
          </w:tcPr>
          <w:p w14:paraId="2516C404"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hideMark/>
          </w:tcPr>
          <w:p w14:paraId="756A83E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r>
    </w:tbl>
    <w:p w14:paraId="3A360985" w14:textId="77777777" w:rsidR="000A07AC" w:rsidRPr="003D34F7" w:rsidRDefault="000A07AC" w:rsidP="000A07AC">
      <w:pPr>
        <w:spacing w:line="360" w:lineRule="auto"/>
        <w:ind w:left="720"/>
        <w:jc w:val="both"/>
        <w:rPr>
          <w:rFonts w:ascii="Times New Roman" w:hAnsi="Times New Roman" w:cs="Times New Roman"/>
          <w:sz w:val="20"/>
          <w:szCs w:val="20"/>
        </w:rPr>
      </w:pPr>
    </w:p>
    <w:p w14:paraId="4CE47150" w14:textId="77777777" w:rsidR="003552ED" w:rsidRPr="003D34F7" w:rsidRDefault="003552ED" w:rsidP="003552ED">
      <w:pPr>
        <w:pStyle w:val="ListParagraph"/>
        <w:spacing w:line="360" w:lineRule="auto"/>
        <w:jc w:val="both"/>
        <w:rPr>
          <w:rFonts w:ascii="Times New Roman" w:hAnsi="Times New Roman" w:cs="Times New Roman"/>
          <w:b/>
          <w:bCs/>
          <w:sz w:val="20"/>
          <w:szCs w:val="20"/>
        </w:rPr>
      </w:pPr>
    </w:p>
    <w:sectPr w:rsidR="003552ED" w:rsidRPr="003D34F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rshit jangid" w:date="2025-06-11T21:45:00Z" w:initials="hj">
    <w:p w14:paraId="26EE7D0B" w14:textId="4EFEA893" w:rsidR="00DC46F5" w:rsidRDefault="00DC46F5">
      <w:pPr>
        <w:pStyle w:val="CommentText"/>
      </w:pPr>
      <w:r>
        <w:rPr>
          <w:rStyle w:val="CommentReference"/>
        </w:rPr>
        <w:annotationRef/>
      </w:r>
      <w:r>
        <w:t>In alphabetic order</w:t>
      </w:r>
    </w:p>
  </w:comment>
  <w:comment w:id="1" w:author="harshit jangid" w:date="2025-06-11T22:00:00Z" w:initials="hj">
    <w:p w14:paraId="2839395A" w14:textId="067F2D7E" w:rsidR="00E112F1" w:rsidRDefault="00E112F1">
      <w:pPr>
        <w:pStyle w:val="CommentText"/>
      </w:pPr>
      <w:r>
        <w:rPr>
          <w:rStyle w:val="CommentReference"/>
        </w:rPr>
        <w:annotationRef/>
      </w:r>
      <w:r>
        <w:t>italic</w:t>
      </w:r>
    </w:p>
  </w:comment>
  <w:comment w:id="2" w:author="harshit jangid" w:date="2025-06-11T22:01:00Z" w:initials="hj">
    <w:p w14:paraId="5800DF43" w14:textId="0AB5B23D" w:rsidR="00E112F1" w:rsidRDefault="00E112F1">
      <w:pPr>
        <w:pStyle w:val="CommentText"/>
      </w:pPr>
      <w:r>
        <w:rPr>
          <w:rStyle w:val="CommentReference"/>
        </w:rPr>
        <w:annotationRef/>
      </w:r>
      <w:r>
        <w:t>??</w:t>
      </w:r>
    </w:p>
  </w:comment>
  <w:comment w:id="3" w:author="harshit jangid" w:date="2025-06-11T22:02:00Z" w:initials="hj">
    <w:p w14:paraId="77837545" w14:textId="09BC75FA" w:rsidR="00E112F1" w:rsidRDefault="00E112F1">
      <w:pPr>
        <w:pStyle w:val="CommentText"/>
      </w:pPr>
      <w:r>
        <w:rPr>
          <w:rStyle w:val="CommentReference"/>
        </w:rPr>
        <w:annotationRef/>
      </w:r>
      <w:r>
        <w:t>Add new reference</w:t>
      </w:r>
    </w:p>
  </w:comment>
  <w:comment w:id="5" w:author="harshit jangid" w:date="2025-06-11T22:03:00Z" w:initials="hj">
    <w:p w14:paraId="1E06A29B" w14:textId="5F309EFD" w:rsidR="00E112F1" w:rsidRDefault="00E112F1">
      <w:pPr>
        <w:pStyle w:val="CommentText"/>
      </w:pPr>
      <w:r>
        <w:rPr>
          <w:rStyle w:val="CommentReference"/>
        </w:rPr>
        <w:annotationRef/>
      </w:r>
      <w:r>
        <w:t>italic</w:t>
      </w:r>
    </w:p>
  </w:comment>
  <w:comment w:id="4" w:author="harshit jangid" w:date="2025-06-11T22:03:00Z" w:initials="hj">
    <w:p w14:paraId="67504446" w14:textId="44C914F9" w:rsidR="00E112F1" w:rsidRDefault="00E112F1">
      <w:pPr>
        <w:pStyle w:val="CommentText"/>
      </w:pPr>
      <w:r>
        <w:rPr>
          <w:rStyle w:val="CommentReference"/>
        </w:rPr>
        <w:annotationRef/>
      </w:r>
      <w:r>
        <w:t xml:space="preserve">add new </w:t>
      </w:r>
    </w:p>
  </w:comment>
  <w:comment w:id="6" w:author="harshit jangid" w:date="2025-06-11T22:03:00Z" w:initials="hj">
    <w:p w14:paraId="713667D9" w14:textId="3B2AA088" w:rsidR="00E112F1" w:rsidRDefault="00E112F1">
      <w:pPr>
        <w:pStyle w:val="CommentText"/>
      </w:pPr>
      <w:r>
        <w:rPr>
          <w:rStyle w:val="CommentReference"/>
        </w:rPr>
        <w:annotationRef/>
      </w:r>
      <w:r>
        <w:t>italic</w:t>
      </w:r>
    </w:p>
  </w:comment>
  <w:comment w:id="7" w:author="harshit jangid" w:date="2025-06-11T22:04:00Z" w:initials="hj">
    <w:p w14:paraId="6D5D5519" w14:textId="1E47BBF4" w:rsidR="00E112F1" w:rsidRDefault="00E112F1">
      <w:pPr>
        <w:pStyle w:val="CommentText"/>
      </w:pPr>
      <w:r>
        <w:rPr>
          <w:rStyle w:val="CommentReference"/>
        </w:rPr>
        <w:annotationRef/>
      </w:r>
      <w:r>
        <w:t>ex-situ</w:t>
      </w:r>
    </w:p>
  </w:comment>
  <w:comment w:id="8" w:author="harshit jangid" w:date="2025-06-11T22:05:00Z" w:initials="hj">
    <w:p w14:paraId="41023211" w14:textId="7AADF9D2" w:rsidR="00E112F1" w:rsidRDefault="00E112F1">
      <w:pPr>
        <w:pStyle w:val="CommentText"/>
      </w:pPr>
      <w:r>
        <w:rPr>
          <w:rStyle w:val="CommentReference"/>
        </w:rPr>
        <w:annotationRef/>
      </w:r>
      <w:r>
        <w:t>italic</w:t>
      </w:r>
    </w:p>
  </w:comment>
  <w:comment w:id="9" w:author="harshit jangid" w:date="2025-06-11T22:12:00Z" w:initials="hj">
    <w:p w14:paraId="5B3B8AE4" w14:textId="65E63CF5" w:rsidR="00C04F4F" w:rsidRDefault="00C04F4F">
      <w:pPr>
        <w:pStyle w:val="CommentText"/>
      </w:pPr>
      <w:r>
        <w:rPr>
          <w:rStyle w:val="CommentReference"/>
        </w:rPr>
        <w:annotationRef/>
      </w:r>
      <w:r>
        <w:t>not write in italic</w:t>
      </w:r>
    </w:p>
  </w:comment>
  <w:comment w:id="10" w:author="harshit jangid" w:date="2025-06-11T22:13:00Z" w:initials="hj">
    <w:p w14:paraId="4CBD60F7" w14:textId="091468CB" w:rsidR="00C04F4F" w:rsidRDefault="00C04F4F">
      <w:pPr>
        <w:pStyle w:val="CommentText"/>
      </w:pPr>
      <w:r>
        <w:rPr>
          <w:rStyle w:val="CommentReference"/>
        </w:rPr>
        <w:annotationRef/>
      </w:r>
      <w:r>
        <w:t xml:space="preserve">write only 2 </w:t>
      </w:r>
      <w:proofErr w:type="gramStart"/>
      <w:r>
        <w:t>value</w:t>
      </w:r>
      <w:proofErr w:type="gramEnd"/>
      <w:r>
        <w:t xml:space="preserve"> after point</w:t>
      </w:r>
    </w:p>
  </w:comment>
  <w:comment w:id="11" w:author="harshit jangid" w:date="2025-06-11T22:15:00Z" w:initials="hj">
    <w:p w14:paraId="6F04DD54" w14:textId="3769F91B" w:rsidR="00C04F4F" w:rsidRDefault="00C04F4F">
      <w:pPr>
        <w:pStyle w:val="CommentText"/>
      </w:pPr>
      <w:r>
        <w:rPr>
          <w:rStyle w:val="CommentReference"/>
        </w:rPr>
        <w:annotationRef/>
      </w:r>
      <w:r>
        <w:t>not in italic</w:t>
      </w:r>
    </w:p>
  </w:comment>
  <w:comment w:id="12" w:author="harshit jangid" w:date="2025-06-11T22:17:00Z" w:initials="hj">
    <w:p w14:paraId="77865A58" w14:textId="5E6FD06F" w:rsidR="00C04F4F" w:rsidRDefault="00C04F4F">
      <w:pPr>
        <w:pStyle w:val="CommentText"/>
      </w:pPr>
      <w:r>
        <w:rPr>
          <w:rStyle w:val="CommentReference"/>
        </w:rPr>
        <w:annotationRef/>
      </w:r>
      <w:r>
        <w:t>add new reference</w:t>
      </w:r>
    </w:p>
  </w:comment>
  <w:comment w:id="13" w:author="harshit jangid" w:date="2025-06-11T22:17:00Z" w:initials="hj">
    <w:p w14:paraId="029C1A68" w14:textId="6B01DCC2" w:rsidR="00C04F4F" w:rsidRDefault="00C04F4F">
      <w:pPr>
        <w:pStyle w:val="CommentText"/>
      </w:pPr>
      <w:r>
        <w:rPr>
          <w:rStyle w:val="CommentReference"/>
        </w:rPr>
        <w:annotationRef/>
      </w:r>
      <w:r>
        <w:t>italic</w:t>
      </w:r>
    </w:p>
  </w:comment>
  <w:comment w:id="14" w:author="harshit jangid" w:date="2025-06-11T22:18:00Z" w:initials="hj">
    <w:p w14:paraId="417EDDA3" w14:textId="03496391" w:rsidR="00C04F4F" w:rsidRDefault="00C04F4F">
      <w:pPr>
        <w:pStyle w:val="CommentText"/>
      </w:pPr>
      <w:r>
        <w:rPr>
          <w:rStyle w:val="CommentReference"/>
        </w:rPr>
        <w:annotationRef/>
      </w:r>
      <w:r>
        <w:t>italic</w:t>
      </w:r>
    </w:p>
  </w:comment>
  <w:comment w:id="15" w:author="harshit jangid" w:date="2025-06-11T22:18:00Z" w:initials="hj">
    <w:p w14:paraId="317D5259" w14:textId="3C7E91C5" w:rsidR="00C04F4F" w:rsidRDefault="00C04F4F">
      <w:pPr>
        <w:pStyle w:val="CommentText"/>
      </w:pPr>
      <w:r>
        <w:rPr>
          <w:rStyle w:val="CommentReference"/>
        </w:rPr>
        <w:annotationRef/>
      </w:r>
      <w:r>
        <w:t>italic</w:t>
      </w:r>
    </w:p>
  </w:comment>
  <w:comment w:id="16" w:author="harshit jangid" w:date="2025-06-11T22:19:00Z" w:initials="hj">
    <w:p w14:paraId="5EAB0F53" w14:textId="79956BFC" w:rsidR="00C04F4F" w:rsidRDefault="00C04F4F">
      <w:pPr>
        <w:pStyle w:val="CommentText"/>
      </w:pPr>
      <w:r>
        <w:rPr>
          <w:rStyle w:val="CommentReference"/>
        </w:rPr>
        <w:annotationRef/>
      </w:r>
      <w:r>
        <w:t>???</w:t>
      </w:r>
    </w:p>
  </w:comment>
  <w:comment w:id="17" w:author="harshit jangid" w:date="2025-06-11T22:20:00Z" w:initials="hj">
    <w:p w14:paraId="745C9D5A" w14:textId="3559EDEE" w:rsidR="00C04F4F" w:rsidRDefault="00C04F4F">
      <w:pPr>
        <w:pStyle w:val="CommentText"/>
      </w:pPr>
      <w:r>
        <w:rPr>
          <w:rStyle w:val="CommentReference"/>
        </w:rPr>
        <w:annotationRef/>
      </w:r>
      <w:r>
        <w:t>Write according to journal guideline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EE7D0B" w15:done="0"/>
  <w15:commentEx w15:paraId="2839395A" w15:done="0"/>
  <w15:commentEx w15:paraId="5800DF43" w15:done="0"/>
  <w15:commentEx w15:paraId="77837545" w15:done="0"/>
  <w15:commentEx w15:paraId="1E06A29B" w15:done="0"/>
  <w15:commentEx w15:paraId="67504446" w15:done="0"/>
  <w15:commentEx w15:paraId="713667D9" w15:done="0"/>
  <w15:commentEx w15:paraId="6D5D5519" w15:done="0"/>
  <w15:commentEx w15:paraId="41023211" w15:done="0"/>
  <w15:commentEx w15:paraId="5B3B8AE4" w15:done="0"/>
  <w15:commentEx w15:paraId="4CBD60F7" w15:done="0"/>
  <w15:commentEx w15:paraId="6F04DD54" w15:done="0"/>
  <w15:commentEx w15:paraId="77865A58" w15:done="0"/>
  <w15:commentEx w15:paraId="029C1A68" w15:done="0"/>
  <w15:commentEx w15:paraId="417EDDA3" w15:done="0"/>
  <w15:commentEx w15:paraId="317D5259" w15:done="0"/>
  <w15:commentEx w15:paraId="5EAB0F53" w15:done="0"/>
  <w15:commentEx w15:paraId="745C9D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03ADD3" w16cex:dateUtc="2025-06-11T16:15:00Z"/>
  <w16cex:commentExtensible w16cex:durableId="187DB5F4" w16cex:dateUtc="2025-06-11T16:30:00Z"/>
  <w16cex:commentExtensible w16cex:durableId="7C603A3C" w16cex:dateUtc="2025-06-11T16:31:00Z"/>
  <w16cex:commentExtensible w16cex:durableId="5F03A89E" w16cex:dateUtc="2025-06-11T16:32:00Z"/>
  <w16cex:commentExtensible w16cex:durableId="1954DA05" w16cex:dateUtc="2025-06-11T16:33:00Z"/>
  <w16cex:commentExtensible w16cex:durableId="6E7D1349" w16cex:dateUtc="2025-06-11T16:33:00Z"/>
  <w16cex:commentExtensible w16cex:durableId="7F7F46CC" w16cex:dateUtc="2025-06-11T16:33:00Z"/>
  <w16cex:commentExtensible w16cex:durableId="5F655100" w16cex:dateUtc="2025-06-11T16:34:00Z"/>
  <w16cex:commentExtensible w16cex:durableId="12859869" w16cex:dateUtc="2025-06-11T16:35:00Z"/>
  <w16cex:commentExtensible w16cex:durableId="61BF6717" w16cex:dateUtc="2025-06-11T16:42:00Z"/>
  <w16cex:commentExtensible w16cex:durableId="2D685EE3" w16cex:dateUtc="2025-06-11T16:43:00Z"/>
  <w16cex:commentExtensible w16cex:durableId="53D12660" w16cex:dateUtc="2025-06-11T16:45:00Z"/>
  <w16cex:commentExtensible w16cex:durableId="09A99436" w16cex:dateUtc="2025-06-11T16:47:00Z"/>
  <w16cex:commentExtensible w16cex:durableId="35A8664C" w16cex:dateUtc="2025-06-11T16:47:00Z"/>
  <w16cex:commentExtensible w16cex:durableId="6C73B279" w16cex:dateUtc="2025-06-11T16:48:00Z"/>
  <w16cex:commentExtensible w16cex:durableId="48A7F499" w16cex:dateUtc="2025-06-11T16:48:00Z"/>
  <w16cex:commentExtensible w16cex:durableId="189A496D" w16cex:dateUtc="2025-06-11T16:49:00Z"/>
  <w16cex:commentExtensible w16cex:durableId="5C3BCA23" w16cex:dateUtc="2025-06-11T1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EE7D0B" w16cid:durableId="7C03ADD3"/>
  <w16cid:commentId w16cid:paraId="2839395A" w16cid:durableId="187DB5F4"/>
  <w16cid:commentId w16cid:paraId="5800DF43" w16cid:durableId="7C603A3C"/>
  <w16cid:commentId w16cid:paraId="77837545" w16cid:durableId="5F03A89E"/>
  <w16cid:commentId w16cid:paraId="1E06A29B" w16cid:durableId="1954DA05"/>
  <w16cid:commentId w16cid:paraId="67504446" w16cid:durableId="6E7D1349"/>
  <w16cid:commentId w16cid:paraId="713667D9" w16cid:durableId="7F7F46CC"/>
  <w16cid:commentId w16cid:paraId="6D5D5519" w16cid:durableId="5F655100"/>
  <w16cid:commentId w16cid:paraId="41023211" w16cid:durableId="12859869"/>
  <w16cid:commentId w16cid:paraId="5B3B8AE4" w16cid:durableId="61BF6717"/>
  <w16cid:commentId w16cid:paraId="4CBD60F7" w16cid:durableId="2D685EE3"/>
  <w16cid:commentId w16cid:paraId="6F04DD54" w16cid:durableId="53D12660"/>
  <w16cid:commentId w16cid:paraId="77865A58" w16cid:durableId="09A99436"/>
  <w16cid:commentId w16cid:paraId="029C1A68" w16cid:durableId="35A8664C"/>
  <w16cid:commentId w16cid:paraId="417EDDA3" w16cid:durableId="6C73B279"/>
  <w16cid:commentId w16cid:paraId="317D5259" w16cid:durableId="48A7F499"/>
  <w16cid:commentId w16cid:paraId="5EAB0F53" w16cid:durableId="189A496D"/>
  <w16cid:commentId w16cid:paraId="745C9D5A" w16cid:durableId="5C3BCA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6EF1E" w14:textId="77777777" w:rsidR="00DE6C82" w:rsidRDefault="00DE6C82" w:rsidP="00610584">
      <w:pPr>
        <w:spacing w:after="0" w:line="240" w:lineRule="auto"/>
      </w:pPr>
      <w:r>
        <w:separator/>
      </w:r>
    </w:p>
  </w:endnote>
  <w:endnote w:type="continuationSeparator" w:id="0">
    <w:p w14:paraId="75F907BA" w14:textId="77777777" w:rsidR="00DE6C82" w:rsidRDefault="00DE6C82" w:rsidP="0061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AFC1" w14:textId="77777777" w:rsidR="000C5F35" w:rsidRDefault="000C5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380792"/>
      <w:docPartObj>
        <w:docPartGallery w:val="Page Numbers (Bottom of Page)"/>
        <w:docPartUnique/>
      </w:docPartObj>
    </w:sdtPr>
    <w:sdtEndPr>
      <w:rPr>
        <w:noProof/>
      </w:rPr>
    </w:sdtEndPr>
    <w:sdtContent>
      <w:p w14:paraId="1981EFA0" w14:textId="0A0DFF57" w:rsidR="00610584" w:rsidRDefault="006105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AFAABB" w14:textId="77777777" w:rsidR="00610584" w:rsidRDefault="00610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0FA6" w14:textId="77777777" w:rsidR="000C5F35" w:rsidRDefault="000C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009EE" w14:textId="77777777" w:rsidR="00DE6C82" w:rsidRDefault="00DE6C82" w:rsidP="00610584">
      <w:pPr>
        <w:spacing w:after="0" w:line="240" w:lineRule="auto"/>
      </w:pPr>
      <w:r>
        <w:separator/>
      </w:r>
    </w:p>
  </w:footnote>
  <w:footnote w:type="continuationSeparator" w:id="0">
    <w:p w14:paraId="22AB7431" w14:textId="77777777" w:rsidR="00DE6C82" w:rsidRDefault="00DE6C82" w:rsidP="00610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53BD" w14:textId="445DC5B2" w:rsidR="000C5F35" w:rsidRDefault="00000000">
    <w:pPr>
      <w:pStyle w:val="Header"/>
    </w:pPr>
    <w:r>
      <w:rPr>
        <w:noProof/>
      </w:rPr>
      <w:pict w14:anchorId="09DB7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7906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4423" w14:textId="4A1137B6" w:rsidR="000C5F35" w:rsidRDefault="00000000">
    <w:pPr>
      <w:pStyle w:val="Header"/>
    </w:pPr>
    <w:r>
      <w:rPr>
        <w:noProof/>
      </w:rPr>
      <w:pict w14:anchorId="67B94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7906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215A" w14:textId="76FD9526" w:rsidR="000C5F35" w:rsidRDefault="00000000">
    <w:pPr>
      <w:pStyle w:val="Header"/>
    </w:pPr>
    <w:r>
      <w:rPr>
        <w:noProof/>
      </w:rPr>
      <w:pict w14:anchorId="29713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7906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5AE"/>
    <w:multiLevelType w:val="multilevel"/>
    <w:tmpl w:val="258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D1830"/>
    <w:multiLevelType w:val="hybridMultilevel"/>
    <w:tmpl w:val="79A662AC"/>
    <w:lvl w:ilvl="0" w:tplc="7DB87E8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5062A96"/>
    <w:multiLevelType w:val="hybridMultilevel"/>
    <w:tmpl w:val="D8F266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C33B51"/>
    <w:multiLevelType w:val="multilevel"/>
    <w:tmpl w:val="A7FC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D39BC"/>
    <w:multiLevelType w:val="multilevel"/>
    <w:tmpl w:val="296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96FD1"/>
    <w:multiLevelType w:val="multilevel"/>
    <w:tmpl w:val="FD9A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F74CD4"/>
    <w:multiLevelType w:val="multilevel"/>
    <w:tmpl w:val="5C662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5D279A"/>
    <w:multiLevelType w:val="hybridMultilevel"/>
    <w:tmpl w:val="07DCCD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5802D9E"/>
    <w:multiLevelType w:val="hybridMultilevel"/>
    <w:tmpl w:val="7DA0D1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58443FC"/>
    <w:multiLevelType w:val="multilevel"/>
    <w:tmpl w:val="5C662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E3229C"/>
    <w:multiLevelType w:val="hybridMultilevel"/>
    <w:tmpl w:val="09FC8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91476865">
    <w:abstractNumId w:val="5"/>
  </w:num>
  <w:num w:numId="2" w16cid:durableId="1160999528">
    <w:abstractNumId w:val="0"/>
  </w:num>
  <w:num w:numId="3" w16cid:durableId="213078753">
    <w:abstractNumId w:val="3"/>
  </w:num>
  <w:num w:numId="4" w16cid:durableId="55587727">
    <w:abstractNumId w:val="4"/>
  </w:num>
  <w:num w:numId="5" w16cid:durableId="927539542">
    <w:abstractNumId w:val="6"/>
  </w:num>
  <w:num w:numId="6" w16cid:durableId="1198934564">
    <w:abstractNumId w:val="10"/>
  </w:num>
  <w:num w:numId="7" w16cid:durableId="257180840">
    <w:abstractNumId w:val="7"/>
  </w:num>
  <w:num w:numId="8" w16cid:durableId="1825703942">
    <w:abstractNumId w:val="9"/>
  </w:num>
  <w:num w:numId="9" w16cid:durableId="1644851561">
    <w:abstractNumId w:val="2"/>
  </w:num>
  <w:num w:numId="10" w16cid:durableId="530917283">
    <w:abstractNumId w:val="8"/>
  </w:num>
  <w:num w:numId="11" w16cid:durableId="11856779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shit jangid">
    <w15:presenceInfo w15:providerId="Windows Live" w15:userId="676dcebee73ea2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06B"/>
    <w:rsid w:val="00094DEF"/>
    <w:rsid w:val="00095B60"/>
    <w:rsid w:val="00096758"/>
    <w:rsid w:val="000A07AC"/>
    <w:rsid w:val="000A22A7"/>
    <w:rsid w:val="000C5F35"/>
    <w:rsid w:val="001030D5"/>
    <w:rsid w:val="001650DB"/>
    <w:rsid w:val="00181C29"/>
    <w:rsid w:val="001A5797"/>
    <w:rsid w:val="001A60F2"/>
    <w:rsid w:val="00222062"/>
    <w:rsid w:val="00224C41"/>
    <w:rsid w:val="00267899"/>
    <w:rsid w:val="00312FA9"/>
    <w:rsid w:val="00344047"/>
    <w:rsid w:val="003552ED"/>
    <w:rsid w:val="003D34F7"/>
    <w:rsid w:val="004201DF"/>
    <w:rsid w:val="00427566"/>
    <w:rsid w:val="004826D0"/>
    <w:rsid w:val="004A4EEE"/>
    <w:rsid w:val="004B7D54"/>
    <w:rsid w:val="004E154F"/>
    <w:rsid w:val="004F1296"/>
    <w:rsid w:val="004F69C6"/>
    <w:rsid w:val="0051306C"/>
    <w:rsid w:val="00544A89"/>
    <w:rsid w:val="005A3658"/>
    <w:rsid w:val="00610584"/>
    <w:rsid w:val="00661A66"/>
    <w:rsid w:val="0067654E"/>
    <w:rsid w:val="006C3E2C"/>
    <w:rsid w:val="006C7BE6"/>
    <w:rsid w:val="006F4A10"/>
    <w:rsid w:val="006F6704"/>
    <w:rsid w:val="007221AA"/>
    <w:rsid w:val="00734D25"/>
    <w:rsid w:val="00754D21"/>
    <w:rsid w:val="008141C7"/>
    <w:rsid w:val="00864817"/>
    <w:rsid w:val="00866A2E"/>
    <w:rsid w:val="00873559"/>
    <w:rsid w:val="00897961"/>
    <w:rsid w:val="008C206B"/>
    <w:rsid w:val="008C5143"/>
    <w:rsid w:val="0091323C"/>
    <w:rsid w:val="00913895"/>
    <w:rsid w:val="00921618"/>
    <w:rsid w:val="009421A0"/>
    <w:rsid w:val="00942307"/>
    <w:rsid w:val="00971E7F"/>
    <w:rsid w:val="009D3B81"/>
    <w:rsid w:val="009E076F"/>
    <w:rsid w:val="00A93D68"/>
    <w:rsid w:val="00AA1F84"/>
    <w:rsid w:val="00AD1BAB"/>
    <w:rsid w:val="00AF5552"/>
    <w:rsid w:val="00B5125A"/>
    <w:rsid w:val="00B96CC8"/>
    <w:rsid w:val="00BA1FBB"/>
    <w:rsid w:val="00BD52C4"/>
    <w:rsid w:val="00C04F4F"/>
    <w:rsid w:val="00C37A6B"/>
    <w:rsid w:val="00C5224B"/>
    <w:rsid w:val="00C73B1D"/>
    <w:rsid w:val="00C83976"/>
    <w:rsid w:val="00CD74D9"/>
    <w:rsid w:val="00D17435"/>
    <w:rsid w:val="00D42340"/>
    <w:rsid w:val="00D52997"/>
    <w:rsid w:val="00DA3A97"/>
    <w:rsid w:val="00DC46F5"/>
    <w:rsid w:val="00DE6C82"/>
    <w:rsid w:val="00E015C9"/>
    <w:rsid w:val="00E1082D"/>
    <w:rsid w:val="00E112F1"/>
    <w:rsid w:val="00E41306"/>
    <w:rsid w:val="00E44AE8"/>
    <w:rsid w:val="00EA0E47"/>
    <w:rsid w:val="00EB1BB8"/>
    <w:rsid w:val="00EC6097"/>
    <w:rsid w:val="00EE2645"/>
    <w:rsid w:val="00F701DB"/>
    <w:rsid w:val="00F77DB8"/>
    <w:rsid w:val="00F82345"/>
    <w:rsid w:val="00FA1820"/>
    <w:rsid w:val="00FD7674"/>
    <w:rsid w:val="00FF40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7C375"/>
  <w15:chartTrackingRefBased/>
  <w15:docId w15:val="{E794CBE1-A867-4CD8-9E31-A2CB40E8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Para,Dot pt,No Spacing1,List Paragraph Char Char Char,Indicator Text,List Paragraph1,Numbered Para 1,List Paragraph12,Bullet Points,MAIN CONTENT,Bullet 1,Colorful List - Accent 11,Citation List"/>
    <w:basedOn w:val="Normal"/>
    <w:link w:val="ListParagraphChar"/>
    <w:uiPriority w:val="34"/>
    <w:qFormat/>
    <w:rsid w:val="008C206B"/>
    <w:pPr>
      <w:ind w:left="720"/>
      <w:contextualSpacing/>
    </w:pPr>
  </w:style>
  <w:style w:type="character" w:customStyle="1" w:styleId="ListParagraphChar">
    <w:name w:val="List Paragraph Char"/>
    <w:aliases w:val="Report Para Char,Dot pt Char,No Spacing1 Char,List Paragraph Char Char Char Char,Indicator Text Char,List Paragraph1 Char,Numbered Para 1 Char,List Paragraph12 Char,Bullet Points Char,MAIN CONTENT Char,Bullet 1 Char"/>
    <w:basedOn w:val="DefaultParagraphFont"/>
    <w:link w:val="ListParagraph"/>
    <w:uiPriority w:val="34"/>
    <w:qFormat/>
    <w:locked/>
    <w:rsid w:val="00222062"/>
  </w:style>
  <w:style w:type="paragraph" w:styleId="NormalWeb">
    <w:name w:val="Normal (Web)"/>
    <w:basedOn w:val="Normal"/>
    <w:uiPriority w:val="99"/>
    <w:unhideWhenUsed/>
    <w:rsid w:val="009421A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421A0"/>
    <w:rPr>
      <w:b/>
      <w:bCs/>
    </w:rPr>
  </w:style>
  <w:style w:type="character" w:styleId="Emphasis">
    <w:name w:val="Emphasis"/>
    <w:basedOn w:val="DefaultParagraphFont"/>
    <w:uiPriority w:val="20"/>
    <w:qFormat/>
    <w:rsid w:val="009421A0"/>
    <w:rPr>
      <w:i/>
      <w:iCs/>
    </w:rPr>
  </w:style>
  <w:style w:type="table" w:styleId="TableGrid">
    <w:name w:val="Table Grid"/>
    <w:basedOn w:val="TableNormal"/>
    <w:uiPriority w:val="39"/>
    <w:rsid w:val="00942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3658"/>
    <w:rPr>
      <w:color w:val="0563C1" w:themeColor="hyperlink"/>
      <w:u w:val="single"/>
    </w:rPr>
  </w:style>
  <w:style w:type="character" w:customStyle="1" w:styleId="UnresolvedMention1">
    <w:name w:val="Unresolved Mention1"/>
    <w:basedOn w:val="DefaultParagraphFont"/>
    <w:uiPriority w:val="99"/>
    <w:semiHidden/>
    <w:unhideWhenUsed/>
    <w:rsid w:val="005A3658"/>
    <w:rPr>
      <w:color w:val="605E5C"/>
      <w:shd w:val="clear" w:color="auto" w:fill="E1DFDD"/>
    </w:rPr>
  </w:style>
  <w:style w:type="character" w:styleId="UnresolvedMention">
    <w:name w:val="Unresolved Mention"/>
    <w:basedOn w:val="DefaultParagraphFont"/>
    <w:uiPriority w:val="99"/>
    <w:semiHidden/>
    <w:unhideWhenUsed/>
    <w:rsid w:val="00427566"/>
    <w:rPr>
      <w:color w:val="605E5C"/>
      <w:shd w:val="clear" w:color="auto" w:fill="E1DFDD"/>
    </w:rPr>
  </w:style>
  <w:style w:type="paragraph" w:styleId="Header">
    <w:name w:val="header"/>
    <w:basedOn w:val="Normal"/>
    <w:link w:val="HeaderChar"/>
    <w:uiPriority w:val="99"/>
    <w:unhideWhenUsed/>
    <w:rsid w:val="00610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584"/>
  </w:style>
  <w:style w:type="paragraph" w:styleId="Footer">
    <w:name w:val="footer"/>
    <w:basedOn w:val="Normal"/>
    <w:link w:val="FooterChar"/>
    <w:uiPriority w:val="99"/>
    <w:unhideWhenUsed/>
    <w:rsid w:val="00610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584"/>
  </w:style>
  <w:style w:type="character" w:styleId="CommentReference">
    <w:name w:val="annotation reference"/>
    <w:basedOn w:val="DefaultParagraphFont"/>
    <w:uiPriority w:val="99"/>
    <w:semiHidden/>
    <w:unhideWhenUsed/>
    <w:rsid w:val="00DC46F5"/>
    <w:rPr>
      <w:sz w:val="16"/>
      <w:szCs w:val="16"/>
    </w:rPr>
  </w:style>
  <w:style w:type="paragraph" w:styleId="CommentText">
    <w:name w:val="annotation text"/>
    <w:basedOn w:val="Normal"/>
    <w:link w:val="CommentTextChar"/>
    <w:uiPriority w:val="99"/>
    <w:semiHidden/>
    <w:unhideWhenUsed/>
    <w:rsid w:val="00DC46F5"/>
    <w:pPr>
      <w:spacing w:line="240" w:lineRule="auto"/>
    </w:pPr>
    <w:rPr>
      <w:sz w:val="20"/>
      <w:szCs w:val="20"/>
    </w:rPr>
  </w:style>
  <w:style w:type="character" w:customStyle="1" w:styleId="CommentTextChar">
    <w:name w:val="Comment Text Char"/>
    <w:basedOn w:val="DefaultParagraphFont"/>
    <w:link w:val="CommentText"/>
    <w:uiPriority w:val="99"/>
    <w:semiHidden/>
    <w:rsid w:val="00DC46F5"/>
    <w:rPr>
      <w:sz w:val="20"/>
      <w:szCs w:val="20"/>
    </w:rPr>
  </w:style>
  <w:style w:type="paragraph" w:styleId="CommentSubject">
    <w:name w:val="annotation subject"/>
    <w:basedOn w:val="CommentText"/>
    <w:next w:val="CommentText"/>
    <w:link w:val="CommentSubjectChar"/>
    <w:uiPriority w:val="99"/>
    <w:semiHidden/>
    <w:unhideWhenUsed/>
    <w:rsid w:val="00DC46F5"/>
    <w:rPr>
      <w:b/>
      <w:bCs/>
    </w:rPr>
  </w:style>
  <w:style w:type="character" w:customStyle="1" w:styleId="CommentSubjectChar">
    <w:name w:val="Comment Subject Char"/>
    <w:basedOn w:val="CommentTextChar"/>
    <w:link w:val="CommentSubject"/>
    <w:uiPriority w:val="99"/>
    <w:semiHidden/>
    <w:rsid w:val="00DC46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20978">
      <w:bodyDiv w:val="1"/>
      <w:marLeft w:val="0"/>
      <w:marRight w:val="0"/>
      <w:marTop w:val="0"/>
      <w:marBottom w:val="0"/>
      <w:divBdr>
        <w:top w:val="none" w:sz="0" w:space="0" w:color="auto"/>
        <w:left w:val="none" w:sz="0" w:space="0" w:color="auto"/>
        <w:bottom w:val="none" w:sz="0" w:space="0" w:color="auto"/>
        <w:right w:val="none" w:sz="0" w:space="0" w:color="auto"/>
      </w:divBdr>
    </w:div>
    <w:div w:id="144246649">
      <w:bodyDiv w:val="1"/>
      <w:marLeft w:val="0"/>
      <w:marRight w:val="0"/>
      <w:marTop w:val="0"/>
      <w:marBottom w:val="0"/>
      <w:divBdr>
        <w:top w:val="none" w:sz="0" w:space="0" w:color="auto"/>
        <w:left w:val="none" w:sz="0" w:space="0" w:color="auto"/>
        <w:bottom w:val="none" w:sz="0" w:space="0" w:color="auto"/>
        <w:right w:val="none" w:sz="0" w:space="0" w:color="auto"/>
      </w:divBdr>
    </w:div>
    <w:div w:id="525406274">
      <w:bodyDiv w:val="1"/>
      <w:marLeft w:val="0"/>
      <w:marRight w:val="0"/>
      <w:marTop w:val="0"/>
      <w:marBottom w:val="0"/>
      <w:divBdr>
        <w:top w:val="none" w:sz="0" w:space="0" w:color="auto"/>
        <w:left w:val="none" w:sz="0" w:space="0" w:color="auto"/>
        <w:bottom w:val="none" w:sz="0" w:space="0" w:color="auto"/>
        <w:right w:val="none" w:sz="0" w:space="0" w:color="auto"/>
      </w:divBdr>
    </w:div>
    <w:div w:id="688029179">
      <w:bodyDiv w:val="1"/>
      <w:marLeft w:val="0"/>
      <w:marRight w:val="0"/>
      <w:marTop w:val="0"/>
      <w:marBottom w:val="0"/>
      <w:divBdr>
        <w:top w:val="none" w:sz="0" w:space="0" w:color="auto"/>
        <w:left w:val="none" w:sz="0" w:space="0" w:color="auto"/>
        <w:bottom w:val="none" w:sz="0" w:space="0" w:color="auto"/>
        <w:right w:val="none" w:sz="0" w:space="0" w:color="auto"/>
      </w:divBdr>
    </w:div>
    <w:div w:id="880939933">
      <w:bodyDiv w:val="1"/>
      <w:marLeft w:val="0"/>
      <w:marRight w:val="0"/>
      <w:marTop w:val="0"/>
      <w:marBottom w:val="0"/>
      <w:divBdr>
        <w:top w:val="none" w:sz="0" w:space="0" w:color="auto"/>
        <w:left w:val="none" w:sz="0" w:space="0" w:color="auto"/>
        <w:bottom w:val="none" w:sz="0" w:space="0" w:color="auto"/>
        <w:right w:val="none" w:sz="0" w:space="0" w:color="auto"/>
      </w:divBdr>
    </w:div>
    <w:div w:id="1111633258">
      <w:bodyDiv w:val="1"/>
      <w:marLeft w:val="0"/>
      <w:marRight w:val="0"/>
      <w:marTop w:val="0"/>
      <w:marBottom w:val="0"/>
      <w:divBdr>
        <w:top w:val="none" w:sz="0" w:space="0" w:color="auto"/>
        <w:left w:val="none" w:sz="0" w:space="0" w:color="auto"/>
        <w:bottom w:val="none" w:sz="0" w:space="0" w:color="auto"/>
        <w:right w:val="none" w:sz="0" w:space="0" w:color="auto"/>
      </w:divBdr>
    </w:div>
    <w:div w:id="1117480957">
      <w:bodyDiv w:val="1"/>
      <w:marLeft w:val="0"/>
      <w:marRight w:val="0"/>
      <w:marTop w:val="0"/>
      <w:marBottom w:val="0"/>
      <w:divBdr>
        <w:top w:val="none" w:sz="0" w:space="0" w:color="auto"/>
        <w:left w:val="none" w:sz="0" w:space="0" w:color="auto"/>
        <w:bottom w:val="none" w:sz="0" w:space="0" w:color="auto"/>
        <w:right w:val="none" w:sz="0" w:space="0" w:color="auto"/>
      </w:divBdr>
      <w:divsChild>
        <w:div w:id="537859716">
          <w:marLeft w:val="0"/>
          <w:marRight w:val="0"/>
          <w:marTop w:val="0"/>
          <w:marBottom w:val="0"/>
          <w:divBdr>
            <w:top w:val="none" w:sz="0" w:space="0" w:color="auto"/>
            <w:left w:val="none" w:sz="0" w:space="0" w:color="auto"/>
            <w:bottom w:val="none" w:sz="0" w:space="0" w:color="auto"/>
            <w:right w:val="none" w:sz="0" w:space="0" w:color="auto"/>
          </w:divBdr>
          <w:divsChild>
            <w:div w:id="536117114">
              <w:marLeft w:val="0"/>
              <w:marRight w:val="0"/>
              <w:marTop w:val="0"/>
              <w:marBottom w:val="0"/>
              <w:divBdr>
                <w:top w:val="none" w:sz="0" w:space="0" w:color="auto"/>
                <w:left w:val="none" w:sz="0" w:space="0" w:color="auto"/>
                <w:bottom w:val="none" w:sz="0" w:space="0" w:color="auto"/>
                <w:right w:val="none" w:sz="0" w:space="0" w:color="auto"/>
              </w:divBdr>
              <w:divsChild>
                <w:div w:id="1526480991">
                  <w:marLeft w:val="0"/>
                  <w:marRight w:val="0"/>
                  <w:marTop w:val="0"/>
                  <w:marBottom w:val="0"/>
                  <w:divBdr>
                    <w:top w:val="none" w:sz="0" w:space="0" w:color="auto"/>
                    <w:left w:val="none" w:sz="0" w:space="0" w:color="auto"/>
                    <w:bottom w:val="none" w:sz="0" w:space="0" w:color="auto"/>
                    <w:right w:val="none" w:sz="0" w:space="0" w:color="auto"/>
                  </w:divBdr>
                  <w:divsChild>
                    <w:div w:id="1377388952">
                      <w:marLeft w:val="0"/>
                      <w:marRight w:val="0"/>
                      <w:marTop w:val="0"/>
                      <w:marBottom w:val="0"/>
                      <w:divBdr>
                        <w:top w:val="none" w:sz="0" w:space="0" w:color="auto"/>
                        <w:left w:val="none" w:sz="0" w:space="0" w:color="auto"/>
                        <w:bottom w:val="none" w:sz="0" w:space="0" w:color="auto"/>
                        <w:right w:val="none" w:sz="0" w:space="0" w:color="auto"/>
                      </w:divBdr>
                      <w:divsChild>
                        <w:div w:id="1238323281">
                          <w:marLeft w:val="0"/>
                          <w:marRight w:val="0"/>
                          <w:marTop w:val="0"/>
                          <w:marBottom w:val="0"/>
                          <w:divBdr>
                            <w:top w:val="none" w:sz="0" w:space="0" w:color="auto"/>
                            <w:left w:val="none" w:sz="0" w:space="0" w:color="auto"/>
                            <w:bottom w:val="none" w:sz="0" w:space="0" w:color="auto"/>
                            <w:right w:val="none" w:sz="0" w:space="0" w:color="auto"/>
                          </w:divBdr>
                          <w:divsChild>
                            <w:div w:id="11005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71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3803">
          <w:marLeft w:val="0"/>
          <w:marRight w:val="0"/>
          <w:marTop w:val="0"/>
          <w:marBottom w:val="0"/>
          <w:divBdr>
            <w:top w:val="none" w:sz="0" w:space="0" w:color="auto"/>
            <w:left w:val="none" w:sz="0" w:space="0" w:color="auto"/>
            <w:bottom w:val="none" w:sz="0" w:space="0" w:color="auto"/>
            <w:right w:val="none" w:sz="0" w:space="0" w:color="auto"/>
          </w:divBdr>
          <w:divsChild>
            <w:div w:id="728458259">
              <w:marLeft w:val="0"/>
              <w:marRight w:val="0"/>
              <w:marTop w:val="0"/>
              <w:marBottom w:val="0"/>
              <w:divBdr>
                <w:top w:val="none" w:sz="0" w:space="0" w:color="auto"/>
                <w:left w:val="none" w:sz="0" w:space="0" w:color="auto"/>
                <w:bottom w:val="none" w:sz="0" w:space="0" w:color="auto"/>
                <w:right w:val="none" w:sz="0" w:space="0" w:color="auto"/>
              </w:divBdr>
              <w:divsChild>
                <w:div w:id="2077166911">
                  <w:marLeft w:val="0"/>
                  <w:marRight w:val="0"/>
                  <w:marTop w:val="0"/>
                  <w:marBottom w:val="0"/>
                  <w:divBdr>
                    <w:top w:val="none" w:sz="0" w:space="0" w:color="auto"/>
                    <w:left w:val="none" w:sz="0" w:space="0" w:color="auto"/>
                    <w:bottom w:val="none" w:sz="0" w:space="0" w:color="auto"/>
                    <w:right w:val="none" w:sz="0" w:space="0" w:color="auto"/>
                  </w:divBdr>
                  <w:divsChild>
                    <w:div w:id="1950503284">
                      <w:marLeft w:val="0"/>
                      <w:marRight w:val="0"/>
                      <w:marTop w:val="0"/>
                      <w:marBottom w:val="0"/>
                      <w:divBdr>
                        <w:top w:val="none" w:sz="0" w:space="0" w:color="auto"/>
                        <w:left w:val="none" w:sz="0" w:space="0" w:color="auto"/>
                        <w:bottom w:val="none" w:sz="0" w:space="0" w:color="auto"/>
                        <w:right w:val="none" w:sz="0" w:space="0" w:color="auto"/>
                      </w:divBdr>
                      <w:divsChild>
                        <w:div w:id="1739546967">
                          <w:marLeft w:val="0"/>
                          <w:marRight w:val="0"/>
                          <w:marTop w:val="0"/>
                          <w:marBottom w:val="0"/>
                          <w:divBdr>
                            <w:top w:val="none" w:sz="0" w:space="0" w:color="auto"/>
                            <w:left w:val="none" w:sz="0" w:space="0" w:color="auto"/>
                            <w:bottom w:val="none" w:sz="0" w:space="0" w:color="auto"/>
                            <w:right w:val="none" w:sz="0" w:space="0" w:color="auto"/>
                          </w:divBdr>
                          <w:divsChild>
                            <w:div w:id="17331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26503">
      <w:bodyDiv w:val="1"/>
      <w:marLeft w:val="0"/>
      <w:marRight w:val="0"/>
      <w:marTop w:val="0"/>
      <w:marBottom w:val="0"/>
      <w:divBdr>
        <w:top w:val="none" w:sz="0" w:space="0" w:color="auto"/>
        <w:left w:val="none" w:sz="0" w:space="0" w:color="auto"/>
        <w:bottom w:val="none" w:sz="0" w:space="0" w:color="auto"/>
        <w:right w:val="none" w:sz="0" w:space="0" w:color="auto"/>
      </w:divBdr>
    </w:div>
    <w:div w:id="1369452390">
      <w:bodyDiv w:val="1"/>
      <w:marLeft w:val="0"/>
      <w:marRight w:val="0"/>
      <w:marTop w:val="0"/>
      <w:marBottom w:val="0"/>
      <w:divBdr>
        <w:top w:val="none" w:sz="0" w:space="0" w:color="auto"/>
        <w:left w:val="none" w:sz="0" w:space="0" w:color="auto"/>
        <w:bottom w:val="none" w:sz="0" w:space="0" w:color="auto"/>
        <w:right w:val="none" w:sz="0" w:space="0" w:color="auto"/>
      </w:divBdr>
    </w:div>
    <w:div w:id="1482773284">
      <w:bodyDiv w:val="1"/>
      <w:marLeft w:val="0"/>
      <w:marRight w:val="0"/>
      <w:marTop w:val="0"/>
      <w:marBottom w:val="0"/>
      <w:divBdr>
        <w:top w:val="none" w:sz="0" w:space="0" w:color="auto"/>
        <w:left w:val="none" w:sz="0" w:space="0" w:color="auto"/>
        <w:bottom w:val="none" w:sz="0" w:space="0" w:color="auto"/>
        <w:right w:val="none" w:sz="0" w:space="0" w:color="auto"/>
      </w:divBdr>
    </w:div>
    <w:div w:id="1570920809">
      <w:bodyDiv w:val="1"/>
      <w:marLeft w:val="0"/>
      <w:marRight w:val="0"/>
      <w:marTop w:val="0"/>
      <w:marBottom w:val="0"/>
      <w:divBdr>
        <w:top w:val="none" w:sz="0" w:space="0" w:color="auto"/>
        <w:left w:val="none" w:sz="0" w:space="0" w:color="auto"/>
        <w:bottom w:val="none" w:sz="0" w:space="0" w:color="auto"/>
        <w:right w:val="none" w:sz="0" w:space="0" w:color="auto"/>
      </w:divBdr>
    </w:div>
    <w:div w:id="1738747669">
      <w:bodyDiv w:val="1"/>
      <w:marLeft w:val="0"/>
      <w:marRight w:val="0"/>
      <w:marTop w:val="0"/>
      <w:marBottom w:val="0"/>
      <w:divBdr>
        <w:top w:val="none" w:sz="0" w:space="0" w:color="auto"/>
        <w:left w:val="none" w:sz="0" w:space="0" w:color="auto"/>
        <w:bottom w:val="none" w:sz="0" w:space="0" w:color="auto"/>
        <w:right w:val="none" w:sz="0" w:space="0" w:color="auto"/>
      </w:divBdr>
    </w:div>
    <w:div w:id="1813713351">
      <w:bodyDiv w:val="1"/>
      <w:marLeft w:val="0"/>
      <w:marRight w:val="0"/>
      <w:marTop w:val="0"/>
      <w:marBottom w:val="0"/>
      <w:divBdr>
        <w:top w:val="none" w:sz="0" w:space="0" w:color="auto"/>
        <w:left w:val="none" w:sz="0" w:space="0" w:color="auto"/>
        <w:bottom w:val="none" w:sz="0" w:space="0" w:color="auto"/>
        <w:right w:val="none" w:sz="0" w:space="0" w:color="auto"/>
      </w:divBdr>
    </w:div>
    <w:div w:id="1837720262">
      <w:bodyDiv w:val="1"/>
      <w:marLeft w:val="0"/>
      <w:marRight w:val="0"/>
      <w:marTop w:val="0"/>
      <w:marBottom w:val="0"/>
      <w:divBdr>
        <w:top w:val="none" w:sz="0" w:space="0" w:color="auto"/>
        <w:left w:val="none" w:sz="0" w:space="0" w:color="auto"/>
        <w:bottom w:val="none" w:sz="0" w:space="0" w:color="auto"/>
        <w:right w:val="none" w:sz="0" w:space="0" w:color="auto"/>
      </w:divBdr>
    </w:div>
    <w:div w:id="1875458623">
      <w:bodyDiv w:val="1"/>
      <w:marLeft w:val="0"/>
      <w:marRight w:val="0"/>
      <w:marTop w:val="0"/>
      <w:marBottom w:val="0"/>
      <w:divBdr>
        <w:top w:val="none" w:sz="0" w:space="0" w:color="auto"/>
        <w:left w:val="none" w:sz="0" w:space="0" w:color="auto"/>
        <w:bottom w:val="none" w:sz="0" w:space="0" w:color="auto"/>
        <w:right w:val="none" w:sz="0" w:space="0" w:color="auto"/>
      </w:divBdr>
    </w:div>
    <w:div w:id="1920481946">
      <w:bodyDiv w:val="1"/>
      <w:marLeft w:val="0"/>
      <w:marRight w:val="0"/>
      <w:marTop w:val="0"/>
      <w:marBottom w:val="0"/>
      <w:divBdr>
        <w:top w:val="none" w:sz="0" w:space="0" w:color="auto"/>
        <w:left w:val="none" w:sz="0" w:space="0" w:color="auto"/>
        <w:bottom w:val="none" w:sz="0" w:space="0" w:color="auto"/>
        <w:right w:val="none" w:sz="0" w:space="0" w:color="auto"/>
      </w:divBdr>
    </w:div>
    <w:div w:id="2003313370">
      <w:bodyDiv w:val="1"/>
      <w:marLeft w:val="0"/>
      <w:marRight w:val="0"/>
      <w:marTop w:val="0"/>
      <w:marBottom w:val="0"/>
      <w:divBdr>
        <w:top w:val="none" w:sz="0" w:space="0" w:color="auto"/>
        <w:left w:val="none" w:sz="0" w:space="0" w:color="auto"/>
        <w:bottom w:val="none" w:sz="0" w:space="0" w:color="auto"/>
        <w:right w:val="none" w:sz="0" w:space="0" w:color="auto"/>
      </w:divBdr>
    </w:div>
    <w:div w:id="210036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5740/HAS/IJPS/16.1/19-24" TargetMode="External"/><Relationship Id="rId18" Type="http://schemas.openxmlformats.org/officeDocument/2006/relationships/image" Target="media/image4.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hyperlink" Target="https://doi.org/10.15835/nbha50112620"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sajb.2018.05.006"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x.doi.org/10.2305/IUCN.UK.2015-2.RLTS.T31231A50131117.en"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15</Pages>
  <Words>4610</Words>
  <Characters>26279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kumar</dc:creator>
  <cp:keywords/>
  <dc:description/>
  <cp:lastModifiedBy>harshit jangid</cp:lastModifiedBy>
  <cp:revision>50</cp:revision>
  <dcterms:created xsi:type="dcterms:W3CDTF">2024-12-29T02:24:00Z</dcterms:created>
  <dcterms:modified xsi:type="dcterms:W3CDTF">2025-06-11T16:51:00Z</dcterms:modified>
</cp:coreProperties>
</file>