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C9536" w14:textId="0D97754F" w:rsidR="00915487" w:rsidRPr="005C1CB7" w:rsidRDefault="005C1CB7" w:rsidP="00576DDE">
      <w:pPr>
        <w:jc w:val="center"/>
        <w:rPr>
          <w:rFonts w:ascii="Times New Roman" w:hAnsi="Times New Roman" w:cs="Times New Roman"/>
          <w:b/>
          <w:bCs/>
          <w:sz w:val="28"/>
          <w:szCs w:val="28"/>
          <w:u w:val="single"/>
        </w:rPr>
      </w:pPr>
      <w:r w:rsidRPr="005C1CB7">
        <w:rPr>
          <w:rFonts w:ascii="Times New Roman" w:hAnsi="Times New Roman" w:cs="Times New Roman"/>
          <w:b/>
          <w:bCs/>
          <w:sz w:val="28"/>
          <w:szCs w:val="28"/>
          <w:u w:val="single"/>
        </w:rPr>
        <w:t>Original Research Article</w:t>
      </w:r>
    </w:p>
    <w:p w14:paraId="5B8F930E" w14:textId="73F6CA52" w:rsidR="00576DDE" w:rsidRDefault="00576DDE" w:rsidP="00576DDE">
      <w:pPr>
        <w:jc w:val="center"/>
        <w:rPr>
          <w:rFonts w:ascii="Times New Roman" w:hAnsi="Times New Roman" w:cs="Times New Roman"/>
          <w:b/>
          <w:bCs/>
          <w:sz w:val="28"/>
          <w:szCs w:val="28"/>
        </w:rPr>
      </w:pPr>
      <w:commentRangeStart w:id="0"/>
      <w:r w:rsidRPr="00576DDE">
        <w:rPr>
          <w:rFonts w:ascii="Times New Roman" w:hAnsi="Times New Roman" w:cs="Times New Roman"/>
          <w:b/>
          <w:bCs/>
          <w:sz w:val="28"/>
          <w:szCs w:val="28"/>
        </w:rPr>
        <w:t>Haemato-Biochemical and Immunological Profiling of Turkeys (</w:t>
      </w:r>
      <w:r w:rsidRPr="00576DDE">
        <w:rPr>
          <w:rFonts w:ascii="Times New Roman" w:hAnsi="Times New Roman" w:cs="Times New Roman"/>
          <w:b/>
          <w:bCs/>
          <w:i/>
          <w:iCs/>
          <w:sz w:val="28"/>
          <w:szCs w:val="28"/>
        </w:rPr>
        <w:t>Meleagris gallopavo</w:t>
      </w:r>
      <w:r w:rsidRPr="00576DDE">
        <w:rPr>
          <w:rFonts w:ascii="Times New Roman" w:hAnsi="Times New Roman" w:cs="Times New Roman"/>
          <w:b/>
          <w:bCs/>
          <w:sz w:val="28"/>
          <w:szCs w:val="28"/>
        </w:rPr>
        <w:t>) Under Intensive Rearing System in India</w:t>
      </w:r>
      <w:commentRangeEnd w:id="0"/>
      <w:r w:rsidR="00BB28A2">
        <w:rPr>
          <w:rStyle w:val="CommentReference"/>
        </w:rPr>
        <w:commentReference w:id="0"/>
      </w:r>
    </w:p>
    <w:p w14:paraId="0E0FEA3B" w14:textId="2337DF8A" w:rsidR="00DD74A0" w:rsidRDefault="00DD74A0" w:rsidP="006C0F33">
      <w:pPr>
        <w:jc w:val="center"/>
        <w:rPr>
          <w:rFonts w:ascii="Times New Roman" w:hAnsi="Times New Roman" w:cs="Times New Roman"/>
          <w:b/>
          <w:bCs/>
          <w:i/>
          <w:iCs/>
          <w:sz w:val="24"/>
          <w:szCs w:val="24"/>
        </w:rPr>
      </w:pPr>
    </w:p>
    <w:p w14:paraId="318766EF" w14:textId="77777777" w:rsidR="00637D08" w:rsidRDefault="00637D08" w:rsidP="006C0F33">
      <w:pPr>
        <w:jc w:val="center"/>
        <w:rPr>
          <w:rFonts w:ascii="Times New Roman" w:hAnsi="Times New Roman" w:cs="Times New Roman"/>
          <w:b/>
          <w:bCs/>
          <w:i/>
          <w:iCs/>
          <w:sz w:val="24"/>
          <w:szCs w:val="24"/>
        </w:rPr>
      </w:pPr>
    </w:p>
    <w:p w14:paraId="5E73BD9D" w14:textId="22882210" w:rsidR="00DC63D1" w:rsidRPr="00DC63D1" w:rsidRDefault="00DC63D1" w:rsidP="00967D43">
      <w:pPr>
        <w:jc w:val="center"/>
        <w:rPr>
          <w:rFonts w:ascii="Times New Roman" w:hAnsi="Times New Roman" w:cs="Times New Roman"/>
          <w:b/>
          <w:bCs/>
          <w:sz w:val="24"/>
          <w:szCs w:val="24"/>
        </w:rPr>
      </w:pPr>
      <w:r w:rsidRPr="00DC63D1">
        <w:rPr>
          <w:rFonts w:ascii="Times New Roman" w:hAnsi="Times New Roman" w:cs="Times New Roman"/>
          <w:b/>
          <w:bCs/>
          <w:sz w:val="24"/>
          <w:szCs w:val="24"/>
        </w:rPr>
        <w:t>Abstract</w:t>
      </w:r>
    </w:p>
    <w:p w14:paraId="326AFD0B" w14:textId="21A7FC60" w:rsidR="00DC63D1" w:rsidRDefault="00DC63D1" w:rsidP="00DC63D1">
      <w:pPr>
        <w:jc w:val="both"/>
        <w:rPr>
          <w:rFonts w:ascii="Times New Roman" w:hAnsi="Times New Roman" w:cs="Times New Roman"/>
          <w:sz w:val="24"/>
          <w:szCs w:val="24"/>
        </w:rPr>
      </w:pPr>
      <w:r w:rsidRPr="00DC63D1">
        <w:rPr>
          <w:rFonts w:ascii="Times New Roman" w:hAnsi="Times New Roman" w:cs="Times New Roman"/>
          <w:sz w:val="24"/>
          <w:szCs w:val="24"/>
        </w:rPr>
        <w:t>The study was undertaken to evaluate the haematological, biochemical, and immunological parameters of turkeys (</w:t>
      </w:r>
      <w:r w:rsidRPr="00DC63D1">
        <w:rPr>
          <w:rFonts w:ascii="Times New Roman" w:hAnsi="Times New Roman" w:cs="Times New Roman"/>
          <w:i/>
          <w:iCs/>
          <w:sz w:val="24"/>
          <w:szCs w:val="24"/>
        </w:rPr>
        <w:t>Meleagris gallopavo</w:t>
      </w:r>
      <w:r w:rsidRPr="00DC63D1">
        <w:rPr>
          <w:rFonts w:ascii="Times New Roman" w:hAnsi="Times New Roman" w:cs="Times New Roman"/>
          <w:sz w:val="24"/>
          <w:szCs w:val="24"/>
        </w:rPr>
        <w:t>) reared under an intensive housing system in Indian conditions. A total of 72 day-old healthy turkey poults were wing-banded, weighed, and randomly distributed into three replicates (24 poults each) and maintained under standard management practices as per ICAR (2013) feeding guidelines. Data were recorded at the 6th and 12th weeks of age to assess physiological and immunological development.</w:t>
      </w:r>
      <w:r w:rsidR="006F6AF9">
        <w:rPr>
          <w:rFonts w:ascii="Times New Roman" w:hAnsi="Times New Roman" w:cs="Times New Roman"/>
          <w:sz w:val="24"/>
          <w:szCs w:val="24"/>
        </w:rPr>
        <w:t xml:space="preserve"> </w:t>
      </w:r>
      <w:r w:rsidRPr="00DC63D1">
        <w:rPr>
          <w:rFonts w:ascii="Times New Roman" w:hAnsi="Times New Roman" w:cs="Times New Roman"/>
          <w:sz w:val="24"/>
          <w:szCs w:val="24"/>
        </w:rPr>
        <w:t>Among haematological parameters, total erythrocyte count (TEC: 3.34 × 10⁶/µl) and total leukocyte count (TLC: 13.6 × 10³/µl) were significantly higher (p&lt;0.01) at 6 weeks, while haemoglobin (Hb: 10.95 g/dl), packed cell volume (PCV: 36.8%), mean corpuscular volume (MCV: 148.2 fL), and mean corpuscular haemoglobin concentration (MCHC: 28.58 g/dl) were significantly higher (p&lt;0.01) at 12 weeks. Among biochemical parameters, blood glucose (247.79 mg/dl), AST (301.4 U/L), and ALT (5.16 U/L) showed significant variations with age and between replicates, while total protein, creatinine, BUN, cholesterol, and triglycerides did not differ significantly. Immunological assessment revealed that both humoral immunity (HA titre: 4.6) and cell-mediated immunity (PHA-P response: 0.93 mm) were significantly enhanced (p&lt;0.01) at 12 weeks compared to 6 weeks.</w:t>
      </w:r>
      <w:r w:rsidR="006F6AF9">
        <w:rPr>
          <w:rFonts w:ascii="Times New Roman" w:hAnsi="Times New Roman" w:cs="Times New Roman"/>
          <w:sz w:val="24"/>
          <w:szCs w:val="24"/>
        </w:rPr>
        <w:t xml:space="preserve"> </w:t>
      </w:r>
      <w:r w:rsidRPr="00DC63D1">
        <w:rPr>
          <w:rFonts w:ascii="Times New Roman" w:hAnsi="Times New Roman" w:cs="Times New Roman"/>
          <w:sz w:val="24"/>
          <w:szCs w:val="24"/>
        </w:rPr>
        <w:t>The study concludes that age significantly influences several blood and immune parameters, and that intensive rearing, when managed effectively, supports normal physiological development and immune competence in turkeys. These findings can serve as a reference for further research and for optimizing turkey production strategies in India.</w:t>
      </w:r>
    </w:p>
    <w:p w14:paraId="52540C2D" w14:textId="5F3183C1" w:rsidR="00CB5E60" w:rsidRPr="00A25DB4" w:rsidRDefault="00CB5E60" w:rsidP="00DC63D1">
      <w:pPr>
        <w:jc w:val="both"/>
        <w:rPr>
          <w:rFonts w:ascii="Times New Roman" w:hAnsi="Times New Roman" w:cs="Times New Roman"/>
          <w:b/>
          <w:bCs/>
          <w:sz w:val="24"/>
          <w:szCs w:val="24"/>
        </w:rPr>
      </w:pPr>
      <w:r w:rsidRPr="00A25DB4">
        <w:rPr>
          <w:rFonts w:ascii="Times New Roman" w:hAnsi="Times New Roman" w:cs="Times New Roman"/>
          <w:b/>
          <w:bCs/>
          <w:sz w:val="24"/>
          <w:szCs w:val="24"/>
        </w:rPr>
        <w:t xml:space="preserve">Keywords: </w:t>
      </w:r>
      <w:r w:rsidR="0009279C" w:rsidRPr="00915487">
        <w:rPr>
          <w:rFonts w:ascii="Times New Roman" w:hAnsi="Times New Roman" w:cs="Times New Roman"/>
          <w:i/>
          <w:iCs/>
          <w:sz w:val="24"/>
          <w:szCs w:val="24"/>
        </w:rPr>
        <w:t>Biochemical</w:t>
      </w:r>
      <w:r w:rsidR="00A25DB4" w:rsidRPr="00915487">
        <w:rPr>
          <w:rFonts w:ascii="Times New Roman" w:hAnsi="Times New Roman" w:cs="Times New Roman"/>
          <w:i/>
          <w:iCs/>
          <w:sz w:val="24"/>
          <w:szCs w:val="24"/>
        </w:rPr>
        <w:t>, Haematolo</w:t>
      </w:r>
      <w:r w:rsidR="008F2649" w:rsidRPr="00915487">
        <w:rPr>
          <w:rFonts w:ascii="Times New Roman" w:hAnsi="Times New Roman" w:cs="Times New Roman"/>
          <w:i/>
          <w:iCs/>
          <w:sz w:val="24"/>
          <w:szCs w:val="24"/>
        </w:rPr>
        <w:t>g</w:t>
      </w:r>
      <w:r w:rsidR="00A25DB4" w:rsidRPr="00915487">
        <w:rPr>
          <w:rFonts w:ascii="Times New Roman" w:hAnsi="Times New Roman" w:cs="Times New Roman"/>
          <w:i/>
          <w:iCs/>
          <w:sz w:val="24"/>
          <w:szCs w:val="24"/>
        </w:rPr>
        <w:t>ical,</w:t>
      </w:r>
      <w:r w:rsidR="00A15A46" w:rsidRPr="00915487">
        <w:rPr>
          <w:rFonts w:ascii="Times New Roman" w:hAnsi="Times New Roman" w:cs="Times New Roman"/>
          <w:i/>
          <w:iCs/>
          <w:sz w:val="24"/>
          <w:szCs w:val="24"/>
        </w:rPr>
        <w:t xml:space="preserve"> Immunological</w:t>
      </w:r>
      <w:r w:rsidR="0009279C" w:rsidRPr="00915487">
        <w:rPr>
          <w:rFonts w:ascii="Times New Roman" w:hAnsi="Times New Roman" w:cs="Times New Roman"/>
          <w:i/>
          <w:iCs/>
          <w:sz w:val="24"/>
          <w:szCs w:val="24"/>
        </w:rPr>
        <w:t xml:space="preserve">, Intensive </w:t>
      </w:r>
      <w:r w:rsidR="008F2649" w:rsidRPr="00915487">
        <w:rPr>
          <w:rFonts w:ascii="Times New Roman" w:hAnsi="Times New Roman" w:cs="Times New Roman"/>
          <w:i/>
          <w:iCs/>
          <w:sz w:val="24"/>
          <w:szCs w:val="24"/>
        </w:rPr>
        <w:t>rearing</w:t>
      </w:r>
      <w:r w:rsidR="0009279C" w:rsidRPr="00915487">
        <w:rPr>
          <w:rFonts w:ascii="Times New Roman" w:hAnsi="Times New Roman" w:cs="Times New Roman"/>
          <w:i/>
          <w:iCs/>
          <w:sz w:val="24"/>
          <w:szCs w:val="24"/>
        </w:rPr>
        <w:t>, Turkey</w:t>
      </w:r>
    </w:p>
    <w:p w14:paraId="110A8F3D" w14:textId="0ED93E6A" w:rsidR="00901D62" w:rsidRPr="00901D62" w:rsidRDefault="00901D62" w:rsidP="00901D62">
      <w:pPr>
        <w:rPr>
          <w:rFonts w:ascii="Times New Roman" w:hAnsi="Times New Roman" w:cs="Times New Roman"/>
          <w:sz w:val="24"/>
          <w:szCs w:val="24"/>
        </w:rPr>
      </w:pPr>
      <w:r w:rsidRPr="00901D62">
        <w:rPr>
          <w:rFonts w:ascii="Times New Roman" w:hAnsi="Times New Roman" w:cs="Times New Roman"/>
          <w:b/>
          <w:bCs/>
          <w:sz w:val="24"/>
          <w:szCs w:val="24"/>
        </w:rPr>
        <w:t>Introduction</w:t>
      </w:r>
    </w:p>
    <w:p w14:paraId="04701C42" w14:textId="73F78907" w:rsidR="00915487" w:rsidRPr="00915487" w:rsidRDefault="00915487" w:rsidP="00915487">
      <w:pPr>
        <w:jc w:val="both"/>
        <w:rPr>
          <w:rFonts w:ascii="Times New Roman" w:hAnsi="Times New Roman" w:cs="Times New Roman"/>
          <w:sz w:val="24"/>
          <w:szCs w:val="24"/>
        </w:rPr>
      </w:pPr>
      <w:r w:rsidRPr="00915487">
        <w:rPr>
          <w:rFonts w:ascii="Times New Roman" w:hAnsi="Times New Roman" w:cs="Times New Roman"/>
          <w:sz w:val="24"/>
          <w:szCs w:val="24"/>
        </w:rPr>
        <w:t>The poultry sector significantly contributes to India's GDP and provides employment across various socio-economic strata. Indian poultry systems include traditional backyard setups and intensive commercial farming, with the latter evolving over the last four decades into a highly organized, vertically integrated industry. Globally, poultry production comprises chickens (63%), ducks (11%), geese (9%), turkeys (5%), pigeons (3%), and guinea fowls (3%) (Besbes, 2009). Turkey (Meleagris gallopavo), though lesser-known in India, is economically and nutritionally valuable, ranking behind chicken, duck, guinea fowl, and quail in global importance (Anandh and Jagatheesan, 2015). Globally, turkeys account for about 2% of the poultry population (Hayet et al., 2021). In India, Broad Breasted Bronze, Broad Breasted White, and Beltsville Small White are the most common breeds reared (Anandh and Jagatheesan, 2015).</w:t>
      </w:r>
      <w:r>
        <w:rPr>
          <w:rFonts w:ascii="Times New Roman" w:hAnsi="Times New Roman" w:cs="Times New Roman"/>
          <w:sz w:val="24"/>
          <w:szCs w:val="24"/>
        </w:rPr>
        <w:t xml:space="preserve"> </w:t>
      </w:r>
      <w:r w:rsidRPr="00915487">
        <w:rPr>
          <w:rFonts w:ascii="Times New Roman" w:hAnsi="Times New Roman" w:cs="Times New Roman"/>
          <w:sz w:val="24"/>
          <w:szCs w:val="24"/>
        </w:rPr>
        <w:t xml:space="preserve">Turkey meat is increasingly favored for its high protein and low-fat content, offering 24% protein, 6.6% fat, and 162 kcal per 100 grams (Asaduzzaman et al., 2017). It is also preferred for its superior foraging and fiber digestion capabilities (Thomas et al., 2014). The aesthetic appeal and nutritional value of turkey have bolstered its appeal </w:t>
      </w:r>
      <w:r w:rsidRPr="00915487">
        <w:rPr>
          <w:rFonts w:ascii="Times New Roman" w:hAnsi="Times New Roman" w:cs="Times New Roman"/>
          <w:sz w:val="24"/>
          <w:szCs w:val="24"/>
        </w:rPr>
        <w:lastRenderedPageBreak/>
        <w:t>(Ogundipe and Dafwang, 1980). Blood profile analysis is essential for monitoring bird health. Hematological parameters vary due to multiple factors such as age, sex, breed, and environmental conditions (Olorode and Longe, 2000). Standard values in turkeys include Hb: 9.1–13.2 g/dL, PCV: 32.4–40.6%, erythrocyte count: 2.5–3.3×10⁶/µL, leukocyte count: 15.6–23.1×10³/µL, heterophils: 41–55%, lymphocytes: 37–50%, and monocytes: 3–6% (Arora, 2010). Deviations in these values can signal stress, infection, dehydration, or immunosuppression.</w:t>
      </w:r>
      <w:r>
        <w:rPr>
          <w:rFonts w:ascii="Times New Roman" w:hAnsi="Times New Roman" w:cs="Times New Roman"/>
          <w:sz w:val="24"/>
          <w:szCs w:val="24"/>
        </w:rPr>
        <w:t xml:space="preserve"> </w:t>
      </w:r>
      <w:r w:rsidRPr="00915487">
        <w:rPr>
          <w:rFonts w:ascii="Times New Roman" w:hAnsi="Times New Roman" w:cs="Times New Roman"/>
          <w:sz w:val="24"/>
          <w:szCs w:val="24"/>
        </w:rPr>
        <w:t>Biochemical markers help assess organ functionality. Normal values include total protein: 3.5–5.6 g/dL, albumin: 1.5–2.8 g/dL, glucose: 190–240 mg/dL, cholesterol: 120–180 mg/dL, uric acid: 4.5–8.2 mg/dL, AST: 180–240 U/L, and ALT: 12–20 U/L (Pavlak et al., 2005). Elevated AST and ALT indicate liver dysfunction, while high uric acid suggests renal impairment. Routine monitoring aids early diagnosis and informs therapeutic and nutritional strategies.</w:t>
      </w:r>
      <w:r>
        <w:rPr>
          <w:rFonts w:ascii="Times New Roman" w:hAnsi="Times New Roman" w:cs="Times New Roman"/>
          <w:sz w:val="24"/>
          <w:szCs w:val="24"/>
        </w:rPr>
        <w:t xml:space="preserve"> </w:t>
      </w:r>
      <w:r w:rsidRPr="00915487">
        <w:rPr>
          <w:rFonts w:ascii="Times New Roman" w:hAnsi="Times New Roman" w:cs="Times New Roman"/>
          <w:sz w:val="24"/>
          <w:szCs w:val="24"/>
        </w:rPr>
        <w:t>The turkey’s immune system includes innate and adaptive branches. Adaptive immunity involves cell-mediated and humoral responses, with the latter focusing on antibody production for combating infections. Monitoring antibody titers post-vaccination is a standard practice to evaluate immune response (Yang et al., 2017).</w:t>
      </w:r>
      <w:r>
        <w:rPr>
          <w:rFonts w:ascii="Times New Roman" w:hAnsi="Times New Roman" w:cs="Times New Roman"/>
          <w:sz w:val="24"/>
          <w:szCs w:val="24"/>
        </w:rPr>
        <w:t xml:space="preserve"> </w:t>
      </w:r>
      <w:r w:rsidRPr="00915487">
        <w:rPr>
          <w:rFonts w:ascii="Times New Roman" w:hAnsi="Times New Roman" w:cs="Times New Roman"/>
          <w:sz w:val="24"/>
          <w:szCs w:val="24"/>
        </w:rPr>
        <w:t>Despite its advantages, turkey farming in India is underdeveloped, lacking robust scientific management. Enhancing disease resistance and understanding correlations between humoral immunity and reproductive performance are critical for sustainable development. Scientific rearing practices and targeted genetic improvements are essential for advancing commercial turkey farming under Indian conditions (Thomas et al., 2014).</w:t>
      </w:r>
    </w:p>
    <w:p w14:paraId="1F998078" w14:textId="77777777" w:rsidR="002F1AEB" w:rsidRPr="002F1AEB" w:rsidRDefault="002F1AEB" w:rsidP="002F1AEB">
      <w:pPr>
        <w:jc w:val="both"/>
        <w:rPr>
          <w:rFonts w:ascii="Times New Roman" w:hAnsi="Times New Roman" w:cs="Times New Roman"/>
          <w:b/>
          <w:bCs/>
          <w:sz w:val="24"/>
          <w:szCs w:val="24"/>
          <w:lang w:val="en-US"/>
        </w:rPr>
      </w:pPr>
      <w:r w:rsidRPr="002F1AEB">
        <w:rPr>
          <w:rFonts w:ascii="Times New Roman" w:hAnsi="Times New Roman" w:cs="Times New Roman"/>
          <w:b/>
          <w:bCs/>
          <w:sz w:val="24"/>
          <w:szCs w:val="24"/>
          <w:lang w:val="en-US"/>
        </w:rPr>
        <w:t>MATERIALS AND METHODS:</w:t>
      </w:r>
    </w:p>
    <w:p w14:paraId="78106D98" w14:textId="77777777" w:rsidR="00F4370C" w:rsidRPr="00F4370C" w:rsidRDefault="00F4370C" w:rsidP="00F4370C">
      <w:pPr>
        <w:jc w:val="both"/>
        <w:rPr>
          <w:rFonts w:ascii="Times New Roman" w:hAnsi="Times New Roman" w:cs="Times New Roman"/>
          <w:sz w:val="24"/>
          <w:szCs w:val="24"/>
        </w:rPr>
      </w:pPr>
      <w:r w:rsidRPr="00F4370C">
        <w:rPr>
          <w:rFonts w:ascii="Times New Roman" w:hAnsi="Times New Roman" w:cs="Times New Roman"/>
          <w:sz w:val="24"/>
          <w:szCs w:val="24"/>
        </w:rPr>
        <w:t xml:space="preserve">The study was carried out at Imaliya Farm, Department of Poultry Science, NDVSU, Jabalpur, using 72 day-old turkey poults procured from the university hatchery and reared under intensive housing up to 12 weeks of age. Uniform brooding, feeding, and watering practices were followed across all replicates. Poults received Lixen powder and Vitamin B-complex during the first three days, and a coccidiostat (Diclazuril </w:t>
      </w:r>
      <w:commentRangeStart w:id="1"/>
      <w:commentRangeStart w:id="2"/>
      <w:r w:rsidRPr="00F4370C">
        <w:rPr>
          <w:rFonts w:ascii="Times New Roman" w:hAnsi="Times New Roman" w:cs="Times New Roman"/>
          <w:sz w:val="24"/>
          <w:szCs w:val="24"/>
        </w:rPr>
        <w:t>@</w:t>
      </w:r>
      <w:commentRangeEnd w:id="1"/>
      <w:r w:rsidR="00B37492">
        <w:rPr>
          <w:rStyle w:val="CommentReference"/>
        </w:rPr>
        <w:commentReference w:id="1"/>
      </w:r>
      <w:commentRangeEnd w:id="2"/>
      <w:r w:rsidR="00B37492">
        <w:rPr>
          <w:rStyle w:val="CommentReference"/>
        </w:rPr>
        <w:commentReference w:id="2"/>
      </w:r>
      <w:r w:rsidRPr="00F4370C">
        <w:rPr>
          <w:rFonts w:ascii="Times New Roman" w:hAnsi="Times New Roman" w:cs="Times New Roman"/>
          <w:sz w:val="24"/>
          <w:szCs w:val="24"/>
        </w:rPr>
        <w:t xml:space="preserve"> 1 kg/ton feed) was added during brooding. Vaccination included ND (B1 strain) at day-old, Fowl pox at 4–5 weeks, ND (R2B) at 6 weeks, and Cholera between 8–10 weeks. Skimmed milk powder (40 g/15 L) was added to drinking water 15 minutes before each vaccination to improve efficacy.</w:t>
      </w:r>
    </w:p>
    <w:p w14:paraId="60C56637" w14:textId="77777777" w:rsidR="00235ECD" w:rsidRPr="00235ECD" w:rsidRDefault="00235ECD" w:rsidP="00235ECD">
      <w:pPr>
        <w:jc w:val="both"/>
        <w:rPr>
          <w:rFonts w:ascii="Times New Roman" w:hAnsi="Times New Roman" w:cs="Times New Roman"/>
          <w:b/>
          <w:bCs/>
          <w:sz w:val="24"/>
          <w:szCs w:val="24"/>
        </w:rPr>
      </w:pPr>
      <w:r w:rsidRPr="00235ECD">
        <w:rPr>
          <w:rFonts w:ascii="Times New Roman" w:hAnsi="Times New Roman" w:cs="Times New Roman"/>
          <w:b/>
          <w:bCs/>
          <w:sz w:val="24"/>
          <w:szCs w:val="24"/>
        </w:rPr>
        <w:t>Experimental Design</w:t>
      </w:r>
    </w:p>
    <w:p w14:paraId="7C655862" w14:textId="335F9171" w:rsidR="00235ECD" w:rsidRDefault="00235ECD" w:rsidP="00235ECD">
      <w:pPr>
        <w:jc w:val="both"/>
        <w:rPr>
          <w:rFonts w:ascii="Times New Roman" w:hAnsi="Times New Roman" w:cs="Times New Roman"/>
          <w:sz w:val="24"/>
          <w:szCs w:val="24"/>
        </w:rPr>
      </w:pPr>
      <w:r w:rsidRPr="00235ECD">
        <w:rPr>
          <w:rFonts w:ascii="Times New Roman" w:hAnsi="Times New Roman" w:cs="Times New Roman"/>
          <w:sz w:val="24"/>
          <w:szCs w:val="24"/>
        </w:rPr>
        <w:t>All 72 healthy poults were weighed, wing-banded, and randomly assigned into three replicates, each containing 24 birds. The experiment was conducted in a floor housing system with individual pens arranged on both sides of a central passage. Before the start of the experiment, the entire poultry house was thoroughly cleaned, whitewashed, disinfected, and dried, and left vacant for three days to ensure biosecurity. Sawdust was used as litter material and was uniformly spread on the floor to a depth of approximately 2 cm.</w:t>
      </w:r>
      <w:r w:rsidR="00F4370C">
        <w:rPr>
          <w:rFonts w:ascii="Times New Roman" w:hAnsi="Times New Roman" w:cs="Times New Roman"/>
          <w:sz w:val="24"/>
          <w:szCs w:val="24"/>
        </w:rPr>
        <w:t xml:space="preserve"> </w:t>
      </w:r>
      <w:r w:rsidRPr="00235ECD">
        <w:rPr>
          <w:rFonts w:ascii="Times New Roman" w:hAnsi="Times New Roman" w:cs="Times New Roman"/>
          <w:sz w:val="24"/>
          <w:szCs w:val="24"/>
        </w:rPr>
        <w:t>Each replicate was provided with identical brooding, feeding, and watering arrangements to maintain uniformity. The turkey poults were fed a standard diet formulated as per ICAR (2013) feeding standards. Two phases of feeding were followed:</w:t>
      </w:r>
      <w:r w:rsidR="00F4370C">
        <w:rPr>
          <w:rFonts w:ascii="Times New Roman" w:hAnsi="Times New Roman" w:cs="Times New Roman"/>
          <w:sz w:val="24"/>
          <w:szCs w:val="24"/>
        </w:rPr>
        <w:t xml:space="preserve"> </w:t>
      </w:r>
      <w:r w:rsidRPr="00235ECD">
        <w:rPr>
          <w:rFonts w:ascii="Times New Roman" w:hAnsi="Times New Roman" w:cs="Times New Roman"/>
          <w:sz w:val="24"/>
          <w:szCs w:val="24"/>
        </w:rPr>
        <w:t>Poult phase (0–6 weeks): Turkey chick ration</w:t>
      </w:r>
      <w:r w:rsidR="00F4370C">
        <w:rPr>
          <w:rFonts w:ascii="Times New Roman" w:hAnsi="Times New Roman" w:cs="Times New Roman"/>
          <w:sz w:val="24"/>
          <w:szCs w:val="24"/>
        </w:rPr>
        <w:t xml:space="preserve">, </w:t>
      </w:r>
      <w:r w:rsidRPr="00235ECD">
        <w:rPr>
          <w:rFonts w:ascii="Times New Roman" w:hAnsi="Times New Roman" w:cs="Times New Roman"/>
          <w:sz w:val="24"/>
          <w:szCs w:val="24"/>
        </w:rPr>
        <w:t>Grower phase (6–12 weeks): Turkey grower ration</w:t>
      </w:r>
      <w:r w:rsidR="00F4370C">
        <w:rPr>
          <w:rFonts w:ascii="Times New Roman" w:hAnsi="Times New Roman" w:cs="Times New Roman"/>
          <w:sz w:val="24"/>
          <w:szCs w:val="24"/>
        </w:rPr>
        <w:t xml:space="preserve">. </w:t>
      </w:r>
      <w:r w:rsidRPr="00235ECD">
        <w:rPr>
          <w:rFonts w:ascii="Times New Roman" w:hAnsi="Times New Roman" w:cs="Times New Roman"/>
          <w:sz w:val="24"/>
          <w:szCs w:val="24"/>
        </w:rPr>
        <w:t xml:space="preserve">The composition of the experimental diet is detailed in </w:t>
      </w:r>
      <w:r w:rsidR="00F4370C">
        <w:rPr>
          <w:rFonts w:ascii="Times New Roman" w:hAnsi="Times New Roman" w:cs="Times New Roman"/>
          <w:sz w:val="24"/>
          <w:szCs w:val="24"/>
        </w:rPr>
        <w:t>(</w:t>
      </w:r>
      <w:r w:rsidRPr="00235ECD">
        <w:rPr>
          <w:rFonts w:ascii="Times New Roman" w:hAnsi="Times New Roman" w:cs="Times New Roman"/>
          <w:sz w:val="24"/>
          <w:szCs w:val="24"/>
        </w:rPr>
        <w:t>Table 1</w:t>
      </w:r>
      <w:r w:rsidR="00F4370C">
        <w:rPr>
          <w:rFonts w:ascii="Times New Roman" w:hAnsi="Times New Roman" w:cs="Times New Roman"/>
          <w:sz w:val="24"/>
          <w:szCs w:val="24"/>
        </w:rPr>
        <w:t>)</w:t>
      </w:r>
    </w:p>
    <w:p w14:paraId="5BE7B716" w14:textId="72CC7440" w:rsidR="006B555C" w:rsidRPr="00235ECD" w:rsidRDefault="006B555C" w:rsidP="00235ECD">
      <w:pPr>
        <w:jc w:val="both"/>
        <w:rPr>
          <w:rFonts w:ascii="Times New Roman" w:hAnsi="Times New Roman" w:cs="Times New Roman"/>
          <w:sz w:val="24"/>
          <w:szCs w:val="24"/>
          <w:lang w:val="en-US"/>
        </w:rPr>
      </w:pPr>
      <w:r w:rsidRPr="006B555C">
        <w:rPr>
          <w:rFonts w:ascii="Times New Roman" w:hAnsi="Times New Roman" w:cs="Times New Roman"/>
          <w:b/>
          <w:bCs/>
          <w:sz w:val="24"/>
          <w:szCs w:val="24"/>
          <w:lang w:val="en-US"/>
        </w:rPr>
        <w:t xml:space="preserve">Table 1: </w:t>
      </w:r>
      <w:r w:rsidRPr="00F4370C">
        <w:rPr>
          <w:rFonts w:ascii="Times New Roman" w:hAnsi="Times New Roman" w:cs="Times New Roman"/>
          <w:sz w:val="24"/>
          <w:szCs w:val="24"/>
          <w:lang w:val="en-US"/>
        </w:rPr>
        <w:t>Composition of turkey chick and turkey grower diet</w:t>
      </w:r>
    </w:p>
    <w:tbl>
      <w:tblPr>
        <w:tblW w:w="8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762"/>
        <w:gridCol w:w="1925"/>
        <w:gridCol w:w="2034"/>
      </w:tblGrid>
      <w:tr w:rsidR="00DC2FE6" w:rsidRPr="00DC2FE6" w14:paraId="4B4A1928" w14:textId="77777777" w:rsidTr="00BB28A2">
        <w:trPr>
          <w:trHeight w:val="76"/>
          <w:jc w:val="center"/>
        </w:trPr>
        <w:tc>
          <w:tcPr>
            <w:tcW w:w="1426" w:type="dxa"/>
            <w:vAlign w:val="center"/>
          </w:tcPr>
          <w:p w14:paraId="2A6EA237" w14:textId="77777777" w:rsidR="00DC2FE6" w:rsidRPr="00DC2FE6" w:rsidRDefault="00DC2FE6" w:rsidP="00312558">
            <w:pPr>
              <w:jc w:val="center"/>
              <w:rPr>
                <w:rFonts w:ascii="Times New Roman" w:hAnsi="Times New Roman" w:cs="Times New Roman"/>
                <w:b/>
                <w:bCs/>
                <w:sz w:val="24"/>
                <w:szCs w:val="24"/>
                <w:lang w:val="en-US"/>
              </w:rPr>
            </w:pPr>
            <w:r w:rsidRPr="00DC2FE6">
              <w:rPr>
                <w:rFonts w:ascii="Times New Roman" w:hAnsi="Times New Roman" w:cs="Times New Roman"/>
                <w:b/>
                <w:bCs/>
                <w:sz w:val="24"/>
                <w:szCs w:val="24"/>
                <w:lang w:val="en-US"/>
              </w:rPr>
              <w:t>S. No.</w:t>
            </w:r>
          </w:p>
        </w:tc>
        <w:tc>
          <w:tcPr>
            <w:tcW w:w="2762" w:type="dxa"/>
            <w:vAlign w:val="center"/>
          </w:tcPr>
          <w:p w14:paraId="7151D0C6" w14:textId="77777777" w:rsidR="00DC2FE6" w:rsidRPr="00DC2FE6" w:rsidRDefault="00DC2FE6" w:rsidP="00312558">
            <w:pPr>
              <w:jc w:val="center"/>
              <w:rPr>
                <w:rFonts w:ascii="Times New Roman" w:hAnsi="Times New Roman" w:cs="Times New Roman"/>
                <w:b/>
                <w:bCs/>
                <w:sz w:val="24"/>
                <w:szCs w:val="24"/>
                <w:lang w:val="en-US"/>
              </w:rPr>
            </w:pPr>
            <w:r w:rsidRPr="00DC2FE6">
              <w:rPr>
                <w:rFonts w:ascii="Times New Roman" w:hAnsi="Times New Roman" w:cs="Times New Roman"/>
                <w:b/>
                <w:bCs/>
                <w:sz w:val="24"/>
                <w:szCs w:val="24"/>
                <w:lang w:val="en-US"/>
              </w:rPr>
              <w:t>Ingredients</w:t>
            </w:r>
          </w:p>
          <w:p w14:paraId="6AC32FFE" w14:textId="77777777" w:rsidR="00DC2FE6" w:rsidRPr="00DC2FE6" w:rsidRDefault="00DC2FE6" w:rsidP="00312558">
            <w:pPr>
              <w:jc w:val="center"/>
              <w:rPr>
                <w:rFonts w:ascii="Times New Roman" w:hAnsi="Times New Roman" w:cs="Times New Roman"/>
                <w:b/>
                <w:bCs/>
                <w:sz w:val="24"/>
                <w:szCs w:val="24"/>
                <w:lang w:val="en-US"/>
              </w:rPr>
            </w:pPr>
            <w:r w:rsidRPr="00DC2FE6">
              <w:rPr>
                <w:rFonts w:ascii="Times New Roman" w:hAnsi="Times New Roman" w:cs="Times New Roman"/>
                <w:b/>
                <w:bCs/>
                <w:sz w:val="24"/>
                <w:szCs w:val="24"/>
                <w:lang w:val="en-US"/>
              </w:rPr>
              <w:t>(Part/100kg)</w:t>
            </w:r>
          </w:p>
        </w:tc>
        <w:tc>
          <w:tcPr>
            <w:tcW w:w="1925" w:type="dxa"/>
            <w:vAlign w:val="center"/>
          </w:tcPr>
          <w:p w14:paraId="5D150B0C" w14:textId="77777777" w:rsidR="00DC2FE6" w:rsidRPr="00DC2FE6" w:rsidRDefault="00DC2FE6" w:rsidP="00312558">
            <w:pPr>
              <w:jc w:val="center"/>
              <w:rPr>
                <w:rFonts w:ascii="Times New Roman" w:hAnsi="Times New Roman" w:cs="Times New Roman"/>
                <w:b/>
                <w:bCs/>
                <w:sz w:val="24"/>
                <w:szCs w:val="24"/>
                <w:lang w:val="en-US"/>
              </w:rPr>
            </w:pPr>
            <w:r w:rsidRPr="00DC2FE6">
              <w:rPr>
                <w:rFonts w:ascii="Times New Roman" w:hAnsi="Times New Roman" w:cs="Times New Roman"/>
                <w:b/>
                <w:bCs/>
                <w:sz w:val="24"/>
                <w:szCs w:val="24"/>
                <w:lang w:val="en-US"/>
              </w:rPr>
              <w:t>0-6 weeks diet</w:t>
            </w:r>
          </w:p>
          <w:p w14:paraId="0B55BB28" w14:textId="77777777" w:rsidR="00DC2FE6" w:rsidRPr="00DC2FE6" w:rsidRDefault="00DC2FE6" w:rsidP="00312558">
            <w:pPr>
              <w:jc w:val="center"/>
              <w:rPr>
                <w:rFonts w:ascii="Times New Roman" w:hAnsi="Times New Roman" w:cs="Times New Roman"/>
                <w:b/>
                <w:bCs/>
                <w:sz w:val="24"/>
                <w:szCs w:val="24"/>
                <w:lang w:val="en-US"/>
              </w:rPr>
            </w:pPr>
            <w:r w:rsidRPr="00DC2FE6">
              <w:rPr>
                <w:rFonts w:ascii="Times New Roman" w:hAnsi="Times New Roman" w:cs="Times New Roman"/>
                <w:b/>
                <w:bCs/>
                <w:sz w:val="24"/>
                <w:szCs w:val="24"/>
                <w:lang w:val="en-US"/>
              </w:rPr>
              <w:t>(CP 24%, 2800 kcal ME/kg)</w:t>
            </w:r>
          </w:p>
        </w:tc>
        <w:tc>
          <w:tcPr>
            <w:tcW w:w="2034" w:type="dxa"/>
            <w:vAlign w:val="center"/>
          </w:tcPr>
          <w:p w14:paraId="72F9A14E" w14:textId="77777777" w:rsidR="00DC2FE6" w:rsidRPr="00DC2FE6" w:rsidRDefault="00DC2FE6" w:rsidP="00312558">
            <w:pPr>
              <w:jc w:val="center"/>
              <w:rPr>
                <w:rFonts w:ascii="Times New Roman" w:hAnsi="Times New Roman" w:cs="Times New Roman"/>
                <w:b/>
                <w:bCs/>
                <w:sz w:val="24"/>
                <w:szCs w:val="24"/>
                <w:lang w:val="en-US"/>
              </w:rPr>
            </w:pPr>
            <w:r w:rsidRPr="00DC2FE6">
              <w:rPr>
                <w:rFonts w:ascii="Times New Roman" w:hAnsi="Times New Roman" w:cs="Times New Roman"/>
                <w:b/>
                <w:bCs/>
                <w:sz w:val="24"/>
                <w:szCs w:val="24"/>
                <w:lang w:val="en-US"/>
              </w:rPr>
              <w:t>6-12 weeks diet</w:t>
            </w:r>
          </w:p>
          <w:p w14:paraId="6DAE1AE1" w14:textId="77777777" w:rsidR="00DC2FE6" w:rsidRPr="00DC2FE6" w:rsidRDefault="00DC2FE6" w:rsidP="00312558">
            <w:pPr>
              <w:jc w:val="center"/>
              <w:rPr>
                <w:rFonts w:ascii="Times New Roman" w:hAnsi="Times New Roman" w:cs="Times New Roman"/>
                <w:b/>
                <w:bCs/>
                <w:sz w:val="24"/>
                <w:szCs w:val="24"/>
                <w:lang w:val="en-US"/>
              </w:rPr>
            </w:pPr>
            <w:r w:rsidRPr="00DC2FE6">
              <w:rPr>
                <w:rFonts w:ascii="Times New Roman" w:hAnsi="Times New Roman" w:cs="Times New Roman"/>
                <w:b/>
                <w:bCs/>
                <w:sz w:val="24"/>
                <w:szCs w:val="24"/>
                <w:lang w:val="en-US"/>
              </w:rPr>
              <w:t>(CP 22%, 2800 kcal ME/kg)</w:t>
            </w:r>
          </w:p>
        </w:tc>
      </w:tr>
      <w:tr w:rsidR="00DC2FE6" w:rsidRPr="00DC2FE6" w14:paraId="4452E53A" w14:textId="77777777" w:rsidTr="00BB28A2">
        <w:trPr>
          <w:trHeight w:val="54"/>
          <w:jc w:val="center"/>
        </w:trPr>
        <w:tc>
          <w:tcPr>
            <w:tcW w:w="1426" w:type="dxa"/>
            <w:vAlign w:val="center"/>
          </w:tcPr>
          <w:p w14:paraId="74B3F143"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1</w:t>
            </w:r>
          </w:p>
        </w:tc>
        <w:tc>
          <w:tcPr>
            <w:tcW w:w="2762" w:type="dxa"/>
            <w:vAlign w:val="center"/>
          </w:tcPr>
          <w:p w14:paraId="363BA076"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Maize</w:t>
            </w:r>
          </w:p>
        </w:tc>
        <w:tc>
          <w:tcPr>
            <w:tcW w:w="1925" w:type="dxa"/>
            <w:vAlign w:val="center"/>
          </w:tcPr>
          <w:p w14:paraId="288791EE"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43.5</w:t>
            </w:r>
          </w:p>
        </w:tc>
        <w:tc>
          <w:tcPr>
            <w:tcW w:w="2034" w:type="dxa"/>
            <w:vAlign w:val="center"/>
          </w:tcPr>
          <w:p w14:paraId="73F620BD"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47</w:t>
            </w:r>
          </w:p>
        </w:tc>
      </w:tr>
      <w:tr w:rsidR="00DC2FE6" w:rsidRPr="00DC2FE6" w14:paraId="45A45E00" w14:textId="77777777" w:rsidTr="00BB28A2">
        <w:trPr>
          <w:trHeight w:val="54"/>
          <w:jc w:val="center"/>
        </w:trPr>
        <w:tc>
          <w:tcPr>
            <w:tcW w:w="1426" w:type="dxa"/>
            <w:vAlign w:val="center"/>
          </w:tcPr>
          <w:p w14:paraId="3B30B192"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2</w:t>
            </w:r>
          </w:p>
        </w:tc>
        <w:tc>
          <w:tcPr>
            <w:tcW w:w="2762" w:type="dxa"/>
            <w:vAlign w:val="center"/>
          </w:tcPr>
          <w:p w14:paraId="5618FD2A"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Soyabean meal</w:t>
            </w:r>
          </w:p>
        </w:tc>
        <w:tc>
          <w:tcPr>
            <w:tcW w:w="1925" w:type="dxa"/>
            <w:vAlign w:val="center"/>
          </w:tcPr>
          <w:p w14:paraId="17B506E8"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37.5</w:t>
            </w:r>
          </w:p>
        </w:tc>
        <w:tc>
          <w:tcPr>
            <w:tcW w:w="2034" w:type="dxa"/>
            <w:vAlign w:val="center"/>
          </w:tcPr>
          <w:p w14:paraId="16D6B32C"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32.6</w:t>
            </w:r>
          </w:p>
        </w:tc>
      </w:tr>
      <w:tr w:rsidR="00DC2FE6" w:rsidRPr="00DC2FE6" w14:paraId="12C8F395" w14:textId="77777777" w:rsidTr="00BB28A2">
        <w:trPr>
          <w:trHeight w:val="54"/>
          <w:jc w:val="center"/>
        </w:trPr>
        <w:tc>
          <w:tcPr>
            <w:tcW w:w="1426" w:type="dxa"/>
            <w:vAlign w:val="center"/>
          </w:tcPr>
          <w:p w14:paraId="4DB6F69F"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3</w:t>
            </w:r>
          </w:p>
        </w:tc>
        <w:tc>
          <w:tcPr>
            <w:tcW w:w="2762" w:type="dxa"/>
            <w:vAlign w:val="center"/>
          </w:tcPr>
          <w:p w14:paraId="7F201CAE"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Deoiled rice polish</w:t>
            </w:r>
          </w:p>
        </w:tc>
        <w:tc>
          <w:tcPr>
            <w:tcW w:w="1925" w:type="dxa"/>
            <w:vAlign w:val="center"/>
          </w:tcPr>
          <w:p w14:paraId="0DF94722"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16.1</w:t>
            </w:r>
          </w:p>
        </w:tc>
        <w:tc>
          <w:tcPr>
            <w:tcW w:w="2034" w:type="dxa"/>
            <w:vAlign w:val="center"/>
          </w:tcPr>
          <w:p w14:paraId="2F2AAA03"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17.5</w:t>
            </w:r>
          </w:p>
        </w:tc>
      </w:tr>
      <w:tr w:rsidR="00DC2FE6" w:rsidRPr="00DC2FE6" w14:paraId="426C2A7D" w14:textId="77777777" w:rsidTr="00BB28A2">
        <w:trPr>
          <w:trHeight w:val="54"/>
          <w:jc w:val="center"/>
        </w:trPr>
        <w:tc>
          <w:tcPr>
            <w:tcW w:w="1426" w:type="dxa"/>
            <w:vAlign w:val="center"/>
          </w:tcPr>
          <w:p w14:paraId="42356156"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4</w:t>
            </w:r>
          </w:p>
        </w:tc>
        <w:tc>
          <w:tcPr>
            <w:tcW w:w="2762" w:type="dxa"/>
            <w:vAlign w:val="center"/>
          </w:tcPr>
          <w:p w14:paraId="14E401A7"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Mineral mixture</w:t>
            </w:r>
          </w:p>
        </w:tc>
        <w:tc>
          <w:tcPr>
            <w:tcW w:w="1925" w:type="dxa"/>
            <w:vAlign w:val="center"/>
          </w:tcPr>
          <w:p w14:paraId="0A201C3E"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1.50</w:t>
            </w:r>
          </w:p>
        </w:tc>
        <w:tc>
          <w:tcPr>
            <w:tcW w:w="2034" w:type="dxa"/>
            <w:vAlign w:val="center"/>
          </w:tcPr>
          <w:p w14:paraId="0CE82F53"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1.50</w:t>
            </w:r>
          </w:p>
        </w:tc>
      </w:tr>
      <w:tr w:rsidR="00DC2FE6" w:rsidRPr="00DC2FE6" w14:paraId="05662CF5" w14:textId="77777777" w:rsidTr="00BB28A2">
        <w:trPr>
          <w:trHeight w:val="54"/>
          <w:jc w:val="center"/>
        </w:trPr>
        <w:tc>
          <w:tcPr>
            <w:tcW w:w="1426" w:type="dxa"/>
            <w:vAlign w:val="center"/>
          </w:tcPr>
          <w:p w14:paraId="4AA6E51C"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5</w:t>
            </w:r>
          </w:p>
        </w:tc>
        <w:tc>
          <w:tcPr>
            <w:tcW w:w="2762" w:type="dxa"/>
            <w:vAlign w:val="center"/>
          </w:tcPr>
          <w:p w14:paraId="7FB04BFE"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Vitamins mixture</w:t>
            </w:r>
          </w:p>
        </w:tc>
        <w:tc>
          <w:tcPr>
            <w:tcW w:w="1925" w:type="dxa"/>
            <w:vAlign w:val="center"/>
          </w:tcPr>
          <w:p w14:paraId="296053E6"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0.25</w:t>
            </w:r>
          </w:p>
        </w:tc>
        <w:tc>
          <w:tcPr>
            <w:tcW w:w="2034" w:type="dxa"/>
            <w:vAlign w:val="center"/>
          </w:tcPr>
          <w:p w14:paraId="6F7F6582"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0.25</w:t>
            </w:r>
          </w:p>
        </w:tc>
      </w:tr>
      <w:tr w:rsidR="00DC2FE6" w:rsidRPr="00DC2FE6" w14:paraId="0E6561ED" w14:textId="77777777" w:rsidTr="00BB28A2">
        <w:trPr>
          <w:trHeight w:val="83"/>
          <w:jc w:val="center"/>
        </w:trPr>
        <w:tc>
          <w:tcPr>
            <w:tcW w:w="1426" w:type="dxa"/>
            <w:vAlign w:val="center"/>
          </w:tcPr>
          <w:p w14:paraId="3BD768E1"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6</w:t>
            </w:r>
          </w:p>
        </w:tc>
        <w:tc>
          <w:tcPr>
            <w:tcW w:w="2762" w:type="dxa"/>
            <w:vAlign w:val="center"/>
          </w:tcPr>
          <w:p w14:paraId="51DF4A37"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Lime stone powder</w:t>
            </w:r>
          </w:p>
        </w:tc>
        <w:tc>
          <w:tcPr>
            <w:tcW w:w="1925" w:type="dxa"/>
            <w:vAlign w:val="center"/>
          </w:tcPr>
          <w:p w14:paraId="7E2F0EF2"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0.35</w:t>
            </w:r>
          </w:p>
        </w:tc>
        <w:tc>
          <w:tcPr>
            <w:tcW w:w="2034" w:type="dxa"/>
            <w:vAlign w:val="center"/>
          </w:tcPr>
          <w:p w14:paraId="6E5D5A7D"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0.35</w:t>
            </w:r>
          </w:p>
        </w:tc>
      </w:tr>
      <w:tr w:rsidR="00DC2FE6" w:rsidRPr="00DC2FE6" w14:paraId="73C7CD50" w14:textId="77777777" w:rsidTr="00BB28A2">
        <w:trPr>
          <w:trHeight w:val="54"/>
          <w:jc w:val="center"/>
        </w:trPr>
        <w:tc>
          <w:tcPr>
            <w:tcW w:w="1426" w:type="dxa"/>
            <w:vAlign w:val="center"/>
          </w:tcPr>
          <w:p w14:paraId="626A85F4"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7</w:t>
            </w:r>
          </w:p>
        </w:tc>
        <w:tc>
          <w:tcPr>
            <w:tcW w:w="2762" w:type="dxa"/>
            <w:vAlign w:val="center"/>
          </w:tcPr>
          <w:p w14:paraId="2BA1DF12"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Dicalcium phosphate</w:t>
            </w:r>
          </w:p>
        </w:tc>
        <w:tc>
          <w:tcPr>
            <w:tcW w:w="1925" w:type="dxa"/>
            <w:vAlign w:val="center"/>
          </w:tcPr>
          <w:p w14:paraId="7BF791EC"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0.40</w:t>
            </w:r>
          </w:p>
        </w:tc>
        <w:tc>
          <w:tcPr>
            <w:tcW w:w="2034" w:type="dxa"/>
            <w:vAlign w:val="center"/>
          </w:tcPr>
          <w:p w14:paraId="63A60983"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0.40</w:t>
            </w:r>
          </w:p>
        </w:tc>
      </w:tr>
      <w:tr w:rsidR="00DC2FE6" w:rsidRPr="00DC2FE6" w14:paraId="22AB7728" w14:textId="77777777" w:rsidTr="00BB28A2">
        <w:trPr>
          <w:trHeight w:val="54"/>
          <w:jc w:val="center"/>
        </w:trPr>
        <w:tc>
          <w:tcPr>
            <w:tcW w:w="1426" w:type="dxa"/>
            <w:vAlign w:val="center"/>
          </w:tcPr>
          <w:p w14:paraId="531C7763"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8</w:t>
            </w:r>
          </w:p>
        </w:tc>
        <w:tc>
          <w:tcPr>
            <w:tcW w:w="2762" w:type="dxa"/>
            <w:vAlign w:val="center"/>
          </w:tcPr>
          <w:p w14:paraId="061CFE97"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Salt</w:t>
            </w:r>
          </w:p>
        </w:tc>
        <w:tc>
          <w:tcPr>
            <w:tcW w:w="1925" w:type="dxa"/>
            <w:vAlign w:val="center"/>
          </w:tcPr>
          <w:p w14:paraId="215F905E"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0.30</w:t>
            </w:r>
          </w:p>
        </w:tc>
        <w:tc>
          <w:tcPr>
            <w:tcW w:w="2034" w:type="dxa"/>
            <w:vAlign w:val="center"/>
          </w:tcPr>
          <w:p w14:paraId="6A3231C0"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0.30</w:t>
            </w:r>
          </w:p>
        </w:tc>
      </w:tr>
      <w:tr w:rsidR="00DC2FE6" w:rsidRPr="00DC2FE6" w14:paraId="5FC33A9B" w14:textId="77777777" w:rsidTr="00BB28A2">
        <w:trPr>
          <w:trHeight w:val="54"/>
          <w:jc w:val="center"/>
        </w:trPr>
        <w:tc>
          <w:tcPr>
            <w:tcW w:w="1426" w:type="dxa"/>
            <w:vAlign w:val="center"/>
          </w:tcPr>
          <w:p w14:paraId="2706FC4B"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9</w:t>
            </w:r>
          </w:p>
        </w:tc>
        <w:tc>
          <w:tcPr>
            <w:tcW w:w="2762" w:type="dxa"/>
            <w:vAlign w:val="center"/>
          </w:tcPr>
          <w:p w14:paraId="52099D04"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Coccidiostat (diclazuril)</w:t>
            </w:r>
          </w:p>
        </w:tc>
        <w:tc>
          <w:tcPr>
            <w:tcW w:w="1925" w:type="dxa"/>
            <w:vAlign w:val="center"/>
          </w:tcPr>
          <w:p w14:paraId="55D97F23"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0.10</w:t>
            </w:r>
          </w:p>
        </w:tc>
        <w:tc>
          <w:tcPr>
            <w:tcW w:w="2034" w:type="dxa"/>
            <w:vAlign w:val="center"/>
          </w:tcPr>
          <w:p w14:paraId="13EF5602"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0.10</w:t>
            </w:r>
          </w:p>
        </w:tc>
      </w:tr>
      <w:tr w:rsidR="00DC2FE6" w:rsidRPr="00DC2FE6" w14:paraId="4EF62FA3" w14:textId="77777777" w:rsidTr="00BB28A2">
        <w:trPr>
          <w:trHeight w:val="54"/>
          <w:jc w:val="center"/>
        </w:trPr>
        <w:tc>
          <w:tcPr>
            <w:tcW w:w="1426" w:type="dxa"/>
            <w:vAlign w:val="center"/>
          </w:tcPr>
          <w:p w14:paraId="5FAC28C5"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Total</w:t>
            </w:r>
          </w:p>
        </w:tc>
        <w:tc>
          <w:tcPr>
            <w:tcW w:w="2762" w:type="dxa"/>
            <w:vAlign w:val="center"/>
          </w:tcPr>
          <w:p w14:paraId="6AA4ECF3"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w:t>
            </w:r>
          </w:p>
        </w:tc>
        <w:tc>
          <w:tcPr>
            <w:tcW w:w="1925" w:type="dxa"/>
            <w:vAlign w:val="center"/>
          </w:tcPr>
          <w:p w14:paraId="542308E2"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100</w:t>
            </w:r>
          </w:p>
        </w:tc>
        <w:tc>
          <w:tcPr>
            <w:tcW w:w="2034" w:type="dxa"/>
            <w:vAlign w:val="center"/>
          </w:tcPr>
          <w:p w14:paraId="5F18A170" w14:textId="77777777" w:rsidR="00DC2FE6" w:rsidRPr="00DC2FE6" w:rsidRDefault="00DC2FE6" w:rsidP="00312558">
            <w:pPr>
              <w:jc w:val="center"/>
              <w:rPr>
                <w:rFonts w:ascii="Times New Roman" w:hAnsi="Times New Roman" w:cs="Times New Roman"/>
                <w:sz w:val="24"/>
                <w:szCs w:val="24"/>
                <w:lang w:val="en-US"/>
              </w:rPr>
            </w:pPr>
            <w:r w:rsidRPr="00DC2FE6">
              <w:rPr>
                <w:rFonts w:ascii="Times New Roman" w:hAnsi="Times New Roman" w:cs="Times New Roman"/>
                <w:sz w:val="24"/>
                <w:szCs w:val="24"/>
                <w:lang w:val="en-US"/>
              </w:rPr>
              <w:t>100</w:t>
            </w:r>
          </w:p>
        </w:tc>
      </w:tr>
    </w:tbl>
    <w:p w14:paraId="65A696F9" w14:textId="77777777" w:rsidR="00F21945" w:rsidRDefault="00F21945" w:rsidP="00E602B5">
      <w:pPr>
        <w:jc w:val="both"/>
        <w:rPr>
          <w:rFonts w:ascii="Times New Roman" w:hAnsi="Times New Roman" w:cs="Times New Roman"/>
          <w:sz w:val="24"/>
          <w:szCs w:val="24"/>
        </w:rPr>
      </w:pPr>
    </w:p>
    <w:p w14:paraId="71FE9DB9" w14:textId="3D365A70" w:rsidR="00BE7FF4" w:rsidRPr="00BE7FF4" w:rsidRDefault="00BE7FF4" w:rsidP="00BE7FF4">
      <w:pPr>
        <w:jc w:val="both"/>
        <w:rPr>
          <w:rFonts w:ascii="Times New Roman" w:hAnsi="Times New Roman" w:cs="Times New Roman"/>
          <w:b/>
          <w:bCs/>
          <w:sz w:val="24"/>
          <w:szCs w:val="24"/>
          <w:lang w:val="en-US"/>
        </w:rPr>
      </w:pPr>
      <w:r w:rsidRPr="00BE7FF4">
        <w:rPr>
          <w:rFonts w:ascii="Times New Roman" w:hAnsi="Times New Roman" w:cs="Times New Roman"/>
          <w:b/>
          <w:bCs/>
          <w:sz w:val="24"/>
          <w:szCs w:val="24"/>
          <w:lang w:val="en-US"/>
        </w:rPr>
        <w:t>MEASUREMENTS AND OBSERVATIONS</w:t>
      </w:r>
    </w:p>
    <w:p w14:paraId="4FF5C7CE"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The following observations were recorded during the experimental period</w:t>
      </w:r>
    </w:p>
    <w:p w14:paraId="22FEFE95" w14:textId="77777777" w:rsidR="00BE7FF4" w:rsidRPr="00BE7FF4" w:rsidRDefault="00BE7FF4" w:rsidP="00312558">
      <w:pPr>
        <w:numPr>
          <w:ilvl w:val="0"/>
          <w:numId w:val="5"/>
        </w:numPr>
        <w:ind w:left="360"/>
        <w:jc w:val="both"/>
        <w:rPr>
          <w:rFonts w:ascii="Times New Roman" w:hAnsi="Times New Roman" w:cs="Times New Roman"/>
          <w:sz w:val="24"/>
          <w:szCs w:val="24"/>
          <w:lang w:val="en-US"/>
        </w:rPr>
      </w:pPr>
      <w:commentRangeStart w:id="3"/>
      <w:r w:rsidRPr="00BE7FF4">
        <w:rPr>
          <w:rFonts w:ascii="Times New Roman" w:hAnsi="Times New Roman" w:cs="Times New Roman"/>
          <w:b/>
          <w:bCs/>
          <w:sz w:val="24"/>
          <w:szCs w:val="24"/>
        </w:rPr>
        <w:t xml:space="preserve">Hematological </w:t>
      </w:r>
      <w:commentRangeEnd w:id="3"/>
      <w:r w:rsidR="001E66AF">
        <w:rPr>
          <w:rStyle w:val="CommentReference"/>
          <w:rtl/>
        </w:rPr>
        <w:commentReference w:id="3"/>
      </w:r>
      <w:r w:rsidRPr="00BE7FF4">
        <w:rPr>
          <w:rFonts w:ascii="Times New Roman" w:hAnsi="Times New Roman" w:cs="Times New Roman"/>
          <w:b/>
          <w:bCs/>
          <w:sz w:val="24"/>
          <w:szCs w:val="24"/>
        </w:rPr>
        <w:t>Parameter of Turkey:</w:t>
      </w:r>
    </w:p>
    <w:p w14:paraId="2B795E51" w14:textId="77777777" w:rsidR="00BE7FF4" w:rsidRPr="00BE7FF4" w:rsidRDefault="00BE7FF4" w:rsidP="00BE7FF4">
      <w:pPr>
        <w:jc w:val="both"/>
        <w:rPr>
          <w:rFonts w:ascii="Times New Roman" w:hAnsi="Times New Roman" w:cs="Times New Roman"/>
          <w:b/>
          <w:bCs/>
          <w:sz w:val="24"/>
          <w:szCs w:val="24"/>
          <w:lang w:val="x-none"/>
        </w:rPr>
      </w:pPr>
      <w:r w:rsidRPr="00BE7FF4">
        <w:rPr>
          <w:rFonts w:ascii="Times New Roman" w:hAnsi="Times New Roman" w:cs="Times New Roman"/>
          <w:b/>
          <w:bCs/>
          <w:sz w:val="24"/>
          <w:szCs w:val="24"/>
          <w:lang w:val="x-none"/>
        </w:rPr>
        <w:t>Collection and processing of blood</w:t>
      </w:r>
    </w:p>
    <w:p w14:paraId="6A240823"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bCs/>
          <w:sz w:val="24"/>
          <w:szCs w:val="24"/>
        </w:rPr>
        <w:t>About 3 ml of pooled blood sample from 6 birds of each replicate (not more than 1 % of body weight from each bird) was drawn in sterile heparinised vacutainer tube from wing vein puncture, posing minimum disturbance to the bird on day 6</w:t>
      </w:r>
      <w:r w:rsidRPr="00BE7FF4">
        <w:rPr>
          <w:rFonts w:ascii="Times New Roman" w:hAnsi="Times New Roman" w:cs="Times New Roman"/>
          <w:bCs/>
          <w:sz w:val="24"/>
          <w:szCs w:val="24"/>
          <w:vertAlign w:val="superscript"/>
        </w:rPr>
        <w:t>th</w:t>
      </w:r>
      <w:r w:rsidRPr="00BE7FF4">
        <w:rPr>
          <w:rFonts w:ascii="Times New Roman" w:hAnsi="Times New Roman" w:cs="Times New Roman"/>
          <w:bCs/>
          <w:sz w:val="24"/>
          <w:szCs w:val="24"/>
        </w:rPr>
        <w:t xml:space="preserve"> and day 14</w:t>
      </w:r>
      <w:r w:rsidRPr="00BE7FF4">
        <w:rPr>
          <w:rFonts w:ascii="Times New Roman" w:hAnsi="Times New Roman" w:cs="Times New Roman"/>
          <w:bCs/>
          <w:sz w:val="24"/>
          <w:szCs w:val="24"/>
          <w:vertAlign w:val="superscript"/>
        </w:rPr>
        <w:t>th</w:t>
      </w:r>
      <w:r w:rsidRPr="00BE7FF4">
        <w:rPr>
          <w:rFonts w:ascii="Times New Roman" w:hAnsi="Times New Roman" w:cs="Times New Roman"/>
          <w:bCs/>
          <w:sz w:val="24"/>
          <w:szCs w:val="24"/>
        </w:rPr>
        <w:t xml:space="preserve"> at 7.00 A.M. in the morning. Immediately after collection the tubes were transported to the laboratory in ice for further processing. A part of blood sample was used for </w:t>
      </w:r>
      <w:commentRangeStart w:id="4"/>
      <w:r w:rsidRPr="00BE7FF4">
        <w:rPr>
          <w:rFonts w:ascii="Times New Roman" w:hAnsi="Times New Roman" w:cs="Times New Roman"/>
          <w:bCs/>
          <w:sz w:val="24"/>
          <w:szCs w:val="24"/>
        </w:rPr>
        <w:t xml:space="preserve">hematological </w:t>
      </w:r>
      <w:commentRangeEnd w:id="4"/>
      <w:r w:rsidR="001E66AF">
        <w:rPr>
          <w:rStyle w:val="CommentReference"/>
          <w:rtl/>
        </w:rPr>
        <w:commentReference w:id="4"/>
      </w:r>
      <w:r w:rsidRPr="00BE7FF4">
        <w:rPr>
          <w:rFonts w:ascii="Times New Roman" w:hAnsi="Times New Roman" w:cs="Times New Roman"/>
          <w:bCs/>
          <w:sz w:val="24"/>
          <w:szCs w:val="24"/>
        </w:rPr>
        <w:t>studies (RBCs, WBCs, DLC, Hb, PCV, MCV, MCH, and MCHC). The remaining blood was utilized for plasma separation and biochemical examination.</w:t>
      </w:r>
      <w:r w:rsidRPr="00BE7FF4">
        <w:rPr>
          <w:rFonts w:ascii="Times New Roman" w:hAnsi="Times New Roman" w:cs="Times New Roman"/>
          <w:sz w:val="24"/>
          <w:szCs w:val="24"/>
        </w:rPr>
        <w:t xml:space="preserve"> </w:t>
      </w:r>
    </w:p>
    <w:p w14:paraId="03592832" w14:textId="77777777" w:rsidR="00BE7FF4" w:rsidRPr="00BE7FF4" w:rsidRDefault="00BE7FF4" w:rsidP="00312558">
      <w:pPr>
        <w:numPr>
          <w:ilvl w:val="0"/>
          <w:numId w:val="10"/>
        </w:numPr>
        <w:ind w:left="360"/>
        <w:jc w:val="both"/>
        <w:rPr>
          <w:rFonts w:ascii="Times New Roman" w:hAnsi="Times New Roman" w:cs="Times New Roman"/>
          <w:b/>
          <w:bCs/>
          <w:sz w:val="24"/>
          <w:szCs w:val="24"/>
        </w:rPr>
      </w:pPr>
      <w:commentRangeStart w:id="5"/>
      <w:r w:rsidRPr="00BE7FF4">
        <w:rPr>
          <w:rFonts w:ascii="Times New Roman" w:hAnsi="Times New Roman" w:cs="Times New Roman"/>
          <w:b/>
          <w:bCs/>
          <w:sz w:val="24"/>
          <w:szCs w:val="24"/>
        </w:rPr>
        <w:t xml:space="preserve">Total Erythrocyte Count (TEC) </w:t>
      </w:r>
      <w:commentRangeEnd w:id="5"/>
      <w:r w:rsidR="00E15B3F">
        <w:rPr>
          <w:rStyle w:val="CommentReference"/>
        </w:rPr>
        <w:commentReference w:id="5"/>
      </w:r>
    </w:p>
    <w:p w14:paraId="55A09EFD" w14:textId="77777777" w:rsidR="00312558" w:rsidRPr="00312558" w:rsidRDefault="00312558" w:rsidP="009164AF">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312558">
        <w:rPr>
          <w:rFonts w:ascii="Times New Roman" w:eastAsia="Times New Roman" w:hAnsi="Times New Roman" w:cs="Times New Roman"/>
          <w:kern w:val="0"/>
          <w:sz w:val="24"/>
          <w:szCs w:val="24"/>
          <w:lang w:eastAsia="en-IN" w:bidi="hi-IN"/>
          <w14:ligatures w14:val="none"/>
        </w:rPr>
        <w:t>The RBC diluting fluid used in this procedure consists of 3.88 g NaCl, 2.50 g Na₂SO₄, 2.91 g Na₂HPO₄·12H₂O, 0.25 g KH₂PO₄, 7.60 g formalin (37%), and 0.10 g methyl violet (28), with distilled water added to make a final volume of 1000 ml. For the estimation of Total Erythrocyte Count (TEC), blood is drawn up to the 0.5 mark in an RBC diluting pipette, followed by the diluting fluid up to the 101 mark. The contents are mixed thoroughly by rotating the pipette between the palms for 2 minutes. A clean hemocytometer with a cover slip is used, and a few drops from the pipette are discarded before allowing the diluted blood to enter the counting chamber by capillary action. After a settling period of 5 minutes, red blood cells are counted under a high-power microscope within 5 secondary squares (80 small squares) of the central large square. Cells on the left and lower boundary lines are included, while those on the right and upper boundaries are excluded. The total number of cells counted in these squares is used to calculate TEC using the formula: TEC = N × 10,000 erythrocytes/μl, where N is the number of cells counted.</w:t>
      </w:r>
    </w:p>
    <w:p w14:paraId="62EEDAB5" w14:textId="77777777" w:rsidR="00BE7FF4" w:rsidRPr="00BE7FF4" w:rsidRDefault="00BE7FF4" w:rsidP="00312558">
      <w:pPr>
        <w:numPr>
          <w:ilvl w:val="0"/>
          <w:numId w:val="10"/>
        </w:numPr>
        <w:ind w:left="360"/>
        <w:jc w:val="both"/>
        <w:rPr>
          <w:rFonts w:ascii="Times New Roman" w:hAnsi="Times New Roman" w:cs="Times New Roman"/>
          <w:b/>
          <w:bCs/>
          <w:sz w:val="24"/>
          <w:szCs w:val="24"/>
          <w:lang w:val="x-none"/>
        </w:rPr>
      </w:pPr>
      <w:r w:rsidRPr="00BE7FF4">
        <w:rPr>
          <w:rFonts w:ascii="Times New Roman" w:hAnsi="Times New Roman" w:cs="Times New Roman"/>
          <w:b/>
          <w:bCs/>
          <w:sz w:val="24"/>
          <w:szCs w:val="24"/>
          <w:lang w:val="x-none"/>
        </w:rPr>
        <w:t xml:space="preserve">Total Leukocyte Count </w:t>
      </w:r>
    </w:p>
    <w:p w14:paraId="17D87BF6" w14:textId="147B60D8" w:rsidR="00312558" w:rsidRDefault="00312558" w:rsidP="00BE7FF4">
      <w:pPr>
        <w:jc w:val="both"/>
        <w:rPr>
          <w:rFonts w:ascii="Times New Roman" w:hAnsi="Times New Roman" w:cs="Times New Roman"/>
          <w:iCs/>
          <w:sz w:val="24"/>
          <w:szCs w:val="24"/>
        </w:rPr>
      </w:pPr>
      <w:r w:rsidRPr="00312558">
        <w:rPr>
          <w:rFonts w:ascii="Times New Roman" w:hAnsi="Times New Roman" w:cs="Times New Roman"/>
          <w:sz w:val="24"/>
          <w:szCs w:val="24"/>
        </w:rPr>
        <w:t>The WBC diluting fluid is prepared using 1 ml methylene blue, 3 ml glacial acetic acid, and distilled water to make a total volume of 100 ml. For Total Leukocyte Count (TLC), blood is drawn up to the 0.5 mark in a WBC diluting pipette, and diluting fluid is then added up to the 11 mark. The contents are thoroughly mixed by rotating the pipette between the palms for 2 minutes. The first few drops from the pipette are discarded before loading the hemocytometer chamber. A cover slip is placed on the hemocytometer, and the chamber is filled by gently touching the pipette tip to the junction between the edge of the chamber and the cover slip, allowing diluted blood to enter by capillary action without air bubbles. After allowing 5 minutes for the cells to settle, leukocytes are counted under low power (10X) in the four large corner squares of the hemocytometer. Cells touching the left and lower margins are included, while those on the right and upper margins are excluded. The TLC is calculated using the formula: TLC = N × 50 leukocytes/μl, where N is the total number of cells counted.</w:t>
      </w:r>
    </w:p>
    <w:p w14:paraId="352460FE" w14:textId="77777777" w:rsidR="00BE7FF4" w:rsidRPr="00BE7FF4" w:rsidRDefault="00BE7FF4" w:rsidP="00312558">
      <w:pPr>
        <w:numPr>
          <w:ilvl w:val="0"/>
          <w:numId w:val="10"/>
        </w:numPr>
        <w:ind w:left="360"/>
        <w:jc w:val="both"/>
        <w:rPr>
          <w:rFonts w:ascii="Times New Roman" w:hAnsi="Times New Roman" w:cs="Times New Roman"/>
          <w:sz w:val="24"/>
          <w:szCs w:val="24"/>
          <w:lang w:val="en-US"/>
        </w:rPr>
      </w:pPr>
      <w:r w:rsidRPr="00BE7FF4">
        <w:rPr>
          <w:rFonts w:ascii="Times New Roman" w:hAnsi="Times New Roman" w:cs="Times New Roman"/>
          <w:b/>
          <w:bCs/>
          <w:sz w:val="24"/>
          <w:szCs w:val="24"/>
          <w:lang w:val="en-US"/>
        </w:rPr>
        <w:t xml:space="preserve">Packed Cell Volume (PCV): </w:t>
      </w:r>
    </w:p>
    <w:p w14:paraId="4FA9C23F"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Take the blood sample in the syringe with long needle and insert the needle in hematocrit tube so that it touches the bottom of the tube. Slowly and slowly raise the needle. Simultaneously release blood slowly so that Wintrobe tube gets completely filled to the top without any air bubbles. Then make the level of blood sample upto mark 10 on right side of the Wintrobe tube where calibration is from bottom to top. Put the tube into the centrifuge machine and rotate it at the 3000 rpm for 30 minutes. After centriguagtion we see erythrocyte mass at the bottom called as PCV. A white to grey layer of leucocyte and thrombocyte occurring immediately above the red cell mass called as buffy code and there is plasma. The level at which packed red cells is found is multiplied by 10 which will give the PCV per 100 ml of blood or PCV %.</w:t>
      </w:r>
    </w:p>
    <w:p w14:paraId="3E8DB9C9" w14:textId="77777777" w:rsidR="00BE7FF4" w:rsidRPr="00BE7FF4" w:rsidRDefault="00BE7FF4" w:rsidP="00312558">
      <w:pPr>
        <w:numPr>
          <w:ilvl w:val="0"/>
          <w:numId w:val="10"/>
        </w:numPr>
        <w:ind w:left="360"/>
        <w:jc w:val="both"/>
        <w:rPr>
          <w:rFonts w:ascii="Times New Roman" w:hAnsi="Times New Roman" w:cs="Times New Roman"/>
          <w:b/>
          <w:bCs/>
          <w:sz w:val="24"/>
          <w:szCs w:val="24"/>
        </w:rPr>
      </w:pPr>
      <w:r w:rsidRPr="00BE7FF4">
        <w:rPr>
          <w:rFonts w:ascii="Times New Roman" w:hAnsi="Times New Roman" w:cs="Times New Roman"/>
          <w:b/>
          <w:bCs/>
          <w:sz w:val="24"/>
          <w:szCs w:val="24"/>
        </w:rPr>
        <w:t>Estimation of Haemoglobin</w:t>
      </w:r>
    </w:p>
    <w:p w14:paraId="5E1D381F"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Take 4-5 drops of 0.1 N HCl in graduted tube of Sahils Hemoglobinometer and then add exactly 20 µl (0.02 ml) of blood sample to the hemoglobinometer tube with the help of hemoglobin pipette and mix properly with the help of stirrer. Allow the tube to stand for 10 minutes for formation of acid hematin. Brown colour is developed. Then dilute the hematin solution with distilled water till the colour matchs with glass standards, and read the lower meniscus while taking the readings. This will give Hb concentration as gm per 100 ml of blood or gm% or gm per dl of blood.</w:t>
      </w:r>
    </w:p>
    <w:p w14:paraId="21FEF0E1" w14:textId="77777777" w:rsidR="00BE7FF4" w:rsidRPr="00BE7FF4" w:rsidRDefault="00BE7FF4" w:rsidP="00312558">
      <w:pPr>
        <w:numPr>
          <w:ilvl w:val="0"/>
          <w:numId w:val="10"/>
        </w:numPr>
        <w:ind w:left="360"/>
        <w:jc w:val="both"/>
        <w:rPr>
          <w:rFonts w:ascii="Times New Roman" w:hAnsi="Times New Roman" w:cs="Times New Roman"/>
          <w:b/>
          <w:bCs/>
          <w:sz w:val="24"/>
          <w:szCs w:val="24"/>
        </w:rPr>
      </w:pPr>
      <w:r w:rsidRPr="00BE7FF4">
        <w:rPr>
          <w:rFonts w:ascii="Times New Roman" w:hAnsi="Times New Roman" w:cs="Times New Roman"/>
          <w:b/>
          <w:bCs/>
          <w:sz w:val="24"/>
          <w:szCs w:val="24"/>
        </w:rPr>
        <w:t>Erythrocyte indices</w:t>
      </w:r>
    </w:p>
    <w:p w14:paraId="4C6BA5A1" w14:textId="2A9CB3E0"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 xml:space="preserve">The following erythrocyte indices were </w:t>
      </w:r>
      <w:r w:rsidR="00312558" w:rsidRPr="00BE7FF4">
        <w:rPr>
          <w:rFonts w:ascii="Times New Roman" w:hAnsi="Times New Roman" w:cs="Times New Roman"/>
          <w:sz w:val="24"/>
          <w:szCs w:val="24"/>
        </w:rPr>
        <w:t>calculated: -</w:t>
      </w:r>
    </w:p>
    <w:p w14:paraId="58BDECAD" w14:textId="77777777" w:rsidR="00BE7FF4" w:rsidRPr="00AE2F08" w:rsidRDefault="00BE7FF4" w:rsidP="00AE2F08">
      <w:pPr>
        <w:numPr>
          <w:ilvl w:val="0"/>
          <w:numId w:val="11"/>
        </w:numPr>
        <w:ind w:left="360"/>
        <w:jc w:val="both"/>
        <w:rPr>
          <w:rFonts w:ascii="Times New Roman" w:hAnsi="Times New Roman" w:cs="Times New Roman"/>
          <w:b/>
          <w:bCs/>
          <w:sz w:val="24"/>
          <w:szCs w:val="24"/>
        </w:rPr>
      </w:pPr>
      <w:r w:rsidRPr="00AE2F08">
        <w:rPr>
          <w:rFonts w:ascii="Times New Roman" w:hAnsi="Times New Roman" w:cs="Times New Roman"/>
          <w:b/>
          <w:bCs/>
          <w:sz w:val="24"/>
          <w:szCs w:val="24"/>
        </w:rPr>
        <w:t>Mean corpuscular volume (MCV) in femtolitre (fL)</w:t>
      </w:r>
    </w:p>
    <w:p w14:paraId="5E59D5A4" w14:textId="2EA5C337" w:rsidR="00AE2F08" w:rsidRDefault="00AE2F08" w:rsidP="00BE7FF4">
      <w:pPr>
        <w:jc w:val="both"/>
        <w:rPr>
          <w:rFonts w:ascii="Times New Roman" w:hAnsi="Times New Roman" w:cs="Times New Roman"/>
          <w:sz w:val="24"/>
          <w:szCs w:val="24"/>
        </w:rPr>
      </w:pPr>
      <m:oMathPara>
        <m:oMath>
          <m:r>
            <m:rPr>
              <m:sty m:val="p"/>
            </m:rPr>
            <w:rPr>
              <w:rFonts w:ascii="Cambria Math" w:hAnsi="Cambria Math" w:cs="Times New Roman"/>
              <w:sz w:val="24"/>
              <w:szCs w:val="24"/>
            </w:rPr>
            <m:t>MCV (fL</m:t>
          </m:r>
          <m: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Vol. of RBC in 100 ml of blood (PCV)</m:t>
              </m:r>
            </m:num>
            <m:den>
              <m:r>
                <m:rPr>
                  <m:sty m:val="p"/>
                </m:rPr>
                <w:rPr>
                  <w:rFonts w:ascii="Cambria Math" w:hAnsi="Cambria Math" w:cs="Times New Roman"/>
                  <w:sz w:val="24"/>
                  <w:szCs w:val="24"/>
                </w:rPr>
                <m:t>No of RBC in 100 ml of blood (Count)</m:t>
              </m:r>
            </m:den>
          </m:f>
        </m:oMath>
      </m:oMathPara>
    </w:p>
    <w:p w14:paraId="223D8FEA" w14:textId="6F71AB76" w:rsidR="00BE7FF4" w:rsidRDefault="00AE2F08" w:rsidP="00AE2F08">
      <w:pPr>
        <w:jc w:val="both"/>
        <w:rPr>
          <w:rFonts w:ascii="Times New Roman" w:hAnsi="Times New Roman" w:cs="Times New Roman"/>
          <w:sz w:val="24"/>
          <w:szCs w:val="24"/>
        </w:rPr>
      </w:pPr>
      <w:r>
        <w:rPr>
          <w:rFonts w:ascii="Times New Roman" w:hAnsi="Times New Roman" w:cs="Times New Roman"/>
          <w:sz w:val="24"/>
          <w:szCs w:val="24"/>
        </w:rPr>
        <w:t>Or</w:t>
      </w:r>
      <w:r w:rsidR="00BE7FF4" w:rsidRPr="00BE7FF4">
        <w:rPr>
          <w:rFonts w:ascii="Times New Roman" w:hAnsi="Times New Roman" w:cs="Times New Roman"/>
          <w:sz w:val="24"/>
          <w:szCs w:val="24"/>
        </w:rPr>
        <w:t xml:space="preserve">                              </w:t>
      </w:r>
    </w:p>
    <w:p w14:paraId="2CDFC5B5" w14:textId="76CBBD22" w:rsidR="00AE2F08" w:rsidRDefault="00AE2F08" w:rsidP="00BE7FF4">
      <w:pPr>
        <w:jc w:val="both"/>
        <w:rPr>
          <w:rFonts w:ascii="Times New Roman" w:hAnsi="Times New Roman" w:cs="Times New Roman"/>
          <w:sz w:val="24"/>
          <w:szCs w:val="24"/>
        </w:rPr>
      </w:pPr>
      <m:oMathPara>
        <m:oMath>
          <m:r>
            <m:rPr>
              <m:sty m:val="p"/>
            </m:rPr>
            <w:rPr>
              <w:rFonts w:ascii="Cambria Math" w:hAnsi="Cambria Math" w:cs="Times New Roman"/>
              <w:sz w:val="24"/>
              <w:szCs w:val="24"/>
            </w:rPr>
            <m:t xml:space="preserve">MCV (fL ) </m:t>
          </m:r>
          <m: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 xml:space="preserve">  hct (%)            </m:t>
              </m:r>
            </m:num>
            <m:den>
              <m:r>
                <m:rPr>
                  <m:sty m:val="p"/>
                </m:rPr>
                <w:rPr>
                  <w:rFonts w:ascii="Cambria Math" w:hAnsi="Cambria Math" w:cs="Times New Roman"/>
                  <w:sz w:val="24"/>
                  <w:szCs w:val="24"/>
                </w:rPr>
                <m:t>RBC (Millon/ml)</m:t>
              </m:r>
            </m:den>
          </m:f>
          <m:r>
            <w:rPr>
              <w:rFonts w:ascii="Cambria Math" w:eastAsiaTheme="minorEastAsia" w:hAnsi="Cambria Math" w:cs="Times New Roman"/>
              <w:sz w:val="24"/>
              <w:szCs w:val="24"/>
            </w:rPr>
            <m:t>×10</m:t>
          </m:r>
        </m:oMath>
      </m:oMathPara>
    </w:p>
    <w:p w14:paraId="2EC6CCC4" w14:textId="77777777" w:rsidR="00BE7FF4" w:rsidRDefault="00BE7FF4" w:rsidP="00AE2F08">
      <w:pPr>
        <w:numPr>
          <w:ilvl w:val="0"/>
          <w:numId w:val="11"/>
        </w:numPr>
        <w:ind w:left="270"/>
        <w:jc w:val="both"/>
        <w:rPr>
          <w:rFonts w:ascii="Times New Roman" w:hAnsi="Times New Roman" w:cs="Times New Roman"/>
          <w:b/>
          <w:bCs/>
          <w:sz w:val="24"/>
          <w:szCs w:val="24"/>
        </w:rPr>
      </w:pPr>
      <w:r w:rsidRPr="00AE2F08">
        <w:rPr>
          <w:rFonts w:ascii="Times New Roman" w:hAnsi="Times New Roman" w:cs="Times New Roman"/>
          <w:b/>
          <w:bCs/>
          <w:sz w:val="24"/>
          <w:szCs w:val="24"/>
        </w:rPr>
        <w:t>Mean corpuscular haemoglobin concentration (MCHC) in g/dl</w:t>
      </w:r>
    </w:p>
    <w:p w14:paraId="72A5A4F2" w14:textId="77777777" w:rsidR="00AE2F08" w:rsidRPr="00AE2F08" w:rsidRDefault="00AE2F08" w:rsidP="00AE2F08">
      <w:pPr>
        <w:ind w:left="270"/>
        <w:jc w:val="both"/>
        <w:rPr>
          <w:rFonts w:ascii="Times New Roman" w:hAnsi="Times New Roman" w:cs="Times New Roman"/>
          <w:b/>
          <w:bCs/>
          <w:sz w:val="24"/>
          <w:szCs w:val="24"/>
        </w:rPr>
      </w:pPr>
    </w:p>
    <w:p w14:paraId="246FA72F" w14:textId="77777777" w:rsidR="00AE2F08" w:rsidRDefault="00AE2F08" w:rsidP="00BE7FF4">
      <w:pPr>
        <w:jc w:val="both"/>
        <w:rPr>
          <w:rFonts w:ascii="Times New Roman" w:hAnsi="Times New Roman" w:cs="Times New Roman"/>
          <w:sz w:val="24"/>
          <w:szCs w:val="24"/>
        </w:rPr>
      </w:pPr>
    </w:p>
    <w:p w14:paraId="098BF2A4" w14:textId="138EF560" w:rsidR="00AE2F08" w:rsidRDefault="00AE2F08" w:rsidP="00BE7FF4">
      <w:pPr>
        <w:jc w:val="both"/>
        <w:rPr>
          <w:rFonts w:ascii="Times New Roman" w:hAnsi="Times New Roman" w:cs="Times New Roman"/>
          <w:sz w:val="24"/>
          <w:szCs w:val="24"/>
        </w:rPr>
      </w:pPr>
      <m:oMathPara>
        <m:oMath>
          <m:r>
            <m:rPr>
              <m:sty m:val="p"/>
            </m:rPr>
            <w:rPr>
              <w:rFonts w:ascii="Cambria Math" w:hAnsi="Cambria Math" w:cs="Times New Roman"/>
              <w:sz w:val="24"/>
              <w:szCs w:val="24"/>
            </w:rPr>
            <m:t>MCHC (g/dl</m:t>
          </m:r>
          <m: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Hb (g/dl)</m:t>
              </m:r>
            </m:num>
            <m:den>
              <m:r>
                <m:rPr>
                  <m:sty m:val="p"/>
                </m:rPr>
                <w:rPr>
                  <w:rFonts w:ascii="Cambria Math" w:hAnsi="Cambria Math" w:cs="Times New Roman"/>
                  <w:sz w:val="24"/>
                  <w:szCs w:val="24"/>
                </w:rPr>
                <m:t>RBC (million/ml)</m:t>
              </m:r>
            </m:den>
          </m:f>
          <m:r>
            <w:rPr>
              <w:rFonts w:ascii="Cambria Math" w:hAnsi="Cambria Math" w:cs="Times New Roman"/>
              <w:sz w:val="24"/>
              <w:szCs w:val="24"/>
            </w:rPr>
            <m:t>×10</m:t>
          </m:r>
        </m:oMath>
      </m:oMathPara>
    </w:p>
    <w:p w14:paraId="5D3068F5" w14:textId="77777777" w:rsidR="00AE2F08" w:rsidRDefault="00AE2F08" w:rsidP="00BE7FF4">
      <w:pPr>
        <w:jc w:val="both"/>
        <w:rPr>
          <w:rFonts w:ascii="Times New Roman" w:hAnsi="Times New Roman" w:cs="Times New Roman"/>
          <w:sz w:val="24"/>
          <w:szCs w:val="24"/>
        </w:rPr>
      </w:pPr>
    </w:p>
    <w:p w14:paraId="2DB8C250" w14:textId="2B2CDC91" w:rsidR="00AE2F08" w:rsidRDefault="00AE2F08" w:rsidP="00BE7FF4">
      <w:pPr>
        <w:jc w:val="both"/>
        <w:rPr>
          <w:rFonts w:ascii="Times New Roman" w:hAnsi="Times New Roman" w:cs="Times New Roman"/>
          <w:sz w:val="24"/>
          <w:szCs w:val="24"/>
        </w:rPr>
      </w:pPr>
      <w:r>
        <w:rPr>
          <w:rFonts w:ascii="Times New Roman" w:hAnsi="Times New Roman" w:cs="Times New Roman"/>
          <w:sz w:val="24"/>
          <w:szCs w:val="24"/>
        </w:rPr>
        <w:t>Or</w:t>
      </w:r>
    </w:p>
    <w:p w14:paraId="26AE9912" w14:textId="6CC347DC" w:rsidR="00AE2F08" w:rsidRDefault="00AE2F08" w:rsidP="00BE7FF4">
      <w:pPr>
        <w:jc w:val="both"/>
        <w:rPr>
          <w:rFonts w:ascii="Times New Roman" w:hAnsi="Times New Roman" w:cs="Times New Roman"/>
          <w:sz w:val="24"/>
          <w:szCs w:val="24"/>
        </w:rPr>
      </w:pPr>
      <m:oMathPara>
        <m:oMath>
          <m:r>
            <w:rPr>
              <w:rFonts w:ascii="Cambria Math" w:hAnsi="Cambria Math" w:cs="Times New Roman"/>
              <w:sz w:val="24"/>
              <w:szCs w:val="24"/>
            </w:rPr>
            <m:t>MCHC (g/dl)=</m:t>
          </m:r>
          <m:f>
            <m:fPr>
              <m:ctrlPr>
                <w:rPr>
                  <w:rFonts w:ascii="Cambria Math" w:hAnsi="Cambria Math" w:cs="Times New Roman"/>
                  <w:i/>
                  <w:sz w:val="24"/>
                  <w:szCs w:val="24"/>
                </w:rPr>
              </m:ctrlPr>
            </m:fPr>
            <m:num>
              <m:r>
                <w:rPr>
                  <w:rFonts w:ascii="Cambria Math" w:hAnsi="Cambria Math" w:cs="Times New Roman"/>
                  <w:sz w:val="24"/>
                  <w:szCs w:val="24"/>
                </w:rPr>
                <m:t>Hb 9g/dl</m:t>
              </m:r>
            </m:num>
            <m:den>
              <m:r>
                <w:rPr>
                  <w:rFonts w:ascii="Cambria Math" w:hAnsi="Cambria Math" w:cs="Times New Roman"/>
                  <w:sz w:val="24"/>
                  <w:szCs w:val="24"/>
                </w:rPr>
                <m:t>RBC (Millon/ml)</m:t>
              </m:r>
            </m:den>
          </m:f>
          <m:r>
            <w:rPr>
              <w:rFonts w:ascii="Cambria Math" w:eastAsiaTheme="minorEastAsia" w:hAnsi="Cambria Math" w:cs="Times New Roman"/>
              <w:sz w:val="24"/>
              <w:szCs w:val="24"/>
            </w:rPr>
            <m:t>×10</m:t>
          </m:r>
        </m:oMath>
      </m:oMathPara>
    </w:p>
    <w:p w14:paraId="358C8BC6" w14:textId="77777777" w:rsidR="00BE7FF4" w:rsidRPr="00BE7FF4" w:rsidRDefault="00BE7FF4" w:rsidP="00BE7FF4">
      <w:pPr>
        <w:jc w:val="both"/>
        <w:rPr>
          <w:rFonts w:ascii="Times New Roman" w:hAnsi="Times New Roman" w:cs="Times New Roman"/>
          <w:sz w:val="24"/>
          <w:szCs w:val="24"/>
        </w:rPr>
      </w:pPr>
    </w:p>
    <w:p w14:paraId="6BDB03A4" w14:textId="77777777" w:rsidR="00BE7FF4" w:rsidRPr="00BE7FF4" w:rsidRDefault="00BE7FF4" w:rsidP="009164AF">
      <w:pPr>
        <w:numPr>
          <w:ilvl w:val="0"/>
          <w:numId w:val="5"/>
        </w:numPr>
        <w:ind w:left="360"/>
        <w:jc w:val="both"/>
        <w:rPr>
          <w:rFonts w:ascii="Times New Roman" w:hAnsi="Times New Roman" w:cs="Times New Roman"/>
          <w:b/>
          <w:bCs/>
          <w:sz w:val="24"/>
          <w:szCs w:val="24"/>
        </w:rPr>
      </w:pPr>
      <w:r w:rsidRPr="00BE7FF4">
        <w:rPr>
          <w:rFonts w:ascii="Times New Roman" w:hAnsi="Times New Roman" w:cs="Times New Roman"/>
          <w:b/>
          <w:bCs/>
          <w:sz w:val="24"/>
          <w:szCs w:val="24"/>
        </w:rPr>
        <w:t>Biochemical parameters of Turkey:</w:t>
      </w:r>
      <w:r w:rsidRPr="00BE7FF4">
        <w:rPr>
          <w:rFonts w:ascii="Times New Roman" w:hAnsi="Times New Roman" w:cs="Times New Roman"/>
          <w:b/>
          <w:bCs/>
          <w:sz w:val="24"/>
          <w:szCs w:val="24"/>
        </w:rPr>
        <w:tab/>
      </w:r>
      <w:bookmarkStart w:id="6" w:name="_Hlk123468057"/>
    </w:p>
    <w:bookmarkEnd w:id="6"/>
    <w:p w14:paraId="4C27AD2D" w14:textId="77777777" w:rsidR="00BE7FF4" w:rsidRPr="00BE7FF4" w:rsidRDefault="00BE7FF4" w:rsidP="00BE7FF4">
      <w:pPr>
        <w:jc w:val="both"/>
        <w:rPr>
          <w:rFonts w:ascii="Times New Roman" w:hAnsi="Times New Roman" w:cs="Times New Roman"/>
          <w:b/>
          <w:bCs/>
          <w:sz w:val="24"/>
          <w:szCs w:val="24"/>
        </w:rPr>
      </w:pPr>
      <w:r w:rsidRPr="00BE7FF4">
        <w:rPr>
          <w:rFonts w:ascii="Times New Roman" w:hAnsi="Times New Roman" w:cs="Times New Roman"/>
          <w:sz w:val="24"/>
          <w:szCs w:val="24"/>
        </w:rPr>
        <w:t xml:space="preserve">Serum was isolated from the blood sample collected at 6 and 12 weeks of age from 6 birds each replicate in 2000 rpm for 15 minutes. Following biochemical parameters were recorded. </w:t>
      </w:r>
    </w:p>
    <w:p w14:paraId="292B8844" w14:textId="77777777" w:rsidR="00BE7FF4" w:rsidRPr="00BE7FF4" w:rsidRDefault="00BE7FF4" w:rsidP="009164AF">
      <w:pPr>
        <w:numPr>
          <w:ilvl w:val="0"/>
          <w:numId w:val="12"/>
        </w:numPr>
        <w:ind w:left="270" w:hanging="270"/>
        <w:jc w:val="both"/>
        <w:rPr>
          <w:rFonts w:ascii="Times New Roman" w:hAnsi="Times New Roman" w:cs="Times New Roman"/>
          <w:sz w:val="24"/>
          <w:szCs w:val="24"/>
        </w:rPr>
      </w:pPr>
      <w:r w:rsidRPr="00BE7FF4">
        <w:rPr>
          <w:rFonts w:ascii="Times New Roman" w:hAnsi="Times New Roman" w:cs="Times New Roman"/>
          <w:b/>
          <w:sz w:val="24"/>
          <w:szCs w:val="24"/>
        </w:rPr>
        <w:t>Blood glucose:</w:t>
      </w:r>
      <w:r w:rsidRPr="00BE7FF4">
        <w:rPr>
          <w:rFonts w:ascii="Times New Roman" w:hAnsi="Times New Roman" w:cs="Times New Roman"/>
          <w:sz w:val="24"/>
          <w:szCs w:val="24"/>
        </w:rPr>
        <w:t xml:space="preserve"> </w:t>
      </w:r>
    </w:p>
    <w:p w14:paraId="06176848" w14:textId="77777777" w:rsidR="00BE7FF4" w:rsidRPr="00BE7FF4" w:rsidRDefault="00BE7FF4" w:rsidP="00BE7FF4">
      <w:pPr>
        <w:jc w:val="both"/>
        <w:rPr>
          <w:rFonts w:ascii="Times New Roman" w:hAnsi="Times New Roman" w:cs="Times New Roman"/>
          <w:sz w:val="24"/>
          <w:szCs w:val="24"/>
          <w:lang w:val="x-none"/>
        </w:rPr>
      </w:pPr>
      <w:r w:rsidRPr="00BE7FF4">
        <w:rPr>
          <w:rFonts w:ascii="Times New Roman" w:hAnsi="Times New Roman" w:cs="Times New Roman"/>
          <w:bCs/>
          <w:sz w:val="24"/>
          <w:szCs w:val="24"/>
          <w:lang w:val="x-none"/>
        </w:rPr>
        <w:t>Blood glucose was measured by using Glucose Oxidase (Trinder, 1969) method and the result was expressed as milligram per deciliter (mg/dl). In Trinder’s method, glucose in the sample is oxidized to yield gluconic acid and hydrogen peroxidase in the presence of glucose oxidase.</w:t>
      </w:r>
      <w:r w:rsidRPr="00BE7FF4">
        <w:rPr>
          <w:rFonts w:ascii="Times New Roman" w:hAnsi="Times New Roman" w:cs="Times New Roman"/>
          <w:sz w:val="24"/>
          <w:szCs w:val="24"/>
          <w:lang w:val="x-none"/>
        </w:rPr>
        <w:t xml:space="preserve"> Take 1 ml glucose working reagent and add 0.01 ml of sample in a test tube. Mix well and incubate for 15 minutes at 37</w:t>
      </w:r>
      <w:r w:rsidRPr="00BE7FF4">
        <w:rPr>
          <w:rFonts w:ascii="Times New Roman" w:hAnsi="Times New Roman" w:cs="Times New Roman"/>
          <w:sz w:val="24"/>
          <w:szCs w:val="24"/>
          <w:vertAlign w:val="superscript"/>
          <w:lang w:val="x-none"/>
        </w:rPr>
        <w:t>0</w:t>
      </w:r>
      <w:r w:rsidRPr="00BE7FF4">
        <w:rPr>
          <w:rFonts w:ascii="Times New Roman" w:hAnsi="Times New Roman" w:cs="Times New Roman"/>
          <w:sz w:val="24"/>
          <w:szCs w:val="24"/>
          <w:lang w:val="x-none"/>
        </w:rPr>
        <w:t>C.Read absorbance of the standard and each test at 505 nm against reagent blank. Glucose was calculated by the following formula:</w:t>
      </w:r>
    </w:p>
    <w:p w14:paraId="1B5B7DA1" w14:textId="61F2B979" w:rsidR="00BE7FF4" w:rsidRDefault="009164AF" w:rsidP="009164AF">
      <w:pPr>
        <w:jc w:val="center"/>
        <w:rPr>
          <w:rFonts w:ascii="Times New Roman" w:hAnsi="Times New Roman" w:cs="Times New Roman"/>
          <w:sz w:val="24"/>
          <w:szCs w:val="24"/>
        </w:rPr>
      </w:pPr>
      <m:oMath>
        <m:r>
          <m:rPr>
            <m:sty m:val="p"/>
          </m:rPr>
          <w:rPr>
            <w:rFonts w:ascii="Cambria Math" w:hAnsi="Cambria Math" w:cs="Times New Roman"/>
            <w:sz w:val="24"/>
            <w:szCs w:val="24"/>
          </w:rPr>
          <m:t>Glucose (mg/dl)</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Absorbance of Test</m:t>
            </m:r>
          </m:num>
          <m:den>
            <m:r>
              <w:rPr>
                <w:rFonts w:ascii="Cambria Math" w:hAnsi="Cambria Math" w:cs="Times New Roman"/>
                <w:sz w:val="24"/>
                <w:szCs w:val="24"/>
              </w:rPr>
              <m:t>Absorbance of Standard</m:t>
            </m:r>
          </m:den>
        </m:f>
        <m:r>
          <w:rPr>
            <w:rFonts w:ascii="Cambria Math" w:hAnsi="Cambria Math" w:cs="Times New Roman"/>
            <w:sz w:val="24"/>
            <w:szCs w:val="24"/>
          </w:rPr>
          <m:t>×</m:t>
        </m:r>
      </m:oMath>
      <w:r w:rsidRPr="009164AF">
        <w:rPr>
          <w:rFonts w:ascii="Times New Roman" w:hAnsi="Times New Roman" w:cs="Times New Roman"/>
          <w:sz w:val="24"/>
          <w:szCs w:val="24"/>
        </w:rPr>
        <w:t xml:space="preserve"> </w:t>
      </w:r>
      <w:r w:rsidRPr="00BE7FF4">
        <w:rPr>
          <w:rFonts w:ascii="Times New Roman" w:hAnsi="Times New Roman" w:cs="Times New Roman"/>
          <w:sz w:val="24"/>
          <w:szCs w:val="24"/>
        </w:rPr>
        <w:t>Concentration of Standard (mg/dl)</w:t>
      </w:r>
    </w:p>
    <w:p w14:paraId="1FEF45A8" w14:textId="77777777" w:rsidR="00BE7FF4" w:rsidRPr="00BE7FF4" w:rsidRDefault="00BE7FF4" w:rsidP="009164AF">
      <w:pPr>
        <w:numPr>
          <w:ilvl w:val="0"/>
          <w:numId w:val="12"/>
        </w:numPr>
        <w:ind w:left="360"/>
        <w:jc w:val="both"/>
        <w:rPr>
          <w:rFonts w:ascii="Times New Roman" w:hAnsi="Times New Roman" w:cs="Times New Roman"/>
          <w:b/>
          <w:bCs/>
          <w:sz w:val="24"/>
          <w:szCs w:val="24"/>
          <w:lang w:val="x-none"/>
        </w:rPr>
      </w:pPr>
      <w:r w:rsidRPr="00BE7FF4">
        <w:rPr>
          <w:rFonts w:ascii="Times New Roman" w:hAnsi="Times New Roman" w:cs="Times New Roman"/>
          <w:b/>
          <w:bCs/>
          <w:sz w:val="24"/>
          <w:szCs w:val="24"/>
          <w:lang w:val="x-none"/>
        </w:rPr>
        <w:t>Total Protein:</w:t>
      </w:r>
    </w:p>
    <w:p w14:paraId="1898F202" w14:textId="77777777" w:rsidR="009164AF" w:rsidRPr="009164AF" w:rsidRDefault="009164AF" w:rsidP="009164AF">
      <w:pPr>
        <w:jc w:val="both"/>
        <w:rPr>
          <w:rFonts w:ascii="Times New Roman" w:hAnsi="Times New Roman" w:cs="Times New Roman"/>
        </w:rPr>
      </w:pPr>
      <w:r w:rsidRPr="009164AF">
        <w:rPr>
          <w:rFonts w:ascii="Times New Roman" w:hAnsi="Times New Roman" w:cs="Times New Roman"/>
        </w:rPr>
        <w:t>In this study, the Erba Mannheim LiquiXX Total Protein Biuret Method, an end-point diagnostic reagent kit, was employed for the in vitro quantitative estimation of total protein in broiler serum. The procedure involved pipetting 1000 µl of the working reagent into three separate tubes labeled Blank, Standard, and Test. To the Blank tube, 20 µl of distilled water was added; to the Standard tube, 20 µl of protein standard; and to the Test tube, 20 µl of serum sample. The contents of each tube were mixed thoroughly and incubated at 37°C for 10 minutes. Following incubation, the absorbance of the Standard and Test solutions was measured at 546 nm using the reagent blank as reference. This colorimetric method allowed for precise quantification of total protein based on the biuret reaction.</w:t>
      </w:r>
    </w:p>
    <w:p w14:paraId="1666528D" w14:textId="3D26E7D7" w:rsidR="00BE7FF4" w:rsidRPr="00BE7FF4" w:rsidRDefault="00BE7FF4" w:rsidP="009164AF">
      <w:pPr>
        <w:jc w:val="both"/>
        <w:rPr>
          <w:rFonts w:ascii="Times New Roman" w:hAnsi="Times New Roman" w:cs="Times New Roman"/>
          <w:bCs/>
          <w:sz w:val="24"/>
          <w:szCs w:val="24"/>
        </w:rPr>
      </w:pPr>
      <w:r w:rsidRPr="00BE7FF4">
        <w:rPr>
          <w:rFonts w:ascii="Times New Roman" w:hAnsi="Times New Roman" w:cs="Times New Roman"/>
          <w:bCs/>
          <w:sz w:val="24"/>
          <w:szCs w:val="24"/>
        </w:rPr>
        <w:t xml:space="preserve">                                     </w:t>
      </w:r>
    </w:p>
    <w:p w14:paraId="6E79B639" w14:textId="612B9906" w:rsidR="00BE7FF4" w:rsidRDefault="009164AF" w:rsidP="00BE7FF4">
      <w:pPr>
        <w:jc w:val="both"/>
        <w:rPr>
          <w:rFonts w:ascii="Times New Roman" w:hAnsi="Times New Roman" w:cs="Times New Roman"/>
          <w:sz w:val="24"/>
          <w:szCs w:val="24"/>
        </w:rPr>
      </w:pPr>
      <m:oMath>
        <m:r>
          <m:rPr>
            <m:sty m:val="p"/>
          </m:rPr>
          <w:rPr>
            <w:rFonts w:ascii="Cambria Math" w:hAnsi="Cambria Math" w:cs="Times New Roman"/>
            <w:sz w:val="24"/>
            <w:szCs w:val="24"/>
          </w:rPr>
          <m:t xml:space="preserve">Total protein (g/dL) = </m:t>
        </m:r>
        <m:f>
          <m:fPr>
            <m:ctrlPr>
              <w:rPr>
                <w:rFonts w:ascii="Cambria Math" w:hAnsi="Cambria Math" w:cs="Times New Roman"/>
                <w:i/>
                <w:sz w:val="24"/>
                <w:szCs w:val="24"/>
              </w:rPr>
            </m:ctrlPr>
          </m:fPr>
          <m:num>
            <m:r>
              <m:rPr>
                <m:sty m:val="p"/>
              </m:rPr>
              <w:rPr>
                <w:rFonts w:ascii="Cambria Math" w:hAnsi="Cambria Math" w:cs="Times New Roman"/>
                <w:sz w:val="24"/>
                <w:szCs w:val="24"/>
              </w:rPr>
              <m:t xml:space="preserve">Absorbance of test </m:t>
            </m:r>
          </m:num>
          <m:den>
            <m:r>
              <m:rPr>
                <m:sty m:val="p"/>
              </m:rPr>
              <w:rPr>
                <w:rFonts w:ascii="Cambria Math" w:hAnsi="Cambria Math" w:cs="Times New Roman"/>
                <w:sz w:val="24"/>
                <w:szCs w:val="24"/>
              </w:rPr>
              <m:t xml:space="preserve">Absorbance of standard              </m:t>
            </m:r>
          </m:den>
        </m:f>
        <m:r>
          <w:rPr>
            <w:rFonts w:ascii="Cambria Math" w:hAnsi="Cambria Math" w:cs="Times New Roman"/>
            <w:sz w:val="24"/>
            <w:szCs w:val="24"/>
          </w:rPr>
          <m:t>×</m:t>
        </m:r>
      </m:oMath>
      <w:r>
        <w:rPr>
          <w:rFonts w:ascii="Times New Roman" w:eastAsiaTheme="minorEastAsia" w:hAnsi="Times New Roman" w:cs="Times New Roman"/>
          <w:sz w:val="24"/>
          <w:szCs w:val="24"/>
        </w:rPr>
        <w:t xml:space="preserve"> </w:t>
      </w:r>
      <w:r w:rsidRPr="00BE7FF4">
        <w:rPr>
          <w:rFonts w:ascii="Times New Roman" w:hAnsi="Times New Roman" w:cs="Times New Roman"/>
          <w:bCs/>
          <w:sz w:val="24"/>
          <w:szCs w:val="24"/>
        </w:rPr>
        <w:t xml:space="preserve">Concentration of standard (g/dL)     </w:t>
      </w:r>
    </w:p>
    <w:p w14:paraId="4E50A217" w14:textId="77777777" w:rsidR="00BE7FF4" w:rsidRPr="00BE7FF4" w:rsidRDefault="00BE7FF4" w:rsidP="00BE7FF4">
      <w:pPr>
        <w:numPr>
          <w:ilvl w:val="0"/>
          <w:numId w:val="12"/>
        </w:numPr>
        <w:jc w:val="both"/>
        <w:rPr>
          <w:rFonts w:ascii="Times New Roman" w:hAnsi="Times New Roman" w:cs="Times New Roman"/>
          <w:sz w:val="24"/>
          <w:szCs w:val="24"/>
        </w:rPr>
      </w:pPr>
      <w:r w:rsidRPr="00BE7FF4">
        <w:rPr>
          <w:rFonts w:ascii="Times New Roman" w:hAnsi="Times New Roman" w:cs="Times New Roman"/>
          <w:b/>
          <w:sz w:val="24"/>
          <w:szCs w:val="24"/>
        </w:rPr>
        <w:t xml:space="preserve">Alanine Transaminase (ALT): </w:t>
      </w:r>
    </w:p>
    <w:p w14:paraId="06673017" w14:textId="70D3C584" w:rsid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SGPT/ALT was estimated by 2, 4-DNPH (Reitman and Frankel, 1957), using commercial kit (Span Diagnostics Ltd., India)</w:t>
      </w:r>
      <w:r w:rsidR="009164AF">
        <w:rPr>
          <w:rFonts w:ascii="Times New Roman" w:hAnsi="Times New Roman" w:cs="Times New Roman"/>
          <w:sz w:val="24"/>
          <w:szCs w:val="24"/>
        </w:rPr>
        <w:t xml:space="preserve"> (Table 2)</w:t>
      </w:r>
    </w:p>
    <w:p w14:paraId="0F1AEF2E" w14:textId="25DB375E" w:rsidR="009164AF" w:rsidRPr="00BE7FF4" w:rsidRDefault="009164AF" w:rsidP="00BE7FF4">
      <w:pPr>
        <w:jc w:val="both"/>
        <w:rPr>
          <w:rFonts w:ascii="Times New Roman" w:hAnsi="Times New Roman" w:cs="Times New Roman"/>
          <w:b/>
          <w:sz w:val="24"/>
          <w:szCs w:val="24"/>
        </w:rPr>
      </w:pPr>
      <w:commentRangeStart w:id="7"/>
      <w:r w:rsidRPr="009164AF">
        <w:rPr>
          <w:rFonts w:ascii="Times New Roman" w:hAnsi="Times New Roman" w:cs="Times New Roman"/>
          <w:b/>
          <w:bCs/>
          <w:sz w:val="24"/>
          <w:szCs w:val="24"/>
        </w:rPr>
        <w:t>Table 2:</w:t>
      </w:r>
      <w:r>
        <w:rPr>
          <w:rFonts w:ascii="Times New Roman" w:hAnsi="Times New Roman" w:cs="Times New Roman"/>
          <w:sz w:val="24"/>
          <w:szCs w:val="24"/>
        </w:rPr>
        <w:t xml:space="preserve"> </w:t>
      </w:r>
      <w:r w:rsidRPr="009164AF">
        <w:rPr>
          <w:rFonts w:ascii="Times New Roman" w:hAnsi="Times New Roman" w:cs="Times New Roman"/>
          <w:sz w:val="24"/>
          <w:szCs w:val="24"/>
        </w:rPr>
        <w:t xml:space="preserve"> </w:t>
      </w:r>
      <w:commentRangeEnd w:id="7"/>
      <w:r w:rsidR="00E15B3F">
        <w:rPr>
          <w:rStyle w:val="CommentReference"/>
          <w:rtl/>
        </w:rPr>
        <w:commentReference w:id="7"/>
      </w:r>
      <w:r w:rsidRPr="009164AF">
        <w:rPr>
          <w:rFonts w:ascii="Times New Roman" w:hAnsi="Times New Roman" w:cs="Times New Roman"/>
          <w:sz w:val="24"/>
          <w:szCs w:val="24"/>
        </w:rPr>
        <w:t>Alanine Transaminase (ALT):</w:t>
      </w:r>
    </w:p>
    <w:tbl>
      <w:tblPr>
        <w:tblW w:w="8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2"/>
        <w:gridCol w:w="3422"/>
        <w:gridCol w:w="1049"/>
        <w:gridCol w:w="1128"/>
        <w:gridCol w:w="837"/>
        <w:gridCol w:w="912"/>
      </w:tblGrid>
      <w:tr w:rsidR="00BE7FF4" w:rsidRPr="00BE7FF4" w14:paraId="626C772E" w14:textId="77777777" w:rsidTr="00BB28A2">
        <w:trPr>
          <w:trHeight w:val="18"/>
          <w:jc w:val="center"/>
        </w:trPr>
        <w:tc>
          <w:tcPr>
            <w:tcW w:w="702" w:type="dxa"/>
            <w:vAlign w:val="center"/>
          </w:tcPr>
          <w:p w14:paraId="59A10DB3" w14:textId="02B564B6"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sz w:val="24"/>
                <w:szCs w:val="24"/>
                <w:lang w:val="en-US"/>
              </w:rPr>
              <w:t xml:space="preserve"> </w:t>
            </w:r>
            <w:r w:rsidRPr="00BE7FF4">
              <w:rPr>
                <w:rFonts w:ascii="Times New Roman" w:hAnsi="Times New Roman" w:cs="Times New Roman"/>
                <w:b/>
                <w:sz w:val="24"/>
                <w:szCs w:val="24"/>
                <w:lang w:val="en-US"/>
              </w:rPr>
              <w:t>S.No.</w:t>
            </w:r>
          </w:p>
        </w:tc>
        <w:tc>
          <w:tcPr>
            <w:tcW w:w="3422" w:type="dxa"/>
            <w:vAlign w:val="center"/>
          </w:tcPr>
          <w:p w14:paraId="12976558"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Pipette into tube marked</w:t>
            </w:r>
          </w:p>
        </w:tc>
        <w:tc>
          <w:tcPr>
            <w:tcW w:w="1049" w:type="dxa"/>
            <w:vAlign w:val="center"/>
          </w:tcPr>
          <w:p w14:paraId="5517A839"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Blank</w:t>
            </w:r>
          </w:p>
        </w:tc>
        <w:tc>
          <w:tcPr>
            <w:tcW w:w="1128" w:type="dxa"/>
            <w:vAlign w:val="center"/>
          </w:tcPr>
          <w:p w14:paraId="079D88F3"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Standard</w:t>
            </w:r>
          </w:p>
        </w:tc>
        <w:tc>
          <w:tcPr>
            <w:tcW w:w="837" w:type="dxa"/>
            <w:vAlign w:val="center"/>
          </w:tcPr>
          <w:p w14:paraId="419B7784"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Test</w:t>
            </w:r>
          </w:p>
        </w:tc>
        <w:tc>
          <w:tcPr>
            <w:tcW w:w="912" w:type="dxa"/>
            <w:vAlign w:val="center"/>
          </w:tcPr>
          <w:p w14:paraId="0444E75C"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Control</w:t>
            </w:r>
          </w:p>
        </w:tc>
      </w:tr>
      <w:tr w:rsidR="00BE7FF4" w:rsidRPr="00BE7FF4" w14:paraId="085D5029" w14:textId="77777777" w:rsidTr="009164AF">
        <w:trPr>
          <w:trHeight w:val="18"/>
          <w:jc w:val="center"/>
        </w:trPr>
        <w:tc>
          <w:tcPr>
            <w:tcW w:w="8050" w:type="dxa"/>
            <w:gridSpan w:val="6"/>
            <w:vAlign w:val="center"/>
          </w:tcPr>
          <w:p w14:paraId="762519D7"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Volume in ml</w:t>
            </w:r>
          </w:p>
        </w:tc>
      </w:tr>
      <w:tr w:rsidR="00BE7FF4" w:rsidRPr="00BE7FF4" w14:paraId="425B511F" w14:textId="77777777" w:rsidTr="00BB28A2">
        <w:trPr>
          <w:trHeight w:val="18"/>
          <w:jc w:val="center"/>
        </w:trPr>
        <w:tc>
          <w:tcPr>
            <w:tcW w:w="702" w:type="dxa"/>
            <w:vAlign w:val="center"/>
          </w:tcPr>
          <w:p w14:paraId="7ED8DC87"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1.</w:t>
            </w:r>
          </w:p>
        </w:tc>
        <w:tc>
          <w:tcPr>
            <w:tcW w:w="3422" w:type="dxa"/>
            <w:vAlign w:val="center"/>
          </w:tcPr>
          <w:p w14:paraId="60912A9E"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Reagent 1</w:t>
            </w:r>
          </w:p>
        </w:tc>
        <w:tc>
          <w:tcPr>
            <w:tcW w:w="1049" w:type="dxa"/>
            <w:vAlign w:val="center"/>
          </w:tcPr>
          <w:p w14:paraId="3C1CC7BD"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1128" w:type="dxa"/>
            <w:vAlign w:val="center"/>
          </w:tcPr>
          <w:p w14:paraId="37277D6B"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837" w:type="dxa"/>
            <w:vAlign w:val="center"/>
          </w:tcPr>
          <w:p w14:paraId="010350F6"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912" w:type="dxa"/>
            <w:vAlign w:val="center"/>
          </w:tcPr>
          <w:p w14:paraId="77458DBC"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r>
      <w:tr w:rsidR="00BE7FF4" w:rsidRPr="00BE7FF4" w14:paraId="764037CC" w14:textId="77777777" w:rsidTr="00BB28A2">
        <w:trPr>
          <w:trHeight w:val="18"/>
          <w:jc w:val="center"/>
        </w:trPr>
        <w:tc>
          <w:tcPr>
            <w:tcW w:w="702" w:type="dxa"/>
            <w:vAlign w:val="center"/>
          </w:tcPr>
          <w:p w14:paraId="4443DFF6"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2.</w:t>
            </w:r>
          </w:p>
        </w:tc>
        <w:tc>
          <w:tcPr>
            <w:tcW w:w="3422" w:type="dxa"/>
            <w:vAlign w:val="center"/>
          </w:tcPr>
          <w:p w14:paraId="7AF3C811"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Serum/Plasma</w:t>
            </w:r>
          </w:p>
        </w:tc>
        <w:tc>
          <w:tcPr>
            <w:tcW w:w="1049" w:type="dxa"/>
            <w:vAlign w:val="center"/>
          </w:tcPr>
          <w:p w14:paraId="754F1CFF"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w:t>
            </w:r>
          </w:p>
        </w:tc>
        <w:tc>
          <w:tcPr>
            <w:tcW w:w="1128" w:type="dxa"/>
            <w:vAlign w:val="center"/>
          </w:tcPr>
          <w:p w14:paraId="77186755"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w:t>
            </w:r>
          </w:p>
        </w:tc>
        <w:tc>
          <w:tcPr>
            <w:tcW w:w="837" w:type="dxa"/>
            <w:vAlign w:val="center"/>
          </w:tcPr>
          <w:p w14:paraId="7E411C17"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0.05</w:t>
            </w:r>
          </w:p>
        </w:tc>
        <w:tc>
          <w:tcPr>
            <w:tcW w:w="912" w:type="dxa"/>
            <w:vAlign w:val="center"/>
          </w:tcPr>
          <w:p w14:paraId="22DF9412"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w:t>
            </w:r>
          </w:p>
        </w:tc>
      </w:tr>
      <w:tr w:rsidR="00BE7FF4" w:rsidRPr="00BE7FF4" w14:paraId="72821549" w14:textId="77777777" w:rsidTr="00BB28A2">
        <w:trPr>
          <w:trHeight w:val="18"/>
          <w:jc w:val="center"/>
        </w:trPr>
        <w:tc>
          <w:tcPr>
            <w:tcW w:w="702" w:type="dxa"/>
            <w:vAlign w:val="center"/>
          </w:tcPr>
          <w:p w14:paraId="18A99555"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3.</w:t>
            </w:r>
          </w:p>
        </w:tc>
        <w:tc>
          <w:tcPr>
            <w:tcW w:w="3422" w:type="dxa"/>
            <w:vAlign w:val="center"/>
          </w:tcPr>
          <w:p w14:paraId="3CD29A0C"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Standard (150 U/L)</w:t>
            </w:r>
          </w:p>
        </w:tc>
        <w:tc>
          <w:tcPr>
            <w:tcW w:w="1049" w:type="dxa"/>
            <w:vAlign w:val="center"/>
          </w:tcPr>
          <w:p w14:paraId="766C92BA"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w:t>
            </w:r>
          </w:p>
        </w:tc>
        <w:tc>
          <w:tcPr>
            <w:tcW w:w="1128" w:type="dxa"/>
            <w:vAlign w:val="center"/>
          </w:tcPr>
          <w:p w14:paraId="3E45D7A4"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0.05</w:t>
            </w:r>
          </w:p>
        </w:tc>
        <w:tc>
          <w:tcPr>
            <w:tcW w:w="837" w:type="dxa"/>
            <w:vAlign w:val="center"/>
          </w:tcPr>
          <w:p w14:paraId="186E81FA"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w:t>
            </w:r>
          </w:p>
        </w:tc>
        <w:tc>
          <w:tcPr>
            <w:tcW w:w="912" w:type="dxa"/>
            <w:vAlign w:val="center"/>
          </w:tcPr>
          <w:p w14:paraId="627D0DAA"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w:t>
            </w:r>
          </w:p>
        </w:tc>
      </w:tr>
      <w:tr w:rsidR="00BE7FF4" w:rsidRPr="00BE7FF4" w14:paraId="1C4C6179" w14:textId="77777777" w:rsidTr="009164AF">
        <w:trPr>
          <w:trHeight w:val="18"/>
          <w:jc w:val="center"/>
        </w:trPr>
        <w:tc>
          <w:tcPr>
            <w:tcW w:w="8050" w:type="dxa"/>
            <w:gridSpan w:val="6"/>
            <w:vAlign w:val="center"/>
          </w:tcPr>
          <w:p w14:paraId="03778C42"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Mixed well and incubated at 37˚C for 60 minutes</w:t>
            </w:r>
          </w:p>
        </w:tc>
      </w:tr>
      <w:tr w:rsidR="00BE7FF4" w:rsidRPr="00BE7FF4" w14:paraId="33245461" w14:textId="77777777" w:rsidTr="00BB28A2">
        <w:trPr>
          <w:trHeight w:val="18"/>
          <w:jc w:val="center"/>
        </w:trPr>
        <w:tc>
          <w:tcPr>
            <w:tcW w:w="702" w:type="dxa"/>
            <w:vAlign w:val="center"/>
          </w:tcPr>
          <w:p w14:paraId="394419DA"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5.</w:t>
            </w:r>
          </w:p>
        </w:tc>
        <w:tc>
          <w:tcPr>
            <w:tcW w:w="3422" w:type="dxa"/>
            <w:vAlign w:val="center"/>
          </w:tcPr>
          <w:p w14:paraId="04A09132"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Reagent 2</w:t>
            </w:r>
          </w:p>
        </w:tc>
        <w:tc>
          <w:tcPr>
            <w:tcW w:w="1049" w:type="dxa"/>
            <w:vAlign w:val="center"/>
          </w:tcPr>
          <w:p w14:paraId="1EEEEC34"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1128" w:type="dxa"/>
            <w:vAlign w:val="center"/>
          </w:tcPr>
          <w:p w14:paraId="4EE853D7"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837" w:type="dxa"/>
            <w:vAlign w:val="center"/>
          </w:tcPr>
          <w:p w14:paraId="41E54DDA"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912" w:type="dxa"/>
            <w:vAlign w:val="center"/>
          </w:tcPr>
          <w:p w14:paraId="14E86982"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r>
      <w:tr w:rsidR="00BE7FF4" w:rsidRPr="00BE7FF4" w14:paraId="134F8B5A" w14:textId="77777777" w:rsidTr="00BB28A2">
        <w:trPr>
          <w:trHeight w:val="18"/>
          <w:jc w:val="center"/>
        </w:trPr>
        <w:tc>
          <w:tcPr>
            <w:tcW w:w="702" w:type="dxa"/>
            <w:vAlign w:val="center"/>
          </w:tcPr>
          <w:p w14:paraId="13C5D0E7"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6.</w:t>
            </w:r>
          </w:p>
        </w:tc>
        <w:tc>
          <w:tcPr>
            <w:tcW w:w="3422" w:type="dxa"/>
            <w:vAlign w:val="center"/>
          </w:tcPr>
          <w:p w14:paraId="26EBE238"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Deionised water</w:t>
            </w:r>
          </w:p>
        </w:tc>
        <w:tc>
          <w:tcPr>
            <w:tcW w:w="1049" w:type="dxa"/>
            <w:vAlign w:val="center"/>
          </w:tcPr>
          <w:p w14:paraId="42524FF1"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0.05</w:t>
            </w:r>
          </w:p>
        </w:tc>
        <w:tc>
          <w:tcPr>
            <w:tcW w:w="1128" w:type="dxa"/>
            <w:vAlign w:val="center"/>
          </w:tcPr>
          <w:p w14:paraId="6AD1A2F8"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w:t>
            </w:r>
          </w:p>
        </w:tc>
        <w:tc>
          <w:tcPr>
            <w:tcW w:w="837" w:type="dxa"/>
            <w:vAlign w:val="center"/>
          </w:tcPr>
          <w:p w14:paraId="0765FCCF"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w:t>
            </w:r>
          </w:p>
        </w:tc>
        <w:tc>
          <w:tcPr>
            <w:tcW w:w="912" w:type="dxa"/>
            <w:vAlign w:val="center"/>
          </w:tcPr>
          <w:p w14:paraId="6EA03649"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w:t>
            </w:r>
          </w:p>
        </w:tc>
      </w:tr>
      <w:tr w:rsidR="00BE7FF4" w:rsidRPr="00BE7FF4" w14:paraId="3D3E7D2F" w14:textId="77777777" w:rsidTr="00BB28A2">
        <w:trPr>
          <w:trHeight w:val="18"/>
          <w:jc w:val="center"/>
        </w:trPr>
        <w:tc>
          <w:tcPr>
            <w:tcW w:w="702" w:type="dxa"/>
            <w:vAlign w:val="center"/>
          </w:tcPr>
          <w:p w14:paraId="6DA1C6D9"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7.</w:t>
            </w:r>
          </w:p>
        </w:tc>
        <w:tc>
          <w:tcPr>
            <w:tcW w:w="3422" w:type="dxa"/>
            <w:vAlign w:val="center"/>
          </w:tcPr>
          <w:p w14:paraId="725653C9"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Serum/Plasma</w:t>
            </w:r>
          </w:p>
        </w:tc>
        <w:tc>
          <w:tcPr>
            <w:tcW w:w="1049" w:type="dxa"/>
            <w:vAlign w:val="center"/>
          </w:tcPr>
          <w:p w14:paraId="74D94804"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w:t>
            </w:r>
          </w:p>
        </w:tc>
        <w:tc>
          <w:tcPr>
            <w:tcW w:w="1128" w:type="dxa"/>
            <w:vAlign w:val="center"/>
          </w:tcPr>
          <w:p w14:paraId="4EACC759"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w:t>
            </w:r>
          </w:p>
        </w:tc>
        <w:tc>
          <w:tcPr>
            <w:tcW w:w="837" w:type="dxa"/>
            <w:vAlign w:val="center"/>
          </w:tcPr>
          <w:p w14:paraId="556891F3"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w:t>
            </w:r>
          </w:p>
        </w:tc>
        <w:tc>
          <w:tcPr>
            <w:tcW w:w="912" w:type="dxa"/>
            <w:vAlign w:val="center"/>
          </w:tcPr>
          <w:p w14:paraId="27B3F158"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0.05</w:t>
            </w:r>
          </w:p>
        </w:tc>
      </w:tr>
      <w:tr w:rsidR="00BE7FF4" w:rsidRPr="00BE7FF4" w14:paraId="5EAF51CB" w14:textId="77777777" w:rsidTr="009164AF">
        <w:trPr>
          <w:trHeight w:val="18"/>
          <w:jc w:val="center"/>
        </w:trPr>
        <w:tc>
          <w:tcPr>
            <w:tcW w:w="8050" w:type="dxa"/>
            <w:gridSpan w:val="6"/>
            <w:vAlign w:val="center"/>
          </w:tcPr>
          <w:p w14:paraId="2155411A"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sz w:val="24"/>
                <w:szCs w:val="24"/>
                <w:lang w:val="en-US"/>
              </w:rPr>
              <w:t>Mixed well and standard at room temperature (15 - 30˚C) for 20 minutes</w:t>
            </w:r>
          </w:p>
        </w:tc>
      </w:tr>
      <w:tr w:rsidR="00BE7FF4" w:rsidRPr="00BE7FF4" w14:paraId="04BAB53D" w14:textId="77777777" w:rsidTr="00BB28A2">
        <w:trPr>
          <w:trHeight w:val="18"/>
          <w:jc w:val="center"/>
        </w:trPr>
        <w:tc>
          <w:tcPr>
            <w:tcW w:w="702" w:type="dxa"/>
            <w:vAlign w:val="center"/>
          </w:tcPr>
          <w:p w14:paraId="06E1C04D"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9.</w:t>
            </w:r>
          </w:p>
        </w:tc>
        <w:tc>
          <w:tcPr>
            <w:tcW w:w="3422" w:type="dxa"/>
            <w:vAlign w:val="center"/>
          </w:tcPr>
          <w:p w14:paraId="1D9AFE80"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Solution 1(1ml Reagent 3 +9ml DW</w:t>
            </w:r>
          </w:p>
        </w:tc>
        <w:tc>
          <w:tcPr>
            <w:tcW w:w="1049" w:type="dxa"/>
            <w:vAlign w:val="center"/>
          </w:tcPr>
          <w:p w14:paraId="5E2234A3"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1128" w:type="dxa"/>
            <w:vAlign w:val="center"/>
          </w:tcPr>
          <w:p w14:paraId="614A3DA2"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837" w:type="dxa"/>
            <w:vAlign w:val="center"/>
          </w:tcPr>
          <w:p w14:paraId="782B69AF"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912" w:type="dxa"/>
            <w:vAlign w:val="center"/>
          </w:tcPr>
          <w:p w14:paraId="348245C0"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r>
      <w:tr w:rsidR="00BE7FF4" w:rsidRPr="00BE7FF4" w14:paraId="34B9131F" w14:textId="77777777" w:rsidTr="00BB28A2">
        <w:trPr>
          <w:trHeight w:val="18"/>
          <w:jc w:val="center"/>
        </w:trPr>
        <w:tc>
          <w:tcPr>
            <w:tcW w:w="702" w:type="dxa"/>
            <w:vAlign w:val="center"/>
          </w:tcPr>
          <w:p w14:paraId="09C79A83"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10.</w:t>
            </w:r>
          </w:p>
        </w:tc>
        <w:tc>
          <w:tcPr>
            <w:tcW w:w="7348" w:type="dxa"/>
            <w:gridSpan w:val="5"/>
            <w:vAlign w:val="center"/>
          </w:tcPr>
          <w:p w14:paraId="497F53A7"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Mixed well and read the O.D. against purified water in a photometer at  505 nm, within 15 minutes</w:t>
            </w:r>
          </w:p>
        </w:tc>
      </w:tr>
    </w:tbl>
    <w:p w14:paraId="3B1F63DB" w14:textId="77777777" w:rsidR="00BE7FF4" w:rsidRPr="00BE7FF4" w:rsidRDefault="00BE7FF4" w:rsidP="00BE7FF4">
      <w:pPr>
        <w:jc w:val="both"/>
        <w:rPr>
          <w:rFonts w:ascii="Times New Roman" w:hAnsi="Times New Roman" w:cs="Times New Roman"/>
          <w:sz w:val="24"/>
          <w:szCs w:val="24"/>
          <w:lang w:val="en-US"/>
        </w:rPr>
      </w:pPr>
    </w:p>
    <w:p w14:paraId="3E4688FF"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noProof/>
          <w:sz w:val="24"/>
          <w:szCs w:val="24"/>
          <w:lang w:val="en-US"/>
        </w:rPr>
        <w:drawing>
          <wp:inline distT="0" distB="0" distL="0" distR="0" wp14:anchorId="7A7F67EC" wp14:editId="04C2B6A8">
            <wp:extent cx="5676900" cy="373380"/>
            <wp:effectExtent l="0" t="0" r="0" b="7620"/>
            <wp:docPr id="14667592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900" cy="373380"/>
                    </a:xfrm>
                    <a:prstGeom prst="rect">
                      <a:avLst/>
                    </a:prstGeom>
                    <a:noFill/>
                    <a:ln>
                      <a:noFill/>
                    </a:ln>
                  </pic:spPr>
                </pic:pic>
              </a:graphicData>
            </a:graphic>
          </wp:inline>
        </w:drawing>
      </w:r>
    </w:p>
    <w:p w14:paraId="33028092" w14:textId="77777777" w:rsidR="00BE7FF4" w:rsidRPr="00BE7FF4" w:rsidRDefault="00BE7FF4" w:rsidP="00BE7FF4">
      <w:pPr>
        <w:jc w:val="both"/>
        <w:rPr>
          <w:rFonts w:ascii="Times New Roman" w:hAnsi="Times New Roman" w:cs="Times New Roman"/>
          <w:sz w:val="24"/>
          <w:szCs w:val="24"/>
        </w:rPr>
      </w:pPr>
    </w:p>
    <w:p w14:paraId="020B2407" w14:textId="77777777" w:rsidR="00BE7FF4" w:rsidRPr="00BE7FF4" w:rsidRDefault="00BE7FF4" w:rsidP="00BE7FF4">
      <w:pPr>
        <w:numPr>
          <w:ilvl w:val="0"/>
          <w:numId w:val="12"/>
        </w:numPr>
        <w:jc w:val="both"/>
        <w:rPr>
          <w:rFonts w:ascii="Times New Roman" w:hAnsi="Times New Roman" w:cs="Times New Roman"/>
          <w:sz w:val="24"/>
          <w:szCs w:val="24"/>
        </w:rPr>
      </w:pPr>
      <w:r w:rsidRPr="00BE7FF4">
        <w:rPr>
          <w:rFonts w:ascii="Times New Roman" w:hAnsi="Times New Roman" w:cs="Times New Roman"/>
          <w:b/>
          <w:sz w:val="24"/>
          <w:szCs w:val="24"/>
        </w:rPr>
        <w:t>Aspartate Transaminase (AST):</w:t>
      </w:r>
    </w:p>
    <w:p w14:paraId="0071E2DC" w14:textId="49F17CF4" w:rsid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SGOT/AST was estimated by 2, 4-DNPH (Reitman and Frankel, 1957), using commercial kit (Span Diagnostics Ltd., India)</w:t>
      </w:r>
      <w:r w:rsidR="009164AF">
        <w:rPr>
          <w:rFonts w:ascii="Times New Roman" w:hAnsi="Times New Roman" w:cs="Times New Roman"/>
          <w:sz w:val="24"/>
          <w:szCs w:val="24"/>
        </w:rPr>
        <w:t xml:space="preserve"> (Table 3)</w:t>
      </w:r>
    </w:p>
    <w:p w14:paraId="079CFDBB" w14:textId="6F887763" w:rsidR="009164AF" w:rsidRPr="00BE7FF4" w:rsidRDefault="009164AF" w:rsidP="00BE7FF4">
      <w:pPr>
        <w:jc w:val="both"/>
        <w:rPr>
          <w:rFonts w:ascii="Times New Roman" w:hAnsi="Times New Roman" w:cs="Times New Roman"/>
          <w:sz w:val="24"/>
          <w:szCs w:val="24"/>
        </w:rPr>
      </w:pPr>
      <w:r w:rsidRPr="00AB7594">
        <w:rPr>
          <w:rFonts w:ascii="Times New Roman" w:hAnsi="Times New Roman" w:cs="Times New Roman"/>
          <w:b/>
          <w:bCs/>
          <w:sz w:val="24"/>
          <w:szCs w:val="24"/>
        </w:rPr>
        <w:t>Table 3:</w:t>
      </w:r>
      <w:r>
        <w:rPr>
          <w:rFonts w:ascii="Times New Roman" w:hAnsi="Times New Roman" w:cs="Times New Roman"/>
          <w:sz w:val="24"/>
          <w:szCs w:val="24"/>
        </w:rPr>
        <w:t xml:space="preserve"> </w:t>
      </w:r>
      <w:r w:rsidRPr="009164AF">
        <w:rPr>
          <w:rFonts w:ascii="Times New Roman" w:hAnsi="Times New Roman" w:cs="Times New Roman"/>
          <w:sz w:val="24"/>
          <w:szCs w:val="24"/>
        </w:rPr>
        <w:t>Aspartate Transaminase (AST):</w:t>
      </w:r>
    </w:p>
    <w:tbl>
      <w:tblPr>
        <w:tblW w:w="79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3"/>
        <w:gridCol w:w="3828"/>
        <w:gridCol w:w="720"/>
        <w:gridCol w:w="1080"/>
        <w:gridCol w:w="810"/>
        <w:gridCol w:w="953"/>
      </w:tblGrid>
      <w:tr w:rsidR="00BE7FF4" w:rsidRPr="00BE7FF4" w14:paraId="131A4011" w14:textId="77777777" w:rsidTr="00BB28A2">
        <w:trPr>
          <w:trHeight w:val="19"/>
          <w:jc w:val="center"/>
        </w:trPr>
        <w:tc>
          <w:tcPr>
            <w:tcW w:w="573" w:type="dxa"/>
            <w:vAlign w:val="center"/>
          </w:tcPr>
          <w:p w14:paraId="2C18BBE3"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S.No.</w:t>
            </w:r>
          </w:p>
        </w:tc>
        <w:tc>
          <w:tcPr>
            <w:tcW w:w="3828" w:type="dxa"/>
            <w:vAlign w:val="center"/>
          </w:tcPr>
          <w:p w14:paraId="4BECB326"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Pipette into tube marked</w:t>
            </w:r>
          </w:p>
        </w:tc>
        <w:tc>
          <w:tcPr>
            <w:tcW w:w="720" w:type="dxa"/>
            <w:vAlign w:val="center"/>
          </w:tcPr>
          <w:p w14:paraId="52A18EA2"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Blank</w:t>
            </w:r>
          </w:p>
        </w:tc>
        <w:tc>
          <w:tcPr>
            <w:tcW w:w="1080" w:type="dxa"/>
            <w:vAlign w:val="center"/>
          </w:tcPr>
          <w:p w14:paraId="1AE9CC7F"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Standard</w:t>
            </w:r>
          </w:p>
        </w:tc>
        <w:tc>
          <w:tcPr>
            <w:tcW w:w="810" w:type="dxa"/>
            <w:vAlign w:val="center"/>
          </w:tcPr>
          <w:p w14:paraId="1656F057"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Test</w:t>
            </w:r>
          </w:p>
        </w:tc>
        <w:tc>
          <w:tcPr>
            <w:tcW w:w="953" w:type="dxa"/>
            <w:vAlign w:val="center"/>
          </w:tcPr>
          <w:p w14:paraId="204F0908" w14:textId="77777777" w:rsidR="00BE7FF4" w:rsidRPr="00BE7FF4" w:rsidRDefault="00BE7FF4" w:rsidP="00BE7FF4">
            <w:pPr>
              <w:jc w:val="both"/>
              <w:rPr>
                <w:rFonts w:ascii="Times New Roman" w:hAnsi="Times New Roman" w:cs="Times New Roman"/>
                <w:b/>
                <w:sz w:val="24"/>
                <w:szCs w:val="24"/>
                <w:lang w:val="en-US"/>
              </w:rPr>
            </w:pPr>
            <w:r w:rsidRPr="00BE7FF4">
              <w:rPr>
                <w:rFonts w:ascii="Times New Roman" w:hAnsi="Times New Roman" w:cs="Times New Roman"/>
                <w:b/>
                <w:sz w:val="24"/>
                <w:szCs w:val="24"/>
                <w:lang w:val="en-US"/>
              </w:rPr>
              <w:t>Control</w:t>
            </w:r>
          </w:p>
        </w:tc>
      </w:tr>
      <w:tr w:rsidR="00BE7FF4" w:rsidRPr="00BE7FF4" w14:paraId="537020A4" w14:textId="77777777" w:rsidTr="00BB28A2">
        <w:trPr>
          <w:trHeight w:val="19"/>
          <w:jc w:val="center"/>
        </w:trPr>
        <w:tc>
          <w:tcPr>
            <w:tcW w:w="7964" w:type="dxa"/>
            <w:gridSpan w:val="6"/>
            <w:vAlign w:val="center"/>
          </w:tcPr>
          <w:p w14:paraId="71187C94"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Volume in ml</w:t>
            </w:r>
          </w:p>
        </w:tc>
      </w:tr>
      <w:tr w:rsidR="00BE7FF4" w:rsidRPr="00BE7FF4" w14:paraId="686AE6E5" w14:textId="77777777" w:rsidTr="00BB28A2">
        <w:trPr>
          <w:trHeight w:val="19"/>
          <w:jc w:val="center"/>
        </w:trPr>
        <w:tc>
          <w:tcPr>
            <w:tcW w:w="573" w:type="dxa"/>
            <w:vAlign w:val="center"/>
          </w:tcPr>
          <w:p w14:paraId="0FA11C8E"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1.</w:t>
            </w:r>
          </w:p>
        </w:tc>
        <w:tc>
          <w:tcPr>
            <w:tcW w:w="3828" w:type="dxa"/>
            <w:tcBorders>
              <w:right w:val="single" w:sz="4" w:space="0" w:color="auto"/>
            </w:tcBorders>
            <w:vAlign w:val="center"/>
          </w:tcPr>
          <w:p w14:paraId="32D1396C"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Reagent 1</w:t>
            </w:r>
          </w:p>
        </w:tc>
        <w:tc>
          <w:tcPr>
            <w:tcW w:w="720" w:type="dxa"/>
            <w:tcBorders>
              <w:left w:val="single" w:sz="4" w:space="0" w:color="auto"/>
            </w:tcBorders>
            <w:vAlign w:val="center"/>
          </w:tcPr>
          <w:p w14:paraId="1F94A2CD"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1080" w:type="dxa"/>
            <w:vAlign w:val="center"/>
          </w:tcPr>
          <w:p w14:paraId="24365FA7"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810" w:type="dxa"/>
            <w:tcBorders>
              <w:top w:val="single" w:sz="4" w:space="0" w:color="auto"/>
            </w:tcBorders>
            <w:vAlign w:val="center"/>
          </w:tcPr>
          <w:p w14:paraId="55004097"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953" w:type="dxa"/>
            <w:vAlign w:val="center"/>
          </w:tcPr>
          <w:p w14:paraId="05BAC02B"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r>
      <w:tr w:rsidR="00BE7FF4" w:rsidRPr="00BE7FF4" w14:paraId="7E5FE59C" w14:textId="77777777" w:rsidTr="00BB28A2">
        <w:trPr>
          <w:trHeight w:val="19"/>
          <w:jc w:val="center"/>
        </w:trPr>
        <w:tc>
          <w:tcPr>
            <w:tcW w:w="573" w:type="dxa"/>
            <w:vAlign w:val="center"/>
          </w:tcPr>
          <w:p w14:paraId="6828BEA6"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2.</w:t>
            </w:r>
          </w:p>
        </w:tc>
        <w:tc>
          <w:tcPr>
            <w:tcW w:w="3828" w:type="dxa"/>
            <w:vAlign w:val="center"/>
          </w:tcPr>
          <w:p w14:paraId="7E26CFE0"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Serum/Plasma</w:t>
            </w:r>
          </w:p>
        </w:tc>
        <w:tc>
          <w:tcPr>
            <w:tcW w:w="720" w:type="dxa"/>
            <w:vAlign w:val="center"/>
          </w:tcPr>
          <w:p w14:paraId="3201C1F5"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w:t>
            </w:r>
          </w:p>
        </w:tc>
        <w:tc>
          <w:tcPr>
            <w:tcW w:w="1080" w:type="dxa"/>
            <w:vAlign w:val="center"/>
          </w:tcPr>
          <w:p w14:paraId="087A97F8"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w:t>
            </w:r>
          </w:p>
        </w:tc>
        <w:tc>
          <w:tcPr>
            <w:tcW w:w="810" w:type="dxa"/>
            <w:vAlign w:val="center"/>
          </w:tcPr>
          <w:p w14:paraId="6224AEE7"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0.05</w:t>
            </w:r>
          </w:p>
        </w:tc>
        <w:tc>
          <w:tcPr>
            <w:tcW w:w="953" w:type="dxa"/>
            <w:vAlign w:val="center"/>
          </w:tcPr>
          <w:p w14:paraId="3456BB65"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w:t>
            </w:r>
          </w:p>
        </w:tc>
      </w:tr>
      <w:tr w:rsidR="00BE7FF4" w:rsidRPr="00BE7FF4" w14:paraId="7C0D5D8A" w14:textId="77777777" w:rsidTr="00BB28A2">
        <w:trPr>
          <w:trHeight w:val="19"/>
          <w:jc w:val="center"/>
        </w:trPr>
        <w:tc>
          <w:tcPr>
            <w:tcW w:w="573" w:type="dxa"/>
            <w:vAlign w:val="center"/>
          </w:tcPr>
          <w:p w14:paraId="3FF87C4C"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3.</w:t>
            </w:r>
          </w:p>
        </w:tc>
        <w:tc>
          <w:tcPr>
            <w:tcW w:w="3828" w:type="dxa"/>
            <w:vAlign w:val="center"/>
          </w:tcPr>
          <w:p w14:paraId="3AC5355E"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Standard (114 IU/L)</w:t>
            </w:r>
          </w:p>
        </w:tc>
        <w:tc>
          <w:tcPr>
            <w:tcW w:w="720" w:type="dxa"/>
            <w:vAlign w:val="center"/>
          </w:tcPr>
          <w:p w14:paraId="3A9D351C"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w:t>
            </w:r>
          </w:p>
        </w:tc>
        <w:tc>
          <w:tcPr>
            <w:tcW w:w="1080" w:type="dxa"/>
            <w:vAlign w:val="center"/>
          </w:tcPr>
          <w:p w14:paraId="3C0B4478"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0.05</w:t>
            </w:r>
          </w:p>
        </w:tc>
        <w:tc>
          <w:tcPr>
            <w:tcW w:w="810" w:type="dxa"/>
            <w:vAlign w:val="center"/>
          </w:tcPr>
          <w:p w14:paraId="174E8C82"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w:t>
            </w:r>
          </w:p>
        </w:tc>
        <w:tc>
          <w:tcPr>
            <w:tcW w:w="953" w:type="dxa"/>
            <w:vAlign w:val="center"/>
          </w:tcPr>
          <w:p w14:paraId="3B7113B2"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w:t>
            </w:r>
          </w:p>
        </w:tc>
      </w:tr>
      <w:tr w:rsidR="00BE7FF4" w:rsidRPr="00BE7FF4" w14:paraId="1DE0A986" w14:textId="77777777" w:rsidTr="00BB28A2">
        <w:trPr>
          <w:trHeight w:val="19"/>
          <w:jc w:val="center"/>
        </w:trPr>
        <w:tc>
          <w:tcPr>
            <w:tcW w:w="7964" w:type="dxa"/>
            <w:gridSpan w:val="6"/>
            <w:vAlign w:val="center"/>
          </w:tcPr>
          <w:p w14:paraId="27CA7B15"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Mixed well and incubated at 37˚C for 60 minutes</w:t>
            </w:r>
          </w:p>
        </w:tc>
      </w:tr>
      <w:tr w:rsidR="00BE7FF4" w:rsidRPr="00BE7FF4" w14:paraId="3D2AFBCA" w14:textId="77777777" w:rsidTr="00BB28A2">
        <w:trPr>
          <w:trHeight w:val="19"/>
          <w:jc w:val="center"/>
        </w:trPr>
        <w:tc>
          <w:tcPr>
            <w:tcW w:w="573" w:type="dxa"/>
            <w:vAlign w:val="center"/>
          </w:tcPr>
          <w:p w14:paraId="4ED44BCD"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5.</w:t>
            </w:r>
          </w:p>
        </w:tc>
        <w:tc>
          <w:tcPr>
            <w:tcW w:w="3828" w:type="dxa"/>
            <w:vAlign w:val="center"/>
          </w:tcPr>
          <w:p w14:paraId="416CD44F"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Reagent 2</w:t>
            </w:r>
          </w:p>
        </w:tc>
        <w:tc>
          <w:tcPr>
            <w:tcW w:w="720" w:type="dxa"/>
            <w:vAlign w:val="center"/>
          </w:tcPr>
          <w:p w14:paraId="0719B691"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1080" w:type="dxa"/>
            <w:vAlign w:val="center"/>
          </w:tcPr>
          <w:p w14:paraId="007D8051"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810" w:type="dxa"/>
            <w:vAlign w:val="center"/>
          </w:tcPr>
          <w:p w14:paraId="69B05A45"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953" w:type="dxa"/>
            <w:vAlign w:val="center"/>
          </w:tcPr>
          <w:p w14:paraId="2D8407C6"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r>
      <w:tr w:rsidR="00BE7FF4" w:rsidRPr="00BE7FF4" w14:paraId="7F003618" w14:textId="77777777" w:rsidTr="00BB28A2">
        <w:trPr>
          <w:trHeight w:val="19"/>
          <w:jc w:val="center"/>
        </w:trPr>
        <w:tc>
          <w:tcPr>
            <w:tcW w:w="573" w:type="dxa"/>
            <w:vAlign w:val="center"/>
          </w:tcPr>
          <w:p w14:paraId="350A4B73"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6.</w:t>
            </w:r>
          </w:p>
        </w:tc>
        <w:tc>
          <w:tcPr>
            <w:tcW w:w="3828" w:type="dxa"/>
            <w:vAlign w:val="center"/>
          </w:tcPr>
          <w:p w14:paraId="66FD5729"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Deionized water</w:t>
            </w:r>
          </w:p>
        </w:tc>
        <w:tc>
          <w:tcPr>
            <w:tcW w:w="720" w:type="dxa"/>
            <w:vAlign w:val="center"/>
          </w:tcPr>
          <w:p w14:paraId="2005BEAD"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0.05</w:t>
            </w:r>
          </w:p>
        </w:tc>
        <w:tc>
          <w:tcPr>
            <w:tcW w:w="1080" w:type="dxa"/>
            <w:vAlign w:val="center"/>
          </w:tcPr>
          <w:p w14:paraId="1770B337"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w:t>
            </w:r>
          </w:p>
        </w:tc>
        <w:tc>
          <w:tcPr>
            <w:tcW w:w="810" w:type="dxa"/>
            <w:vAlign w:val="center"/>
          </w:tcPr>
          <w:p w14:paraId="5997F994"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w:t>
            </w:r>
          </w:p>
        </w:tc>
        <w:tc>
          <w:tcPr>
            <w:tcW w:w="953" w:type="dxa"/>
            <w:vAlign w:val="center"/>
          </w:tcPr>
          <w:p w14:paraId="364E903D"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w:t>
            </w:r>
          </w:p>
        </w:tc>
      </w:tr>
      <w:tr w:rsidR="00BE7FF4" w:rsidRPr="00BE7FF4" w14:paraId="1CE65BEB" w14:textId="77777777" w:rsidTr="00BB28A2">
        <w:trPr>
          <w:trHeight w:val="19"/>
          <w:jc w:val="center"/>
        </w:trPr>
        <w:tc>
          <w:tcPr>
            <w:tcW w:w="573" w:type="dxa"/>
            <w:vAlign w:val="center"/>
          </w:tcPr>
          <w:p w14:paraId="462830ED"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7.</w:t>
            </w:r>
          </w:p>
        </w:tc>
        <w:tc>
          <w:tcPr>
            <w:tcW w:w="3828" w:type="dxa"/>
            <w:vAlign w:val="center"/>
          </w:tcPr>
          <w:p w14:paraId="0EE9D7D5"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Serum/Plasma</w:t>
            </w:r>
          </w:p>
        </w:tc>
        <w:tc>
          <w:tcPr>
            <w:tcW w:w="720" w:type="dxa"/>
            <w:vAlign w:val="center"/>
          </w:tcPr>
          <w:p w14:paraId="3C09B0CA"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w:t>
            </w:r>
          </w:p>
        </w:tc>
        <w:tc>
          <w:tcPr>
            <w:tcW w:w="1080" w:type="dxa"/>
            <w:vAlign w:val="center"/>
          </w:tcPr>
          <w:p w14:paraId="5AD007E1"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w:t>
            </w:r>
          </w:p>
        </w:tc>
        <w:tc>
          <w:tcPr>
            <w:tcW w:w="810" w:type="dxa"/>
            <w:vAlign w:val="center"/>
          </w:tcPr>
          <w:p w14:paraId="79CB1C0D"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w:t>
            </w:r>
          </w:p>
        </w:tc>
        <w:tc>
          <w:tcPr>
            <w:tcW w:w="953" w:type="dxa"/>
            <w:vAlign w:val="center"/>
          </w:tcPr>
          <w:p w14:paraId="00000C59"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0.05</w:t>
            </w:r>
          </w:p>
        </w:tc>
      </w:tr>
      <w:tr w:rsidR="00BE7FF4" w:rsidRPr="00BE7FF4" w14:paraId="4406C39F" w14:textId="77777777" w:rsidTr="00BB28A2">
        <w:trPr>
          <w:trHeight w:val="19"/>
          <w:jc w:val="center"/>
        </w:trPr>
        <w:tc>
          <w:tcPr>
            <w:tcW w:w="7964" w:type="dxa"/>
            <w:gridSpan w:val="6"/>
            <w:vAlign w:val="center"/>
          </w:tcPr>
          <w:p w14:paraId="4C6118F1"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Mixed well and standard at room temperature (15 - 30˚C) for 20 minutes</w:t>
            </w:r>
          </w:p>
        </w:tc>
      </w:tr>
      <w:tr w:rsidR="00BE7FF4" w:rsidRPr="00BE7FF4" w14:paraId="5F24CDD8" w14:textId="77777777" w:rsidTr="00BB28A2">
        <w:trPr>
          <w:trHeight w:val="19"/>
          <w:jc w:val="center"/>
        </w:trPr>
        <w:tc>
          <w:tcPr>
            <w:tcW w:w="573" w:type="dxa"/>
            <w:vAlign w:val="center"/>
          </w:tcPr>
          <w:p w14:paraId="528B7E15"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9.</w:t>
            </w:r>
          </w:p>
        </w:tc>
        <w:tc>
          <w:tcPr>
            <w:tcW w:w="3828" w:type="dxa"/>
            <w:vAlign w:val="center"/>
          </w:tcPr>
          <w:p w14:paraId="4C70C4DE"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Solution 1(1ml Reagent 3 + 9ml DW)</w:t>
            </w:r>
          </w:p>
        </w:tc>
        <w:tc>
          <w:tcPr>
            <w:tcW w:w="720" w:type="dxa"/>
            <w:vAlign w:val="center"/>
          </w:tcPr>
          <w:p w14:paraId="1D3D5F4D"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1080" w:type="dxa"/>
            <w:vAlign w:val="center"/>
          </w:tcPr>
          <w:p w14:paraId="567DE0F7"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810" w:type="dxa"/>
            <w:vAlign w:val="center"/>
          </w:tcPr>
          <w:p w14:paraId="362C5553"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c>
          <w:tcPr>
            <w:tcW w:w="953" w:type="dxa"/>
            <w:vAlign w:val="center"/>
          </w:tcPr>
          <w:p w14:paraId="5DD212B7"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0.25</w:t>
            </w:r>
          </w:p>
        </w:tc>
      </w:tr>
      <w:tr w:rsidR="00BE7FF4" w:rsidRPr="00BE7FF4" w14:paraId="07A300DE" w14:textId="77777777" w:rsidTr="00BB28A2">
        <w:trPr>
          <w:trHeight w:val="19"/>
          <w:jc w:val="center"/>
        </w:trPr>
        <w:tc>
          <w:tcPr>
            <w:tcW w:w="7964" w:type="dxa"/>
            <w:gridSpan w:val="6"/>
            <w:vAlign w:val="center"/>
          </w:tcPr>
          <w:p w14:paraId="21F9CFBB" w14:textId="77777777" w:rsidR="00BE7FF4" w:rsidRPr="00BE7FF4" w:rsidRDefault="00BE7FF4" w:rsidP="00BE7FF4">
            <w:pPr>
              <w:jc w:val="both"/>
              <w:rPr>
                <w:rFonts w:ascii="Times New Roman" w:hAnsi="Times New Roman" w:cs="Times New Roman"/>
                <w:sz w:val="24"/>
                <w:szCs w:val="24"/>
                <w:lang w:val="en-US"/>
              </w:rPr>
            </w:pPr>
            <w:r w:rsidRPr="00BE7FF4">
              <w:rPr>
                <w:rFonts w:ascii="Times New Roman" w:hAnsi="Times New Roman" w:cs="Times New Roman"/>
                <w:sz w:val="24"/>
                <w:szCs w:val="24"/>
                <w:lang w:val="en-US"/>
              </w:rPr>
              <w:t>Mix and read the O.D. against purified water in a photometer at 505 nm, within 15 minutes</w:t>
            </w:r>
          </w:p>
        </w:tc>
      </w:tr>
    </w:tbl>
    <w:p w14:paraId="13650683" w14:textId="77777777" w:rsidR="00BE7FF4" w:rsidRPr="00BE7FF4" w:rsidRDefault="00BE7FF4" w:rsidP="00BE7FF4">
      <w:pPr>
        <w:jc w:val="both"/>
        <w:rPr>
          <w:rFonts w:ascii="Times New Roman" w:hAnsi="Times New Roman" w:cs="Times New Roman"/>
          <w:sz w:val="24"/>
          <w:szCs w:val="24"/>
        </w:rPr>
      </w:pPr>
    </w:p>
    <w:p w14:paraId="25B79C78"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noProof/>
          <w:sz w:val="24"/>
          <w:szCs w:val="24"/>
          <w:lang w:val="en-US"/>
        </w:rPr>
        <w:drawing>
          <wp:inline distT="0" distB="0" distL="0" distR="0" wp14:anchorId="3CE6107E" wp14:editId="611373DC">
            <wp:extent cx="5684520" cy="388620"/>
            <wp:effectExtent l="0" t="0" r="0" b="0"/>
            <wp:docPr id="1129844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4520" cy="388620"/>
                    </a:xfrm>
                    <a:prstGeom prst="rect">
                      <a:avLst/>
                    </a:prstGeom>
                    <a:noFill/>
                    <a:ln>
                      <a:noFill/>
                    </a:ln>
                  </pic:spPr>
                </pic:pic>
              </a:graphicData>
            </a:graphic>
          </wp:inline>
        </w:drawing>
      </w:r>
    </w:p>
    <w:p w14:paraId="0FFA6902" w14:textId="77777777" w:rsidR="00BE7FF4" w:rsidRPr="00BE7FF4" w:rsidRDefault="00BE7FF4" w:rsidP="009164AF">
      <w:pPr>
        <w:numPr>
          <w:ilvl w:val="0"/>
          <w:numId w:val="12"/>
        </w:numPr>
        <w:ind w:left="450"/>
        <w:jc w:val="both"/>
        <w:rPr>
          <w:rFonts w:ascii="Times New Roman" w:hAnsi="Times New Roman" w:cs="Times New Roman"/>
          <w:sz w:val="24"/>
          <w:szCs w:val="24"/>
        </w:rPr>
      </w:pPr>
      <w:r w:rsidRPr="00BE7FF4">
        <w:rPr>
          <w:rFonts w:ascii="Times New Roman" w:hAnsi="Times New Roman" w:cs="Times New Roman"/>
          <w:b/>
          <w:sz w:val="24"/>
          <w:szCs w:val="24"/>
        </w:rPr>
        <w:t>Creatinine:</w:t>
      </w:r>
      <w:r w:rsidRPr="00BE7FF4">
        <w:rPr>
          <w:rFonts w:ascii="Times New Roman" w:hAnsi="Times New Roman" w:cs="Times New Roman"/>
          <w:sz w:val="24"/>
          <w:szCs w:val="24"/>
        </w:rPr>
        <w:t xml:space="preserve"> </w:t>
      </w:r>
    </w:p>
    <w:p w14:paraId="149B3B29"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 xml:space="preserve">Creatinine was measured colorimetrically by using Jaffe’s method (Bower, 1980) and the results were expressed as milligram per deciliter (mg/dl). Creatinine reacts with alkaline picrate to produce a Jaffe’s reaction. </w:t>
      </w:r>
      <w:r w:rsidRPr="00BE7FF4">
        <w:rPr>
          <w:rFonts w:ascii="Times New Roman" w:hAnsi="Times New Roman" w:cs="Times New Roman"/>
          <w:bCs/>
          <w:sz w:val="24"/>
          <w:szCs w:val="24"/>
        </w:rPr>
        <w:t>Take 1 ml reagent and add 0.1 ml of sample in a test tube. Mix well and read initial absorbance (A</w:t>
      </w:r>
      <w:r w:rsidRPr="00BE7FF4">
        <w:rPr>
          <w:rFonts w:ascii="Times New Roman" w:hAnsi="Times New Roman" w:cs="Times New Roman"/>
          <w:bCs/>
          <w:sz w:val="24"/>
          <w:szCs w:val="24"/>
          <w:vertAlign w:val="subscript"/>
        </w:rPr>
        <w:t>1</w:t>
      </w:r>
      <w:r w:rsidRPr="00BE7FF4">
        <w:rPr>
          <w:rFonts w:ascii="Times New Roman" w:hAnsi="Times New Roman" w:cs="Times New Roman"/>
          <w:bCs/>
          <w:sz w:val="24"/>
          <w:szCs w:val="24"/>
        </w:rPr>
        <w:t>) 20 seconds after mixing and final absorbance (A</w:t>
      </w:r>
      <w:r w:rsidRPr="00BE7FF4">
        <w:rPr>
          <w:rFonts w:ascii="Times New Roman" w:hAnsi="Times New Roman" w:cs="Times New Roman"/>
          <w:bCs/>
          <w:sz w:val="24"/>
          <w:szCs w:val="24"/>
          <w:vertAlign w:val="subscript"/>
        </w:rPr>
        <w:t>2</w:t>
      </w:r>
      <w:r w:rsidRPr="00BE7FF4">
        <w:rPr>
          <w:rFonts w:ascii="Times New Roman" w:hAnsi="Times New Roman" w:cs="Times New Roman"/>
          <w:bCs/>
          <w:sz w:val="24"/>
          <w:szCs w:val="24"/>
        </w:rPr>
        <w:t xml:space="preserve">) 80 seconds after mixing. </w:t>
      </w:r>
      <w:r w:rsidRPr="00BE7FF4">
        <w:rPr>
          <w:rFonts w:ascii="Times New Roman" w:hAnsi="Times New Roman" w:cs="Times New Roman"/>
          <w:sz w:val="24"/>
          <w:szCs w:val="24"/>
        </w:rPr>
        <w:t xml:space="preserve"> Creatinine </w:t>
      </w:r>
      <w:r w:rsidRPr="00BE7FF4">
        <w:rPr>
          <w:rFonts w:ascii="Times New Roman" w:hAnsi="Times New Roman" w:cs="Times New Roman"/>
          <w:bCs/>
          <w:sz w:val="24"/>
          <w:szCs w:val="24"/>
        </w:rPr>
        <w:t xml:space="preserve">was </w:t>
      </w:r>
      <w:r w:rsidRPr="00BE7FF4">
        <w:rPr>
          <w:rFonts w:ascii="Times New Roman" w:hAnsi="Times New Roman" w:cs="Times New Roman"/>
          <w:sz w:val="24"/>
          <w:szCs w:val="24"/>
        </w:rPr>
        <w:t>calc</w:t>
      </w:r>
      <w:r w:rsidRPr="00BE7FF4">
        <w:rPr>
          <w:rFonts w:ascii="Times New Roman" w:hAnsi="Times New Roman" w:cs="Times New Roman"/>
          <w:bCs/>
          <w:sz w:val="24"/>
          <w:szCs w:val="24"/>
        </w:rPr>
        <w:t>ulated by the following formula:</w:t>
      </w:r>
    </w:p>
    <w:p w14:paraId="539F9E6A" w14:textId="77777777" w:rsidR="009164AF" w:rsidRPr="009164AF" w:rsidRDefault="009164AF" w:rsidP="009164AF">
      <w:pPr>
        <w:jc w:val="both"/>
        <w:rPr>
          <w:rFonts w:ascii="Times New Roman" w:hAnsi="Times New Roman" w:cs="Times New Roman"/>
          <w:bCs/>
          <w:sz w:val="24"/>
          <w:szCs w:val="24"/>
        </w:rPr>
      </w:pPr>
      <w:r w:rsidRPr="009164AF">
        <w:rPr>
          <w:rFonts w:ascii="Times New Roman" w:hAnsi="Times New Roman" w:cs="Times New Roman"/>
          <w:bCs/>
          <w:sz w:val="24"/>
          <w:szCs w:val="24"/>
        </w:rPr>
        <w:t>Creatinine (mg/dl) = (ΔA of Test / ΔA of Standard) × Concentration of Standard (mg/dl)</w:t>
      </w:r>
    </w:p>
    <w:p w14:paraId="1C6E0ADB" w14:textId="77777777" w:rsidR="009164AF" w:rsidRPr="009164AF" w:rsidRDefault="009164AF" w:rsidP="009164AF">
      <w:pPr>
        <w:jc w:val="both"/>
        <w:rPr>
          <w:rFonts w:ascii="Times New Roman" w:hAnsi="Times New Roman" w:cs="Times New Roman"/>
          <w:bCs/>
          <w:sz w:val="24"/>
          <w:szCs w:val="24"/>
        </w:rPr>
      </w:pPr>
      <w:r w:rsidRPr="009164AF">
        <w:rPr>
          <w:rFonts w:ascii="Times New Roman" w:hAnsi="Times New Roman" w:cs="Times New Roman"/>
          <w:bCs/>
          <w:sz w:val="24"/>
          <w:szCs w:val="24"/>
        </w:rPr>
        <w:t>Where:</w:t>
      </w:r>
    </w:p>
    <w:p w14:paraId="44A3442E" w14:textId="77777777" w:rsidR="009164AF" w:rsidRPr="009164AF" w:rsidRDefault="009164AF" w:rsidP="009164AF">
      <w:pPr>
        <w:jc w:val="both"/>
        <w:rPr>
          <w:rFonts w:ascii="Times New Roman" w:hAnsi="Times New Roman" w:cs="Times New Roman"/>
          <w:bCs/>
          <w:sz w:val="24"/>
          <w:szCs w:val="24"/>
        </w:rPr>
      </w:pPr>
      <w:r w:rsidRPr="009164AF">
        <w:rPr>
          <w:rFonts w:ascii="Times New Roman" w:hAnsi="Times New Roman" w:cs="Times New Roman"/>
          <w:bCs/>
          <w:sz w:val="24"/>
          <w:szCs w:val="24"/>
        </w:rPr>
        <w:t>ΔA = A₂ - A₁</w:t>
      </w:r>
    </w:p>
    <w:p w14:paraId="47BF39E5" w14:textId="467B83A2" w:rsidR="009164AF" w:rsidRPr="009164AF" w:rsidRDefault="009164AF" w:rsidP="009164AF">
      <w:pPr>
        <w:jc w:val="both"/>
        <w:rPr>
          <w:rFonts w:ascii="Times New Roman" w:hAnsi="Times New Roman" w:cs="Times New Roman"/>
          <w:bCs/>
          <w:sz w:val="24"/>
          <w:szCs w:val="24"/>
        </w:rPr>
      </w:pPr>
      <w:r w:rsidRPr="009164AF">
        <w:rPr>
          <w:rFonts w:ascii="Times New Roman" w:hAnsi="Times New Roman" w:cs="Times New Roman"/>
          <w:bCs/>
          <w:sz w:val="24"/>
          <w:szCs w:val="24"/>
        </w:rPr>
        <w:t>(A₂ = absorbance after reaction, A₁ = blank or initial absorbance)</w:t>
      </w:r>
    </w:p>
    <w:p w14:paraId="5FF7D794" w14:textId="77777777" w:rsidR="00BE7FF4" w:rsidRPr="00BE7FF4" w:rsidRDefault="00BE7FF4" w:rsidP="009164AF">
      <w:pPr>
        <w:numPr>
          <w:ilvl w:val="0"/>
          <w:numId w:val="12"/>
        </w:numPr>
        <w:ind w:left="270"/>
        <w:jc w:val="both"/>
        <w:rPr>
          <w:rFonts w:ascii="Times New Roman" w:hAnsi="Times New Roman" w:cs="Times New Roman"/>
          <w:sz w:val="24"/>
          <w:szCs w:val="24"/>
        </w:rPr>
      </w:pPr>
      <w:r w:rsidRPr="00BE7FF4">
        <w:rPr>
          <w:rFonts w:ascii="Times New Roman" w:hAnsi="Times New Roman" w:cs="Times New Roman"/>
          <w:b/>
          <w:sz w:val="24"/>
          <w:szCs w:val="24"/>
        </w:rPr>
        <w:t>Blood Urea Nitrogen (BUN):</w:t>
      </w:r>
      <w:r w:rsidRPr="00BE7FF4">
        <w:rPr>
          <w:rFonts w:ascii="Times New Roman" w:hAnsi="Times New Roman" w:cs="Times New Roman"/>
          <w:sz w:val="24"/>
          <w:szCs w:val="24"/>
        </w:rPr>
        <w:t xml:space="preserve"> </w:t>
      </w:r>
    </w:p>
    <w:p w14:paraId="42163124"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 xml:space="preserve">Blood Urea Nitrogen was measured by using Diacetyl Monoxime Method (Karr,1924) and the results were expressed as miligram per deciliter (mg/dl). </w:t>
      </w:r>
      <w:r w:rsidRPr="00BE7FF4">
        <w:rPr>
          <w:rFonts w:ascii="Times New Roman" w:hAnsi="Times New Roman" w:cs="Times New Roman"/>
          <w:bCs/>
          <w:sz w:val="24"/>
          <w:szCs w:val="24"/>
        </w:rPr>
        <w:t>Take 1 ml reagent and add 0.02 ml of sample in a test tube. Mix well and aspirate standard followed by samples. BUN</w:t>
      </w:r>
      <w:r w:rsidRPr="00BE7FF4">
        <w:rPr>
          <w:rFonts w:ascii="Times New Roman" w:hAnsi="Times New Roman" w:cs="Times New Roman"/>
          <w:sz w:val="24"/>
          <w:szCs w:val="24"/>
        </w:rPr>
        <w:t xml:space="preserve"> </w:t>
      </w:r>
      <w:r w:rsidRPr="00BE7FF4">
        <w:rPr>
          <w:rFonts w:ascii="Times New Roman" w:hAnsi="Times New Roman" w:cs="Times New Roman"/>
          <w:bCs/>
          <w:sz w:val="24"/>
          <w:szCs w:val="24"/>
        </w:rPr>
        <w:t xml:space="preserve">was </w:t>
      </w:r>
      <w:r w:rsidRPr="00BE7FF4">
        <w:rPr>
          <w:rFonts w:ascii="Times New Roman" w:hAnsi="Times New Roman" w:cs="Times New Roman"/>
          <w:sz w:val="24"/>
          <w:szCs w:val="24"/>
        </w:rPr>
        <w:t>calc</w:t>
      </w:r>
      <w:r w:rsidRPr="00BE7FF4">
        <w:rPr>
          <w:rFonts w:ascii="Times New Roman" w:hAnsi="Times New Roman" w:cs="Times New Roman"/>
          <w:bCs/>
          <w:sz w:val="24"/>
          <w:szCs w:val="24"/>
        </w:rPr>
        <w:t>ulated by the following formula:</w:t>
      </w:r>
    </w:p>
    <w:p w14:paraId="644488FD" w14:textId="77777777" w:rsidR="009164AF" w:rsidRPr="009164AF" w:rsidRDefault="009164AF" w:rsidP="009164AF">
      <w:pPr>
        <w:jc w:val="both"/>
        <w:rPr>
          <w:rFonts w:ascii="Times New Roman" w:hAnsi="Times New Roman" w:cs="Times New Roman"/>
          <w:sz w:val="20"/>
          <w:szCs w:val="20"/>
          <w:lang w:val="x-none"/>
        </w:rPr>
      </w:pPr>
      <w:r w:rsidRPr="009164AF">
        <w:rPr>
          <w:rFonts w:ascii="Times New Roman" w:hAnsi="Times New Roman" w:cs="Times New Roman"/>
          <w:sz w:val="20"/>
          <w:szCs w:val="20"/>
          <w:lang w:val="x-none"/>
        </w:rPr>
        <w:t>The correctly formatted formula for calculating Blood Urea Nitrogen (BUN) is:</w:t>
      </w:r>
    </w:p>
    <w:p w14:paraId="34483FE8" w14:textId="77777777" w:rsidR="009164AF" w:rsidRPr="009164AF" w:rsidRDefault="009164AF" w:rsidP="009164AF">
      <w:pPr>
        <w:jc w:val="both"/>
        <w:rPr>
          <w:rFonts w:ascii="Times New Roman" w:hAnsi="Times New Roman" w:cs="Times New Roman"/>
          <w:sz w:val="20"/>
          <w:szCs w:val="20"/>
          <w:lang w:val="x-none"/>
        </w:rPr>
      </w:pPr>
    </w:p>
    <w:p w14:paraId="52C873A2" w14:textId="77777777" w:rsidR="009164AF" w:rsidRPr="009164AF" w:rsidRDefault="009164AF" w:rsidP="009164AF">
      <w:pPr>
        <w:jc w:val="both"/>
        <w:rPr>
          <w:rFonts w:ascii="Times New Roman" w:hAnsi="Times New Roman" w:cs="Times New Roman"/>
          <w:sz w:val="20"/>
          <w:szCs w:val="20"/>
          <w:lang w:val="x-none"/>
        </w:rPr>
      </w:pPr>
      <w:r w:rsidRPr="009164AF">
        <w:rPr>
          <w:rFonts w:ascii="Times New Roman" w:hAnsi="Times New Roman" w:cs="Times New Roman"/>
          <w:sz w:val="20"/>
          <w:szCs w:val="20"/>
          <w:lang w:val="x-none"/>
        </w:rPr>
        <w:t>BUN (mg/dl) = (ΔA of Test / ΔA of Standard) × Concentration of Standard (mg/dl)</w:t>
      </w:r>
    </w:p>
    <w:p w14:paraId="6F08EB36" w14:textId="77777777" w:rsidR="009164AF" w:rsidRPr="009164AF" w:rsidRDefault="009164AF" w:rsidP="009164AF">
      <w:pPr>
        <w:jc w:val="both"/>
        <w:rPr>
          <w:rFonts w:ascii="Times New Roman" w:hAnsi="Times New Roman" w:cs="Times New Roman"/>
          <w:sz w:val="20"/>
          <w:szCs w:val="20"/>
          <w:lang w:val="x-none"/>
        </w:rPr>
      </w:pPr>
    </w:p>
    <w:p w14:paraId="44345CE5" w14:textId="77777777" w:rsidR="009164AF" w:rsidRPr="009164AF" w:rsidRDefault="009164AF" w:rsidP="009164AF">
      <w:pPr>
        <w:jc w:val="both"/>
        <w:rPr>
          <w:rFonts w:ascii="Times New Roman" w:hAnsi="Times New Roman" w:cs="Times New Roman"/>
          <w:sz w:val="20"/>
          <w:szCs w:val="20"/>
          <w:lang w:val="x-none"/>
        </w:rPr>
      </w:pPr>
      <w:r w:rsidRPr="009164AF">
        <w:rPr>
          <w:rFonts w:ascii="Times New Roman" w:hAnsi="Times New Roman" w:cs="Times New Roman"/>
          <w:sz w:val="20"/>
          <w:szCs w:val="20"/>
          <w:lang w:val="x-none"/>
        </w:rPr>
        <w:t>Where:</w:t>
      </w:r>
    </w:p>
    <w:p w14:paraId="27DC94C9" w14:textId="77777777" w:rsidR="009164AF" w:rsidRPr="009164AF" w:rsidRDefault="009164AF" w:rsidP="009164AF">
      <w:pPr>
        <w:jc w:val="both"/>
        <w:rPr>
          <w:rFonts w:ascii="Times New Roman" w:hAnsi="Times New Roman" w:cs="Times New Roman"/>
          <w:sz w:val="20"/>
          <w:szCs w:val="20"/>
          <w:lang w:val="x-none"/>
        </w:rPr>
      </w:pPr>
      <w:r w:rsidRPr="009164AF">
        <w:rPr>
          <w:rFonts w:ascii="Times New Roman" w:hAnsi="Times New Roman" w:cs="Times New Roman"/>
          <w:sz w:val="20"/>
          <w:szCs w:val="20"/>
          <w:lang w:val="x-none"/>
        </w:rPr>
        <w:t>ΔA = A₂ - A₁</w:t>
      </w:r>
    </w:p>
    <w:p w14:paraId="3CE7CB21" w14:textId="5444A375" w:rsidR="00BE7FF4" w:rsidRPr="009164AF" w:rsidRDefault="009164AF" w:rsidP="009164AF">
      <w:pPr>
        <w:jc w:val="both"/>
        <w:rPr>
          <w:rFonts w:ascii="Times New Roman" w:hAnsi="Times New Roman" w:cs="Times New Roman"/>
          <w:bCs/>
          <w:sz w:val="32"/>
          <w:szCs w:val="32"/>
        </w:rPr>
      </w:pPr>
      <w:r w:rsidRPr="009164AF">
        <w:rPr>
          <w:rFonts w:ascii="Times New Roman" w:hAnsi="Times New Roman" w:cs="Times New Roman"/>
          <w:sz w:val="20"/>
          <w:szCs w:val="20"/>
          <w:lang w:val="x-none"/>
        </w:rPr>
        <w:t>(A₂ = absorbance of the sample or standard, A₁ = absorbance of the blank)</w:t>
      </w:r>
    </w:p>
    <w:p w14:paraId="2368849C" w14:textId="77777777" w:rsidR="00BE7FF4" w:rsidRPr="00BE7FF4" w:rsidRDefault="00BE7FF4" w:rsidP="009164AF">
      <w:pPr>
        <w:numPr>
          <w:ilvl w:val="0"/>
          <w:numId w:val="12"/>
        </w:numPr>
        <w:ind w:left="360"/>
        <w:jc w:val="both"/>
        <w:rPr>
          <w:rFonts w:ascii="Times New Roman" w:hAnsi="Times New Roman" w:cs="Times New Roman"/>
          <w:sz w:val="24"/>
          <w:szCs w:val="24"/>
        </w:rPr>
      </w:pPr>
      <w:r w:rsidRPr="00BE7FF4">
        <w:rPr>
          <w:rFonts w:ascii="Times New Roman" w:hAnsi="Times New Roman" w:cs="Times New Roman"/>
          <w:b/>
          <w:sz w:val="24"/>
          <w:szCs w:val="24"/>
        </w:rPr>
        <w:t>Total Cholesterol:</w:t>
      </w:r>
      <w:r w:rsidRPr="00BE7FF4">
        <w:rPr>
          <w:rFonts w:ascii="Times New Roman" w:hAnsi="Times New Roman" w:cs="Times New Roman"/>
          <w:sz w:val="24"/>
          <w:szCs w:val="24"/>
        </w:rPr>
        <w:t xml:space="preserve"> </w:t>
      </w:r>
    </w:p>
    <w:p w14:paraId="7BB4236B" w14:textId="2F62D394" w:rsidR="00BE7FF4" w:rsidRDefault="00BE7FF4" w:rsidP="009164AF">
      <w:pPr>
        <w:rPr>
          <w:rFonts w:ascii="Times New Roman" w:hAnsi="Times New Roman" w:cs="Times New Roman"/>
          <w:sz w:val="24"/>
          <w:szCs w:val="24"/>
        </w:rPr>
      </w:pPr>
      <w:r w:rsidRPr="00BE7FF4">
        <w:rPr>
          <w:rFonts w:ascii="Times New Roman" w:hAnsi="Times New Roman" w:cs="Times New Roman"/>
          <w:sz w:val="24"/>
          <w:szCs w:val="24"/>
        </w:rPr>
        <w:t>Erba Mannheim cholesterol</w:t>
      </w:r>
      <w:r w:rsidRPr="00BE7FF4">
        <w:rPr>
          <w:rFonts w:ascii="Times New Roman" w:hAnsi="Times New Roman" w:cs="Times New Roman"/>
          <w:i/>
          <w:iCs/>
          <w:sz w:val="24"/>
          <w:szCs w:val="24"/>
        </w:rPr>
        <w:t xml:space="preserve"> DES</w:t>
      </w:r>
      <w:r w:rsidRPr="00BE7FF4">
        <w:rPr>
          <w:rFonts w:ascii="Times New Roman" w:hAnsi="Times New Roman" w:cs="Times New Roman"/>
          <w:sz w:val="24"/>
          <w:szCs w:val="24"/>
        </w:rPr>
        <w:t xml:space="preserve"> dynamic extended stability CHOD-pad method (with LCF) end point diagnostic reagent kit was used for</w:t>
      </w:r>
      <w:r w:rsidRPr="00BE7FF4">
        <w:rPr>
          <w:rFonts w:ascii="Times New Roman" w:hAnsi="Times New Roman" w:cs="Times New Roman"/>
          <w:i/>
          <w:iCs/>
          <w:sz w:val="24"/>
          <w:szCs w:val="24"/>
        </w:rPr>
        <w:t xml:space="preserve"> in vitro</w:t>
      </w:r>
      <w:r w:rsidRPr="00BE7FF4">
        <w:rPr>
          <w:rFonts w:ascii="Times New Roman" w:hAnsi="Times New Roman" w:cs="Times New Roman"/>
          <w:sz w:val="24"/>
          <w:szCs w:val="24"/>
        </w:rPr>
        <w:t xml:space="preserve"> quantitative determination of cholesterol in broiler serum in this study</w:t>
      </w:r>
      <w:r w:rsidR="00AB7594">
        <w:rPr>
          <w:rFonts w:ascii="Times New Roman" w:hAnsi="Times New Roman" w:cs="Times New Roman"/>
          <w:sz w:val="24"/>
          <w:szCs w:val="24"/>
        </w:rPr>
        <w:t xml:space="preserve"> (Table 4)</w:t>
      </w:r>
    </w:p>
    <w:p w14:paraId="3B319E6C" w14:textId="66B3E70C" w:rsidR="009164AF" w:rsidRPr="00BE7FF4" w:rsidRDefault="009164AF" w:rsidP="009164AF">
      <w:pPr>
        <w:rPr>
          <w:rFonts w:ascii="Times New Roman" w:hAnsi="Times New Roman" w:cs="Times New Roman"/>
          <w:b/>
          <w:sz w:val="24"/>
          <w:szCs w:val="24"/>
        </w:rPr>
      </w:pPr>
      <w:r>
        <w:rPr>
          <w:rFonts w:ascii="Times New Roman" w:hAnsi="Times New Roman" w:cs="Times New Roman"/>
          <w:b/>
          <w:sz w:val="24"/>
          <w:szCs w:val="24"/>
        </w:rPr>
        <w:t>Table 4:</w:t>
      </w:r>
      <w:r w:rsidRPr="009164AF">
        <w:rPr>
          <w:rFonts w:ascii="Times New Roman" w:hAnsi="Times New Roman" w:cs="Times New Roman"/>
          <w:b/>
          <w:sz w:val="24"/>
          <w:szCs w:val="24"/>
        </w:rPr>
        <w:t xml:space="preserve"> </w:t>
      </w:r>
      <w:r w:rsidRPr="009164AF">
        <w:rPr>
          <w:rFonts w:ascii="Times New Roman" w:hAnsi="Times New Roman" w:cs="Times New Roman"/>
          <w:bCs/>
          <w:sz w:val="24"/>
          <w:szCs w:val="24"/>
        </w:rPr>
        <w:t>Total Cholesterol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1"/>
        <w:gridCol w:w="1350"/>
        <w:gridCol w:w="1890"/>
        <w:gridCol w:w="1520"/>
      </w:tblGrid>
      <w:tr w:rsidR="00BE7FF4" w:rsidRPr="00BE7FF4" w14:paraId="40DCEA47" w14:textId="77777777" w:rsidTr="00BB28A2">
        <w:trPr>
          <w:jc w:val="center"/>
        </w:trPr>
        <w:tc>
          <w:tcPr>
            <w:tcW w:w="3321" w:type="dxa"/>
          </w:tcPr>
          <w:p w14:paraId="48BFBC67" w14:textId="77777777" w:rsidR="00BE7FF4" w:rsidRPr="00BE7FF4" w:rsidRDefault="00BE7FF4" w:rsidP="009164AF">
            <w:pPr>
              <w:jc w:val="center"/>
              <w:rPr>
                <w:rFonts w:ascii="Times New Roman" w:hAnsi="Times New Roman" w:cs="Times New Roman"/>
                <w:b/>
                <w:bCs/>
                <w:sz w:val="24"/>
                <w:szCs w:val="24"/>
              </w:rPr>
            </w:pPr>
            <w:r w:rsidRPr="00BE7FF4">
              <w:rPr>
                <w:rFonts w:ascii="Times New Roman" w:hAnsi="Times New Roman" w:cs="Times New Roman"/>
                <w:b/>
                <w:bCs/>
                <w:sz w:val="24"/>
                <w:szCs w:val="24"/>
              </w:rPr>
              <w:t>Pipette into tubes marked</w:t>
            </w:r>
          </w:p>
        </w:tc>
        <w:tc>
          <w:tcPr>
            <w:tcW w:w="1350" w:type="dxa"/>
          </w:tcPr>
          <w:p w14:paraId="7EAB910F" w14:textId="77777777" w:rsidR="00BE7FF4" w:rsidRPr="00BE7FF4" w:rsidRDefault="00BE7FF4" w:rsidP="009164AF">
            <w:pPr>
              <w:jc w:val="center"/>
              <w:rPr>
                <w:rFonts w:ascii="Times New Roman" w:hAnsi="Times New Roman" w:cs="Times New Roman"/>
                <w:b/>
                <w:bCs/>
                <w:sz w:val="24"/>
                <w:szCs w:val="24"/>
              </w:rPr>
            </w:pPr>
            <w:r w:rsidRPr="00BE7FF4">
              <w:rPr>
                <w:rFonts w:ascii="Times New Roman" w:hAnsi="Times New Roman" w:cs="Times New Roman"/>
                <w:b/>
                <w:bCs/>
                <w:sz w:val="24"/>
                <w:szCs w:val="24"/>
              </w:rPr>
              <w:t>Blank</w:t>
            </w:r>
          </w:p>
        </w:tc>
        <w:tc>
          <w:tcPr>
            <w:tcW w:w="1890" w:type="dxa"/>
          </w:tcPr>
          <w:p w14:paraId="16E8DDE5" w14:textId="77777777" w:rsidR="00BE7FF4" w:rsidRPr="00BE7FF4" w:rsidRDefault="00BE7FF4" w:rsidP="009164AF">
            <w:pPr>
              <w:jc w:val="center"/>
              <w:rPr>
                <w:rFonts w:ascii="Times New Roman" w:hAnsi="Times New Roman" w:cs="Times New Roman"/>
                <w:b/>
                <w:bCs/>
                <w:sz w:val="24"/>
                <w:szCs w:val="24"/>
              </w:rPr>
            </w:pPr>
            <w:r w:rsidRPr="00BE7FF4">
              <w:rPr>
                <w:rFonts w:ascii="Times New Roman" w:hAnsi="Times New Roman" w:cs="Times New Roman"/>
                <w:b/>
                <w:bCs/>
                <w:sz w:val="24"/>
                <w:szCs w:val="24"/>
              </w:rPr>
              <w:t>Standard</w:t>
            </w:r>
          </w:p>
        </w:tc>
        <w:tc>
          <w:tcPr>
            <w:tcW w:w="1520" w:type="dxa"/>
          </w:tcPr>
          <w:p w14:paraId="7E954DF7" w14:textId="77777777" w:rsidR="00BE7FF4" w:rsidRPr="00BE7FF4" w:rsidRDefault="00BE7FF4" w:rsidP="009164AF">
            <w:pPr>
              <w:jc w:val="center"/>
              <w:rPr>
                <w:rFonts w:ascii="Times New Roman" w:hAnsi="Times New Roman" w:cs="Times New Roman"/>
                <w:b/>
                <w:bCs/>
                <w:sz w:val="24"/>
                <w:szCs w:val="24"/>
              </w:rPr>
            </w:pPr>
            <w:r w:rsidRPr="00BE7FF4">
              <w:rPr>
                <w:rFonts w:ascii="Times New Roman" w:hAnsi="Times New Roman" w:cs="Times New Roman"/>
                <w:b/>
                <w:bCs/>
                <w:sz w:val="24"/>
                <w:szCs w:val="24"/>
              </w:rPr>
              <w:t>Test</w:t>
            </w:r>
          </w:p>
        </w:tc>
      </w:tr>
      <w:tr w:rsidR="00BE7FF4" w:rsidRPr="00BE7FF4" w14:paraId="4B7B1115" w14:textId="77777777" w:rsidTr="00BB28A2">
        <w:trPr>
          <w:jc w:val="center"/>
        </w:trPr>
        <w:tc>
          <w:tcPr>
            <w:tcW w:w="3321" w:type="dxa"/>
          </w:tcPr>
          <w:p w14:paraId="76146ED8"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Working Reagent</w:t>
            </w:r>
          </w:p>
        </w:tc>
        <w:tc>
          <w:tcPr>
            <w:tcW w:w="1350" w:type="dxa"/>
          </w:tcPr>
          <w:p w14:paraId="08ED587F"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1000 µl</w:t>
            </w:r>
          </w:p>
        </w:tc>
        <w:tc>
          <w:tcPr>
            <w:tcW w:w="1890" w:type="dxa"/>
          </w:tcPr>
          <w:p w14:paraId="1468B5B7"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1000 µl</w:t>
            </w:r>
          </w:p>
        </w:tc>
        <w:tc>
          <w:tcPr>
            <w:tcW w:w="1520" w:type="dxa"/>
          </w:tcPr>
          <w:p w14:paraId="100FDC17"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1000 µl</w:t>
            </w:r>
          </w:p>
        </w:tc>
      </w:tr>
      <w:tr w:rsidR="00BE7FF4" w:rsidRPr="00BE7FF4" w14:paraId="7F2B4621" w14:textId="77777777" w:rsidTr="00BB28A2">
        <w:trPr>
          <w:jc w:val="center"/>
        </w:trPr>
        <w:tc>
          <w:tcPr>
            <w:tcW w:w="3321" w:type="dxa"/>
          </w:tcPr>
          <w:p w14:paraId="4B4B2B58"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Distilled water</w:t>
            </w:r>
          </w:p>
        </w:tc>
        <w:tc>
          <w:tcPr>
            <w:tcW w:w="1350" w:type="dxa"/>
          </w:tcPr>
          <w:p w14:paraId="1DCAAB35"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20 µl</w:t>
            </w:r>
          </w:p>
        </w:tc>
        <w:tc>
          <w:tcPr>
            <w:tcW w:w="1890" w:type="dxa"/>
          </w:tcPr>
          <w:p w14:paraId="0316DABD"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w:t>
            </w:r>
          </w:p>
        </w:tc>
        <w:tc>
          <w:tcPr>
            <w:tcW w:w="1520" w:type="dxa"/>
          </w:tcPr>
          <w:p w14:paraId="1ED226E8"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w:t>
            </w:r>
          </w:p>
        </w:tc>
      </w:tr>
      <w:tr w:rsidR="00BE7FF4" w:rsidRPr="00BE7FF4" w14:paraId="6EFC36D3" w14:textId="77777777" w:rsidTr="00BB28A2">
        <w:trPr>
          <w:jc w:val="center"/>
        </w:trPr>
        <w:tc>
          <w:tcPr>
            <w:tcW w:w="3321" w:type="dxa"/>
          </w:tcPr>
          <w:p w14:paraId="3A2E6B81"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Standard</w:t>
            </w:r>
          </w:p>
        </w:tc>
        <w:tc>
          <w:tcPr>
            <w:tcW w:w="1350" w:type="dxa"/>
          </w:tcPr>
          <w:p w14:paraId="21DF1619"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w:t>
            </w:r>
          </w:p>
        </w:tc>
        <w:tc>
          <w:tcPr>
            <w:tcW w:w="1890" w:type="dxa"/>
          </w:tcPr>
          <w:p w14:paraId="065F7595"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20 µl</w:t>
            </w:r>
          </w:p>
        </w:tc>
        <w:tc>
          <w:tcPr>
            <w:tcW w:w="1520" w:type="dxa"/>
          </w:tcPr>
          <w:p w14:paraId="172E86F6"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w:t>
            </w:r>
          </w:p>
        </w:tc>
      </w:tr>
      <w:tr w:rsidR="00BE7FF4" w:rsidRPr="00BE7FF4" w14:paraId="2A671C30" w14:textId="77777777" w:rsidTr="00BB28A2">
        <w:trPr>
          <w:jc w:val="center"/>
        </w:trPr>
        <w:tc>
          <w:tcPr>
            <w:tcW w:w="3321" w:type="dxa"/>
          </w:tcPr>
          <w:p w14:paraId="5CD023FA" w14:textId="77777777" w:rsidR="00BE7FF4" w:rsidRPr="00BE7FF4" w:rsidRDefault="00BE7FF4" w:rsidP="009164AF">
            <w:pPr>
              <w:jc w:val="center"/>
              <w:rPr>
                <w:rFonts w:ascii="Times New Roman" w:hAnsi="Times New Roman" w:cs="Times New Roman"/>
                <w:b/>
                <w:sz w:val="24"/>
                <w:szCs w:val="24"/>
              </w:rPr>
            </w:pPr>
            <w:r w:rsidRPr="00BE7FF4">
              <w:rPr>
                <w:rFonts w:ascii="Times New Roman" w:hAnsi="Times New Roman" w:cs="Times New Roman"/>
                <w:bCs/>
                <w:sz w:val="24"/>
                <w:szCs w:val="24"/>
              </w:rPr>
              <w:t>Test</w:t>
            </w:r>
          </w:p>
        </w:tc>
        <w:tc>
          <w:tcPr>
            <w:tcW w:w="1350" w:type="dxa"/>
          </w:tcPr>
          <w:p w14:paraId="38011A3E"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w:t>
            </w:r>
          </w:p>
        </w:tc>
        <w:tc>
          <w:tcPr>
            <w:tcW w:w="1890" w:type="dxa"/>
          </w:tcPr>
          <w:p w14:paraId="1D588FFF"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w:t>
            </w:r>
          </w:p>
        </w:tc>
        <w:tc>
          <w:tcPr>
            <w:tcW w:w="1520" w:type="dxa"/>
          </w:tcPr>
          <w:p w14:paraId="6998EA73" w14:textId="77777777" w:rsidR="00BE7FF4" w:rsidRPr="00BE7FF4" w:rsidRDefault="00BE7FF4" w:rsidP="009164AF">
            <w:pPr>
              <w:jc w:val="center"/>
              <w:rPr>
                <w:rFonts w:ascii="Times New Roman" w:hAnsi="Times New Roman" w:cs="Times New Roman"/>
                <w:bCs/>
                <w:sz w:val="24"/>
                <w:szCs w:val="24"/>
              </w:rPr>
            </w:pPr>
            <w:r w:rsidRPr="00BE7FF4">
              <w:rPr>
                <w:rFonts w:ascii="Times New Roman" w:hAnsi="Times New Roman" w:cs="Times New Roman"/>
                <w:bCs/>
                <w:sz w:val="24"/>
                <w:szCs w:val="24"/>
              </w:rPr>
              <w:t>20 µl</w:t>
            </w:r>
          </w:p>
        </w:tc>
      </w:tr>
    </w:tbl>
    <w:p w14:paraId="50B1322E" w14:textId="77777777" w:rsidR="00BE7FF4" w:rsidRPr="00BE7FF4" w:rsidRDefault="00BE7FF4" w:rsidP="00BE7FF4">
      <w:pPr>
        <w:jc w:val="both"/>
        <w:rPr>
          <w:rFonts w:ascii="Times New Roman" w:hAnsi="Times New Roman" w:cs="Times New Roman"/>
          <w:bCs/>
          <w:sz w:val="24"/>
          <w:szCs w:val="24"/>
        </w:rPr>
      </w:pPr>
    </w:p>
    <w:p w14:paraId="38DEF942"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1.</w:t>
      </w:r>
      <w:r w:rsidRPr="00BE7FF4">
        <w:rPr>
          <w:rFonts w:ascii="Times New Roman" w:hAnsi="Times New Roman" w:cs="Times New Roman"/>
          <w:bCs/>
          <w:sz w:val="24"/>
          <w:szCs w:val="24"/>
        </w:rPr>
        <w:tab/>
        <w:t>Mix well, incubate at 37</w:t>
      </w:r>
      <w:r w:rsidRPr="00BE7FF4">
        <w:rPr>
          <w:rFonts w:ascii="Times New Roman" w:hAnsi="Times New Roman" w:cs="Times New Roman"/>
          <w:bCs/>
          <w:sz w:val="24"/>
          <w:szCs w:val="24"/>
          <w:vertAlign w:val="superscript"/>
        </w:rPr>
        <w:t>0</w:t>
      </w:r>
      <w:r w:rsidRPr="00BE7FF4">
        <w:rPr>
          <w:rFonts w:ascii="Times New Roman" w:hAnsi="Times New Roman" w:cs="Times New Roman"/>
          <w:bCs/>
          <w:sz w:val="24"/>
          <w:szCs w:val="24"/>
        </w:rPr>
        <w:t>C for 10 minutes.</w:t>
      </w:r>
    </w:p>
    <w:p w14:paraId="5D0D3E0E"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2.</w:t>
      </w:r>
      <w:r w:rsidRPr="00BE7FF4">
        <w:rPr>
          <w:rFonts w:ascii="Times New Roman" w:hAnsi="Times New Roman" w:cs="Times New Roman"/>
          <w:bCs/>
          <w:sz w:val="24"/>
          <w:szCs w:val="24"/>
        </w:rPr>
        <w:tab/>
        <w:t>Aspirate blank followed by standard and tests.</w:t>
      </w:r>
    </w:p>
    <w:p w14:paraId="60127A32"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3.</w:t>
      </w:r>
      <w:r w:rsidRPr="00BE7FF4">
        <w:rPr>
          <w:rFonts w:ascii="Times New Roman" w:hAnsi="Times New Roman" w:cs="Times New Roman"/>
          <w:bCs/>
          <w:sz w:val="24"/>
          <w:szCs w:val="24"/>
        </w:rPr>
        <w:tab/>
        <w:t>Read the absorbance of standard and each test tube against blank at 505 nm on bichromatic analyzer.</w:t>
      </w:r>
    </w:p>
    <w:p w14:paraId="1EC46265" w14:textId="77777777" w:rsidR="009164AF" w:rsidRDefault="009164AF" w:rsidP="00BE7FF4">
      <w:pPr>
        <w:jc w:val="both"/>
        <w:rPr>
          <w:rFonts w:ascii="Times New Roman" w:hAnsi="Times New Roman" w:cs="Times New Roman"/>
          <w:bCs/>
          <w:sz w:val="24"/>
          <w:szCs w:val="24"/>
        </w:rPr>
      </w:pPr>
    </w:p>
    <w:p w14:paraId="58FD6D9A" w14:textId="6D12D315" w:rsidR="009164AF" w:rsidRPr="00BE7FF4" w:rsidRDefault="009164AF" w:rsidP="00BE7FF4">
      <w:pPr>
        <w:jc w:val="both"/>
        <w:rPr>
          <w:rFonts w:ascii="Times New Roman" w:hAnsi="Times New Roman" w:cs="Times New Roman"/>
          <w:sz w:val="24"/>
          <w:szCs w:val="24"/>
        </w:rPr>
      </w:pPr>
      <m:oMathPara>
        <m:oMath>
          <m:r>
            <m:rPr>
              <m:sty m:val="p"/>
            </m:rPr>
            <w:rPr>
              <w:rFonts w:ascii="Cambria Math" w:hAnsi="Cambria Math" w:cs="Times New Roman"/>
            </w:rPr>
            <m:t>Cholesterol (mg/dL) =</m:t>
          </m:r>
          <m:f>
            <m:fPr>
              <m:ctrlPr>
                <w:rPr>
                  <w:rFonts w:ascii="Cambria Math" w:hAnsi="Cambria Math" w:cs="Times New Roman"/>
                  <w:i/>
                </w:rPr>
              </m:ctrlPr>
            </m:fPr>
            <m:num>
              <m:r>
                <m:rPr>
                  <m:sty m:val="p"/>
                </m:rPr>
                <w:rPr>
                  <w:rFonts w:ascii="Cambria Math" w:hAnsi="Cambria Math" w:cs="Times New Roman"/>
                </w:rPr>
                <m:t>Absorbance of test</m:t>
              </m:r>
            </m:num>
            <m:den>
              <m:r>
                <m:rPr>
                  <m:sty m:val="p"/>
                </m:rPr>
                <w:rPr>
                  <w:rFonts w:ascii="Cambria Math" w:hAnsi="Cambria Math" w:cs="Times New Roman"/>
                </w:rPr>
                <m:t xml:space="preserve">Absorbance of standard     </m:t>
              </m:r>
            </m:den>
          </m:f>
          <m:r>
            <w:rPr>
              <w:rFonts w:ascii="Cambria Math" w:hAnsi="Cambria Math" w:cs="Times New Roman"/>
            </w:rPr>
            <m:t xml:space="preserve">× </m:t>
          </m:r>
          <m:r>
            <m:rPr>
              <m:sty m:val="p"/>
            </m:rPr>
            <w:rPr>
              <w:rFonts w:ascii="Cambria Math" w:hAnsi="Cambria Math" w:cs="Times New Roman"/>
            </w:rPr>
            <m:t xml:space="preserve">concentration of standard (mg/dL)     </m:t>
          </m:r>
        </m:oMath>
      </m:oMathPara>
    </w:p>
    <w:p w14:paraId="05379C74" w14:textId="77777777" w:rsidR="009164AF" w:rsidRPr="009164AF" w:rsidRDefault="009164AF" w:rsidP="009164AF">
      <w:pPr>
        <w:ind w:left="360"/>
        <w:jc w:val="both"/>
        <w:rPr>
          <w:rFonts w:ascii="Times New Roman" w:hAnsi="Times New Roman" w:cs="Times New Roman"/>
          <w:sz w:val="24"/>
          <w:szCs w:val="24"/>
        </w:rPr>
      </w:pPr>
    </w:p>
    <w:p w14:paraId="3ADEB076" w14:textId="361CAD78" w:rsidR="00BE7FF4" w:rsidRPr="00BE7FF4" w:rsidRDefault="00BE7FF4" w:rsidP="009164AF">
      <w:pPr>
        <w:numPr>
          <w:ilvl w:val="0"/>
          <w:numId w:val="12"/>
        </w:numPr>
        <w:ind w:left="360"/>
        <w:jc w:val="both"/>
        <w:rPr>
          <w:rFonts w:ascii="Times New Roman" w:hAnsi="Times New Roman" w:cs="Times New Roman"/>
          <w:sz w:val="24"/>
          <w:szCs w:val="24"/>
        </w:rPr>
      </w:pPr>
      <w:r w:rsidRPr="00BE7FF4">
        <w:rPr>
          <w:rFonts w:ascii="Times New Roman" w:hAnsi="Times New Roman" w:cs="Times New Roman"/>
          <w:b/>
          <w:sz w:val="24"/>
          <w:szCs w:val="24"/>
        </w:rPr>
        <w:t xml:space="preserve">Triglyceride: </w:t>
      </w:r>
    </w:p>
    <w:p w14:paraId="0C2465D4" w14:textId="0889CF19" w:rsid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 xml:space="preserve">Erba Mannheim Triglycerides </w:t>
      </w:r>
      <w:r w:rsidRPr="00BE7FF4">
        <w:rPr>
          <w:rFonts w:ascii="Times New Roman" w:hAnsi="Times New Roman" w:cs="Times New Roman"/>
          <w:i/>
          <w:iCs/>
          <w:sz w:val="24"/>
          <w:szCs w:val="24"/>
        </w:rPr>
        <w:t xml:space="preserve">DES </w:t>
      </w:r>
      <w:r w:rsidRPr="00BE7FF4">
        <w:rPr>
          <w:rFonts w:ascii="Times New Roman" w:hAnsi="Times New Roman" w:cs="Times New Roman"/>
          <w:sz w:val="24"/>
          <w:szCs w:val="24"/>
        </w:rPr>
        <w:t>dynamic extended stability with lipid clearing agent GPO–trinder method, end point diagnostic reagent kit was used for</w:t>
      </w:r>
      <w:r w:rsidRPr="00BE7FF4">
        <w:rPr>
          <w:rFonts w:ascii="Times New Roman" w:hAnsi="Times New Roman" w:cs="Times New Roman"/>
          <w:i/>
          <w:iCs/>
          <w:sz w:val="24"/>
          <w:szCs w:val="24"/>
        </w:rPr>
        <w:t xml:space="preserve"> in vitro</w:t>
      </w:r>
      <w:r w:rsidRPr="00BE7FF4">
        <w:rPr>
          <w:rFonts w:ascii="Times New Roman" w:hAnsi="Times New Roman" w:cs="Times New Roman"/>
          <w:sz w:val="24"/>
          <w:szCs w:val="24"/>
        </w:rPr>
        <w:t xml:space="preserve"> quantitative determination of triglycerides in broiler serum in this study</w:t>
      </w:r>
      <w:r w:rsidR="009164AF">
        <w:rPr>
          <w:rFonts w:ascii="Times New Roman" w:hAnsi="Times New Roman" w:cs="Times New Roman"/>
          <w:sz w:val="24"/>
          <w:szCs w:val="24"/>
        </w:rPr>
        <w:t xml:space="preserve"> (Table 5)</w:t>
      </w:r>
    </w:p>
    <w:p w14:paraId="6F792246" w14:textId="68405317" w:rsidR="009164AF" w:rsidRPr="00BE7FF4" w:rsidRDefault="009164AF" w:rsidP="00BE7FF4">
      <w:pPr>
        <w:jc w:val="both"/>
        <w:rPr>
          <w:rFonts w:ascii="Times New Roman" w:hAnsi="Times New Roman" w:cs="Times New Roman"/>
          <w:b/>
          <w:bCs/>
          <w:sz w:val="24"/>
          <w:szCs w:val="24"/>
        </w:rPr>
      </w:pPr>
      <w:r w:rsidRPr="00AB7594">
        <w:rPr>
          <w:rFonts w:ascii="Times New Roman" w:hAnsi="Times New Roman" w:cs="Times New Roman"/>
          <w:b/>
          <w:sz w:val="24"/>
          <w:szCs w:val="24"/>
        </w:rPr>
        <w:t>Table 5:</w:t>
      </w:r>
      <w:r>
        <w:rPr>
          <w:rFonts w:ascii="Times New Roman" w:hAnsi="Times New Roman" w:cs="Times New Roman"/>
          <w:bCs/>
          <w:sz w:val="24"/>
          <w:szCs w:val="24"/>
        </w:rPr>
        <w:t xml:space="preserve"> </w:t>
      </w:r>
      <w:r w:rsidRPr="009164AF">
        <w:rPr>
          <w:rFonts w:ascii="Times New Roman" w:hAnsi="Times New Roman" w:cs="Times New Roman"/>
          <w:bCs/>
          <w:sz w:val="24"/>
          <w:szCs w:val="24"/>
        </w:rPr>
        <w:t>Triglyceride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2"/>
        <w:gridCol w:w="1387"/>
        <w:gridCol w:w="1660"/>
        <w:gridCol w:w="1227"/>
      </w:tblGrid>
      <w:tr w:rsidR="00BE7FF4" w:rsidRPr="00BE7FF4" w14:paraId="0D672E0B" w14:textId="77777777" w:rsidTr="00BB28A2">
        <w:trPr>
          <w:jc w:val="center"/>
        </w:trPr>
        <w:tc>
          <w:tcPr>
            <w:tcW w:w="3852" w:type="dxa"/>
          </w:tcPr>
          <w:p w14:paraId="6B632A03" w14:textId="77777777" w:rsidR="00BE7FF4" w:rsidRPr="00BE7FF4" w:rsidRDefault="00BE7FF4" w:rsidP="00BE7FF4">
            <w:pPr>
              <w:jc w:val="both"/>
              <w:rPr>
                <w:rFonts w:ascii="Times New Roman" w:hAnsi="Times New Roman" w:cs="Times New Roman"/>
                <w:b/>
                <w:bCs/>
                <w:sz w:val="24"/>
                <w:szCs w:val="24"/>
              </w:rPr>
            </w:pPr>
            <w:r w:rsidRPr="00BE7FF4">
              <w:rPr>
                <w:rFonts w:ascii="Times New Roman" w:hAnsi="Times New Roman" w:cs="Times New Roman"/>
                <w:b/>
                <w:bCs/>
                <w:sz w:val="24"/>
                <w:szCs w:val="24"/>
              </w:rPr>
              <w:t>Pipette into tubes marked</w:t>
            </w:r>
          </w:p>
        </w:tc>
        <w:tc>
          <w:tcPr>
            <w:tcW w:w="1387" w:type="dxa"/>
          </w:tcPr>
          <w:p w14:paraId="564FB78A" w14:textId="77777777" w:rsidR="00BE7FF4" w:rsidRPr="00BE7FF4" w:rsidRDefault="00BE7FF4" w:rsidP="00BE7FF4">
            <w:pPr>
              <w:jc w:val="both"/>
              <w:rPr>
                <w:rFonts w:ascii="Times New Roman" w:hAnsi="Times New Roman" w:cs="Times New Roman"/>
                <w:b/>
                <w:bCs/>
                <w:sz w:val="24"/>
                <w:szCs w:val="24"/>
              </w:rPr>
            </w:pPr>
            <w:r w:rsidRPr="00BE7FF4">
              <w:rPr>
                <w:rFonts w:ascii="Times New Roman" w:hAnsi="Times New Roman" w:cs="Times New Roman"/>
                <w:b/>
                <w:bCs/>
                <w:sz w:val="24"/>
                <w:szCs w:val="24"/>
              </w:rPr>
              <w:t>Blank</w:t>
            </w:r>
          </w:p>
        </w:tc>
        <w:tc>
          <w:tcPr>
            <w:tcW w:w="1660" w:type="dxa"/>
          </w:tcPr>
          <w:p w14:paraId="4B410C1D" w14:textId="77777777" w:rsidR="00BE7FF4" w:rsidRPr="00BE7FF4" w:rsidRDefault="00BE7FF4" w:rsidP="00BE7FF4">
            <w:pPr>
              <w:jc w:val="both"/>
              <w:rPr>
                <w:rFonts w:ascii="Times New Roman" w:hAnsi="Times New Roman" w:cs="Times New Roman"/>
                <w:b/>
                <w:bCs/>
                <w:sz w:val="24"/>
                <w:szCs w:val="24"/>
              </w:rPr>
            </w:pPr>
            <w:r w:rsidRPr="00BE7FF4">
              <w:rPr>
                <w:rFonts w:ascii="Times New Roman" w:hAnsi="Times New Roman" w:cs="Times New Roman"/>
                <w:b/>
                <w:bCs/>
                <w:sz w:val="24"/>
                <w:szCs w:val="24"/>
              </w:rPr>
              <w:t>Standard</w:t>
            </w:r>
          </w:p>
        </w:tc>
        <w:tc>
          <w:tcPr>
            <w:tcW w:w="1227" w:type="dxa"/>
          </w:tcPr>
          <w:p w14:paraId="197A8C5B" w14:textId="77777777" w:rsidR="00BE7FF4" w:rsidRPr="00BE7FF4" w:rsidRDefault="00BE7FF4" w:rsidP="00BE7FF4">
            <w:pPr>
              <w:jc w:val="both"/>
              <w:rPr>
                <w:rFonts w:ascii="Times New Roman" w:hAnsi="Times New Roman" w:cs="Times New Roman"/>
                <w:b/>
                <w:bCs/>
                <w:sz w:val="24"/>
                <w:szCs w:val="24"/>
              </w:rPr>
            </w:pPr>
            <w:r w:rsidRPr="00BE7FF4">
              <w:rPr>
                <w:rFonts w:ascii="Times New Roman" w:hAnsi="Times New Roman" w:cs="Times New Roman"/>
                <w:b/>
                <w:bCs/>
                <w:sz w:val="24"/>
                <w:szCs w:val="24"/>
              </w:rPr>
              <w:t>Test</w:t>
            </w:r>
          </w:p>
        </w:tc>
      </w:tr>
      <w:tr w:rsidR="00BE7FF4" w:rsidRPr="00BE7FF4" w14:paraId="3928AB73" w14:textId="77777777" w:rsidTr="00BB28A2">
        <w:trPr>
          <w:jc w:val="center"/>
        </w:trPr>
        <w:tc>
          <w:tcPr>
            <w:tcW w:w="3852" w:type="dxa"/>
          </w:tcPr>
          <w:p w14:paraId="4A5E0B33"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Working Reagent</w:t>
            </w:r>
          </w:p>
        </w:tc>
        <w:tc>
          <w:tcPr>
            <w:tcW w:w="1387" w:type="dxa"/>
          </w:tcPr>
          <w:p w14:paraId="14E08E01"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1000 µl</w:t>
            </w:r>
          </w:p>
        </w:tc>
        <w:tc>
          <w:tcPr>
            <w:tcW w:w="1660" w:type="dxa"/>
          </w:tcPr>
          <w:p w14:paraId="05B4741D"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1000 µl</w:t>
            </w:r>
          </w:p>
        </w:tc>
        <w:tc>
          <w:tcPr>
            <w:tcW w:w="1227" w:type="dxa"/>
          </w:tcPr>
          <w:p w14:paraId="76D73567"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1000 µl</w:t>
            </w:r>
          </w:p>
        </w:tc>
      </w:tr>
      <w:tr w:rsidR="00BE7FF4" w:rsidRPr="00BE7FF4" w14:paraId="1E7FE266" w14:textId="77777777" w:rsidTr="00BB28A2">
        <w:trPr>
          <w:jc w:val="center"/>
        </w:trPr>
        <w:tc>
          <w:tcPr>
            <w:tcW w:w="3852" w:type="dxa"/>
          </w:tcPr>
          <w:p w14:paraId="68463E81"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Distilled water</w:t>
            </w:r>
          </w:p>
        </w:tc>
        <w:tc>
          <w:tcPr>
            <w:tcW w:w="1387" w:type="dxa"/>
          </w:tcPr>
          <w:p w14:paraId="69D8D1FF"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10 µl</w:t>
            </w:r>
          </w:p>
        </w:tc>
        <w:tc>
          <w:tcPr>
            <w:tcW w:w="1660" w:type="dxa"/>
          </w:tcPr>
          <w:p w14:paraId="3DFD1C7F"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w:t>
            </w:r>
          </w:p>
        </w:tc>
        <w:tc>
          <w:tcPr>
            <w:tcW w:w="1227" w:type="dxa"/>
          </w:tcPr>
          <w:p w14:paraId="323B0D74"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w:t>
            </w:r>
          </w:p>
        </w:tc>
      </w:tr>
      <w:tr w:rsidR="00BE7FF4" w:rsidRPr="00BE7FF4" w14:paraId="2C434494" w14:textId="77777777" w:rsidTr="00BB28A2">
        <w:trPr>
          <w:jc w:val="center"/>
        </w:trPr>
        <w:tc>
          <w:tcPr>
            <w:tcW w:w="3852" w:type="dxa"/>
          </w:tcPr>
          <w:p w14:paraId="2B1D32EE"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Standard</w:t>
            </w:r>
          </w:p>
        </w:tc>
        <w:tc>
          <w:tcPr>
            <w:tcW w:w="1387" w:type="dxa"/>
          </w:tcPr>
          <w:p w14:paraId="1A37A011"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w:t>
            </w:r>
          </w:p>
        </w:tc>
        <w:tc>
          <w:tcPr>
            <w:tcW w:w="1660" w:type="dxa"/>
          </w:tcPr>
          <w:p w14:paraId="63046A37"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10 µl</w:t>
            </w:r>
          </w:p>
        </w:tc>
        <w:tc>
          <w:tcPr>
            <w:tcW w:w="1227" w:type="dxa"/>
          </w:tcPr>
          <w:p w14:paraId="3B6BA91B"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w:t>
            </w:r>
          </w:p>
        </w:tc>
      </w:tr>
      <w:tr w:rsidR="00BE7FF4" w:rsidRPr="00BE7FF4" w14:paraId="3CF2CD43" w14:textId="77777777" w:rsidTr="00BB28A2">
        <w:trPr>
          <w:jc w:val="center"/>
        </w:trPr>
        <w:tc>
          <w:tcPr>
            <w:tcW w:w="3852" w:type="dxa"/>
          </w:tcPr>
          <w:p w14:paraId="2BAABE74" w14:textId="77777777" w:rsidR="00BE7FF4" w:rsidRPr="00BE7FF4" w:rsidRDefault="00BE7FF4" w:rsidP="00BE7FF4">
            <w:pPr>
              <w:jc w:val="both"/>
              <w:rPr>
                <w:rFonts w:ascii="Times New Roman" w:hAnsi="Times New Roman" w:cs="Times New Roman"/>
                <w:b/>
                <w:sz w:val="24"/>
                <w:szCs w:val="24"/>
              </w:rPr>
            </w:pPr>
            <w:r w:rsidRPr="00BE7FF4">
              <w:rPr>
                <w:rFonts w:ascii="Times New Roman" w:hAnsi="Times New Roman" w:cs="Times New Roman"/>
                <w:bCs/>
                <w:sz w:val="24"/>
                <w:szCs w:val="24"/>
              </w:rPr>
              <w:t>Test</w:t>
            </w:r>
          </w:p>
        </w:tc>
        <w:tc>
          <w:tcPr>
            <w:tcW w:w="1387" w:type="dxa"/>
          </w:tcPr>
          <w:p w14:paraId="50593611"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w:t>
            </w:r>
          </w:p>
        </w:tc>
        <w:tc>
          <w:tcPr>
            <w:tcW w:w="1660" w:type="dxa"/>
          </w:tcPr>
          <w:p w14:paraId="097C006C"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w:t>
            </w:r>
          </w:p>
        </w:tc>
        <w:tc>
          <w:tcPr>
            <w:tcW w:w="1227" w:type="dxa"/>
          </w:tcPr>
          <w:p w14:paraId="7528E554"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10 µl</w:t>
            </w:r>
          </w:p>
        </w:tc>
      </w:tr>
    </w:tbl>
    <w:p w14:paraId="49B96605" w14:textId="77777777" w:rsidR="00BE7FF4" w:rsidRPr="00BE7FF4" w:rsidRDefault="00BE7FF4" w:rsidP="00BE7FF4">
      <w:pPr>
        <w:jc w:val="both"/>
        <w:rPr>
          <w:rFonts w:ascii="Times New Roman" w:hAnsi="Times New Roman" w:cs="Times New Roman"/>
          <w:bCs/>
          <w:sz w:val="24"/>
          <w:szCs w:val="24"/>
        </w:rPr>
      </w:pPr>
    </w:p>
    <w:p w14:paraId="688BB01F"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1.</w:t>
      </w:r>
      <w:r w:rsidRPr="00BE7FF4">
        <w:rPr>
          <w:rFonts w:ascii="Times New Roman" w:hAnsi="Times New Roman" w:cs="Times New Roman"/>
          <w:bCs/>
          <w:sz w:val="24"/>
          <w:szCs w:val="24"/>
        </w:rPr>
        <w:tab/>
        <w:t>Mix well, incubate at 37</w:t>
      </w:r>
      <w:r w:rsidRPr="00BE7FF4">
        <w:rPr>
          <w:rFonts w:ascii="Times New Roman" w:hAnsi="Times New Roman" w:cs="Times New Roman"/>
          <w:bCs/>
          <w:sz w:val="24"/>
          <w:szCs w:val="24"/>
          <w:vertAlign w:val="superscript"/>
        </w:rPr>
        <w:t>0</w:t>
      </w:r>
      <w:r w:rsidRPr="00BE7FF4">
        <w:rPr>
          <w:rFonts w:ascii="Times New Roman" w:hAnsi="Times New Roman" w:cs="Times New Roman"/>
          <w:bCs/>
          <w:sz w:val="24"/>
          <w:szCs w:val="24"/>
        </w:rPr>
        <w:t>C for 10 minutes.</w:t>
      </w:r>
    </w:p>
    <w:p w14:paraId="51F07B17" w14:textId="77777777" w:rsidR="00BE7FF4" w:rsidRPr="00BE7FF4" w:rsidRDefault="00BE7FF4" w:rsidP="00BE7FF4">
      <w:pPr>
        <w:jc w:val="both"/>
        <w:rPr>
          <w:rFonts w:ascii="Times New Roman" w:hAnsi="Times New Roman" w:cs="Times New Roman"/>
          <w:bCs/>
          <w:sz w:val="24"/>
          <w:szCs w:val="24"/>
        </w:rPr>
      </w:pPr>
      <w:r w:rsidRPr="00BE7FF4">
        <w:rPr>
          <w:rFonts w:ascii="Times New Roman" w:hAnsi="Times New Roman" w:cs="Times New Roman"/>
          <w:bCs/>
          <w:sz w:val="24"/>
          <w:szCs w:val="24"/>
        </w:rPr>
        <w:t>2.</w:t>
      </w:r>
      <w:r w:rsidRPr="00BE7FF4">
        <w:rPr>
          <w:rFonts w:ascii="Times New Roman" w:hAnsi="Times New Roman" w:cs="Times New Roman"/>
          <w:bCs/>
          <w:sz w:val="24"/>
          <w:szCs w:val="24"/>
        </w:rPr>
        <w:tab/>
        <w:t xml:space="preserve">Read the absorbance of standard and each test tube at 505 nm on dichromatic analyzer against reagent blank.  </w:t>
      </w:r>
    </w:p>
    <w:p w14:paraId="7688AB77" w14:textId="589091CD" w:rsidR="009164AF" w:rsidRPr="00BE7FF4" w:rsidRDefault="009164AF" w:rsidP="009164AF">
      <w:pPr>
        <w:jc w:val="center"/>
        <w:rPr>
          <w:rFonts w:ascii="Times New Roman" w:hAnsi="Times New Roman" w:cs="Times New Roman"/>
          <w:bCs/>
          <w:sz w:val="24"/>
          <w:szCs w:val="24"/>
        </w:rPr>
      </w:pPr>
      <m:oMath>
        <m:r>
          <m:rPr>
            <m:sty m:val="p"/>
          </m:rPr>
          <w:rPr>
            <w:rFonts w:ascii="Cambria Math" w:hAnsi="Cambria Math" w:cs="Times New Roman"/>
            <w:sz w:val="24"/>
            <w:szCs w:val="24"/>
          </w:rPr>
          <m:t>Triglycerides (mg/dL) =</m:t>
        </m:r>
        <m:f>
          <m:fPr>
            <m:ctrlPr>
              <w:rPr>
                <w:rFonts w:ascii="Cambria Math" w:hAnsi="Cambria Math" w:cs="Times New Roman"/>
                <w:i/>
                <w:sz w:val="24"/>
                <w:szCs w:val="24"/>
              </w:rPr>
            </m:ctrlPr>
          </m:fPr>
          <m:num>
            <m:r>
              <m:rPr>
                <m:sty m:val="p"/>
              </m:rPr>
              <w:rPr>
                <w:rFonts w:ascii="Cambria Math" w:hAnsi="Cambria Math" w:cs="Times New Roman"/>
                <w:sz w:val="24"/>
                <w:szCs w:val="24"/>
              </w:rPr>
              <m:t xml:space="preserve">Absorbance of test     </m:t>
            </m:r>
          </m:num>
          <m:den>
            <m:r>
              <m:rPr>
                <m:sty m:val="p"/>
              </m:rPr>
              <w:rPr>
                <w:rFonts w:ascii="Cambria Math" w:hAnsi="Cambria Math" w:cs="Times New Roman"/>
                <w:sz w:val="24"/>
                <w:szCs w:val="24"/>
              </w:rPr>
              <m:t xml:space="preserve">Absorbance of standard  </m:t>
            </m:r>
          </m:den>
        </m:f>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t>
      </w:r>
      <w:r w:rsidRPr="00BE7FF4">
        <w:rPr>
          <w:rFonts w:ascii="Times New Roman" w:hAnsi="Times New Roman" w:cs="Times New Roman"/>
          <w:bCs/>
          <w:sz w:val="24"/>
          <w:szCs w:val="24"/>
        </w:rPr>
        <w:t>concentration of standard (mg/dL)</w:t>
      </w:r>
    </w:p>
    <w:p w14:paraId="281FC6BF" w14:textId="77777777" w:rsidR="00BE7FF4" w:rsidRPr="00BE7FF4" w:rsidRDefault="00BE7FF4" w:rsidP="00BE7FF4">
      <w:pPr>
        <w:numPr>
          <w:ilvl w:val="0"/>
          <w:numId w:val="5"/>
        </w:numPr>
        <w:jc w:val="both"/>
        <w:rPr>
          <w:rFonts w:ascii="Times New Roman" w:hAnsi="Times New Roman" w:cs="Times New Roman"/>
          <w:b/>
          <w:bCs/>
          <w:sz w:val="24"/>
          <w:szCs w:val="24"/>
        </w:rPr>
      </w:pPr>
      <w:r w:rsidRPr="00BE7FF4">
        <w:rPr>
          <w:rFonts w:ascii="Times New Roman" w:hAnsi="Times New Roman" w:cs="Times New Roman"/>
          <w:b/>
          <w:bCs/>
          <w:sz w:val="24"/>
          <w:szCs w:val="24"/>
        </w:rPr>
        <w:t>Immune response</w:t>
      </w:r>
    </w:p>
    <w:p w14:paraId="661842F5" w14:textId="77777777" w:rsidR="00BE7FF4" w:rsidRPr="00BE7FF4" w:rsidRDefault="00BE7FF4" w:rsidP="00BE7FF4">
      <w:pPr>
        <w:numPr>
          <w:ilvl w:val="0"/>
          <w:numId w:val="13"/>
        </w:numPr>
        <w:jc w:val="both"/>
        <w:rPr>
          <w:rFonts w:ascii="Times New Roman" w:hAnsi="Times New Roman" w:cs="Times New Roman"/>
          <w:b/>
          <w:bCs/>
          <w:sz w:val="24"/>
          <w:szCs w:val="24"/>
        </w:rPr>
      </w:pPr>
      <w:r w:rsidRPr="00BE7FF4">
        <w:rPr>
          <w:rFonts w:ascii="Times New Roman" w:hAnsi="Times New Roman" w:cs="Times New Roman"/>
          <w:b/>
          <w:bCs/>
          <w:sz w:val="24"/>
          <w:szCs w:val="24"/>
        </w:rPr>
        <w:t>Humoral immune response</w:t>
      </w:r>
    </w:p>
    <w:p w14:paraId="4BCDAC56" w14:textId="77777777" w:rsidR="00BE7FF4" w:rsidRPr="00BE7FF4" w:rsidRDefault="00BE7FF4" w:rsidP="00BE7FF4">
      <w:pPr>
        <w:numPr>
          <w:ilvl w:val="0"/>
          <w:numId w:val="8"/>
        </w:numPr>
        <w:jc w:val="both"/>
        <w:rPr>
          <w:rFonts w:ascii="Times New Roman" w:hAnsi="Times New Roman" w:cs="Times New Roman"/>
          <w:b/>
          <w:bCs/>
          <w:sz w:val="24"/>
          <w:szCs w:val="24"/>
        </w:rPr>
      </w:pPr>
      <w:r w:rsidRPr="00BE7FF4">
        <w:rPr>
          <w:rFonts w:ascii="Times New Roman" w:hAnsi="Times New Roman" w:cs="Times New Roman"/>
          <w:b/>
          <w:bCs/>
          <w:sz w:val="24"/>
          <w:szCs w:val="24"/>
        </w:rPr>
        <w:t>Preparation of sheep red blood cell (SRBC) suspension:</w:t>
      </w:r>
    </w:p>
    <w:p w14:paraId="2C593855"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Blood from jugular vein of healthy sheep was collected in Alsever’s solution. The blood was centrifuged at 2500 rpm for about 10 minutes. The supernatant was discarded and red blood cells were washed thrice in PBS. Suspension of SRBC (1% v/v) in PBS was prepared and stored in refrigerator at 4˚C until use.</w:t>
      </w:r>
    </w:p>
    <w:p w14:paraId="75D2ED97" w14:textId="77777777" w:rsidR="00BE7FF4" w:rsidRPr="00BE7FF4" w:rsidRDefault="00BE7FF4" w:rsidP="00BE7FF4">
      <w:pPr>
        <w:numPr>
          <w:ilvl w:val="0"/>
          <w:numId w:val="8"/>
        </w:numPr>
        <w:jc w:val="both"/>
        <w:rPr>
          <w:rFonts w:ascii="Times New Roman" w:hAnsi="Times New Roman" w:cs="Times New Roman"/>
          <w:b/>
          <w:bCs/>
          <w:sz w:val="24"/>
          <w:szCs w:val="24"/>
        </w:rPr>
      </w:pPr>
      <w:r w:rsidRPr="00BE7FF4">
        <w:rPr>
          <w:rFonts w:ascii="Times New Roman" w:hAnsi="Times New Roman" w:cs="Times New Roman"/>
          <w:b/>
          <w:bCs/>
          <w:sz w:val="24"/>
          <w:szCs w:val="24"/>
        </w:rPr>
        <w:t>Immunization and harvesting of immune serum:</w:t>
      </w:r>
    </w:p>
    <w:p w14:paraId="37F1BC75"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 xml:space="preserve">1.0 ml suspension of SRBC was injected intravenously to 6 birds in each replicate to study the primary antibody response to SRBC. After 5 days 2 ml blood was collected from the wing vein. The blood was allowed to clot, the serum was collected and frozen (-20˚C) until analyzed for the antibody titres to SRBC. </w:t>
      </w:r>
    </w:p>
    <w:p w14:paraId="4FD79F0F" w14:textId="77777777" w:rsidR="00BE7FF4" w:rsidRPr="00BE7FF4" w:rsidRDefault="00BE7FF4" w:rsidP="00BE7FF4">
      <w:pPr>
        <w:jc w:val="both"/>
        <w:rPr>
          <w:rFonts w:ascii="Times New Roman" w:hAnsi="Times New Roman" w:cs="Times New Roman"/>
          <w:b/>
          <w:bCs/>
          <w:sz w:val="24"/>
          <w:szCs w:val="24"/>
        </w:rPr>
      </w:pPr>
      <w:r w:rsidRPr="00BE7FF4">
        <w:rPr>
          <w:rFonts w:ascii="Times New Roman" w:hAnsi="Times New Roman" w:cs="Times New Roman"/>
          <w:b/>
          <w:bCs/>
          <w:sz w:val="24"/>
          <w:szCs w:val="24"/>
        </w:rPr>
        <w:t>Haemagglutination test (HA test):</w:t>
      </w:r>
    </w:p>
    <w:p w14:paraId="1DFDD207"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The antibody titre to SRBC was determined by HA methods (Siegel and Gross, 1980).</w:t>
      </w:r>
    </w:p>
    <w:p w14:paraId="2D6F0646" w14:textId="77777777" w:rsidR="00BE7FF4" w:rsidRPr="00BE7FF4" w:rsidRDefault="00BE7FF4" w:rsidP="00BE7FF4">
      <w:pPr>
        <w:jc w:val="both"/>
        <w:rPr>
          <w:rFonts w:ascii="Times New Roman" w:hAnsi="Times New Roman" w:cs="Times New Roman"/>
          <w:b/>
          <w:bCs/>
          <w:sz w:val="24"/>
          <w:szCs w:val="24"/>
        </w:rPr>
      </w:pPr>
      <w:r w:rsidRPr="00BE7FF4">
        <w:rPr>
          <w:rFonts w:ascii="Times New Roman" w:hAnsi="Times New Roman" w:cs="Times New Roman"/>
          <w:b/>
          <w:bCs/>
          <w:sz w:val="24"/>
          <w:szCs w:val="24"/>
        </w:rPr>
        <w:t>Procedure:</w:t>
      </w:r>
    </w:p>
    <w:p w14:paraId="175079F5" w14:textId="77777777" w:rsidR="00BE7FF4" w:rsidRPr="00BE7FF4" w:rsidRDefault="00BE7FF4" w:rsidP="00BE7FF4">
      <w:pPr>
        <w:numPr>
          <w:ilvl w:val="0"/>
          <w:numId w:val="9"/>
        </w:numPr>
        <w:jc w:val="both"/>
        <w:rPr>
          <w:rFonts w:ascii="Times New Roman" w:hAnsi="Times New Roman" w:cs="Times New Roman"/>
          <w:sz w:val="24"/>
          <w:szCs w:val="24"/>
        </w:rPr>
      </w:pPr>
      <w:r w:rsidRPr="00BE7FF4">
        <w:rPr>
          <w:rFonts w:ascii="Times New Roman" w:hAnsi="Times New Roman" w:cs="Times New Roman"/>
          <w:sz w:val="24"/>
          <w:szCs w:val="24"/>
        </w:rPr>
        <w:t>50 µl of PBS was pipetted out in each well of the micro titter plate.</w:t>
      </w:r>
    </w:p>
    <w:p w14:paraId="05636D45" w14:textId="77777777" w:rsidR="00BE7FF4" w:rsidRPr="00BE7FF4" w:rsidRDefault="00BE7FF4" w:rsidP="00BE7FF4">
      <w:pPr>
        <w:numPr>
          <w:ilvl w:val="0"/>
          <w:numId w:val="9"/>
        </w:numPr>
        <w:jc w:val="both"/>
        <w:rPr>
          <w:rFonts w:ascii="Times New Roman" w:hAnsi="Times New Roman" w:cs="Times New Roman"/>
          <w:sz w:val="24"/>
          <w:szCs w:val="24"/>
        </w:rPr>
      </w:pPr>
      <w:r w:rsidRPr="00BE7FF4">
        <w:rPr>
          <w:rFonts w:ascii="Times New Roman" w:hAnsi="Times New Roman" w:cs="Times New Roman"/>
          <w:sz w:val="24"/>
          <w:szCs w:val="24"/>
        </w:rPr>
        <w:t>50 µl of serum was added in the first well.</w:t>
      </w:r>
    </w:p>
    <w:p w14:paraId="5263AB8F" w14:textId="77777777" w:rsidR="00BE7FF4" w:rsidRPr="00BE7FF4" w:rsidRDefault="00BE7FF4" w:rsidP="00BE7FF4">
      <w:pPr>
        <w:numPr>
          <w:ilvl w:val="0"/>
          <w:numId w:val="9"/>
        </w:numPr>
        <w:jc w:val="both"/>
        <w:rPr>
          <w:rFonts w:ascii="Times New Roman" w:hAnsi="Times New Roman" w:cs="Times New Roman"/>
          <w:sz w:val="24"/>
          <w:szCs w:val="24"/>
        </w:rPr>
      </w:pPr>
      <w:r w:rsidRPr="00BE7FF4">
        <w:rPr>
          <w:rFonts w:ascii="Times New Roman" w:hAnsi="Times New Roman" w:cs="Times New Roman"/>
          <w:sz w:val="24"/>
          <w:szCs w:val="24"/>
        </w:rPr>
        <w:t>Two fold serial dilution were made up to row 11 and 12 was kept as control.</w:t>
      </w:r>
    </w:p>
    <w:p w14:paraId="54B96F54" w14:textId="77777777" w:rsidR="00BE7FF4" w:rsidRPr="00BE7FF4" w:rsidRDefault="00BE7FF4" w:rsidP="00BE7FF4">
      <w:pPr>
        <w:numPr>
          <w:ilvl w:val="0"/>
          <w:numId w:val="9"/>
        </w:numPr>
        <w:jc w:val="both"/>
        <w:rPr>
          <w:rFonts w:ascii="Times New Roman" w:hAnsi="Times New Roman" w:cs="Times New Roman"/>
          <w:sz w:val="24"/>
          <w:szCs w:val="24"/>
        </w:rPr>
      </w:pPr>
      <w:r w:rsidRPr="00BE7FF4">
        <w:rPr>
          <w:rFonts w:ascii="Times New Roman" w:hAnsi="Times New Roman" w:cs="Times New Roman"/>
          <w:sz w:val="24"/>
          <w:szCs w:val="24"/>
        </w:rPr>
        <w:t>50 µl of 1% SRBC was added in each well and mixed by gentle tapping</w:t>
      </w:r>
    </w:p>
    <w:p w14:paraId="68F0D64F" w14:textId="77777777" w:rsidR="00BE7FF4" w:rsidRPr="00BE7FF4" w:rsidRDefault="00BE7FF4" w:rsidP="00BE7FF4">
      <w:pPr>
        <w:numPr>
          <w:ilvl w:val="0"/>
          <w:numId w:val="9"/>
        </w:numPr>
        <w:jc w:val="both"/>
        <w:rPr>
          <w:rFonts w:ascii="Times New Roman" w:hAnsi="Times New Roman" w:cs="Times New Roman"/>
          <w:sz w:val="24"/>
          <w:szCs w:val="24"/>
        </w:rPr>
      </w:pPr>
      <w:r w:rsidRPr="00BE7FF4">
        <w:rPr>
          <w:rFonts w:ascii="Times New Roman" w:hAnsi="Times New Roman" w:cs="Times New Roman"/>
          <w:sz w:val="24"/>
          <w:szCs w:val="24"/>
        </w:rPr>
        <w:t>The plates were covered and then kept at 37˚C for 1 hour for incubation.</w:t>
      </w:r>
    </w:p>
    <w:p w14:paraId="7A5A8B02" w14:textId="77777777" w:rsidR="00BE7FF4" w:rsidRPr="00BE7FF4" w:rsidRDefault="00BE7FF4" w:rsidP="00BE7FF4">
      <w:pPr>
        <w:numPr>
          <w:ilvl w:val="0"/>
          <w:numId w:val="9"/>
        </w:numPr>
        <w:jc w:val="both"/>
        <w:rPr>
          <w:rFonts w:ascii="Times New Roman" w:hAnsi="Times New Roman" w:cs="Times New Roman"/>
          <w:sz w:val="24"/>
          <w:szCs w:val="24"/>
        </w:rPr>
      </w:pPr>
      <w:r w:rsidRPr="00BE7FF4">
        <w:rPr>
          <w:rFonts w:ascii="Times New Roman" w:hAnsi="Times New Roman" w:cs="Times New Roman"/>
          <w:sz w:val="24"/>
          <w:szCs w:val="24"/>
        </w:rPr>
        <w:t>The plates were read under bright light.</w:t>
      </w:r>
    </w:p>
    <w:p w14:paraId="7E93C4A8" w14:textId="77777777" w:rsidR="00BE7FF4" w:rsidRPr="00BE7FF4" w:rsidRDefault="00BE7FF4" w:rsidP="00BE7FF4">
      <w:pPr>
        <w:numPr>
          <w:ilvl w:val="0"/>
          <w:numId w:val="9"/>
        </w:numPr>
        <w:jc w:val="both"/>
        <w:rPr>
          <w:rFonts w:ascii="Times New Roman" w:hAnsi="Times New Roman" w:cs="Times New Roman"/>
          <w:sz w:val="24"/>
          <w:szCs w:val="24"/>
        </w:rPr>
      </w:pPr>
      <w:r w:rsidRPr="00BE7FF4">
        <w:rPr>
          <w:rFonts w:ascii="Times New Roman" w:hAnsi="Times New Roman" w:cs="Times New Roman"/>
          <w:sz w:val="24"/>
          <w:szCs w:val="24"/>
        </w:rPr>
        <w:t>The reciprocal of highest dilution showing clear agglutination was the ends titre. The titre were expressed as log 2.</w:t>
      </w:r>
    </w:p>
    <w:p w14:paraId="05EC67D5" w14:textId="77777777" w:rsidR="00BE7FF4" w:rsidRPr="00BE7FF4" w:rsidRDefault="00BE7FF4" w:rsidP="00BE7FF4">
      <w:pPr>
        <w:numPr>
          <w:ilvl w:val="0"/>
          <w:numId w:val="13"/>
        </w:numPr>
        <w:jc w:val="both"/>
        <w:rPr>
          <w:rFonts w:ascii="Times New Roman" w:hAnsi="Times New Roman" w:cs="Times New Roman"/>
          <w:b/>
          <w:bCs/>
          <w:sz w:val="24"/>
          <w:szCs w:val="24"/>
        </w:rPr>
      </w:pPr>
      <w:r w:rsidRPr="00BE7FF4">
        <w:rPr>
          <w:rFonts w:ascii="Times New Roman" w:hAnsi="Times New Roman" w:cs="Times New Roman"/>
          <w:b/>
          <w:bCs/>
          <w:sz w:val="24"/>
          <w:szCs w:val="24"/>
        </w:rPr>
        <w:t>Cell-mediated immune response:</w:t>
      </w:r>
    </w:p>
    <w:p w14:paraId="59580129"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 xml:space="preserve">The cellular immune response was assessed by cutaneous basophilic hypersensitivity test by using PHA-P (Phytohaemagglutinin, lectin from </w:t>
      </w:r>
      <w:r w:rsidRPr="00BE7FF4">
        <w:rPr>
          <w:rFonts w:ascii="Times New Roman" w:hAnsi="Times New Roman" w:cs="Times New Roman"/>
          <w:i/>
          <w:iCs/>
          <w:sz w:val="24"/>
          <w:szCs w:val="24"/>
        </w:rPr>
        <w:t>Phaseolus vulgaris</w:t>
      </w:r>
      <w:r w:rsidRPr="00BE7FF4">
        <w:rPr>
          <w:rFonts w:ascii="Times New Roman" w:hAnsi="Times New Roman" w:cs="Times New Roman"/>
          <w:sz w:val="24"/>
          <w:szCs w:val="24"/>
        </w:rPr>
        <w:t>). 6 birds from each replicate were selected and the toe thickness of both left and right foot at 3</w:t>
      </w:r>
      <w:r w:rsidRPr="00BE7FF4">
        <w:rPr>
          <w:rFonts w:ascii="Times New Roman" w:hAnsi="Times New Roman" w:cs="Times New Roman"/>
          <w:sz w:val="24"/>
          <w:szCs w:val="24"/>
          <w:vertAlign w:val="superscript"/>
        </w:rPr>
        <w:t>rd</w:t>
      </w:r>
      <w:r w:rsidRPr="00BE7FF4">
        <w:rPr>
          <w:rFonts w:ascii="Times New Roman" w:hAnsi="Times New Roman" w:cs="Times New Roman"/>
          <w:sz w:val="24"/>
          <w:szCs w:val="24"/>
        </w:rPr>
        <w:t xml:space="preserve"> and 4</w:t>
      </w:r>
      <w:r w:rsidRPr="00BE7FF4">
        <w:rPr>
          <w:rFonts w:ascii="Times New Roman" w:hAnsi="Times New Roman" w:cs="Times New Roman"/>
          <w:sz w:val="24"/>
          <w:szCs w:val="24"/>
          <w:vertAlign w:val="superscript"/>
        </w:rPr>
        <w:t>th</w:t>
      </w:r>
      <w:r w:rsidRPr="00BE7FF4">
        <w:rPr>
          <w:rFonts w:ascii="Times New Roman" w:hAnsi="Times New Roman" w:cs="Times New Roman"/>
          <w:sz w:val="24"/>
          <w:szCs w:val="24"/>
        </w:rPr>
        <w:t xml:space="preserve"> interdigital spaces were measured by micrometer. Immediately after measurements 100 mg of PHA-P suspended in 0.1 ml of phosphate buffer saline (PBS) and 0.1 ml of PBS was injected into right and left foot (acted as control), respectively. The web swelling of both the foots were measured 24 hours after injection. The cell-mediated immune response (CMIR) or Foot Web Index was determined by using the following formula</w:t>
      </w:r>
    </w:p>
    <w:p w14:paraId="2031773C"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FWI = (R</w:t>
      </w:r>
      <w:r w:rsidRPr="00BE7FF4">
        <w:rPr>
          <w:rFonts w:ascii="Times New Roman" w:hAnsi="Times New Roman" w:cs="Times New Roman"/>
          <w:sz w:val="24"/>
          <w:szCs w:val="24"/>
          <w:vertAlign w:val="subscript"/>
        </w:rPr>
        <w:t>2</w:t>
      </w:r>
      <w:r w:rsidRPr="00BE7FF4">
        <w:rPr>
          <w:rFonts w:ascii="Times New Roman" w:hAnsi="Times New Roman" w:cs="Times New Roman"/>
          <w:sz w:val="24"/>
          <w:szCs w:val="24"/>
        </w:rPr>
        <w:t>-R</w:t>
      </w:r>
      <w:r w:rsidRPr="00BE7FF4">
        <w:rPr>
          <w:rFonts w:ascii="Times New Roman" w:hAnsi="Times New Roman" w:cs="Times New Roman"/>
          <w:sz w:val="24"/>
          <w:szCs w:val="24"/>
          <w:vertAlign w:val="subscript"/>
        </w:rPr>
        <w:t>1</w:t>
      </w:r>
      <w:r w:rsidRPr="00BE7FF4">
        <w:rPr>
          <w:rFonts w:ascii="Times New Roman" w:hAnsi="Times New Roman" w:cs="Times New Roman"/>
          <w:sz w:val="24"/>
          <w:szCs w:val="24"/>
        </w:rPr>
        <w:t>) - (L</w:t>
      </w:r>
      <w:r w:rsidRPr="00BE7FF4">
        <w:rPr>
          <w:rFonts w:ascii="Times New Roman" w:hAnsi="Times New Roman" w:cs="Times New Roman"/>
          <w:sz w:val="24"/>
          <w:szCs w:val="24"/>
          <w:vertAlign w:val="subscript"/>
        </w:rPr>
        <w:t>2</w:t>
      </w:r>
      <w:r w:rsidRPr="00BE7FF4">
        <w:rPr>
          <w:rFonts w:ascii="Times New Roman" w:hAnsi="Times New Roman" w:cs="Times New Roman"/>
          <w:sz w:val="24"/>
          <w:szCs w:val="24"/>
        </w:rPr>
        <w:t>-L</w:t>
      </w:r>
      <w:r w:rsidRPr="00BE7FF4">
        <w:rPr>
          <w:rFonts w:ascii="Times New Roman" w:hAnsi="Times New Roman" w:cs="Times New Roman"/>
          <w:sz w:val="24"/>
          <w:szCs w:val="24"/>
          <w:vertAlign w:val="subscript"/>
        </w:rPr>
        <w:t>1</w:t>
      </w:r>
      <w:r w:rsidRPr="00BE7FF4">
        <w:rPr>
          <w:rFonts w:ascii="Times New Roman" w:hAnsi="Times New Roman" w:cs="Times New Roman"/>
          <w:sz w:val="24"/>
          <w:szCs w:val="24"/>
        </w:rPr>
        <w:t>) (Corrier and DeLoach, 1990).</w:t>
      </w:r>
    </w:p>
    <w:p w14:paraId="24B7FD82"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where R</w:t>
      </w:r>
      <w:r w:rsidRPr="00BE7FF4">
        <w:rPr>
          <w:rFonts w:ascii="Times New Roman" w:hAnsi="Times New Roman" w:cs="Times New Roman"/>
          <w:sz w:val="24"/>
          <w:szCs w:val="24"/>
          <w:vertAlign w:val="subscript"/>
        </w:rPr>
        <w:t>2</w:t>
      </w:r>
      <w:r w:rsidRPr="00BE7FF4">
        <w:rPr>
          <w:rFonts w:ascii="Times New Roman" w:hAnsi="Times New Roman" w:cs="Times New Roman"/>
          <w:sz w:val="24"/>
          <w:szCs w:val="24"/>
        </w:rPr>
        <w:t>- thickness after 24 hours of PHA-P injection</w:t>
      </w:r>
    </w:p>
    <w:p w14:paraId="41852D5B"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R</w:t>
      </w:r>
      <w:r w:rsidRPr="00BE7FF4">
        <w:rPr>
          <w:rFonts w:ascii="Times New Roman" w:hAnsi="Times New Roman" w:cs="Times New Roman"/>
          <w:sz w:val="24"/>
          <w:szCs w:val="24"/>
          <w:vertAlign w:val="subscript"/>
        </w:rPr>
        <w:t>1</w:t>
      </w:r>
      <w:r w:rsidRPr="00BE7FF4">
        <w:rPr>
          <w:rFonts w:ascii="Times New Roman" w:hAnsi="Times New Roman" w:cs="Times New Roman"/>
          <w:sz w:val="24"/>
          <w:szCs w:val="24"/>
        </w:rPr>
        <w:t xml:space="preserve">- thickness before injection of PHA-P </w:t>
      </w:r>
    </w:p>
    <w:p w14:paraId="2D29E0B0"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L</w:t>
      </w:r>
      <w:r w:rsidRPr="00BE7FF4">
        <w:rPr>
          <w:rFonts w:ascii="Times New Roman" w:hAnsi="Times New Roman" w:cs="Times New Roman"/>
          <w:sz w:val="24"/>
          <w:szCs w:val="24"/>
          <w:vertAlign w:val="subscript"/>
        </w:rPr>
        <w:t>2</w:t>
      </w:r>
      <w:r w:rsidRPr="00BE7FF4">
        <w:rPr>
          <w:rFonts w:ascii="Times New Roman" w:hAnsi="Times New Roman" w:cs="Times New Roman"/>
          <w:sz w:val="24"/>
          <w:szCs w:val="24"/>
        </w:rPr>
        <w:t>- thickness after 24 hours of PBS solution</w:t>
      </w:r>
    </w:p>
    <w:p w14:paraId="3A9D979B"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L</w:t>
      </w:r>
      <w:r w:rsidRPr="00BE7FF4">
        <w:rPr>
          <w:rFonts w:ascii="Times New Roman" w:hAnsi="Times New Roman" w:cs="Times New Roman"/>
          <w:sz w:val="24"/>
          <w:szCs w:val="24"/>
          <w:vertAlign w:val="subscript"/>
        </w:rPr>
        <w:t>1</w:t>
      </w:r>
      <w:r w:rsidRPr="00BE7FF4">
        <w:rPr>
          <w:rFonts w:ascii="Times New Roman" w:hAnsi="Times New Roman" w:cs="Times New Roman"/>
          <w:sz w:val="24"/>
          <w:szCs w:val="24"/>
        </w:rPr>
        <w:t>- thickness before injection of PBS solution</w:t>
      </w:r>
    </w:p>
    <w:p w14:paraId="5699364A" w14:textId="77777777" w:rsidR="00BE7FF4" w:rsidRPr="00BE7FF4" w:rsidRDefault="00BE7FF4" w:rsidP="00BE7FF4">
      <w:pPr>
        <w:jc w:val="both"/>
        <w:rPr>
          <w:rFonts w:ascii="Times New Roman" w:hAnsi="Times New Roman" w:cs="Times New Roman"/>
          <w:b/>
          <w:sz w:val="24"/>
          <w:szCs w:val="24"/>
        </w:rPr>
      </w:pPr>
      <w:r w:rsidRPr="00BE7FF4">
        <w:rPr>
          <w:rFonts w:ascii="Times New Roman" w:hAnsi="Times New Roman" w:cs="Times New Roman"/>
          <w:b/>
          <w:sz w:val="24"/>
          <w:szCs w:val="24"/>
        </w:rPr>
        <w:t xml:space="preserve">STATISTICAL ANALYSIS: </w:t>
      </w:r>
    </w:p>
    <w:p w14:paraId="4EC49E9B" w14:textId="77777777" w:rsidR="00BE7FF4" w:rsidRPr="00BE7FF4" w:rsidRDefault="00BE7FF4" w:rsidP="00BE7FF4">
      <w:pPr>
        <w:jc w:val="both"/>
        <w:rPr>
          <w:rFonts w:ascii="Times New Roman" w:hAnsi="Times New Roman" w:cs="Times New Roman"/>
          <w:sz w:val="24"/>
          <w:szCs w:val="24"/>
        </w:rPr>
      </w:pPr>
      <w:r w:rsidRPr="00BE7FF4">
        <w:rPr>
          <w:rFonts w:ascii="Times New Roman" w:hAnsi="Times New Roman" w:cs="Times New Roman"/>
          <w:sz w:val="24"/>
          <w:szCs w:val="24"/>
        </w:rPr>
        <w:t>Statistical analysis of the data was done by analysis of variance using completely randomized design (CRD) as per Snedecor and Cochran (1994). Differences among the treatments were tested for significance by Duncan’s Multiple Range Test (1955).</w:t>
      </w:r>
    </w:p>
    <w:p w14:paraId="422677E5" w14:textId="77777777" w:rsidR="00AB7594" w:rsidRDefault="00AB7594" w:rsidP="00C67A5C">
      <w:pPr>
        <w:jc w:val="both"/>
        <w:rPr>
          <w:rFonts w:ascii="Times New Roman" w:hAnsi="Times New Roman" w:cs="Times New Roman"/>
          <w:b/>
          <w:sz w:val="24"/>
          <w:szCs w:val="24"/>
        </w:rPr>
      </w:pPr>
    </w:p>
    <w:p w14:paraId="34790B71" w14:textId="7D5BB472" w:rsidR="00C67A5C" w:rsidRPr="00C67A5C" w:rsidRDefault="00C67A5C" w:rsidP="00C67A5C">
      <w:pPr>
        <w:jc w:val="both"/>
        <w:rPr>
          <w:rFonts w:ascii="Times New Roman" w:hAnsi="Times New Roman" w:cs="Times New Roman"/>
          <w:b/>
          <w:bCs/>
          <w:sz w:val="24"/>
          <w:szCs w:val="24"/>
        </w:rPr>
      </w:pPr>
      <w:r w:rsidRPr="00C67A5C">
        <w:rPr>
          <w:rFonts w:ascii="Times New Roman" w:hAnsi="Times New Roman" w:cs="Times New Roman"/>
          <w:b/>
          <w:sz w:val="24"/>
          <w:szCs w:val="24"/>
        </w:rPr>
        <w:t>RESULTS AND DISCUSSION:</w:t>
      </w:r>
    </w:p>
    <w:p w14:paraId="19FDE45B" w14:textId="77777777" w:rsidR="00ED1138" w:rsidRPr="00ED1138" w:rsidRDefault="00ED1138" w:rsidP="00ED1138">
      <w:pPr>
        <w:jc w:val="both"/>
        <w:rPr>
          <w:rFonts w:ascii="Times New Roman" w:hAnsi="Times New Roman" w:cs="Times New Roman"/>
          <w:b/>
          <w:bCs/>
          <w:sz w:val="24"/>
          <w:szCs w:val="24"/>
        </w:rPr>
      </w:pPr>
      <w:r w:rsidRPr="00ED1138">
        <w:rPr>
          <w:rFonts w:ascii="Times New Roman" w:hAnsi="Times New Roman" w:cs="Times New Roman"/>
          <w:b/>
          <w:bCs/>
          <w:sz w:val="24"/>
          <w:szCs w:val="24"/>
        </w:rPr>
        <w:t>1. Haematological Studies</w:t>
      </w:r>
    </w:p>
    <w:p w14:paraId="727D8E6C" w14:textId="3CE88803" w:rsidR="00915487" w:rsidRPr="00915487" w:rsidRDefault="00915487" w:rsidP="00915487">
      <w:pPr>
        <w:jc w:val="both"/>
        <w:rPr>
          <w:rFonts w:ascii="Times New Roman" w:hAnsi="Times New Roman" w:cs="Times New Roman"/>
          <w:sz w:val="24"/>
          <w:szCs w:val="24"/>
        </w:rPr>
      </w:pPr>
      <w:r w:rsidRPr="00915487">
        <w:rPr>
          <w:rFonts w:ascii="Times New Roman" w:hAnsi="Times New Roman" w:cs="Times New Roman"/>
          <w:sz w:val="24"/>
          <w:szCs w:val="24"/>
        </w:rPr>
        <w:t xml:space="preserve">The haematological profile observed in this study presents values for Total Erythrocyte Count (TEC), Total Leukocyte Count (TLC), Haemoglobin (Hb), Packed Cell Volume (PCV), Mean Corpuscular Volume (MCV), and Mean Corpuscular </w:t>
      </w:r>
      <w:commentRangeStart w:id="8"/>
      <w:r w:rsidRPr="00915487">
        <w:rPr>
          <w:rFonts w:ascii="Times New Roman" w:hAnsi="Times New Roman" w:cs="Times New Roman"/>
          <w:sz w:val="24"/>
          <w:szCs w:val="24"/>
        </w:rPr>
        <w:t xml:space="preserve">Hemoglobin </w:t>
      </w:r>
      <w:commentRangeEnd w:id="8"/>
      <w:r w:rsidR="001E66AF">
        <w:rPr>
          <w:rStyle w:val="CommentReference"/>
          <w:rtl/>
        </w:rPr>
        <w:commentReference w:id="8"/>
      </w:r>
      <w:r w:rsidRPr="00915487">
        <w:rPr>
          <w:rFonts w:ascii="Times New Roman" w:hAnsi="Times New Roman" w:cs="Times New Roman"/>
          <w:sz w:val="24"/>
          <w:szCs w:val="24"/>
        </w:rPr>
        <w:t xml:space="preserve">Concentration (MCHC) across three replicates (R1, R2, R3) at 6 and 12 weeks of age, as shown in </w:t>
      </w:r>
      <w:r w:rsidR="008F4A60">
        <w:rPr>
          <w:rFonts w:ascii="Times New Roman" w:hAnsi="Times New Roman" w:cs="Times New Roman"/>
          <w:sz w:val="24"/>
          <w:szCs w:val="24"/>
        </w:rPr>
        <w:t>(</w:t>
      </w:r>
      <w:r w:rsidRPr="00915487">
        <w:rPr>
          <w:rFonts w:ascii="Times New Roman" w:hAnsi="Times New Roman" w:cs="Times New Roman"/>
          <w:sz w:val="24"/>
          <w:szCs w:val="24"/>
        </w:rPr>
        <w:t xml:space="preserve">Table </w:t>
      </w:r>
      <w:r w:rsidR="008F4A60">
        <w:rPr>
          <w:rFonts w:ascii="Times New Roman" w:hAnsi="Times New Roman" w:cs="Times New Roman"/>
          <w:sz w:val="24"/>
          <w:szCs w:val="24"/>
        </w:rPr>
        <w:t>6</w:t>
      </w:r>
      <w:r w:rsidRPr="00915487">
        <w:rPr>
          <w:rFonts w:ascii="Times New Roman" w:hAnsi="Times New Roman" w:cs="Times New Roman"/>
          <w:sz w:val="24"/>
          <w:szCs w:val="24"/>
        </w:rPr>
        <w:t xml:space="preserve"> and Figures 1 and 2</w:t>
      </w:r>
      <w:r w:rsidR="008F4A60">
        <w:rPr>
          <w:rFonts w:ascii="Times New Roman" w:hAnsi="Times New Roman" w:cs="Times New Roman"/>
          <w:sz w:val="24"/>
          <w:szCs w:val="24"/>
        </w:rPr>
        <w:t>)</w:t>
      </w:r>
      <w:r w:rsidRPr="00915487">
        <w:rPr>
          <w:rFonts w:ascii="Times New Roman" w:hAnsi="Times New Roman" w:cs="Times New Roman"/>
          <w:sz w:val="24"/>
          <w:szCs w:val="24"/>
        </w:rPr>
        <w:t>. TEC values showed a gradual decline from 6th to 12th week across all replicates, with R2 recording a significantly higher TEC at the 12th week (p&lt;0.01). TLC values remained consistent across replicates, with no significant differences throughout the experimental period. For haemoglobin concentration, R2 demonstrated significantly higher levels at the 6th week (p&lt;0.01), while all replicates converged to comparable values by the 12th week. PCV values at the 6th week were significantly higher in R2 (p&lt;0.01), though no significant variation was found at the 12th week. MCV values remained statistically similar across replicates, suggesting stable red cell size throughout. MCHC values showed significant differences at both 6th and 12th weeks, with R3 registering the highest MCHC at 12 weeks (p&lt;0.01). These findings corroborate earlier studies by Lazar et al. (2012) in hybrid B.U.T 6 turkeys and other research by Olaniyi et al. (2012), Sogunle et al. (2008), and Safiyu et al. (2020), who noted minimal impact of rearing systems on turkey haematology. The TEC, TLC, Hb, and PCV values fall within normal physiological ranges previously established for indigenous and crossbred turkeys (Isidahomen et al., 2013). Contrarily, studies on chickens by Addass et al. (2012) and Etim et al. (2014) indicated higher haematological indices in indoor-reared birds, highlighting species-specific responses. Moreover, Milenkaya et al. (2013) reported sex and reproductive stage-related variations in haematological indices, which could explain discrepancies due to physiological or environmental differences from the current study.</w:t>
      </w:r>
    </w:p>
    <w:p w14:paraId="1A6CCBA3" w14:textId="3C666465" w:rsidR="00D207D9" w:rsidRPr="00D207D9" w:rsidRDefault="00D207D9" w:rsidP="00D207D9">
      <w:pPr>
        <w:jc w:val="both"/>
        <w:rPr>
          <w:rFonts w:ascii="Times New Roman" w:hAnsi="Times New Roman" w:cs="Times New Roman"/>
          <w:b/>
          <w:sz w:val="24"/>
          <w:szCs w:val="24"/>
        </w:rPr>
      </w:pPr>
      <w:r w:rsidRPr="00D207D9">
        <w:rPr>
          <w:rFonts w:ascii="Times New Roman" w:hAnsi="Times New Roman" w:cs="Times New Roman"/>
          <w:b/>
          <w:sz w:val="24"/>
          <w:szCs w:val="24"/>
        </w:rPr>
        <w:t xml:space="preserve">Table </w:t>
      </w:r>
      <w:r w:rsidR="00AB7594">
        <w:rPr>
          <w:rFonts w:ascii="Times New Roman" w:hAnsi="Times New Roman" w:cs="Times New Roman"/>
          <w:b/>
          <w:sz w:val="24"/>
          <w:szCs w:val="24"/>
        </w:rPr>
        <w:t>6</w:t>
      </w:r>
      <w:r w:rsidRPr="00D207D9">
        <w:rPr>
          <w:rFonts w:ascii="Times New Roman" w:hAnsi="Times New Roman" w:cs="Times New Roman"/>
          <w:b/>
          <w:sz w:val="24"/>
          <w:szCs w:val="24"/>
        </w:rPr>
        <w:t>:</w:t>
      </w:r>
      <w:commentRangeStart w:id="9"/>
      <w:r w:rsidRPr="00D207D9">
        <w:rPr>
          <w:rFonts w:ascii="Times New Roman" w:hAnsi="Times New Roman" w:cs="Times New Roman"/>
          <w:b/>
          <w:sz w:val="24"/>
          <w:szCs w:val="24"/>
        </w:rPr>
        <w:tab/>
      </w:r>
      <w:commentRangeEnd w:id="9"/>
      <w:r w:rsidR="0001262A">
        <w:rPr>
          <w:rStyle w:val="CommentReference"/>
          <w:rtl/>
        </w:rPr>
        <w:commentReference w:id="9"/>
      </w:r>
      <w:r w:rsidRPr="00D207D9">
        <w:rPr>
          <w:rFonts w:ascii="Times New Roman" w:hAnsi="Times New Roman" w:cs="Times New Roman"/>
          <w:b/>
          <w:sz w:val="24"/>
          <w:szCs w:val="24"/>
        </w:rPr>
        <w:t xml:space="preserve">Hematological parameters of Turkey in different replicates at 6 weeks </w:t>
      </w:r>
      <w:commentRangeStart w:id="10"/>
      <w:r w:rsidRPr="00D207D9">
        <w:rPr>
          <w:rFonts w:ascii="Times New Roman" w:hAnsi="Times New Roman" w:cs="Times New Roman"/>
          <w:b/>
          <w:sz w:val="24"/>
          <w:szCs w:val="24"/>
        </w:rPr>
        <w:t>interval</w:t>
      </w:r>
      <w:commentRangeEnd w:id="10"/>
      <w:r w:rsidR="00D6006C">
        <w:rPr>
          <w:rStyle w:val="CommentReference"/>
          <w:rtl/>
        </w:rPr>
        <w:commentReference w:id="10"/>
      </w:r>
      <w:r w:rsidR="00D6006C">
        <w:rPr>
          <w:rFonts w:ascii="Times New Roman" w:hAnsi="Times New Roman" w:cs="Times New Roman" w:hint="cs"/>
          <w:b/>
          <w:sz w:val="24"/>
          <w:szCs w:val="24"/>
          <w:rt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1459"/>
        <w:gridCol w:w="1634"/>
        <w:gridCol w:w="1634"/>
        <w:gridCol w:w="1634"/>
      </w:tblGrid>
      <w:tr w:rsidR="007A36B5" w:rsidRPr="007A36B5" w14:paraId="529ED701" w14:textId="77777777" w:rsidTr="00BB28A2">
        <w:trPr>
          <w:trHeight w:val="506"/>
          <w:jc w:val="center"/>
        </w:trPr>
        <w:tc>
          <w:tcPr>
            <w:tcW w:w="1762" w:type="dxa"/>
            <w:vAlign w:val="center"/>
          </w:tcPr>
          <w:p w14:paraId="24B43D9E"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Parameters</w:t>
            </w:r>
          </w:p>
        </w:tc>
        <w:tc>
          <w:tcPr>
            <w:tcW w:w="1459" w:type="dxa"/>
            <w:vAlign w:val="center"/>
          </w:tcPr>
          <w:p w14:paraId="31AC9CD5"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Age</w:t>
            </w:r>
          </w:p>
        </w:tc>
        <w:tc>
          <w:tcPr>
            <w:tcW w:w="1634" w:type="dxa"/>
            <w:vAlign w:val="center"/>
          </w:tcPr>
          <w:p w14:paraId="46096754"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R</w:t>
            </w:r>
            <w:r w:rsidRPr="007A36B5">
              <w:rPr>
                <w:rFonts w:ascii="Times New Roman" w:hAnsi="Times New Roman" w:cs="Times New Roman"/>
                <w:b/>
                <w:bCs/>
                <w:sz w:val="24"/>
                <w:szCs w:val="24"/>
                <w:vertAlign w:val="subscript"/>
              </w:rPr>
              <w:t>1</w:t>
            </w:r>
          </w:p>
        </w:tc>
        <w:tc>
          <w:tcPr>
            <w:tcW w:w="1634" w:type="dxa"/>
            <w:vAlign w:val="center"/>
          </w:tcPr>
          <w:p w14:paraId="71CDD415"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R</w:t>
            </w:r>
            <w:r w:rsidRPr="007A36B5">
              <w:rPr>
                <w:rFonts w:ascii="Times New Roman" w:hAnsi="Times New Roman" w:cs="Times New Roman"/>
                <w:b/>
                <w:bCs/>
                <w:sz w:val="24"/>
                <w:szCs w:val="24"/>
                <w:vertAlign w:val="subscript"/>
              </w:rPr>
              <w:t>2</w:t>
            </w:r>
          </w:p>
        </w:tc>
        <w:tc>
          <w:tcPr>
            <w:tcW w:w="1634" w:type="dxa"/>
            <w:vAlign w:val="center"/>
          </w:tcPr>
          <w:p w14:paraId="004E3047"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R</w:t>
            </w:r>
            <w:r w:rsidRPr="007A36B5">
              <w:rPr>
                <w:rFonts w:ascii="Times New Roman" w:hAnsi="Times New Roman" w:cs="Times New Roman"/>
                <w:b/>
                <w:bCs/>
                <w:sz w:val="24"/>
                <w:szCs w:val="24"/>
                <w:vertAlign w:val="subscript"/>
              </w:rPr>
              <w:t>3</w:t>
            </w:r>
          </w:p>
        </w:tc>
      </w:tr>
      <w:tr w:rsidR="007A36B5" w:rsidRPr="007A36B5" w14:paraId="2F82D8F5" w14:textId="77777777" w:rsidTr="00BB28A2">
        <w:trPr>
          <w:trHeight w:val="70"/>
          <w:jc w:val="center"/>
        </w:trPr>
        <w:tc>
          <w:tcPr>
            <w:tcW w:w="1762" w:type="dxa"/>
            <w:vMerge w:val="restart"/>
            <w:vAlign w:val="center"/>
          </w:tcPr>
          <w:p w14:paraId="32AB1895"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TEC</w:t>
            </w:r>
          </w:p>
          <w:p w14:paraId="68DADE79"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(10</w:t>
            </w:r>
            <w:r w:rsidRPr="007A36B5">
              <w:rPr>
                <w:rFonts w:ascii="Times New Roman" w:hAnsi="Times New Roman" w:cs="Times New Roman"/>
                <w:b/>
                <w:bCs/>
                <w:sz w:val="24"/>
                <w:szCs w:val="24"/>
                <w:vertAlign w:val="superscript"/>
              </w:rPr>
              <w:t>6</w:t>
            </w:r>
            <w:r w:rsidRPr="007A36B5">
              <w:rPr>
                <w:rFonts w:ascii="Times New Roman" w:hAnsi="Times New Roman" w:cs="Times New Roman"/>
                <w:b/>
                <w:bCs/>
                <w:sz w:val="24"/>
                <w:szCs w:val="24"/>
              </w:rPr>
              <w:t>/µl)</w:t>
            </w:r>
          </w:p>
        </w:tc>
        <w:tc>
          <w:tcPr>
            <w:tcW w:w="1459" w:type="dxa"/>
            <w:vAlign w:val="center"/>
          </w:tcPr>
          <w:p w14:paraId="2F95B9B3"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6</w:t>
            </w:r>
            <w:r w:rsidRPr="007A36B5">
              <w:rPr>
                <w:rFonts w:ascii="Times New Roman" w:hAnsi="Times New Roman" w:cs="Times New Roman"/>
                <w:b/>
                <w:bCs/>
                <w:sz w:val="24"/>
                <w:szCs w:val="24"/>
                <w:vertAlign w:val="superscript"/>
              </w:rPr>
              <w:t>th</w:t>
            </w:r>
            <w:r w:rsidRPr="007A36B5">
              <w:rPr>
                <w:rFonts w:ascii="Times New Roman" w:hAnsi="Times New Roman" w:cs="Times New Roman"/>
                <w:b/>
                <w:bCs/>
                <w:sz w:val="24"/>
                <w:szCs w:val="24"/>
              </w:rPr>
              <w:t xml:space="preserve"> week</w:t>
            </w:r>
          </w:p>
        </w:tc>
        <w:tc>
          <w:tcPr>
            <w:tcW w:w="1634" w:type="dxa"/>
            <w:vAlign w:val="center"/>
          </w:tcPr>
          <w:p w14:paraId="1E01D787"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3.34±0.03</w:t>
            </w:r>
          </w:p>
        </w:tc>
        <w:tc>
          <w:tcPr>
            <w:tcW w:w="1634" w:type="dxa"/>
            <w:vAlign w:val="center"/>
          </w:tcPr>
          <w:p w14:paraId="47B6252B"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3.35±0.03</w:t>
            </w:r>
          </w:p>
        </w:tc>
        <w:tc>
          <w:tcPr>
            <w:tcW w:w="1634" w:type="dxa"/>
            <w:vAlign w:val="center"/>
          </w:tcPr>
          <w:p w14:paraId="31BCB545"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3.32±0.00</w:t>
            </w:r>
          </w:p>
        </w:tc>
      </w:tr>
      <w:tr w:rsidR="007A36B5" w:rsidRPr="007A36B5" w14:paraId="27B3348B" w14:textId="77777777" w:rsidTr="00BB28A2">
        <w:trPr>
          <w:trHeight w:val="70"/>
          <w:jc w:val="center"/>
        </w:trPr>
        <w:tc>
          <w:tcPr>
            <w:tcW w:w="1762" w:type="dxa"/>
            <w:vMerge/>
            <w:vAlign w:val="center"/>
          </w:tcPr>
          <w:p w14:paraId="49C9EE05" w14:textId="77777777" w:rsidR="007A36B5" w:rsidRPr="007A36B5" w:rsidRDefault="007A36B5" w:rsidP="007A36B5">
            <w:pPr>
              <w:jc w:val="both"/>
              <w:rPr>
                <w:rFonts w:ascii="Times New Roman" w:hAnsi="Times New Roman" w:cs="Times New Roman"/>
                <w:b/>
                <w:bCs/>
                <w:sz w:val="24"/>
                <w:szCs w:val="24"/>
              </w:rPr>
            </w:pPr>
          </w:p>
        </w:tc>
        <w:tc>
          <w:tcPr>
            <w:tcW w:w="1459" w:type="dxa"/>
            <w:vAlign w:val="center"/>
          </w:tcPr>
          <w:p w14:paraId="62BD0670"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12</w:t>
            </w:r>
            <w:r w:rsidRPr="007A36B5">
              <w:rPr>
                <w:rFonts w:ascii="Times New Roman" w:hAnsi="Times New Roman" w:cs="Times New Roman"/>
                <w:b/>
                <w:bCs/>
                <w:sz w:val="24"/>
                <w:szCs w:val="24"/>
                <w:vertAlign w:val="superscript"/>
              </w:rPr>
              <w:t>th</w:t>
            </w:r>
            <w:r w:rsidRPr="007A36B5">
              <w:rPr>
                <w:rFonts w:ascii="Times New Roman" w:hAnsi="Times New Roman" w:cs="Times New Roman"/>
                <w:b/>
                <w:bCs/>
                <w:sz w:val="24"/>
                <w:szCs w:val="24"/>
              </w:rPr>
              <w:t xml:space="preserve"> week</w:t>
            </w:r>
          </w:p>
        </w:tc>
        <w:tc>
          <w:tcPr>
            <w:tcW w:w="1634" w:type="dxa"/>
            <w:vAlign w:val="center"/>
          </w:tcPr>
          <w:p w14:paraId="08ACE19D"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3.13</w:t>
            </w:r>
            <w:commentRangeStart w:id="12"/>
            <w:r w:rsidRPr="007A36B5">
              <w:rPr>
                <w:rFonts w:ascii="Times New Roman" w:hAnsi="Times New Roman" w:cs="Times New Roman"/>
                <w:sz w:val="24"/>
                <w:szCs w:val="24"/>
                <w:vertAlign w:val="superscript"/>
              </w:rPr>
              <w:t>b</w:t>
            </w:r>
            <w:commentRangeEnd w:id="12"/>
            <w:r w:rsidR="00D6006C">
              <w:rPr>
                <w:rStyle w:val="CommentReference"/>
                <w:rtl/>
              </w:rPr>
              <w:commentReference w:id="12"/>
            </w:r>
            <w:r w:rsidRPr="007A36B5">
              <w:rPr>
                <w:rFonts w:ascii="Times New Roman" w:hAnsi="Times New Roman" w:cs="Times New Roman"/>
                <w:sz w:val="24"/>
                <w:szCs w:val="24"/>
              </w:rPr>
              <w:t>±0.02</w:t>
            </w:r>
          </w:p>
        </w:tc>
        <w:tc>
          <w:tcPr>
            <w:tcW w:w="1634" w:type="dxa"/>
            <w:vAlign w:val="center"/>
          </w:tcPr>
          <w:p w14:paraId="6B57FF3A"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3.21</w:t>
            </w:r>
            <w:r w:rsidRPr="007A36B5">
              <w:rPr>
                <w:rFonts w:ascii="Times New Roman" w:hAnsi="Times New Roman" w:cs="Times New Roman"/>
                <w:sz w:val="24"/>
                <w:szCs w:val="24"/>
                <w:vertAlign w:val="superscript"/>
              </w:rPr>
              <w:t>a</w:t>
            </w:r>
            <w:r w:rsidRPr="007A36B5">
              <w:rPr>
                <w:rFonts w:ascii="Times New Roman" w:hAnsi="Times New Roman" w:cs="Times New Roman"/>
                <w:sz w:val="24"/>
                <w:szCs w:val="24"/>
              </w:rPr>
              <w:t>±0.02</w:t>
            </w:r>
          </w:p>
        </w:tc>
        <w:tc>
          <w:tcPr>
            <w:tcW w:w="1634" w:type="dxa"/>
            <w:vAlign w:val="center"/>
          </w:tcPr>
          <w:p w14:paraId="29E740F1"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3.20</w:t>
            </w:r>
            <w:r w:rsidRPr="007A36B5">
              <w:rPr>
                <w:rFonts w:ascii="Times New Roman" w:hAnsi="Times New Roman" w:cs="Times New Roman"/>
                <w:sz w:val="24"/>
                <w:szCs w:val="24"/>
                <w:vertAlign w:val="superscript"/>
              </w:rPr>
              <w:t>a</w:t>
            </w:r>
            <w:r w:rsidRPr="007A36B5">
              <w:rPr>
                <w:rFonts w:ascii="Times New Roman" w:hAnsi="Times New Roman" w:cs="Times New Roman"/>
                <w:sz w:val="24"/>
                <w:szCs w:val="24"/>
              </w:rPr>
              <w:t>±0.00</w:t>
            </w:r>
          </w:p>
        </w:tc>
      </w:tr>
      <w:tr w:rsidR="007A36B5" w:rsidRPr="007A36B5" w14:paraId="69AE536B" w14:textId="77777777" w:rsidTr="00BB28A2">
        <w:trPr>
          <w:trHeight w:val="70"/>
          <w:jc w:val="center"/>
        </w:trPr>
        <w:tc>
          <w:tcPr>
            <w:tcW w:w="1762" w:type="dxa"/>
            <w:vMerge w:val="restart"/>
            <w:vAlign w:val="center"/>
          </w:tcPr>
          <w:p w14:paraId="20F38DEB"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TLC</w:t>
            </w:r>
          </w:p>
          <w:p w14:paraId="3A98268B"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(10</w:t>
            </w:r>
            <w:r w:rsidRPr="007A36B5">
              <w:rPr>
                <w:rFonts w:ascii="Times New Roman" w:hAnsi="Times New Roman" w:cs="Times New Roman"/>
                <w:b/>
                <w:bCs/>
                <w:sz w:val="24"/>
                <w:szCs w:val="24"/>
                <w:vertAlign w:val="superscript"/>
              </w:rPr>
              <w:t>3</w:t>
            </w:r>
            <w:r w:rsidRPr="007A36B5">
              <w:rPr>
                <w:rFonts w:ascii="Times New Roman" w:hAnsi="Times New Roman" w:cs="Times New Roman"/>
                <w:b/>
                <w:bCs/>
                <w:sz w:val="24"/>
                <w:szCs w:val="24"/>
              </w:rPr>
              <w:t>/µl)</w:t>
            </w:r>
          </w:p>
        </w:tc>
        <w:tc>
          <w:tcPr>
            <w:tcW w:w="1459" w:type="dxa"/>
            <w:vAlign w:val="center"/>
          </w:tcPr>
          <w:p w14:paraId="7A0B88D8"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6</w:t>
            </w:r>
            <w:r w:rsidRPr="007A36B5">
              <w:rPr>
                <w:rFonts w:ascii="Times New Roman" w:hAnsi="Times New Roman" w:cs="Times New Roman"/>
                <w:b/>
                <w:bCs/>
                <w:sz w:val="24"/>
                <w:szCs w:val="24"/>
                <w:vertAlign w:val="superscript"/>
              </w:rPr>
              <w:t>th</w:t>
            </w:r>
            <w:r w:rsidRPr="007A36B5">
              <w:rPr>
                <w:rFonts w:ascii="Times New Roman" w:hAnsi="Times New Roman" w:cs="Times New Roman"/>
                <w:b/>
                <w:bCs/>
                <w:sz w:val="24"/>
                <w:szCs w:val="24"/>
              </w:rPr>
              <w:t xml:space="preserve"> week</w:t>
            </w:r>
          </w:p>
        </w:tc>
        <w:tc>
          <w:tcPr>
            <w:tcW w:w="1634" w:type="dxa"/>
            <w:vAlign w:val="center"/>
          </w:tcPr>
          <w:p w14:paraId="278DCB52"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13.63±0.16</w:t>
            </w:r>
          </w:p>
        </w:tc>
        <w:tc>
          <w:tcPr>
            <w:tcW w:w="1634" w:type="dxa"/>
            <w:vAlign w:val="center"/>
          </w:tcPr>
          <w:p w14:paraId="05BDBE38"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13.58±0.16</w:t>
            </w:r>
          </w:p>
        </w:tc>
        <w:tc>
          <w:tcPr>
            <w:tcW w:w="1634" w:type="dxa"/>
            <w:vAlign w:val="center"/>
          </w:tcPr>
          <w:p w14:paraId="5B370B03"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13.58±0.00</w:t>
            </w:r>
          </w:p>
        </w:tc>
      </w:tr>
      <w:tr w:rsidR="007A36B5" w:rsidRPr="007A36B5" w14:paraId="4A4AE1EF" w14:textId="77777777" w:rsidTr="00BB28A2">
        <w:trPr>
          <w:trHeight w:val="70"/>
          <w:jc w:val="center"/>
        </w:trPr>
        <w:tc>
          <w:tcPr>
            <w:tcW w:w="1762" w:type="dxa"/>
            <w:vMerge/>
            <w:vAlign w:val="center"/>
          </w:tcPr>
          <w:p w14:paraId="5FC32E33" w14:textId="77777777" w:rsidR="007A36B5" w:rsidRPr="007A36B5" w:rsidRDefault="007A36B5" w:rsidP="007A36B5">
            <w:pPr>
              <w:jc w:val="both"/>
              <w:rPr>
                <w:rFonts w:ascii="Times New Roman" w:hAnsi="Times New Roman" w:cs="Times New Roman"/>
                <w:b/>
                <w:bCs/>
                <w:sz w:val="24"/>
                <w:szCs w:val="24"/>
              </w:rPr>
            </w:pPr>
          </w:p>
        </w:tc>
        <w:tc>
          <w:tcPr>
            <w:tcW w:w="1459" w:type="dxa"/>
            <w:vAlign w:val="center"/>
          </w:tcPr>
          <w:p w14:paraId="5DD03DCE"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12</w:t>
            </w:r>
            <w:r w:rsidRPr="007A36B5">
              <w:rPr>
                <w:rFonts w:ascii="Times New Roman" w:hAnsi="Times New Roman" w:cs="Times New Roman"/>
                <w:b/>
                <w:bCs/>
                <w:sz w:val="24"/>
                <w:szCs w:val="24"/>
                <w:vertAlign w:val="superscript"/>
              </w:rPr>
              <w:t>th</w:t>
            </w:r>
            <w:r w:rsidRPr="007A36B5">
              <w:rPr>
                <w:rFonts w:ascii="Times New Roman" w:hAnsi="Times New Roman" w:cs="Times New Roman"/>
                <w:b/>
                <w:bCs/>
                <w:sz w:val="24"/>
                <w:szCs w:val="24"/>
              </w:rPr>
              <w:t xml:space="preserve"> week</w:t>
            </w:r>
          </w:p>
        </w:tc>
        <w:tc>
          <w:tcPr>
            <w:tcW w:w="1634" w:type="dxa"/>
            <w:vAlign w:val="center"/>
          </w:tcPr>
          <w:p w14:paraId="18DFFB87"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12.94±0.13</w:t>
            </w:r>
          </w:p>
        </w:tc>
        <w:tc>
          <w:tcPr>
            <w:tcW w:w="1634" w:type="dxa"/>
            <w:vAlign w:val="center"/>
          </w:tcPr>
          <w:p w14:paraId="63C12EE6"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13.05±0.13</w:t>
            </w:r>
          </w:p>
        </w:tc>
        <w:tc>
          <w:tcPr>
            <w:tcW w:w="1634" w:type="dxa"/>
            <w:vAlign w:val="center"/>
          </w:tcPr>
          <w:p w14:paraId="05312AFD"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13.07±0.00</w:t>
            </w:r>
          </w:p>
        </w:tc>
      </w:tr>
      <w:tr w:rsidR="007A36B5" w:rsidRPr="007A36B5" w14:paraId="7FDF6ECD" w14:textId="77777777" w:rsidTr="00BB28A2">
        <w:trPr>
          <w:trHeight w:val="70"/>
          <w:jc w:val="center"/>
        </w:trPr>
        <w:tc>
          <w:tcPr>
            <w:tcW w:w="1762" w:type="dxa"/>
            <w:vMerge w:val="restart"/>
            <w:vAlign w:val="center"/>
          </w:tcPr>
          <w:p w14:paraId="35CA663E"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Hb</w:t>
            </w:r>
          </w:p>
          <w:p w14:paraId="30C118E3"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(g/dl)</w:t>
            </w:r>
          </w:p>
        </w:tc>
        <w:tc>
          <w:tcPr>
            <w:tcW w:w="1459" w:type="dxa"/>
            <w:vAlign w:val="center"/>
          </w:tcPr>
          <w:p w14:paraId="7AE4976D"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6</w:t>
            </w:r>
            <w:r w:rsidRPr="007A36B5">
              <w:rPr>
                <w:rFonts w:ascii="Times New Roman" w:hAnsi="Times New Roman" w:cs="Times New Roman"/>
                <w:b/>
                <w:bCs/>
                <w:sz w:val="24"/>
                <w:szCs w:val="24"/>
                <w:vertAlign w:val="superscript"/>
              </w:rPr>
              <w:t>th</w:t>
            </w:r>
            <w:r w:rsidRPr="007A36B5">
              <w:rPr>
                <w:rFonts w:ascii="Times New Roman" w:hAnsi="Times New Roman" w:cs="Times New Roman"/>
                <w:b/>
                <w:bCs/>
                <w:sz w:val="24"/>
                <w:szCs w:val="24"/>
              </w:rPr>
              <w:t xml:space="preserve"> week</w:t>
            </w:r>
          </w:p>
        </w:tc>
        <w:tc>
          <w:tcPr>
            <w:tcW w:w="1634" w:type="dxa"/>
            <w:vAlign w:val="center"/>
          </w:tcPr>
          <w:p w14:paraId="2E921E12"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10.24</w:t>
            </w:r>
            <w:r w:rsidRPr="007A36B5">
              <w:rPr>
                <w:rFonts w:ascii="Times New Roman" w:hAnsi="Times New Roman" w:cs="Times New Roman"/>
                <w:sz w:val="24"/>
                <w:szCs w:val="24"/>
                <w:vertAlign w:val="superscript"/>
              </w:rPr>
              <w:t>b</w:t>
            </w:r>
            <w:r w:rsidRPr="007A36B5">
              <w:rPr>
                <w:rFonts w:ascii="Times New Roman" w:hAnsi="Times New Roman" w:cs="Times New Roman"/>
                <w:sz w:val="24"/>
                <w:szCs w:val="24"/>
              </w:rPr>
              <w:t>±0.15</w:t>
            </w:r>
          </w:p>
        </w:tc>
        <w:tc>
          <w:tcPr>
            <w:tcW w:w="1634" w:type="dxa"/>
            <w:vAlign w:val="center"/>
          </w:tcPr>
          <w:p w14:paraId="36985A8D"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10.57</w:t>
            </w:r>
            <w:r w:rsidRPr="007A36B5">
              <w:rPr>
                <w:rFonts w:ascii="Times New Roman" w:hAnsi="Times New Roman" w:cs="Times New Roman"/>
                <w:sz w:val="24"/>
                <w:szCs w:val="24"/>
                <w:vertAlign w:val="superscript"/>
              </w:rPr>
              <w:t>a</w:t>
            </w:r>
            <w:r w:rsidRPr="007A36B5">
              <w:rPr>
                <w:rFonts w:ascii="Times New Roman" w:hAnsi="Times New Roman" w:cs="Times New Roman"/>
                <w:sz w:val="24"/>
                <w:szCs w:val="24"/>
              </w:rPr>
              <w:t>±0.15</w:t>
            </w:r>
          </w:p>
        </w:tc>
        <w:tc>
          <w:tcPr>
            <w:tcW w:w="1634" w:type="dxa"/>
            <w:vAlign w:val="center"/>
          </w:tcPr>
          <w:p w14:paraId="0DD6AE0A"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10.52</w:t>
            </w:r>
            <w:r w:rsidRPr="007A36B5">
              <w:rPr>
                <w:rFonts w:ascii="Times New Roman" w:hAnsi="Times New Roman" w:cs="Times New Roman"/>
                <w:sz w:val="24"/>
                <w:szCs w:val="24"/>
                <w:vertAlign w:val="superscript"/>
              </w:rPr>
              <w:t>ab</w:t>
            </w:r>
            <w:r w:rsidRPr="007A36B5">
              <w:rPr>
                <w:rFonts w:ascii="Times New Roman" w:hAnsi="Times New Roman" w:cs="Times New Roman"/>
                <w:sz w:val="24"/>
                <w:szCs w:val="24"/>
              </w:rPr>
              <w:t>±0.00</w:t>
            </w:r>
          </w:p>
        </w:tc>
      </w:tr>
      <w:tr w:rsidR="007A36B5" w:rsidRPr="007A36B5" w14:paraId="3101C675" w14:textId="77777777" w:rsidTr="00BB28A2">
        <w:trPr>
          <w:trHeight w:val="70"/>
          <w:jc w:val="center"/>
        </w:trPr>
        <w:tc>
          <w:tcPr>
            <w:tcW w:w="1762" w:type="dxa"/>
            <w:vMerge/>
            <w:vAlign w:val="center"/>
          </w:tcPr>
          <w:p w14:paraId="39AA9F04" w14:textId="77777777" w:rsidR="007A36B5" w:rsidRPr="007A36B5" w:rsidRDefault="007A36B5" w:rsidP="007A36B5">
            <w:pPr>
              <w:jc w:val="both"/>
              <w:rPr>
                <w:rFonts w:ascii="Times New Roman" w:hAnsi="Times New Roman" w:cs="Times New Roman"/>
                <w:b/>
                <w:bCs/>
                <w:sz w:val="24"/>
                <w:szCs w:val="24"/>
              </w:rPr>
            </w:pPr>
          </w:p>
        </w:tc>
        <w:tc>
          <w:tcPr>
            <w:tcW w:w="1459" w:type="dxa"/>
            <w:vAlign w:val="center"/>
          </w:tcPr>
          <w:p w14:paraId="61A32FB2"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12</w:t>
            </w:r>
            <w:r w:rsidRPr="007A36B5">
              <w:rPr>
                <w:rFonts w:ascii="Times New Roman" w:hAnsi="Times New Roman" w:cs="Times New Roman"/>
                <w:b/>
                <w:bCs/>
                <w:sz w:val="24"/>
                <w:szCs w:val="24"/>
                <w:vertAlign w:val="superscript"/>
              </w:rPr>
              <w:t>th</w:t>
            </w:r>
            <w:r w:rsidRPr="007A36B5">
              <w:rPr>
                <w:rFonts w:ascii="Times New Roman" w:hAnsi="Times New Roman" w:cs="Times New Roman"/>
                <w:b/>
                <w:bCs/>
                <w:sz w:val="24"/>
                <w:szCs w:val="24"/>
              </w:rPr>
              <w:t xml:space="preserve"> week</w:t>
            </w:r>
          </w:p>
        </w:tc>
        <w:tc>
          <w:tcPr>
            <w:tcW w:w="1634" w:type="dxa"/>
            <w:vAlign w:val="center"/>
          </w:tcPr>
          <w:p w14:paraId="4C69B84C"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10.95±0.13</w:t>
            </w:r>
          </w:p>
        </w:tc>
        <w:tc>
          <w:tcPr>
            <w:tcW w:w="1634" w:type="dxa"/>
            <w:vAlign w:val="center"/>
          </w:tcPr>
          <w:p w14:paraId="0ED02663"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11.20±0.13</w:t>
            </w:r>
          </w:p>
        </w:tc>
        <w:tc>
          <w:tcPr>
            <w:tcW w:w="1634" w:type="dxa"/>
            <w:vAlign w:val="center"/>
          </w:tcPr>
          <w:p w14:paraId="625D5138"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10.99±0.00</w:t>
            </w:r>
          </w:p>
        </w:tc>
      </w:tr>
      <w:tr w:rsidR="007A36B5" w:rsidRPr="007A36B5" w14:paraId="3BB09946" w14:textId="77777777" w:rsidTr="00BB28A2">
        <w:trPr>
          <w:trHeight w:val="70"/>
          <w:jc w:val="center"/>
        </w:trPr>
        <w:tc>
          <w:tcPr>
            <w:tcW w:w="1762" w:type="dxa"/>
            <w:vMerge w:val="restart"/>
            <w:vAlign w:val="center"/>
          </w:tcPr>
          <w:p w14:paraId="2C274CAC"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PCV</w:t>
            </w:r>
          </w:p>
          <w:p w14:paraId="7AB537F9"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w:t>
            </w:r>
          </w:p>
        </w:tc>
        <w:tc>
          <w:tcPr>
            <w:tcW w:w="1459" w:type="dxa"/>
            <w:vAlign w:val="center"/>
          </w:tcPr>
          <w:p w14:paraId="15315554"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6</w:t>
            </w:r>
            <w:r w:rsidRPr="007A36B5">
              <w:rPr>
                <w:rFonts w:ascii="Times New Roman" w:hAnsi="Times New Roman" w:cs="Times New Roman"/>
                <w:b/>
                <w:bCs/>
                <w:sz w:val="24"/>
                <w:szCs w:val="24"/>
                <w:vertAlign w:val="superscript"/>
              </w:rPr>
              <w:t>th</w:t>
            </w:r>
            <w:r w:rsidRPr="007A36B5">
              <w:rPr>
                <w:rFonts w:ascii="Times New Roman" w:hAnsi="Times New Roman" w:cs="Times New Roman"/>
                <w:b/>
                <w:bCs/>
                <w:sz w:val="24"/>
                <w:szCs w:val="24"/>
              </w:rPr>
              <w:t xml:space="preserve"> week</w:t>
            </w:r>
          </w:p>
        </w:tc>
        <w:tc>
          <w:tcPr>
            <w:tcW w:w="1634" w:type="dxa"/>
            <w:vAlign w:val="center"/>
          </w:tcPr>
          <w:p w14:paraId="20A33363"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36.29</w:t>
            </w:r>
            <w:r w:rsidRPr="007A36B5">
              <w:rPr>
                <w:rFonts w:ascii="Times New Roman" w:hAnsi="Times New Roman" w:cs="Times New Roman"/>
                <w:sz w:val="24"/>
                <w:szCs w:val="24"/>
                <w:vertAlign w:val="superscript"/>
              </w:rPr>
              <w:t>b</w:t>
            </w:r>
            <w:r w:rsidRPr="007A36B5">
              <w:rPr>
                <w:rFonts w:ascii="Times New Roman" w:hAnsi="Times New Roman" w:cs="Times New Roman"/>
                <w:sz w:val="24"/>
                <w:szCs w:val="24"/>
              </w:rPr>
              <w:t>±0.39</w:t>
            </w:r>
          </w:p>
        </w:tc>
        <w:tc>
          <w:tcPr>
            <w:tcW w:w="1634" w:type="dxa"/>
            <w:vAlign w:val="center"/>
          </w:tcPr>
          <w:p w14:paraId="2FF71576"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37.20</w:t>
            </w:r>
            <w:r w:rsidRPr="007A36B5">
              <w:rPr>
                <w:rFonts w:ascii="Times New Roman" w:hAnsi="Times New Roman" w:cs="Times New Roman"/>
                <w:sz w:val="24"/>
                <w:szCs w:val="24"/>
                <w:vertAlign w:val="superscript"/>
              </w:rPr>
              <w:t>a</w:t>
            </w:r>
            <w:r w:rsidRPr="007A36B5">
              <w:rPr>
                <w:rFonts w:ascii="Times New Roman" w:hAnsi="Times New Roman" w:cs="Times New Roman"/>
                <w:sz w:val="24"/>
                <w:szCs w:val="24"/>
              </w:rPr>
              <w:t>±0.39</w:t>
            </w:r>
          </w:p>
        </w:tc>
        <w:tc>
          <w:tcPr>
            <w:tcW w:w="1634" w:type="dxa"/>
            <w:vAlign w:val="center"/>
          </w:tcPr>
          <w:p w14:paraId="34FF280F"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36.41</w:t>
            </w:r>
            <w:r w:rsidRPr="007A36B5">
              <w:rPr>
                <w:rFonts w:ascii="Times New Roman" w:hAnsi="Times New Roman" w:cs="Times New Roman"/>
                <w:sz w:val="24"/>
                <w:szCs w:val="24"/>
                <w:vertAlign w:val="superscript"/>
              </w:rPr>
              <w:t>ab</w:t>
            </w:r>
            <w:r w:rsidRPr="007A36B5">
              <w:rPr>
                <w:rFonts w:ascii="Times New Roman" w:hAnsi="Times New Roman" w:cs="Times New Roman"/>
                <w:sz w:val="24"/>
                <w:szCs w:val="24"/>
              </w:rPr>
              <w:t>±0.00</w:t>
            </w:r>
          </w:p>
        </w:tc>
      </w:tr>
      <w:tr w:rsidR="007A36B5" w:rsidRPr="007A36B5" w14:paraId="3CF9E138" w14:textId="77777777" w:rsidTr="00BB28A2">
        <w:trPr>
          <w:trHeight w:val="70"/>
          <w:jc w:val="center"/>
        </w:trPr>
        <w:tc>
          <w:tcPr>
            <w:tcW w:w="1762" w:type="dxa"/>
            <w:vMerge/>
            <w:vAlign w:val="center"/>
          </w:tcPr>
          <w:p w14:paraId="00F4D366" w14:textId="77777777" w:rsidR="007A36B5" w:rsidRPr="007A36B5" w:rsidRDefault="007A36B5" w:rsidP="007A36B5">
            <w:pPr>
              <w:jc w:val="both"/>
              <w:rPr>
                <w:rFonts w:ascii="Times New Roman" w:hAnsi="Times New Roman" w:cs="Times New Roman"/>
                <w:b/>
                <w:bCs/>
                <w:sz w:val="24"/>
                <w:szCs w:val="24"/>
              </w:rPr>
            </w:pPr>
          </w:p>
        </w:tc>
        <w:tc>
          <w:tcPr>
            <w:tcW w:w="1459" w:type="dxa"/>
            <w:vAlign w:val="center"/>
          </w:tcPr>
          <w:p w14:paraId="4B5E8FAD"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12</w:t>
            </w:r>
            <w:r w:rsidRPr="007A36B5">
              <w:rPr>
                <w:rFonts w:ascii="Times New Roman" w:hAnsi="Times New Roman" w:cs="Times New Roman"/>
                <w:b/>
                <w:bCs/>
                <w:sz w:val="24"/>
                <w:szCs w:val="24"/>
                <w:vertAlign w:val="superscript"/>
              </w:rPr>
              <w:t>th</w:t>
            </w:r>
            <w:r w:rsidRPr="007A36B5">
              <w:rPr>
                <w:rFonts w:ascii="Times New Roman" w:hAnsi="Times New Roman" w:cs="Times New Roman"/>
                <w:b/>
                <w:bCs/>
                <w:sz w:val="24"/>
                <w:szCs w:val="24"/>
              </w:rPr>
              <w:t xml:space="preserve"> week</w:t>
            </w:r>
          </w:p>
        </w:tc>
        <w:tc>
          <w:tcPr>
            <w:tcW w:w="1634" w:type="dxa"/>
            <w:vAlign w:val="center"/>
          </w:tcPr>
          <w:p w14:paraId="05BAAC5B"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36.83±0.40</w:t>
            </w:r>
          </w:p>
        </w:tc>
        <w:tc>
          <w:tcPr>
            <w:tcW w:w="1634" w:type="dxa"/>
            <w:vAlign w:val="center"/>
          </w:tcPr>
          <w:p w14:paraId="6572C917"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36.20±0.40</w:t>
            </w:r>
          </w:p>
        </w:tc>
        <w:tc>
          <w:tcPr>
            <w:tcW w:w="1634" w:type="dxa"/>
            <w:vAlign w:val="center"/>
          </w:tcPr>
          <w:p w14:paraId="7F9973BC"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36.62±0.00</w:t>
            </w:r>
          </w:p>
        </w:tc>
      </w:tr>
      <w:tr w:rsidR="007A36B5" w:rsidRPr="007A36B5" w14:paraId="2CB995D3" w14:textId="77777777" w:rsidTr="00BB28A2">
        <w:trPr>
          <w:trHeight w:val="70"/>
          <w:jc w:val="center"/>
        </w:trPr>
        <w:tc>
          <w:tcPr>
            <w:tcW w:w="1762" w:type="dxa"/>
            <w:vMerge w:val="restart"/>
            <w:vAlign w:val="center"/>
          </w:tcPr>
          <w:p w14:paraId="5941E6CD"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MCV</w:t>
            </w:r>
          </w:p>
          <w:p w14:paraId="50402EEC"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(fL)</w:t>
            </w:r>
          </w:p>
        </w:tc>
        <w:tc>
          <w:tcPr>
            <w:tcW w:w="1459" w:type="dxa"/>
            <w:vAlign w:val="center"/>
          </w:tcPr>
          <w:p w14:paraId="4954F584"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6</w:t>
            </w:r>
            <w:r w:rsidRPr="007A36B5">
              <w:rPr>
                <w:rFonts w:ascii="Times New Roman" w:hAnsi="Times New Roman" w:cs="Times New Roman"/>
                <w:b/>
                <w:bCs/>
                <w:sz w:val="24"/>
                <w:szCs w:val="24"/>
                <w:vertAlign w:val="superscript"/>
              </w:rPr>
              <w:t>th</w:t>
            </w:r>
            <w:r w:rsidRPr="007A36B5">
              <w:rPr>
                <w:rFonts w:ascii="Times New Roman" w:hAnsi="Times New Roman" w:cs="Times New Roman"/>
                <w:b/>
                <w:bCs/>
                <w:sz w:val="24"/>
                <w:szCs w:val="24"/>
              </w:rPr>
              <w:t xml:space="preserve"> week</w:t>
            </w:r>
          </w:p>
        </w:tc>
        <w:tc>
          <w:tcPr>
            <w:tcW w:w="1634" w:type="dxa"/>
            <w:vAlign w:val="center"/>
          </w:tcPr>
          <w:p w14:paraId="5B5BA45D"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145.54±2.25</w:t>
            </w:r>
          </w:p>
        </w:tc>
        <w:tc>
          <w:tcPr>
            <w:tcW w:w="1634" w:type="dxa"/>
            <w:vAlign w:val="center"/>
          </w:tcPr>
          <w:p w14:paraId="65BD74B3"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147.54±2.25</w:t>
            </w:r>
          </w:p>
        </w:tc>
        <w:tc>
          <w:tcPr>
            <w:tcW w:w="1634" w:type="dxa"/>
            <w:vAlign w:val="center"/>
          </w:tcPr>
          <w:p w14:paraId="3032ECF7"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146.37±0.00</w:t>
            </w:r>
          </w:p>
        </w:tc>
      </w:tr>
      <w:tr w:rsidR="007A36B5" w:rsidRPr="007A36B5" w14:paraId="6D88FFA6" w14:textId="77777777" w:rsidTr="00BB28A2">
        <w:trPr>
          <w:trHeight w:val="70"/>
          <w:jc w:val="center"/>
        </w:trPr>
        <w:tc>
          <w:tcPr>
            <w:tcW w:w="1762" w:type="dxa"/>
            <w:vMerge/>
            <w:vAlign w:val="center"/>
          </w:tcPr>
          <w:p w14:paraId="66B58E2D" w14:textId="77777777" w:rsidR="007A36B5" w:rsidRPr="007A36B5" w:rsidRDefault="007A36B5" w:rsidP="007A36B5">
            <w:pPr>
              <w:jc w:val="both"/>
              <w:rPr>
                <w:rFonts w:ascii="Times New Roman" w:hAnsi="Times New Roman" w:cs="Times New Roman"/>
                <w:b/>
                <w:bCs/>
                <w:sz w:val="24"/>
                <w:szCs w:val="24"/>
              </w:rPr>
            </w:pPr>
          </w:p>
        </w:tc>
        <w:tc>
          <w:tcPr>
            <w:tcW w:w="1459" w:type="dxa"/>
            <w:vAlign w:val="center"/>
          </w:tcPr>
          <w:p w14:paraId="5E1C3BF9"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12</w:t>
            </w:r>
            <w:r w:rsidRPr="007A36B5">
              <w:rPr>
                <w:rFonts w:ascii="Times New Roman" w:hAnsi="Times New Roman" w:cs="Times New Roman"/>
                <w:b/>
                <w:bCs/>
                <w:sz w:val="24"/>
                <w:szCs w:val="24"/>
                <w:vertAlign w:val="superscript"/>
              </w:rPr>
              <w:t>th</w:t>
            </w:r>
            <w:r w:rsidRPr="007A36B5">
              <w:rPr>
                <w:rFonts w:ascii="Times New Roman" w:hAnsi="Times New Roman" w:cs="Times New Roman"/>
                <w:b/>
                <w:bCs/>
                <w:sz w:val="24"/>
                <w:szCs w:val="24"/>
              </w:rPr>
              <w:t xml:space="preserve"> week</w:t>
            </w:r>
          </w:p>
        </w:tc>
        <w:tc>
          <w:tcPr>
            <w:tcW w:w="1634" w:type="dxa"/>
            <w:vAlign w:val="center"/>
          </w:tcPr>
          <w:p w14:paraId="7C35A14F"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146.54±2.27</w:t>
            </w:r>
          </w:p>
        </w:tc>
        <w:tc>
          <w:tcPr>
            <w:tcW w:w="1634" w:type="dxa"/>
            <w:vAlign w:val="center"/>
          </w:tcPr>
          <w:p w14:paraId="307A5C72"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148.25±2.27</w:t>
            </w:r>
          </w:p>
        </w:tc>
        <w:tc>
          <w:tcPr>
            <w:tcW w:w="1634" w:type="dxa"/>
            <w:vAlign w:val="center"/>
          </w:tcPr>
          <w:p w14:paraId="613947EB"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147.20±0.00</w:t>
            </w:r>
          </w:p>
        </w:tc>
      </w:tr>
      <w:tr w:rsidR="007A36B5" w:rsidRPr="007A36B5" w14:paraId="521A0B97" w14:textId="77777777" w:rsidTr="00BB28A2">
        <w:trPr>
          <w:trHeight w:val="70"/>
          <w:jc w:val="center"/>
        </w:trPr>
        <w:tc>
          <w:tcPr>
            <w:tcW w:w="1762" w:type="dxa"/>
            <w:vMerge w:val="restart"/>
            <w:vAlign w:val="center"/>
          </w:tcPr>
          <w:p w14:paraId="3BC4781E"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MCHC</w:t>
            </w:r>
          </w:p>
          <w:p w14:paraId="7B40F7A1" w14:textId="77777777" w:rsidR="007A36B5" w:rsidRPr="007A36B5" w:rsidRDefault="007A36B5" w:rsidP="007A36B5">
            <w:pPr>
              <w:jc w:val="both"/>
              <w:rPr>
                <w:rFonts w:ascii="Times New Roman" w:hAnsi="Times New Roman" w:cs="Times New Roman"/>
                <w:b/>
                <w:bCs/>
                <w:sz w:val="24"/>
                <w:szCs w:val="24"/>
              </w:rPr>
            </w:pPr>
            <w:r w:rsidRPr="007A36B5">
              <w:rPr>
                <w:rFonts w:ascii="Times New Roman" w:hAnsi="Times New Roman" w:cs="Times New Roman"/>
                <w:b/>
                <w:bCs/>
                <w:sz w:val="24"/>
                <w:szCs w:val="24"/>
              </w:rPr>
              <w:t>(g/dl)</w:t>
            </w:r>
          </w:p>
        </w:tc>
        <w:tc>
          <w:tcPr>
            <w:tcW w:w="1459" w:type="dxa"/>
            <w:vAlign w:val="center"/>
          </w:tcPr>
          <w:p w14:paraId="0668C870"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6</w:t>
            </w:r>
            <w:r w:rsidRPr="007A36B5">
              <w:rPr>
                <w:rFonts w:ascii="Times New Roman" w:hAnsi="Times New Roman" w:cs="Times New Roman"/>
                <w:b/>
                <w:bCs/>
                <w:sz w:val="24"/>
                <w:szCs w:val="24"/>
                <w:vertAlign w:val="superscript"/>
              </w:rPr>
              <w:t>th</w:t>
            </w:r>
            <w:r w:rsidRPr="007A36B5">
              <w:rPr>
                <w:rFonts w:ascii="Times New Roman" w:hAnsi="Times New Roman" w:cs="Times New Roman"/>
                <w:b/>
                <w:bCs/>
                <w:sz w:val="24"/>
                <w:szCs w:val="24"/>
              </w:rPr>
              <w:t xml:space="preserve"> week</w:t>
            </w:r>
          </w:p>
        </w:tc>
        <w:tc>
          <w:tcPr>
            <w:tcW w:w="1634" w:type="dxa"/>
            <w:vAlign w:val="center"/>
          </w:tcPr>
          <w:p w14:paraId="7CDE285B"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28.04</w:t>
            </w:r>
            <w:r w:rsidRPr="007A36B5">
              <w:rPr>
                <w:rFonts w:ascii="Times New Roman" w:hAnsi="Times New Roman" w:cs="Times New Roman"/>
                <w:sz w:val="24"/>
                <w:szCs w:val="24"/>
                <w:vertAlign w:val="superscript"/>
              </w:rPr>
              <w:t>a</w:t>
            </w:r>
            <w:r w:rsidRPr="007A36B5">
              <w:rPr>
                <w:rFonts w:ascii="Times New Roman" w:hAnsi="Times New Roman" w:cs="Times New Roman"/>
                <w:sz w:val="24"/>
                <w:szCs w:val="24"/>
              </w:rPr>
              <w:t>±0.51</w:t>
            </w:r>
          </w:p>
        </w:tc>
        <w:tc>
          <w:tcPr>
            <w:tcW w:w="1634" w:type="dxa"/>
            <w:vAlign w:val="center"/>
          </w:tcPr>
          <w:p w14:paraId="71BF29AF"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27.70</w:t>
            </w:r>
            <w:r w:rsidRPr="007A36B5">
              <w:rPr>
                <w:rFonts w:ascii="Times New Roman" w:hAnsi="Times New Roman" w:cs="Times New Roman"/>
                <w:sz w:val="24"/>
                <w:szCs w:val="24"/>
                <w:vertAlign w:val="superscript"/>
              </w:rPr>
              <w:t>ab</w:t>
            </w:r>
            <w:r w:rsidRPr="007A36B5">
              <w:rPr>
                <w:rFonts w:ascii="Times New Roman" w:hAnsi="Times New Roman" w:cs="Times New Roman"/>
                <w:sz w:val="24"/>
                <w:szCs w:val="24"/>
              </w:rPr>
              <w:t>±0.51</w:t>
            </w:r>
          </w:p>
        </w:tc>
        <w:tc>
          <w:tcPr>
            <w:tcW w:w="1634" w:type="dxa"/>
            <w:vAlign w:val="center"/>
          </w:tcPr>
          <w:p w14:paraId="4DAF1DE0"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26.75</w:t>
            </w:r>
            <w:r w:rsidRPr="007A36B5">
              <w:rPr>
                <w:rFonts w:ascii="Times New Roman" w:hAnsi="Times New Roman" w:cs="Times New Roman"/>
                <w:sz w:val="24"/>
                <w:szCs w:val="24"/>
                <w:vertAlign w:val="superscript"/>
              </w:rPr>
              <w:t>b</w:t>
            </w:r>
            <w:r w:rsidRPr="007A36B5">
              <w:rPr>
                <w:rFonts w:ascii="Times New Roman" w:hAnsi="Times New Roman" w:cs="Times New Roman"/>
                <w:sz w:val="24"/>
                <w:szCs w:val="24"/>
              </w:rPr>
              <w:t>±0.00</w:t>
            </w:r>
          </w:p>
        </w:tc>
      </w:tr>
      <w:tr w:rsidR="007A36B5" w:rsidRPr="007A36B5" w14:paraId="7CA5C1F4" w14:textId="77777777" w:rsidTr="00BB28A2">
        <w:trPr>
          <w:trHeight w:val="80"/>
          <w:jc w:val="center"/>
        </w:trPr>
        <w:tc>
          <w:tcPr>
            <w:tcW w:w="1762" w:type="dxa"/>
            <w:vMerge/>
            <w:vAlign w:val="center"/>
          </w:tcPr>
          <w:p w14:paraId="4C3B8B4D" w14:textId="77777777" w:rsidR="007A36B5" w:rsidRPr="007A36B5" w:rsidRDefault="007A36B5" w:rsidP="007A36B5">
            <w:pPr>
              <w:jc w:val="both"/>
              <w:rPr>
                <w:rFonts w:ascii="Times New Roman" w:hAnsi="Times New Roman" w:cs="Times New Roman"/>
                <w:sz w:val="24"/>
                <w:szCs w:val="24"/>
              </w:rPr>
            </w:pPr>
          </w:p>
        </w:tc>
        <w:tc>
          <w:tcPr>
            <w:tcW w:w="1459" w:type="dxa"/>
            <w:vAlign w:val="center"/>
          </w:tcPr>
          <w:p w14:paraId="235BF4F2"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b/>
                <w:bCs/>
                <w:sz w:val="24"/>
                <w:szCs w:val="24"/>
              </w:rPr>
              <w:t>12</w:t>
            </w:r>
            <w:r w:rsidRPr="007A36B5">
              <w:rPr>
                <w:rFonts w:ascii="Times New Roman" w:hAnsi="Times New Roman" w:cs="Times New Roman"/>
                <w:b/>
                <w:bCs/>
                <w:sz w:val="24"/>
                <w:szCs w:val="24"/>
                <w:vertAlign w:val="superscript"/>
              </w:rPr>
              <w:t>th</w:t>
            </w:r>
            <w:r w:rsidRPr="007A36B5">
              <w:rPr>
                <w:rFonts w:ascii="Times New Roman" w:hAnsi="Times New Roman" w:cs="Times New Roman"/>
                <w:b/>
                <w:bCs/>
                <w:sz w:val="24"/>
                <w:szCs w:val="24"/>
              </w:rPr>
              <w:t xml:space="preserve"> week</w:t>
            </w:r>
          </w:p>
        </w:tc>
        <w:tc>
          <w:tcPr>
            <w:tcW w:w="1634" w:type="dxa"/>
            <w:vAlign w:val="center"/>
          </w:tcPr>
          <w:p w14:paraId="19D0B7F1"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27.41</w:t>
            </w:r>
            <w:r w:rsidRPr="007A36B5">
              <w:rPr>
                <w:rFonts w:ascii="Times New Roman" w:hAnsi="Times New Roman" w:cs="Times New Roman"/>
                <w:sz w:val="24"/>
                <w:szCs w:val="24"/>
                <w:vertAlign w:val="superscript"/>
              </w:rPr>
              <w:t>b</w:t>
            </w:r>
            <w:r w:rsidRPr="007A36B5">
              <w:rPr>
                <w:rFonts w:ascii="Times New Roman" w:hAnsi="Times New Roman" w:cs="Times New Roman"/>
                <w:sz w:val="24"/>
                <w:szCs w:val="24"/>
              </w:rPr>
              <w:t>±0.47</w:t>
            </w:r>
          </w:p>
        </w:tc>
        <w:tc>
          <w:tcPr>
            <w:tcW w:w="1634" w:type="dxa"/>
            <w:vAlign w:val="center"/>
          </w:tcPr>
          <w:p w14:paraId="772D4BB9"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27.41</w:t>
            </w:r>
            <w:r w:rsidRPr="007A36B5">
              <w:rPr>
                <w:rFonts w:ascii="Times New Roman" w:hAnsi="Times New Roman" w:cs="Times New Roman"/>
                <w:sz w:val="24"/>
                <w:szCs w:val="24"/>
                <w:vertAlign w:val="superscript"/>
              </w:rPr>
              <w:t>b</w:t>
            </w:r>
            <w:r w:rsidRPr="007A36B5">
              <w:rPr>
                <w:rFonts w:ascii="Times New Roman" w:hAnsi="Times New Roman" w:cs="Times New Roman"/>
                <w:sz w:val="24"/>
                <w:szCs w:val="24"/>
              </w:rPr>
              <w:t>±0.47</w:t>
            </w:r>
          </w:p>
        </w:tc>
        <w:tc>
          <w:tcPr>
            <w:tcW w:w="1634" w:type="dxa"/>
            <w:vAlign w:val="center"/>
          </w:tcPr>
          <w:p w14:paraId="1FBEFABC" w14:textId="77777777" w:rsidR="007A36B5" w:rsidRPr="007A36B5" w:rsidRDefault="007A36B5" w:rsidP="007A36B5">
            <w:pPr>
              <w:jc w:val="both"/>
              <w:rPr>
                <w:rFonts w:ascii="Times New Roman" w:hAnsi="Times New Roman" w:cs="Times New Roman"/>
                <w:sz w:val="24"/>
                <w:szCs w:val="24"/>
              </w:rPr>
            </w:pPr>
            <w:r w:rsidRPr="007A36B5">
              <w:rPr>
                <w:rFonts w:ascii="Times New Roman" w:hAnsi="Times New Roman" w:cs="Times New Roman"/>
                <w:sz w:val="24"/>
                <w:szCs w:val="24"/>
              </w:rPr>
              <w:t>28.58</w:t>
            </w:r>
            <w:r w:rsidRPr="007A36B5">
              <w:rPr>
                <w:rFonts w:ascii="Times New Roman" w:hAnsi="Times New Roman" w:cs="Times New Roman"/>
                <w:sz w:val="24"/>
                <w:szCs w:val="24"/>
                <w:vertAlign w:val="superscript"/>
              </w:rPr>
              <w:t>a</w:t>
            </w:r>
            <w:r w:rsidRPr="007A36B5">
              <w:rPr>
                <w:rFonts w:ascii="Times New Roman" w:hAnsi="Times New Roman" w:cs="Times New Roman"/>
                <w:sz w:val="24"/>
                <w:szCs w:val="24"/>
              </w:rPr>
              <w:t>±0.00</w:t>
            </w:r>
          </w:p>
        </w:tc>
      </w:tr>
    </w:tbl>
    <w:p w14:paraId="710D19A4" w14:textId="63922E14" w:rsidR="00D60135" w:rsidRDefault="00D60135" w:rsidP="00D60135">
      <w:pPr>
        <w:jc w:val="both"/>
        <w:rPr>
          <w:rFonts w:ascii="Times New Roman" w:hAnsi="Times New Roman" w:cs="Times New Roman"/>
          <w:sz w:val="24"/>
          <w:szCs w:val="24"/>
        </w:rPr>
      </w:pPr>
      <w:r>
        <w:rPr>
          <w:rFonts w:ascii="Times New Roman" w:hAnsi="Times New Roman" w:cs="Times New Roman"/>
          <w:sz w:val="24"/>
          <w:szCs w:val="24"/>
        </w:rPr>
        <w:t xml:space="preserve">        </w:t>
      </w:r>
      <w:r w:rsidRPr="00D60135">
        <w:rPr>
          <w:rFonts w:ascii="Times New Roman" w:hAnsi="Times New Roman" w:cs="Times New Roman"/>
          <w:sz w:val="24"/>
          <w:szCs w:val="24"/>
        </w:rPr>
        <w:t>Means with atleast one common superscripts in a column are nonsignificant (p&lt;0.01)</w:t>
      </w:r>
    </w:p>
    <w:p w14:paraId="2B6DA2D5" w14:textId="3B486399" w:rsidR="003A1433" w:rsidRDefault="00AF1B7C" w:rsidP="00D60135">
      <w:pPr>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1A855B1E" wp14:editId="0FBC063F">
            <wp:extent cx="5292090" cy="3395980"/>
            <wp:effectExtent l="0" t="0" r="3810" b="0"/>
            <wp:docPr id="2836543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2090" cy="3395980"/>
                    </a:xfrm>
                    <a:prstGeom prst="rect">
                      <a:avLst/>
                    </a:prstGeom>
                    <a:noFill/>
                  </pic:spPr>
                </pic:pic>
              </a:graphicData>
            </a:graphic>
          </wp:inline>
        </w:drawing>
      </w:r>
    </w:p>
    <w:p w14:paraId="3BC98245" w14:textId="0B6D6C36" w:rsidR="00DB7BD1" w:rsidRDefault="00DB7BD1" w:rsidP="00D60135">
      <w:pPr>
        <w:jc w:val="both"/>
        <w:rPr>
          <w:rFonts w:ascii="Times New Roman" w:hAnsi="Times New Roman" w:cs="Times New Roman"/>
          <w:b/>
          <w:sz w:val="24"/>
          <w:szCs w:val="24"/>
          <w:lang w:val="en-US"/>
        </w:rPr>
      </w:pPr>
      <w:r w:rsidRPr="00DB7BD1">
        <w:rPr>
          <w:rFonts w:ascii="Times New Roman" w:hAnsi="Times New Roman" w:cs="Times New Roman"/>
          <w:b/>
          <w:sz w:val="24"/>
          <w:szCs w:val="24"/>
          <w:lang w:val="en-US"/>
        </w:rPr>
        <w:t xml:space="preserve">Figure </w:t>
      </w:r>
      <w:r w:rsidR="009C7B3B">
        <w:rPr>
          <w:rFonts w:ascii="Times New Roman" w:hAnsi="Times New Roman" w:cs="Times New Roman"/>
          <w:b/>
          <w:sz w:val="24"/>
          <w:szCs w:val="24"/>
          <w:lang w:val="en-US"/>
        </w:rPr>
        <w:t>1</w:t>
      </w:r>
      <w:r w:rsidRPr="00DB7BD1">
        <w:rPr>
          <w:rFonts w:ascii="Times New Roman" w:hAnsi="Times New Roman" w:cs="Times New Roman"/>
          <w:b/>
          <w:sz w:val="24"/>
          <w:szCs w:val="24"/>
          <w:lang w:val="en-US"/>
        </w:rPr>
        <w:t>:</w:t>
      </w:r>
      <w:r w:rsidRPr="00DB7BD1">
        <w:rPr>
          <w:rFonts w:ascii="Times New Roman" w:hAnsi="Times New Roman" w:cs="Times New Roman"/>
          <w:b/>
          <w:sz w:val="24"/>
          <w:szCs w:val="24"/>
          <w:lang w:val="en-US"/>
        </w:rPr>
        <w:tab/>
        <w:t>Hematological parameters of Turkey in different replicates at 6 weeks interval</w:t>
      </w:r>
    </w:p>
    <w:p w14:paraId="5D08CEAE" w14:textId="742AC219" w:rsidR="00051CC1" w:rsidRDefault="00051CC1" w:rsidP="00D60135">
      <w:pPr>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1779213E" wp14:editId="06BF4E48">
            <wp:extent cx="5292090" cy="3383280"/>
            <wp:effectExtent l="0" t="0" r="3810" b="7620"/>
            <wp:docPr id="18934344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2090" cy="3383280"/>
                    </a:xfrm>
                    <a:prstGeom prst="rect">
                      <a:avLst/>
                    </a:prstGeom>
                    <a:noFill/>
                  </pic:spPr>
                </pic:pic>
              </a:graphicData>
            </a:graphic>
          </wp:inline>
        </w:drawing>
      </w:r>
    </w:p>
    <w:p w14:paraId="6D3486A7" w14:textId="69BE8F77" w:rsidR="00051CC1" w:rsidRPr="00DB7BD1" w:rsidRDefault="00B853CF" w:rsidP="00D60135">
      <w:pPr>
        <w:jc w:val="both"/>
        <w:rPr>
          <w:rFonts w:ascii="Times New Roman" w:hAnsi="Times New Roman" w:cs="Times New Roman"/>
          <w:sz w:val="24"/>
          <w:szCs w:val="24"/>
          <w:lang w:val="en-US"/>
        </w:rPr>
      </w:pPr>
      <w:r w:rsidRPr="00B853CF">
        <w:rPr>
          <w:rFonts w:ascii="Times New Roman" w:hAnsi="Times New Roman" w:cs="Times New Roman"/>
          <w:b/>
          <w:sz w:val="24"/>
          <w:szCs w:val="24"/>
          <w:lang w:val="en-US"/>
        </w:rPr>
        <w:t xml:space="preserve">Figure </w:t>
      </w:r>
      <w:r w:rsidR="00EF767A">
        <w:rPr>
          <w:rFonts w:ascii="Times New Roman" w:hAnsi="Times New Roman" w:cs="Times New Roman"/>
          <w:b/>
          <w:sz w:val="24"/>
          <w:szCs w:val="24"/>
          <w:lang w:val="en-US"/>
        </w:rPr>
        <w:t>2</w:t>
      </w:r>
      <w:r w:rsidRPr="00B853CF">
        <w:rPr>
          <w:rFonts w:ascii="Times New Roman" w:hAnsi="Times New Roman" w:cs="Times New Roman"/>
          <w:b/>
          <w:sz w:val="24"/>
          <w:szCs w:val="24"/>
          <w:lang w:val="en-US"/>
        </w:rPr>
        <w:t>:</w:t>
      </w:r>
      <w:r w:rsidRPr="00B853CF">
        <w:rPr>
          <w:rFonts w:ascii="Times New Roman" w:hAnsi="Times New Roman" w:cs="Times New Roman"/>
          <w:b/>
          <w:sz w:val="24"/>
          <w:szCs w:val="24"/>
          <w:lang w:val="en-US"/>
        </w:rPr>
        <w:tab/>
        <w:t>Hematological parameters of Turkey in different replicates at 6 weeks interval</w:t>
      </w:r>
    </w:p>
    <w:p w14:paraId="0671AF1F" w14:textId="77777777" w:rsidR="003B35CA" w:rsidRPr="003B35CA" w:rsidRDefault="003B35CA" w:rsidP="003B35CA">
      <w:pPr>
        <w:jc w:val="both"/>
        <w:rPr>
          <w:rFonts w:ascii="Times New Roman" w:hAnsi="Times New Roman" w:cs="Times New Roman"/>
          <w:b/>
          <w:bCs/>
          <w:sz w:val="24"/>
          <w:szCs w:val="24"/>
        </w:rPr>
      </w:pPr>
      <w:r w:rsidRPr="003B35CA">
        <w:rPr>
          <w:rFonts w:ascii="Times New Roman" w:hAnsi="Times New Roman" w:cs="Times New Roman"/>
          <w:b/>
          <w:bCs/>
          <w:sz w:val="24"/>
          <w:szCs w:val="24"/>
        </w:rPr>
        <w:t>2. Biochemical Studies</w:t>
      </w:r>
    </w:p>
    <w:p w14:paraId="79768021" w14:textId="7AB7D651" w:rsidR="0017462B" w:rsidRPr="0017462B" w:rsidRDefault="0017462B" w:rsidP="0017462B">
      <w:pPr>
        <w:jc w:val="both"/>
        <w:rPr>
          <w:rFonts w:ascii="Times New Roman" w:hAnsi="Times New Roman" w:cs="Times New Roman"/>
          <w:sz w:val="24"/>
          <w:szCs w:val="24"/>
        </w:rPr>
      </w:pPr>
      <w:r w:rsidRPr="0017462B">
        <w:rPr>
          <w:rFonts w:ascii="Times New Roman" w:hAnsi="Times New Roman" w:cs="Times New Roman"/>
          <w:sz w:val="24"/>
          <w:szCs w:val="24"/>
        </w:rPr>
        <w:t xml:space="preserve">The biochemical parameters of turkeys were assessed at 6-week intervals to evaluate their physiological and metabolic responses under intensive rearing, with data represented in </w:t>
      </w:r>
      <w:r w:rsidR="008F4A60">
        <w:rPr>
          <w:rFonts w:ascii="Times New Roman" w:hAnsi="Times New Roman" w:cs="Times New Roman"/>
          <w:sz w:val="24"/>
          <w:szCs w:val="24"/>
        </w:rPr>
        <w:t>(</w:t>
      </w:r>
      <w:r w:rsidRPr="0017462B">
        <w:rPr>
          <w:rFonts w:ascii="Times New Roman" w:hAnsi="Times New Roman" w:cs="Times New Roman"/>
          <w:sz w:val="24"/>
          <w:szCs w:val="24"/>
        </w:rPr>
        <w:t xml:space="preserve">Table </w:t>
      </w:r>
      <w:r w:rsidR="008F4A60">
        <w:rPr>
          <w:rFonts w:ascii="Times New Roman" w:hAnsi="Times New Roman" w:cs="Times New Roman"/>
          <w:sz w:val="24"/>
          <w:szCs w:val="24"/>
        </w:rPr>
        <w:t>7</w:t>
      </w:r>
      <w:r w:rsidRPr="0017462B">
        <w:rPr>
          <w:rFonts w:ascii="Times New Roman" w:hAnsi="Times New Roman" w:cs="Times New Roman"/>
          <w:sz w:val="24"/>
          <w:szCs w:val="24"/>
        </w:rPr>
        <w:t xml:space="preserve"> and Figures 3–5</w:t>
      </w:r>
      <w:r w:rsidR="008F4A60">
        <w:rPr>
          <w:rFonts w:ascii="Times New Roman" w:hAnsi="Times New Roman" w:cs="Times New Roman"/>
          <w:sz w:val="24"/>
          <w:szCs w:val="24"/>
        </w:rPr>
        <w:t>)</w:t>
      </w:r>
      <w:r w:rsidRPr="0017462B">
        <w:rPr>
          <w:rFonts w:ascii="Times New Roman" w:hAnsi="Times New Roman" w:cs="Times New Roman"/>
          <w:sz w:val="24"/>
          <w:szCs w:val="24"/>
        </w:rPr>
        <w:t>. Blood glucose levels showed a statistically significant increase in R3 at the 6th week (p&lt;0.01), while no significant differences were noted at the 12th week. Total protein values remained consistent across all replicates throughout the study period, indicating stable protein metabolism. Aspartate transaminase (AST) and alanine transaminase (ALT) activities increased from the 6th to the 12th week in all replicates, though no significant differences were observed, suggesting uniform liver function. Creatinine levels remained identical (0.15 ± 0.00 mg/dL) across all replicates and time points, reflecting stable renal function. Similarly, blood urea nitrogen (BUN) values showed minimal variation between 1.33 and 1.35 mg/dL, with no significant differences among groups. Total cholesterol levels ranged from 128.91 to 137.87 mg/dL, while triglyceride concentrations varied between 171.25 and 175.16 mg/dL, neither showing significant replicate-based variation. These observations align with Bounous et al. (2000), who documented glucose values of 215–500 mg/dL and cholesterol levels of 60–220 mg/dL in wild juvenile turkeys, with noted seasonal fluctuations. The cholesterol values recorded in the present study suggest physiological normalcy and absence of metabolic stress. Comparable ALT, AST, total protein, and globulin values were also reported by Schmidt et al. (2010), while Ibrahim et al. (2012) provided similar serum values in turkeys raised under semi-arid Nigerian conditions. Slightly higher biochemical indices observed by Agina et al. (2015) in domestic turkeys</w:t>
      </w:r>
      <w:r>
        <w:rPr>
          <w:rFonts w:ascii="Times New Roman" w:hAnsi="Times New Roman" w:cs="Times New Roman"/>
          <w:sz w:val="24"/>
          <w:szCs w:val="24"/>
        </w:rPr>
        <w:t xml:space="preserve"> </w:t>
      </w:r>
      <w:r w:rsidRPr="0017462B">
        <w:rPr>
          <w:rFonts w:ascii="Times New Roman" w:hAnsi="Times New Roman" w:cs="Times New Roman"/>
          <w:sz w:val="24"/>
          <w:szCs w:val="24"/>
        </w:rPr>
        <w:t>such as total cholesterol (185.7 mg/dL), creatinine (1.05 mg/dL), AST (83.68 IU/L), and ALT (13.08 IU/L)</w:t>
      </w:r>
      <w:r>
        <w:rPr>
          <w:rFonts w:ascii="Times New Roman" w:hAnsi="Times New Roman" w:cs="Times New Roman"/>
          <w:sz w:val="24"/>
          <w:szCs w:val="24"/>
        </w:rPr>
        <w:t xml:space="preserve"> </w:t>
      </w:r>
      <w:r w:rsidRPr="0017462B">
        <w:rPr>
          <w:rFonts w:ascii="Times New Roman" w:hAnsi="Times New Roman" w:cs="Times New Roman"/>
          <w:sz w:val="24"/>
          <w:szCs w:val="24"/>
        </w:rPr>
        <w:t>could be attributed to breed differences, dietary variations, or environmental influences, underscoring the relevance of localized physiological benchmarks in turkey farming.</w:t>
      </w:r>
    </w:p>
    <w:p w14:paraId="1410D114" w14:textId="77777777" w:rsidR="0017462B" w:rsidRPr="0017462B" w:rsidRDefault="0017462B" w:rsidP="0017462B">
      <w:pPr>
        <w:jc w:val="both"/>
        <w:rPr>
          <w:rFonts w:ascii="Times New Roman" w:hAnsi="Times New Roman" w:cs="Times New Roman"/>
          <w:vanish/>
          <w:sz w:val="24"/>
          <w:szCs w:val="24"/>
        </w:rPr>
      </w:pPr>
      <w:r w:rsidRPr="0017462B">
        <w:rPr>
          <w:rFonts w:ascii="Times New Roman" w:hAnsi="Times New Roman" w:cs="Times New Roman"/>
          <w:vanish/>
          <w:sz w:val="24"/>
          <w:szCs w:val="24"/>
        </w:rPr>
        <w:t>Bottom of Form</w:t>
      </w:r>
    </w:p>
    <w:p w14:paraId="5B968800" w14:textId="77777777" w:rsidR="00915487" w:rsidRDefault="00915487" w:rsidP="003B35CA">
      <w:pPr>
        <w:jc w:val="both"/>
        <w:rPr>
          <w:rFonts w:ascii="Times New Roman" w:hAnsi="Times New Roman" w:cs="Times New Roman"/>
          <w:sz w:val="24"/>
          <w:szCs w:val="24"/>
        </w:rPr>
      </w:pPr>
    </w:p>
    <w:p w14:paraId="72B3D35F" w14:textId="68DF7110" w:rsidR="00D621FA" w:rsidRPr="00D621FA" w:rsidRDefault="00D621FA" w:rsidP="00D621FA">
      <w:pPr>
        <w:jc w:val="both"/>
        <w:rPr>
          <w:rFonts w:ascii="Times New Roman" w:hAnsi="Times New Roman" w:cs="Times New Roman"/>
          <w:b/>
          <w:sz w:val="24"/>
          <w:szCs w:val="24"/>
        </w:rPr>
      </w:pPr>
      <w:r w:rsidRPr="00D621FA">
        <w:rPr>
          <w:rFonts w:ascii="Times New Roman" w:hAnsi="Times New Roman" w:cs="Times New Roman"/>
          <w:b/>
          <w:sz w:val="24"/>
          <w:szCs w:val="24"/>
        </w:rPr>
        <w:t>Table</w:t>
      </w:r>
      <w:r w:rsidR="009C7B3B">
        <w:rPr>
          <w:rFonts w:ascii="Times New Roman" w:hAnsi="Times New Roman" w:cs="Times New Roman"/>
          <w:b/>
          <w:sz w:val="24"/>
          <w:szCs w:val="24"/>
        </w:rPr>
        <w:t>7</w:t>
      </w:r>
      <w:r w:rsidRPr="00D621FA">
        <w:rPr>
          <w:rFonts w:ascii="Times New Roman" w:hAnsi="Times New Roman" w:cs="Times New Roman"/>
          <w:b/>
          <w:sz w:val="24"/>
          <w:szCs w:val="24"/>
        </w:rPr>
        <w:t>:</w:t>
      </w:r>
      <w:r w:rsidRPr="00D621FA">
        <w:rPr>
          <w:rFonts w:ascii="Times New Roman" w:hAnsi="Times New Roman" w:cs="Times New Roman"/>
          <w:b/>
          <w:sz w:val="24"/>
          <w:szCs w:val="24"/>
        </w:rPr>
        <w:tab/>
        <w:t xml:space="preserve">Biochemical parameters of Turkey in different replicates at 6 weeks </w:t>
      </w:r>
      <w:commentRangeStart w:id="13"/>
      <w:r w:rsidRPr="00D621FA">
        <w:rPr>
          <w:rFonts w:ascii="Times New Roman" w:hAnsi="Times New Roman" w:cs="Times New Roman"/>
          <w:b/>
          <w:sz w:val="24"/>
          <w:szCs w:val="24"/>
        </w:rPr>
        <w:t>interval</w:t>
      </w:r>
      <w:commentRangeEnd w:id="13"/>
      <w:r w:rsidR="00F1422B">
        <w:rPr>
          <w:rStyle w:val="CommentReference"/>
          <w:rtl/>
        </w:rPr>
        <w:commentReference w:id="13"/>
      </w:r>
    </w:p>
    <w:tbl>
      <w:tblPr>
        <w:tblW w:w="4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3"/>
        <w:gridCol w:w="1454"/>
        <w:gridCol w:w="1855"/>
        <w:gridCol w:w="1921"/>
        <w:gridCol w:w="1789"/>
      </w:tblGrid>
      <w:tr w:rsidR="00D621FA" w:rsidRPr="00D621FA" w14:paraId="6FE79502" w14:textId="77777777" w:rsidTr="00BB28A2">
        <w:trPr>
          <w:trHeight w:val="227"/>
          <w:jc w:val="center"/>
        </w:trPr>
        <w:tc>
          <w:tcPr>
            <w:tcW w:w="985" w:type="pct"/>
            <w:vAlign w:val="center"/>
          </w:tcPr>
          <w:p w14:paraId="77C0C72A" w14:textId="77777777" w:rsidR="00D621FA" w:rsidRPr="00D621FA" w:rsidRDefault="00D621FA" w:rsidP="00D621FA">
            <w:pPr>
              <w:jc w:val="both"/>
              <w:rPr>
                <w:rFonts w:ascii="Times New Roman" w:hAnsi="Times New Roman" w:cs="Times New Roman"/>
                <w:b/>
                <w:bCs/>
                <w:sz w:val="24"/>
                <w:szCs w:val="24"/>
              </w:rPr>
            </w:pPr>
            <w:bookmarkStart w:id="14" w:name="_Hlk123603686"/>
            <w:r w:rsidRPr="00D621FA">
              <w:rPr>
                <w:rFonts w:ascii="Times New Roman" w:hAnsi="Times New Roman" w:cs="Times New Roman"/>
                <w:b/>
                <w:bCs/>
                <w:sz w:val="24"/>
                <w:szCs w:val="24"/>
              </w:rPr>
              <w:t>Parameters</w:t>
            </w:r>
          </w:p>
        </w:tc>
        <w:tc>
          <w:tcPr>
            <w:tcW w:w="831" w:type="pct"/>
            <w:vAlign w:val="center"/>
          </w:tcPr>
          <w:p w14:paraId="39A58693"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Age</w:t>
            </w:r>
          </w:p>
        </w:tc>
        <w:tc>
          <w:tcPr>
            <w:tcW w:w="1061" w:type="pct"/>
            <w:vAlign w:val="center"/>
          </w:tcPr>
          <w:p w14:paraId="1E289A09"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R</w:t>
            </w:r>
            <w:r w:rsidRPr="00D621FA">
              <w:rPr>
                <w:rFonts w:ascii="Times New Roman" w:hAnsi="Times New Roman" w:cs="Times New Roman"/>
                <w:b/>
                <w:bCs/>
                <w:sz w:val="24"/>
                <w:szCs w:val="24"/>
                <w:vertAlign w:val="subscript"/>
              </w:rPr>
              <w:t>1</w:t>
            </w:r>
          </w:p>
        </w:tc>
        <w:tc>
          <w:tcPr>
            <w:tcW w:w="1099" w:type="pct"/>
            <w:vAlign w:val="center"/>
          </w:tcPr>
          <w:p w14:paraId="16A9FC93"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R</w:t>
            </w:r>
            <w:r w:rsidRPr="00D621FA">
              <w:rPr>
                <w:rFonts w:ascii="Times New Roman" w:hAnsi="Times New Roman" w:cs="Times New Roman"/>
                <w:b/>
                <w:bCs/>
                <w:sz w:val="24"/>
                <w:szCs w:val="24"/>
                <w:vertAlign w:val="subscript"/>
              </w:rPr>
              <w:t>2</w:t>
            </w:r>
          </w:p>
        </w:tc>
        <w:tc>
          <w:tcPr>
            <w:tcW w:w="1023" w:type="pct"/>
            <w:vAlign w:val="center"/>
          </w:tcPr>
          <w:p w14:paraId="124B5AD0"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R</w:t>
            </w:r>
            <w:r w:rsidRPr="00D621FA">
              <w:rPr>
                <w:rFonts w:ascii="Times New Roman" w:hAnsi="Times New Roman" w:cs="Times New Roman"/>
                <w:b/>
                <w:bCs/>
                <w:sz w:val="24"/>
                <w:szCs w:val="24"/>
                <w:vertAlign w:val="subscript"/>
              </w:rPr>
              <w:t>3</w:t>
            </w:r>
          </w:p>
        </w:tc>
      </w:tr>
      <w:tr w:rsidR="00D621FA" w:rsidRPr="00D621FA" w14:paraId="1366F1C8" w14:textId="77777777" w:rsidTr="00BB28A2">
        <w:trPr>
          <w:trHeight w:val="227"/>
          <w:jc w:val="center"/>
        </w:trPr>
        <w:tc>
          <w:tcPr>
            <w:tcW w:w="985" w:type="pct"/>
            <w:vMerge w:val="restart"/>
            <w:vAlign w:val="center"/>
          </w:tcPr>
          <w:p w14:paraId="224C5774"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Blood glucose (mg/dl)</w:t>
            </w:r>
          </w:p>
        </w:tc>
        <w:tc>
          <w:tcPr>
            <w:tcW w:w="831" w:type="pct"/>
            <w:vAlign w:val="center"/>
          </w:tcPr>
          <w:p w14:paraId="65C3BC01"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6</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21105B6A"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241.91</w:t>
            </w:r>
            <w:r w:rsidRPr="00D621FA">
              <w:rPr>
                <w:rFonts w:ascii="Times New Roman" w:hAnsi="Times New Roman" w:cs="Times New Roman"/>
                <w:sz w:val="24"/>
                <w:szCs w:val="24"/>
                <w:vertAlign w:val="superscript"/>
              </w:rPr>
              <w:t>b</w:t>
            </w:r>
            <w:r w:rsidRPr="00D621FA">
              <w:rPr>
                <w:rFonts w:ascii="Times New Roman" w:hAnsi="Times New Roman" w:cs="Times New Roman"/>
                <w:sz w:val="24"/>
                <w:szCs w:val="24"/>
              </w:rPr>
              <w:t>±4.37</w:t>
            </w:r>
          </w:p>
        </w:tc>
        <w:tc>
          <w:tcPr>
            <w:tcW w:w="1099" w:type="pct"/>
            <w:vAlign w:val="center"/>
          </w:tcPr>
          <w:p w14:paraId="0B8FBE50"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247.50</w:t>
            </w:r>
            <w:r w:rsidRPr="00D621FA">
              <w:rPr>
                <w:rFonts w:ascii="Times New Roman" w:hAnsi="Times New Roman" w:cs="Times New Roman"/>
                <w:sz w:val="24"/>
                <w:szCs w:val="24"/>
                <w:vertAlign w:val="superscript"/>
              </w:rPr>
              <w:t>ab</w:t>
            </w:r>
            <w:r w:rsidRPr="00D621FA">
              <w:rPr>
                <w:rFonts w:ascii="Times New Roman" w:hAnsi="Times New Roman" w:cs="Times New Roman"/>
                <w:sz w:val="24"/>
                <w:szCs w:val="24"/>
              </w:rPr>
              <w:t>±4.37</w:t>
            </w:r>
          </w:p>
        </w:tc>
        <w:tc>
          <w:tcPr>
            <w:tcW w:w="1023" w:type="pct"/>
            <w:vAlign w:val="center"/>
          </w:tcPr>
          <w:p w14:paraId="2484BD82"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252.83</w:t>
            </w:r>
            <w:r w:rsidRPr="00D621FA">
              <w:rPr>
                <w:rFonts w:ascii="Times New Roman" w:hAnsi="Times New Roman" w:cs="Times New Roman"/>
                <w:sz w:val="24"/>
                <w:szCs w:val="24"/>
                <w:vertAlign w:val="superscript"/>
              </w:rPr>
              <w:t>a</w:t>
            </w:r>
            <w:r w:rsidRPr="00D621FA">
              <w:rPr>
                <w:rFonts w:ascii="Times New Roman" w:hAnsi="Times New Roman" w:cs="Times New Roman"/>
                <w:sz w:val="24"/>
                <w:szCs w:val="24"/>
              </w:rPr>
              <w:t>±0.00</w:t>
            </w:r>
          </w:p>
        </w:tc>
      </w:tr>
      <w:tr w:rsidR="00D621FA" w:rsidRPr="00D621FA" w14:paraId="7425DEC6" w14:textId="77777777" w:rsidTr="00BB28A2">
        <w:trPr>
          <w:trHeight w:val="77"/>
          <w:jc w:val="center"/>
        </w:trPr>
        <w:tc>
          <w:tcPr>
            <w:tcW w:w="985" w:type="pct"/>
            <w:vMerge/>
            <w:vAlign w:val="center"/>
          </w:tcPr>
          <w:p w14:paraId="6F56390E" w14:textId="77777777" w:rsidR="00D621FA" w:rsidRPr="00D621FA" w:rsidRDefault="00D621FA" w:rsidP="00D621FA">
            <w:pPr>
              <w:jc w:val="both"/>
              <w:rPr>
                <w:rFonts w:ascii="Times New Roman" w:hAnsi="Times New Roman" w:cs="Times New Roman"/>
                <w:b/>
                <w:bCs/>
                <w:sz w:val="24"/>
                <w:szCs w:val="24"/>
              </w:rPr>
            </w:pPr>
          </w:p>
        </w:tc>
        <w:tc>
          <w:tcPr>
            <w:tcW w:w="831" w:type="pct"/>
            <w:vAlign w:val="center"/>
          </w:tcPr>
          <w:p w14:paraId="59D7BF27"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12</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44CD18C1"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247.79±4.11</w:t>
            </w:r>
          </w:p>
        </w:tc>
        <w:tc>
          <w:tcPr>
            <w:tcW w:w="1099" w:type="pct"/>
            <w:vAlign w:val="center"/>
          </w:tcPr>
          <w:p w14:paraId="0B3B78F0"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247.91±4.11</w:t>
            </w:r>
          </w:p>
        </w:tc>
        <w:tc>
          <w:tcPr>
            <w:tcW w:w="1023" w:type="pct"/>
            <w:vAlign w:val="center"/>
          </w:tcPr>
          <w:p w14:paraId="039B33FB"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254.04±0.00</w:t>
            </w:r>
          </w:p>
        </w:tc>
      </w:tr>
      <w:tr w:rsidR="00D621FA" w:rsidRPr="00D621FA" w14:paraId="302BDDFF" w14:textId="77777777" w:rsidTr="00BB28A2">
        <w:trPr>
          <w:trHeight w:val="77"/>
          <w:jc w:val="center"/>
        </w:trPr>
        <w:tc>
          <w:tcPr>
            <w:tcW w:w="985" w:type="pct"/>
            <w:vMerge w:val="restart"/>
            <w:vAlign w:val="center"/>
          </w:tcPr>
          <w:p w14:paraId="6BE053C7"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Total protein (g/dl)</w:t>
            </w:r>
          </w:p>
        </w:tc>
        <w:tc>
          <w:tcPr>
            <w:tcW w:w="831" w:type="pct"/>
            <w:vAlign w:val="center"/>
          </w:tcPr>
          <w:p w14:paraId="17FAF142"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6</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11061D1D"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3.67±0.09</w:t>
            </w:r>
          </w:p>
        </w:tc>
        <w:tc>
          <w:tcPr>
            <w:tcW w:w="1099" w:type="pct"/>
            <w:vAlign w:val="center"/>
          </w:tcPr>
          <w:p w14:paraId="3297947D"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3.55±0.09</w:t>
            </w:r>
          </w:p>
        </w:tc>
        <w:tc>
          <w:tcPr>
            <w:tcW w:w="1023" w:type="pct"/>
            <w:vAlign w:val="center"/>
          </w:tcPr>
          <w:p w14:paraId="7C2846AA"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3.55±0.00</w:t>
            </w:r>
          </w:p>
        </w:tc>
      </w:tr>
      <w:tr w:rsidR="00D621FA" w:rsidRPr="00D621FA" w14:paraId="3667408A" w14:textId="77777777" w:rsidTr="00BB28A2">
        <w:trPr>
          <w:trHeight w:val="77"/>
          <w:jc w:val="center"/>
        </w:trPr>
        <w:tc>
          <w:tcPr>
            <w:tcW w:w="985" w:type="pct"/>
            <w:vMerge/>
            <w:vAlign w:val="center"/>
          </w:tcPr>
          <w:p w14:paraId="1DF04B64" w14:textId="77777777" w:rsidR="00D621FA" w:rsidRPr="00D621FA" w:rsidRDefault="00D621FA" w:rsidP="00D621FA">
            <w:pPr>
              <w:jc w:val="both"/>
              <w:rPr>
                <w:rFonts w:ascii="Times New Roman" w:hAnsi="Times New Roman" w:cs="Times New Roman"/>
                <w:b/>
                <w:bCs/>
                <w:sz w:val="24"/>
                <w:szCs w:val="24"/>
              </w:rPr>
            </w:pPr>
          </w:p>
        </w:tc>
        <w:tc>
          <w:tcPr>
            <w:tcW w:w="831" w:type="pct"/>
            <w:vAlign w:val="center"/>
          </w:tcPr>
          <w:p w14:paraId="2689074F"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12</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71EA1C37"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3.63±0.08</w:t>
            </w:r>
          </w:p>
        </w:tc>
        <w:tc>
          <w:tcPr>
            <w:tcW w:w="1099" w:type="pct"/>
            <w:vAlign w:val="center"/>
          </w:tcPr>
          <w:p w14:paraId="3D4964DD"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3.59±0.08</w:t>
            </w:r>
          </w:p>
        </w:tc>
        <w:tc>
          <w:tcPr>
            <w:tcW w:w="1023" w:type="pct"/>
            <w:vAlign w:val="center"/>
          </w:tcPr>
          <w:p w14:paraId="43AF47EE"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3.63±0.00</w:t>
            </w:r>
          </w:p>
        </w:tc>
      </w:tr>
      <w:tr w:rsidR="00D621FA" w:rsidRPr="00D621FA" w14:paraId="44617856" w14:textId="77777777" w:rsidTr="00BB28A2">
        <w:trPr>
          <w:trHeight w:val="227"/>
          <w:jc w:val="center"/>
        </w:trPr>
        <w:tc>
          <w:tcPr>
            <w:tcW w:w="985" w:type="pct"/>
            <w:vMerge w:val="restart"/>
            <w:vAlign w:val="center"/>
          </w:tcPr>
          <w:p w14:paraId="3223C81F"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AST (U/L)</w:t>
            </w:r>
          </w:p>
        </w:tc>
        <w:tc>
          <w:tcPr>
            <w:tcW w:w="831" w:type="pct"/>
            <w:vAlign w:val="center"/>
          </w:tcPr>
          <w:p w14:paraId="21C12CDF"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6</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0AE3382A"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269.25±3.68</w:t>
            </w:r>
          </w:p>
        </w:tc>
        <w:tc>
          <w:tcPr>
            <w:tcW w:w="1099" w:type="pct"/>
            <w:vAlign w:val="center"/>
          </w:tcPr>
          <w:p w14:paraId="49EE4BDE"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275.70±3.68</w:t>
            </w:r>
          </w:p>
        </w:tc>
        <w:tc>
          <w:tcPr>
            <w:tcW w:w="1023" w:type="pct"/>
            <w:vAlign w:val="center"/>
          </w:tcPr>
          <w:p w14:paraId="55E16EB8"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272.70±0.00</w:t>
            </w:r>
          </w:p>
        </w:tc>
      </w:tr>
      <w:tr w:rsidR="00D621FA" w:rsidRPr="00D621FA" w14:paraId="132231DE" w14:textId="77777777" w:rsidTr="00BB28A2">
        <w:trPr>
          <w:trHeight w:val="231"/>
          <w:jc w:val="center"/>
        </w:trPr>
        <w:tc>
          <w:tcPr>
            <w:tcW w:w="985" w:type="pct"/>
            <w:vMerge/>
            <w:vAlign w:val="center"/>
          </w:tcPr>
          <w:p w14:paraId="6A525FDE" w14:textId="77777777" w:rsidR="00D621FA" w:rsidRPr="00D621FA" w:rsidRDefault="00D621FA" w:rsidP="00D621FA">
            <w:pPr>
              <w:jc w:val="both"/>
              <w:rPr>
                <w:rFonts w:ascii="Times New Roman" w:hAnsi="Times New Roman" w:cs="Times New Roman"/>
                <w:b/>
                <w:bCs/>
                <w:sz w:val="24"/>
                <w:szCs w:val="24"/>
              </w:rPr>
            </w:pPr>
          </w:p>
        </w:tc>
        <w:tc>
          <w:tcPr>
            <w:tcW w:w="831" w:type="pct"/>
            <w:vAlign w:val="center"/>
          </w:tcPr>
          <w:p w14:paraId="7534C5AD"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12</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04906B9F"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292.20±4.80</w:t>
            </w:r>
          </w:p>
        </w:tc>
        <w:tc>
          <w:tcPr>
            <w:tcW w:w="1099" w:type="pct"/>
            <w:vAlign w:val="center"/>
          </w:tcPr>
          <w:p w14:paraId="337D6A49"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301.41±4.80</w:t>
            </w:r>
          </w:p>
        </w:tc>
        <w:tc>
          <w:tcPr>
            <w:tcW w:w="1023" w:type="pct"/>
            <w:vAlign w:val="center"/>
          </w:tcPr>
          <w:p w14:paraId="6D633CD9"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296.30±0.00</w:t>
            </w:r>
          </w:p>
        </w:tc>
      </w:tr>
      <w:tr w:rsidR="00D621FA" w:rsidRPr="00D621FA" w14:paraId="785F44C6" w14:textId="77777777" w:rsidTr="00BB28A2">
        <w:trPr>
          <w:trHeight w:val="227"/>
          <w:jc w:val="center"/>
        </w:trPr>
        <w:tc>
          <w:tcPr>
            <w:tcW w:w="985" w:type="pct"/>
            <w:vMerge w:val="restart"/>
            <w:vAlign w:val="center"/>
          </w:tcPr>
          <w:p w14:paraId="21DFCDD1"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ALT (U/L)</w:t>
            </w:r>
          </w:p>
        </w:tc>
        <w:tc>
          <w:tcPr>
            <w:tcW w:w="831" w:type="pct"/>
            <w:vAlign w:val="center"/>
          </w:tcPr>
          <w:p w14:paraId="21E79F4C"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6</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4DD6EE51"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4.45±0.09</w:t>
            </w:r>
          </w:p>
        </w:tc>
        <w:tc>
          <w:tcPr>
            <w:tcW w:w="1099" w:type="pct"/>
            <w:vAlign w:val="center"/>
          </w:tcPr>
          <w:p w14:paraId="49816CBF"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4.51±0.09</w:t>
            </w:r>
          </w:p>
        </w:tc>
        <w:tc>
          <w:tcPr>
            <w:tcW w:w="1023" w:type="pct"/>
            <w:vAlign w:val="center"/>
          </w:tcPr>
          <w:p w14:paraId="0535B4A1"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4.43±0.00</w:t>
            </w:r>
          </w:p>
        </w:tc>
      </w:tr>
      <w:tr w:rsidR="00D621FA" w:rsidRPr="00D621FA" w14:paraId="72B4B159" w14:textId="77777777" w:rsidTr="00BB28A2">
        <w:trPr>
          <w:trHeight w:val="227"/>
          <w:jc w:val="center"/>
        </w:trPr>
        <w:tc>
          <w:tcPr>
            <w:tcW w:w="985" w:type="pct"/>
            <w:vMerge/>
            <w:vAlign w:val="center"/>
          </w:tcPr>
          <w:p w14:paraId="79DE5A49" w14:textId="77777777" w:rsidR="00D621FA" w:rsidRPr="00D621FA" w:rsidRDefault="00D621FA" w:rsidP="00D621FA">
            <w:pPr>
              <w:jc w:val="both"/>
              <w:rPr>
                <w:rFonts w:ascii="Times New Roman" w:hAnsi="Times New Roman" w:cs="Times New Roman"/>
                <w:b/>
                <w:bCs/>
                <w:sz w:val="24"/>
                <w:szCs w:val="24"/>
              </w:rPr>
            </w:pPr>
          </w:p>
        </w:tc>
        <w:tc>
          <w:tcPr>
            <w:tcW w:w="831" w:type="pct"/>
            <w:vAlign w:val="center"/>
          </w:tcPr>
          <w:p w14:paraId="623A942F"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12</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7C53BE0A"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5.09±0.09</w:t>
            </w:r>
          </w:p>
        </w:tc>
        <w:tc>
          <w:tcPr>
            <w:tcW w:w="1099" w:type="pct"/>
            <w:vAlign w:val="center"/>
          </w:tcPr>
          <w:p w14:paraId="33AE8636"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5.16±0.09</w:t>
            </w:r>
          </w:p>
        </w:tc>
        <w:tc>
          <w:tcPr>
            <w:tcW w:w="1023" w:type="pct"/>
            <w:vAlign w:val="center"/>
          </w:tcPr>
          <w:p w14:paraId="495F93C4"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5.05±0.00</w:t>
            </w:r>
          </w:p>
        </w:tc>
      </w:tr>
      <w:tr w:rsidR="00D621FA" w:rsidRPr="00D621FA" w14:paraId="2190D45F" w14:textId="77777777" w:rsidTr="00BB28A2">
        <w:trPr>
          <w:trHeight w:val="227"/>
          <w:jc w:val="center"/>
        </w:trPr>
        <w:tc>
          <w:tcPr>
            <w:tcW w:w="985" w:type="pct"/>
            <w:vMerge w:val="restart"/>
            <w:vAlign w:val="center"/>
          </w:tcPr>
          <w:p w14:paraId="190499CC"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Creatinine (mg/dl)</w:t>
            </w:r>
          </w:p>
        </w:tc>
        <w:tc>
          <w:tcPr>
            <w:tcW w:w="831" w:type="pct"/>
            <w:vAlign w:val="center"/>
          </w:tcPr>
          <w:p w14:paraId="608CE154"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6</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17AD3287"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0.15±0.00</w:t>
            </w:r>
          </w:p>
        </w:tc>
        <w:tc>
          <w:tcPr>
            <w:tcW w:w="1099" w:type="pct"/>
            <w:vAlign w:val="center"/>
          </w:tcPr>
          <w:p w14:paraId="6A7824CE"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0.15±0.00</w:t>
            </w:r>
          </w:p>
        </w:tc>
        <w:tc>
          <w:tcPr>
            <w:tcW w:w="1023" w:type="pct"/>
            <w:vAlign w:val="center"/>
          </w:tcPr>
          <w:p w14:paraId="1E28E2C8"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0.15±0.00</w:t>
            </w:r>
          </w:p>
        </w:tc>
      </w:tr>
      <w:tr w:rsidR="00D621FA" w:rsidRPr="00D621FA" w14:paraId="75057EC8" w14:textId="77777777" w:rsidTr="00BB28A2">
        <w:trPr>
          <w:trHeight w:val="231"/>
          <w:jc w:val="center"/>
        </w:trPr>
        <w:tc>
          <w:tcPr>
            <w:tcW w:w="985" w:type="pct"/>
            <w:vMerge/>
            <w:vAlign w:val="center"/>
          </w:tcPr>
          <w:p w14:paraId="4C2FFF73" w14:textId="77777777" w:rsidR="00D621FA" w:rsidRPr="00D621FA" w:rsidRDefault="00D621FA" w:rsidP="00D621FA">
            <w:pPr>
              <w:jc w:val="both"/>
              <w:rPr>
                <w:rFonts w:ascii="Times New Roman" w:hAnsi="Times New Roman" w:cs="Times New Roman"/>
                <w:b/>
                <w:bCs/>
                <w:sz w:val="24"/>
                <w:szCs w:val="24"/>
              </w:rPr>
            </w:pPr>
          </w:p>
        </w:tc>
        <w:tc>
          <w:tcPr>
            <w:tcW w:w="831" w:type="pct"/>
            <w:vAlign w:val="center"/>
          </w:tcPr>
          <w:p w14:paraId="6867CECB"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12</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717530CA"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0.15±0.00</w:t>
            </w:r>
          </w:p>
        </w:tc>
        <w:tc>
          <w:tcPr>
            <w:tcW w:w="1099" w:type="pct"/>
            <w:vAlign w:val="center"/>
          </w:tcPr>
          <w:p w14:paraId="37DD9691"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0.15±0.00</w:t>
            </w:r>
          </w:p>
        </w:tc>
        <w:tc>
          <w:tcPr>
            <w:tcW w:w="1023" w:type="pct"/>
            <w:vAlign w:val="center"/>
          </w:tcPr>
          <w:p w14:paraId="4AE602C8"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0.15±0.00</w:t>
            </w:r>
          </w:p>
        </w:tc>
      </w:tr>
      <w:tr w:rsidR="00D621FA" w:rsidRPr="00D621FA" w14:paraId="5B97BBF4" w14:textId="77777777" w:rsidTr="00BB28A2">
        <w:trPr>
          <w:trHeight w:val="227"/>
          <w:jc w:val="center"/>
        </w:trPr>
        <w:tc>
          <w:tcPr>
            <w:tcW w:w="985" w:type="pct"/>
            <w:vMerge w:val="restart"/>
            <w:vAlign w:val="center"/>
          </w:tcPr>
          <w:p w14:paraId="6EDDAD79"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BUN (mg/dl)</w:t>
            </w:r>
          </w:p>
        </w:tc>
        <w:tc>
          <w:tcPr>
            <w:tcW w:w="831" w:type="pct"/>
            <w:vAlign w:val="center"/>
          </w:tcPr>
          <w:p w14:paraId="4954EDAC"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6</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5A2EBCEB"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1.33±0.00</w:t>
            </w:r>
          </w:p>
        </w:tc>
        <w:tc>
          <w:tcPr>
            <w:tcW w:w="1099" w:type="pct"/>
            <w:vAlign w:val="center"/>
          </w:tcPr>
          <w:p w14:paraId="4E12709E"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1.34±0.00</w:t>
            </w:r>
          </w:p>
        </w:tc>
        <w:tc>
          <w:tcPr>
            <w:tcW w:w="1023" w:type="pct"/>
            <w:vAlign w:val="center"/>
          </w:tcPr>
          <w:p w14:paraId="347730CB"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1.34±0.00</w:t>
            </w:r>
          </w:p>
        </w:tc>
      </w:tr>
      <w:tr w:rsidR="00D621FA" w:rsidRPr="00D621FA" w14:paraId="1DFF7106" w14:textId="77777777" w:rsidTr="00BB28A2">
        <w:trPr>
          <w:trHeight w:val="231"/>
          <w:jc w:val="center"/>
        </w:trPr>
        <w:tc>
          <w:tcPr>
            <w:tcW w:w="985" w:type="pct"/>
            <w:vMerge/>
            <w:vAlign w:val="center"/>
          </w:tcPr>
          <w:p w14:paraId="6712622B" w14:textId="77777777" w:rsidR="00D621FA" w:rsidRPr="00D621FA" w:rsidRDefault="00D621FA" w:rsidP="00D621FA">
            <w:pPr>
              <w:jc w:val="both"/>
              <w:rPr>
                <w:rFonts w:ascii="Times New Roman" w:hAnsi="Times New Roman" w:cs="Times New Roman"/>
                <w:sz w:val="24"/>
                <w:szCs w:val="24"/>
              </w:rPr>
            </w:pPr>
          </w:p>
        </w:tc>
        <w:tc>
          <w:tcPr>
            <w:tcW w:w="831" w:type="pct"/>
            <w:vAlign w:val="center"/>
          </w:tcPr>
          <w:p w14:paraId="474D065A"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b/>
                <w:bCs/>
                <w:sz w:val="24"/>
                <w:szCs w:val="24"/>
              </w:rPr>
              <w:t>12</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70F998C3"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1.34±0.00</w:t>
            </w:r>
          </w:p>
        </w:tc>
        <w:tc>
          <w:tcPr>
            <w:tcW w:w="1099" w:type="pct"/>
            <w:vAlign w:val="center"/>
          </w:tcPr>
          <w:p w14:paraId="32666A86"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1.35±0.00</w:t>
            </w:r>
          </w:p>
        </w:tc>
        <w:tc>
          <w:tcPr>
            <w:tcW w:w="1023" w:type="pct"/>
            <w:vAlign w:val="center"/>
          </w:tcPr>
          <w:p w14:paraId="1E116FEC"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1.35±0.00</w:t>
            </w:r>
          </w:p>
        </w:tc>
      </w:tr>
      <w:bookmarkEnd w:id="14"/>
      <w:tr w:rsidR="00D621FA" w:rsidRPr="00D621FA" w14:paraId="586075F8" w14:textId="77777777" w:rsidTr="00BB28A2">
        <w:trPr>
          <w:trHeight w:val="231"/>
          <w:jc w:val="center"/>
        </w:trPr>
        <w:tc>
          <w:tcPr>
            <w:tcW w:w="985" w:type="pct"/>
            <w:vMerge w:val="restart"/>
            <w:vAlign w:val="center"/>
          </w:tcPr>
          <w:p w14:paraId="6B9FC72C"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Total cholesterol (mg/dl)</w:t>
            </w:r>
          </w:p>
        </w:tc>
        <w:tc>
          <w:tcPr>
            <w:tcW w:w="831" w:type="pct"/>
            <w:vAlign w:val="center"/>
          </w:tcPr>
          <w:p w14:paraId="6BA8D493"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6</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46EFF354"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128.91±3.59</w:t>
            </w:r>
          </w:p>
        </w:tc>
        <w:tc>
          <w:tcPr>
            <w:tcW w:w="1099" w:type="pct"/>
            <w:vAlign w:val="center"/>
          </w:tcPr>
          <w:p w14:paraId="7E56B4F4"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134.25±3.59</w:t>
            </w:r>
          </w:p>
        </w:tc>
        <w:tc>
          <w:tcPr>
            <w:tcW w:w="1023" w:type="pct"/>
            <w:vAlign w:val="center"/>
          </w:tcPr>
          <w:p w14:paraId="5F68F3DE"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131.41±0.00</w:t>
            </w:r>
          </w:p>
        </w:tc>
      </w:tr>
      <w:tr w:rsidR="00D621FA" w:rsidRPr="00D621FA" w14:paraId="3B78A36F" w14:textId="77777777" w:rsidTr="00BB28A2">
        <w:trPr>
          <w:trHeight w:val="77"/>
          <w:jc w:val="center"/>
        </w:trPr>
        <w:tc>
          <w:tcPr>
            <w:tcW w:w="985" w:type="pct"/>
            <w:vMerge/>
            <w:vAlign w:val="center"/>
          </w:tcPr>
          <w:p w14:paraId="079AA1A2" w14:textId="77777777" w:rsidR="00D621FA" w:rsidRPr="00D621FA" w:rsidRDefault="00D621FA" w:rsidP="00D621FA">
            <w:pPr>
              <w:jc w:val="both"/>
              <w:rPr>
                <w:rFonts w:ascii="Times New Roman" w:hAnsi="Times New Roman" w:cs="Times New Roman"/>
                <w:b/>
                <w:bCs/>
                <w:sz w:val="24"/>
                <w:szCs w:val="24"/>
              </w:rPr>
            </w:pPr>
          </w:p>
        </w:tc>
        <w:tc>
          <w:tcPr>
            <w:tcW w:w="831" w:type="pct"/>
            <w:vAlign w:val="center"/>
          </w:tcPr>
          <w:p w14:paraId="523784F7"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12</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36F4CBA7"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136.37±3.80</w:t>
            </w:r>
          </w:p>
        </w:tc>
        <w:tc>
          <w:tcPr>
            <w:tcW w:w="1099" w:type="pct"/>
            <w:vAlign w:val="center"/>
          </w:tcPr>
          <w:p w14:paraId="683589ED"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137.87±3.80</w:t>
            </w:r>
          </w:p>
        </w:tc>
        <w:tc>
          <w:tcPr>
            <w:tcW w:w="1023" w:type="pct"/>
            <w:vAlign w:val="center"/>
          </w:tcPr>
          <w:p w14:paraId="68F93524"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132.00±0.00</w:t>
            </w:r>
          </w:p>
        </w:tc>
      </w:tr>
      <w:tr w:rsidR="00D621FA" w:rsidRPr="00D621FA" w14:paraId="00093F69" w14:textId="77777777" w:rsidTr="00BB28A2">
        <w:trPr>
          <w:trHeight w:val="231"/>
          <w:jc w:val="center"/>
        </w:trPr>
        <w:tc>
          <w:tcPr>
            <w:tcW w:w="985" w:type="pct"/>
            <w:vMerge w:val="restart"/>
            <w:vAlign w:val="center"/>
          </w:tcPr>
          <w:p w14:paraId="1E22AEBF"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Triglyceride (mg/dl)</w:t>
            </w:r>
          </w:p>
        </w:tc>
        <w:tc>
          <w:tcPr>
            <w:tcW w:w="831" w:type="pct"/>
            <w:vAlign w:val="center"/>
          </w:tcPr>
          <w:p w14:paraId="33968B90"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6</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3174D34D"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175.16±2.28</w:t>
            </w:r>
          </w:p>
        </w:tc>
        <w:tc>
          <w:tcPr>
            <w:tcW w:w="1099" w:type="pct"/>
            <w:vAlign w:val="center"/>
          </w:tcPr>
          <w:p w14:paraId="69DB0F74"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172.30±2.28</w:t>
            </w:r>
          </w:p>
        </w:tc>
        <w:tc>
          <w:tcPr>
            <w:tcW w:w="1023" w:type="pct"/>
            <w:vAlign w:val="center"/>
          </w:tcPr>
          <w:p w14:paraId="13ECD738"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172.45±0.00</w:t>
            </w:r>
          </w:p>
        </w:tc>
      </w:tr>
      <w:tr w:rsidR="00D621FA" w:rsidRPr="00D621FA" w14:paraId="064ECD8E" w14:textId="77777777" w:rsidTr="00BB28A2">
        <w:trPr>
          <w:trHeight w:val="231"/>
          <w:jc w:val="center"/>
        </w:trPr>
        <w:tc>
          <w:tcPr>
            <w:tcW w:w="985" w:type="pct"/>
            <w:vMerge/>
            <w:vAlign w:val="center"/>
          </w:tcPr>
          <w:p w14:paraId="7DD25E3B" w14:textId="77777777" w:rsidR="00D621FA" w:rsidRPr="00D621FA" w:rsidRDefault="00D621FA" w:rsidP="00D621FA">
            <w:pPr>
              <w:jc w:val="both"/>
              <w:rPr>
                <w:rFonts w:ascii="Times New Roman" w:hAnsi="Times New Roman" w:cs="Times New Roman"/>
                <w:sz w:val="24"/>
                <w:szCs w:val="24"/>
              </w:rPr>
            </w:pPr>
          </w:p>
        </w:tc>
        <w:tc>
          <w:tcPr>
            <w:tcW w:w="831" w:type="pct"/>
            <w:vAlign w:val="center"/>
          </w:tcPr>
          <w:p w14:paraId="0A75FB65" w14:textId="77777777" w:rsidR="00D621FA" w:rsidRPr="00D621FA" w:rsidRDefault="00D621FA" w:rsidP="00D621FA">
            <w:pPr>
              <w:jc w:val="both"/>
              <w:rPr>
                <w:rFonts w:ascii="Times New Roman" w:hAnsi="Times New Roman" w:cs="Times New Roman"/>
                <w:b/>
                <w:bCs/>
                <w:sz w:val="24"/>
                <w:szCs w:val="24"/>
              </w:rPr>
            </w:pPr>
            <w:r w:rsidRPr="00D621FA">
              <w:rPr>
                <w:rFonts w:ascii="Times New Roman" w:hAnsi="Times New Roman" w:cs="Times New Roman"/>
                <w:b/>
                <w:bCs/>
                <w:sz w:val="24"/>
                <w:szCs w:val="24"/>
              </w:rPr>
              <w:t>12</w:t>
            </w:r>
            <w:r w:rsidRPr="00D621FA">
              <w:rPr>
                <w:rFonts w:ascii="Times New Roman" w:hAnsi="Times New Roman" w:cs="Times New Roman"/>
                <w:b/>
                <w:bCs/>
                <w:sz w:val="24"/>
                <w:szCs w:val="24"/>
                <w:vertAlign w:val="superscript"/>
              </w:rPr>
              <w:t>th</w:t>
            </w:r>
            <w:r w:rsidRPr="00D621FA">
              <w:rPr>
                <w:rFonts w:ascii="Times New Roman" w:hAnsi="Times New Roman" w:cs="Times New Roman"/>
                <w:b/>
                <w:bCs/>
                <w:sz w:val="24"/>
                <w:szCs w:val="24"/>
              </w:rPr>
              <w:t xml:space="preserve"> week</w:t>
            </w:r>
          </w:p>
        </w:tc>
        <w:tc>
          <w:tcPr>
            <w:tcW w:w="1061" w:type="pct"/>
            <w:vAlign w:val="center"/>
          </w:tcPr>
          <w:p w14:paraId="6B39F97A"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171.25±2.18</w:t>
            </w:r>
          </w:p>
        </w:tc>
        <w:tc>
          <w:tcPr>
            <w:tcW w:w="1099" w:type="pct"/>
            <w:vAlign w:val="center"/>
          </w:tcPr>
          <w:p w14:paraId="2A24A878"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174.12±2.18</w:t>
            </w:r>
          </w:p>
        </w:tc>
        <w:tc>
          <w:tcPr>
            <w:tcW w:w="1023" w:type="pct"/>
            <w:vAlign w:val="center"/>
          </w:tcPr>
          <w:p w14:paraId="5B5FD3D7" w14:textId="77777777" w:rsidR="00D621FA" w:rsidRPr="00D621FA" w:rsidRDefault="00D621FA" w:rsidP="00D621FA">
            <w:pPr>
              <w:jc w:val="both"/>
              <w:rPr>
                <w:rFonts w:ascii="Times New Roman" w:hAnsi="Times New Roman" w:cs="Times New Roman"/>
                <w:sz w:val="24"/>
                <w:szCs w:val="24"/>
              </w:rPr>
            </w:pPr>
            <w:r w:rsidRPr="00D621FA">
              <w:rPr>
                <w:rFonts w:ascii="Times New Roman" w:hAnsi="Times New Roman" w:cs="Times New Roman"/>
                <w:sz w:val="24"/>
                <w:szCs w:val="24"/>
              </w:rPr>
              <w:t>174.50±0.00</w:t>
            </w:r>
          </w:p>
        </w:tc>
      </w:tr>
    </w:tbl>
    <w:p w14:paraId="14602CD1" w14:textId="61F4A741" w:rsidR="00D621FA" w:rsidRDefault="00D621FA" w:rsidP="00D6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D621FA">
        <w:rPr>
          <w:rFonts w:ascii="Times New Roman" w:hAnsi="Times New Roman" w:cs="Times New Roman"/>
          <w:sz w:val="24"/>
          <w:szCs w:val="24"/>
        </w:rPr>
        <w:t xml:space="preserve">Means with atleast one common superscripts in a column are nonsignificant (p&lt;0.01) </w:t>
      </w:r>
    </w:p>
    <w:p w14:paraId="71F903F8" w14:textId="228708F7" w:rsidR="007804E9" w:rsidRDefault="007804E9" w:rsidP="00D621FA">
      <w:pPr>
        <w:jc w:val="both"/>
        <w:rPr>
          <w:rFonts w:ascii="Times New Roman" w:hAnsi="Times New Roman" w:cs="Times New Roman"/>
          <w:bCs/>
          <w:sz w:val="24"/>
          <w:szCs w:val="24"/>
        </w:rPr>
      </w:pPr>
      <w:r>
        <w:rPr>
          <w:rFonts w:ascii="Times New Roman" w:hAnsi="Times New Roman" w:cs="Times New Roman"/>
          <w:bCs/>
          <w:noProof/>
          <w:sz w:val="24"/>
          <w:szCs w:val="24"/>
          <w:lang w:val="en-US"/>
        </w:rPr>
        <w:drawing>
          <wp:inline distT="0" distB="0" distL="0" distR="0" wp14:anchorId="7BF218D6" wp14:editId="46B17FF7">
            <wp:extent cx="5273675" cy="2493645"/>
            <wp:effectExtent l="0" t="0" r="3175" b="1905"/>
            <wp:docPr id="9189817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3675" cy="2493645"/>
                    </a:xfrm>
                    <a:prstGeom prst="rect">
                      <a:avLst/>
                    </a:prstGeom>
                    <a:noFill/>
                  </pic:spPr>
                </pic:pic>
              </a:graphicData>
            </a:graphic>
          </wp:inline>
        </w:drawing>
      </w:r>
    </w:p>
    <w:p w14:paraId="7D962899" w14:textId="7FDD1507" w:rsidR="00490B81" w:rsidRDefault="00490B81" w:rsidP="00D621FA">
      <w:pPr>
        <w:jc w:val="both"/>
        <w:rPr>
          <w:rFonts w:ascii="Times New Roman" w:hAnsi="Times New Roman" w:cs="Times New Roman"/>
          <w:b/>
          <w:bCs/>
          <w:sz w:val="24"/>
          <w:szCs w:val="24"/>
          <w:lang w:val="en-US"/>
        </w:rPr>
      </w:pPr>
      <w:r w:rsidRPr="00490B81">
        <w:rPr>
          <w:rFonts w:ascii="Times New Roman" w:hAnsi="Times New Roman" w:cs="Times New Roman"/>
          <w:b/>
          <w:bCs/>
          <w:sz w:val="24"/>
          <w:szCs w:val="24"/>
          <w:lang w:val="en-US"/>
        </w:rPr>
        <w:t xml:space="preserve">Figure </w:t>
      </w:r>
      <w:r w:rsidR="00CD1E95">
        <w:rPr>
          <w:rFonts w:ascii="Times New Roman" w:hAnsi="Times New Roman" w:cs="Times New Roman"/>
          <w:b/>
          <w:bCs/>
          <w:sz w:val="24"/>
          <w:szCs w:val="24"/>
          <w:lang w:val="en-US"/>
        </w:rPr>
        <w:t>3</w:t>
      </w:r>
      <w:r w:rsidRPr="00490B81">
        <w:rPr>
          <w:rFonts w:ascii="Times New Roman" w:hAnsi="Times New Roman" w:cs="Times New Roman"/>
          <w:b/>
          <w:bCs/>
          <w:sz w:val="24"/>
          <w:szCs w:val="24"/>
          <w:lang w:val="en-US"/>
        </w:rPr>
        <w:t>:</w:t>
      </w:r>
      <w:r w:rsidRPr="00490B81">
        <w:rPr>
          <w:rFonts w:ascii="Times New Roman" w:hAnsi="Times New Roman" w:cs="Times New Roman"/>
          <w:b/>
          <w:bCs/>
          <w:sz w:val="24"/>
          <w:szCs w:val="24"/>
          <w:lang w:val="en-US"/>
        </w:rPr>
        <w:tab/>
        <w:t>Biochemical parameters of Turkey in different replicates at 6 weeks interval</w:t>
      </w:r>
    </w:p>
    <w:p w14:paraId="466F6F74" w14:textId="42D5B87E" w:rsidR="00554F18" w:rsidRDefault="00554F18" w:rsidP="00D621FA">
      <w:pPr>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w:drawing>
          <wp:inline distT="0" distB="0" distL="0" distR="0" wp14:anchorId="54782F54" wp14:editId="7FC850EE">
            <wp:extent cx="5273675" cy="2499360"/>
            <wp:effectExtent l="0" t="0" r="3175" b="0"/>
            <wp:docPr id="33569107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3675" cy="2499360"/>
                    </a:xfrm>
                    <a:prstGeom prst="rect">
                      <a:avLst/>
                    </a:prstGeom>
                    <a:noFill/>
                  </pic:spPr>
                </pic:pic>
              </a:graphicData>
            </a:graphic>
          </wp:inline>
        </w:drawing>
      </w:r>
    </w:p>
    <w:p w14:paraId="66FC46EF" w14:textId="5F7C9D56" w:rsidR="00667138" w:rsidRDefault="00667138" w:rsidP="00D621FA">
      <w:pPr>
        <w:jc w:val="both"/>
        <w:rPr>
          <w:rFonts w:ascii="Times New Roman" w:hAnsi="Times New Roman" w:cs="Times New Roman"/>
          <w:b/>
          <w:bCs/>
          <w:sz w:val="24"/>
          <w:szCs w:val="24"/>
          <w:lang w:val="en-US"/>
        </w:rPr>
      </w:pPr>
      <w:r w:rsidRPr="00667138">
        <w:rPr>
          <w:rFonts w:ascii="Times New Roman" w:hAnsi="Times New Roman" w:cs="Times New Roman"/>
          <w:b/>
          <w:bCs/>
          <w:sz w:val="24"/>
          <w:szCs w:val="24"/>
          <w:lang w:val="en-US"/>
        </w:rPr>
        <w:t xml:space="preserve">Figure </w:t>
      </w:r>
      <w:r w:rsidR="00CD1E95">
        <w:rPr>
          <w:rFonts w:ascii="Times New Roman" w:hAnsi="Times New Roman" w:cs="Times New Roman"/>
          <w:b/>
          <w:bCs/>
          <w:sz w:val="24"/>
          <w:szCs w:val="24"/>
          <w:lang w:val="en-US"/>
        </w:rPr>
        <w:t>4</w:t>
      </w:r>
      <w:r w:rsidRPr="00667138">
        <w:rPr>
          <w:rFonts w:ascii="Times New Roman" w:hAnsi="Times New Roman" w:cs="Times New Roman"/>
          <w:b/>
          <w:bCs/>
          <w:sz w:val="24"/>
          <w:szCs w:val="24"/>
          <w:lang w:val="en-US"/>
        </w:rPr>
        <w:t>:</w:t>
      </w:r>
      <w:r w:rsidRPr="00667138">
        <w:rPr>
          <w:rFonts w:ascii="Times New Roman" w:hAnsi="Times New Roman" w:cs="Times New Roman"/>
          <w:b/>
          <w:bCs/>
          <w:sz w:val="24"/>
          <w:szCs w:val="24"/>
          <w:lang w:val="en-US"/>
        </w:rPr>
        <w:tab/>
        <w:t>Biochemical parameters of Turkey in different replicates at 6 weeks interval</w:t>
      </w:r>
    </w:p>
    <w:p w14:paraId="4C7C3FE4" w14:textId="54F288EC" w:rsidR="004E7304" w:rsidRDefault="004E7304" w:rsidP="00D621FA">
      <w:pPr>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w:drawing>
          <wp:inline distT="0" distB="0" distL="0" distR="0" wp14:anchorId="3FF75061" wp14:editId="656453DF">
            <wp:extent cx="5292090" cy="2505710"/>
            <wp:effectExtent l="0" t="0" r="3810" b="8890"/>
            <wp:docPr id="12765749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92090" cy="2505710"/>
                    </a:xfrm>
                    <a:prstGeom prst="rect">
                      <a:avLst/>
                    </a:prstGeom>
                    <a:noFill/>
                  </pic:spPr>
                </pic:pic>
              </a:graphicData>
            </a:graphic>
          </wp:inline>
        </w:drawing>
      </w:r>
    </w:p>
    <w:p w14:paraId="50631378" w14:textId="4AACC661" w:rsidR="003C3836" w:rsidRPr="00D621FA" w:rsidRDefault="003C3836" w:rsidP="00D621FA">
      <w:pPr>
        <w:jc w:val="both"/>
        <w:rPr>
          <w:rFonts w:ascii="Times New Roman" w:hAnsi="Times New Roman" w:cs="Times New Roman"/>
          <w:bCs/>
          <w:sz w:val="24"/>
          <w:szCs w:val="24"/>
          <w:lang w:val="en-US"/>
        </w:rPr>
      </w:pPr>
      <w:r w:rsidRPr="003C3836">
        <w:rPr>
          <w:rFonts w:ascii="Times New Roman" w:hAnsi="Times New Roman" w:cs="Times New Roman"/>
          <w:b/>
          <w:bCs/>
          <w:sz w:val="24"/>
          <w:szCs w:val="24"/>
          <w:lang w:val="en-US"/>
        </w:rPr>
        <w:t xml:space="preserve">Figure </w:t>
      </w:r>
      <w:r w:rsidR="00CD1E95">
        <w:rPr>
          <w:rFonts w:ascii="Times New Roman" w:hAnsi="Times New Roman" w:cs="Times New Roman"/>
          <w:b/>
          <w:bCs/>
          <w:sz w:val="24"/>
          <w:szCs w:val="24"/>
          <w:lang w:val="en-US"/>
        </w:rPr>
        <w:t>5</w:t>
      </w:r>
      <w:r w:rsidRPr="003C3836">
        <w:rPr>
          <w:rFonts w:ascii="Times New Roman" w:hAnsi="Times New Roman" w:cs="Times New Roman"/>
          <w:b/>
          <w:bCs/>
          <w:sz w:val="24"/>
          <w:szCs w:val="24"/>
          <w:lang w:val="en-US"/>
        </w:rPr>
        <w:t>:</w:t>
      </w:r>
      <w:r w:rsidRPr="003C3836">
        <w:rPr>
          <w:rFonts w:ascii="Times New Roman" w:hAnsi="Times New Roman" w:cs="Times New Roman"/>
          <w:b/>
          <w:bCs/>
          <w:sz w:val="24"/>
          <w:szCs w:val="24"/>
          <w:lang w:val="en-US"/>
        </w:rPr>
        <w:tab/>
        <w:t>Biochemical parameters of Turkey in different replicates at 6 weeks interval</w:t>
      </w:r>
    </w:p>
    <w:p w14:paraId="022F26D8" w14:textId="77777777" w:rsidR="00B916CA" w:rsidRPr="00B916CA" w:rsidRDefault="00B916CA" w:rsidP="00B916CA">
      <w:pPr>
        <w:jc w:val="both"/>
        <w:rPr>
          <w:rFonts w:ascii="Times New Roman" w:hAnsi="Times New Roman" w:cs="Times New Roman"/>
          <w:b/>
          <w:bCs/>
          <w:sz w:val="24"/>
          <w:szCs w:val="24"/>
        </w:rPr>
      </w:pPr>
      <w:r w:rsidRPr="00B916CA">
        <w:rPr>
          <w:rFonts w:ascii="Times New Roman" w:hAnsi="Times New Roman" w:cs="Times New Roman"/>
          <w:b/>
          <w:bCs/>
          <w:sz w:val="24"/>
          <w:szCs w:val="24"/>
        </w:rPr>
        <w:t>3. Immunological Studies</w:t>
      </w:r>
    </w:p>
    <w:p w14:paraId="4C55ED17" w14:textId="6C140485" w:rsidR="0017462B" w:rsidRDefault="0017462B" w:rsidP="009002FF">
      <w:pPr>
        <w:jc w:val="both"/>
        <w:rPr>
          <w:rFonts w:ascii="Times New Roman" w:hAnsi="Times New Roman" w:cs="Times New Roman"/>
          <w:sz w:val="24"/>
          <w:szCs w:val="24"/>
        </w:rPr>
      </w:pPr>
      <w:bookmarkStart w:id="15" w:name="_Hlk123812244"/>
      <w:r w:rsidRPr="0017462B">
        <w:rPr>
          <w:rFonts w:ascii="Times New Roman" w:hAnsi="Times New Roman" w:cs="Times New Roman"/>
          <w:sz w:val="24"/>
          <w:szCs w:val="24"/>
        </w:rPr>
        <w:t>The immunological performance of turkeys reared under an intensive system was evaluated at 6 and 12 weeks using two key indicators</w:t>
      </w:r>
      <w:r>
        <w:rPr>
          <w:rFonts w:ascii="Times New Roman" w:hAnsi="Times New Roman" w:cs="Times New Roman"/>
          <w:sz w:val="24"/>
          <w:szCs w:val="24"/>
        </w:rPr>
        <w:t xml:space="preserve"> </w:t>
      </w:r>
      <w:r w:rsidRPr="0017462B">
        <w:rPr>
          <w:rFonts w:ascii="Times New Roman" w:hAnsi="Times New Roman" w:cs="Times New Roman"/>
          <w:sz w:val="24"/>
          <w:szCs w:val="24"/>
        </w:rPr>
        <w:t>humoral and cell-mediated immunity</w:t>
      </w:r>
      <w:r>
        <w:rPr>
          <w:rFonts w:ascii="Times New Roman" w:hAnsi="Times New Roman" w:cs="Times New Roman"/>
          <w:sz w:val="24"/>
          <w:szCs w:val="24"/>
        </w:rPr>
        <w:t xml:space="preserve"> </w:t>
      </w:r>
      <w:r w:rsidRPr="0017462B">
        <w:rPr>
          <w:rFonts w:ascii="Times New Roman" w:hAnsi="Times New Roman" w:cs="Times New Roman"/>
          <w:sz w:val="24"/>
          <w:szCs w:val="24"/>
        </w:rPr>
        <w:t xml:space="preserve">with data presented in </w:t>
      </w:r>
      <w:r w:rsidR="008F4A60">
        <w:rPr>
          <w:rFonts w:ascii="Times New Roman" w:hAnsi="Times New Roman" w:cs="Times New Roman"/>
          <w:sz w:val="24"/>
          <w:szCs w:val="24"/>
        </w:rPr>
        <w:t>(</w:t>
      </w:r>
      <w:r w:rsidRPr="0017462B">
        <w:rPr>
          <w:rFonts w:ascii="Times New Roman" w:hAnsi="Times New Roman" w:cs="Times New Roman"/>
          <w:sz w:val="24"/>
          <w:szCs w:val="24"/>
        </w:rPr>
        <w:t xml:space="preserve">Tables </w:t>
      </w:r>
      <w:r w:rsidR="008F4A60">
        <w:rPr>
          <w:rFonts w:ascii="Times New Roman" w:hAnsi="Times New Roman" w:cs="Times New Roman"/>
          <w:sz w:val="24"/>
          <w:szCs w:val="24"/>
        </w:rPr>
        <w:t>8</w:t>
      </w:r>
      <w:r w:rsidRPr="0017462B">
        <w:rPr>
          <w:rFonts w:ascii="Times New Roman" w:hAnsi="Times New Roman" w:cs="Times New Roman"/>
          <w:sz w:val="24"/>
          <w:szCs w:val="24"/>
        </w:rPr>
        <w:t xml:space="preserve"> and </w:t>
      </w:r>
      <w:r w:rsidR="008F4A60">
        <w:rPr>
          <w:rFonts w:ascii="Times New Roman" w:hAnsi="Times New Roman" w:cs="Times New Roman"/>
          <w:sz w:val="24"/>
          <w:szCs w:val="24"/>
        </w:rPr>
        <w:t>9</w:t>
      </w:r>
      <w:r w:rsidRPr="0017462B">
        <w:rPr>
          <w:rFonts w:ascii="Times New Roman" w:hAnsi="Times New Roman" w:cs="Times New Roman"/>
          <w:sz w:val="24"/>
          <w:szCs w:val="24"/>
        </w:rPr>
        <w:t xml:space="preserve"> and visualized in Figures 6 and 7</w:t>
      </w:r>
      <w:r w:rsidR="008F4A60">
        <w:rPr>
          <w:rFonts w:ascii="Times New Roman" w:hAnsi="Times New Roman" w:cs="Times New Roman"/>
          <w:sz w:val="24"/>
          <w:szCs w:val="24"/>
        </w:rPr>
        <w:t>)</w:t>
      </w:r>
      <w:r w:rsidRPr="0017462B">
        <w:rPr>
          <w:rFonts w:ascii="Times New Roman" w:hAnsi="Times New Roman" w:cs="Times New Roman"/>
          <w:sz w:val="24"/>
          <w:szCs w:val="24"/>
        </w:rPr>
        <w:t>. Humoral immunity, assessed through haemagglutination (HA) titre against sheep red blood cells (SRBCs), showed values of 3.33 ± 0.59 (6th week) and 4.66 ± 0.74 (12th week) in R1, 3.33 ± 0.59 and 4.33 ± 0.74 in R2, and 3.33 ± 0.00 and 4.00 ± 0.00 in R3, with no statistically significant differences across replicates, indicating consistent antibody responses. Cell-mediated immunity, measured via toe web swelling in response to intradermal phytohaemagglutinin-P (PHA-P) injection, showed significant variation; R1 exhibited the highest swelling response at 12 weeks (0.93 ± 0.01 mm, p&lt;0.01), suggesting stronger cellular immunity. These findings are consistent with Li et al. (2000), who reported peak antibody titres on day 10 in males and day 7 in females post-primary SRBC challenge, and day 7 in both sexes after a secondary challenge. Loa et al. (2001) documented a significant HA titre increase (~3.4) by day 3 post-SRBC injection and toe web swelling of 0.35–0.48 mm in turkeys, with no significant group-wise differences. Cheema et al. (2007) also observed comparable humoral and cell-mediated responses in both commercial and random-bred turkey strains, emphasizing that while genetic background influences immune response, environmental conditions and nutrition are crucial determinants. Bhattacharyya et al. (2018) further reported that maternal dietary interventions did not affect humoral responses to SRBC in turkey poults, supporting the present study’s finding of uniform HA titres across replicates, thus reinforcing the idea that rearing system and experimental diet had minimal effect on the humoral immune profile.</w:t>
      </w:r>
    </w:p>
    <w:p w14:paraId="1151C845" w14:textId="77777777" w:rsidR="008F4A60" w:rsidRPr="008F4A60" w:rsidRDefault="008F4A60" w:rsidP="008F4A60">
      <w:pPr>
        <w:jc w:val="both"/>
        <w:rPr>
          <w:rFonts w:ascii="Times New Roman" w:hAnsi="Times New Roman" w:cs="Times New Roman"/>
          <w:sz w:val="24"/>
          <w:szCs w:val="24"/>
        </w:rPr>
      </w:pPr>
      <w:r w:rsidRPr="008F4A60">
        <w:rPr>
          <w:rFonts w:ascii="Times New Roman" w:hAnsi="Times New Roman" w:cs="Times New Roman"/>
          <w:sz w:val="24"/>
          <w:szCs w:val="24"/>
        </w:rPr>
        <w:t>A total of 72 healthy day-old turkey poults were wing-banded, weighed, and randomly assigned into three replicates with 24 poults each, receiving uniform brooding, feeding, and watering conditions. Standard poult and grower rations were provided as per ICAR (2013) feeding norms. Blood sampling and parameter evaluation were carried out at the 6th and 12th weeks of age. Among the haematological indices, TEC (3.34 × 10⁶/µl) and TLC (13.6 × 10³/µl) were significantly higher (p&lt;0.01) at the 6th week, whereas Hb (10.95 g/dl), PCV (36.8%), MCV (148.2 fL), and MCHC (28.58 g/dl) showed significantly elevated values (p&lt;0.01) at the 12th week. Biochemical analysis revealed significant differences in blood glucose (247.79 mg/dl), AST (301.4 U/L), and ALT (5.16 U/L) between age intervals and across replicates (p&lt;0.01), while parameters such as total protein (3.63 g/dl), creatinine (0.15 mg/dl), BUN (1.35 mg/dl), cholesterol (137.8 mg/dl), and triglycerides (175.1 mg/dl) remained statistically unaffected. Immunological evaluation showed that humoral immunity, measured via HA titre against SRBCs, was significantly higher (p&lt;0.01) at the 12th week (4.0–4.6) than the 6th week. Similarly, cell-mediated immunity assessed through toe web swelling following PHA-P injection peaked at the 12th week (mean: 0.93 mm, p&lt;0.01), indicating a progressive enhancement in immune response with age under intensive rearing conditions.</w:t>
      </w:r>
    </w:p>
    <w:p w14:paraId="1675D957" w14:textId="77777777" w:rsidR="008F4A60" w:rsidRDefault="008F4A60" w:rsidP="009002FF">
      <w:pPr>
        <w:jc w:val="both"/>
        <w:rPr>
          <w:rFonts w:ascii="Times New Roman" w:hAnsi="Times New Roman" w:cs="Times New Roman"/>
          <w:sz w:val="24"/>
          <w:szCs w:val="24"/>
        </w:rPr>
      </w:pPr>
    </w:p>
    <w:p w14:paraId="5E1CFC97" w14:textId="06F72C2D" w:rsidR="009002FF" w:rsidRPr="009002FF" w:rsidRDefault="009002FF" w:rsidP="009002FF">
      <w:pPr>
        <w:jc w:val="both"/>
        <w:rPr>
          <w:rFonts w:ascii="Times New Roman" w:hAnsi="Times New Roman" w:cs="Times New Roman"/>
          <w:b/>
          <w:sz w:val="24"/>
          <w:szCs w:val="24"/>
        </w:rPr>
      </w:pPr>
      <w:r w:rsidRPr="009002FF">
        <w:rPr>
          <w:rFonts w:ascii="Times New Roman" w:hAnsi="Times New Roman" w:cs="Times New Roman"/>
          <w:b/>
          <w:sz w:val="24"/>
          <w:szCs w:val="24"/>
        </w:rPr>
        <w:t xml:space="preserve">Table </w:t>
      </w:r>
      <w:r w:rsidR="008F4A60">
        <w:rPr>
          <w:rFonts w:ascii="Times New Roman" w:hAnsi="Times New Roman" w:cs="Times New Roman"/>
          <w:b/>
          <w:sz w:val="24"/>
          <w:szCs w:val="24"/>
        </w:rPr>
        <w:t>8</w:t>
      </w:r>
      <w:r w:rsidRPr="009002FF">
        <w:rPr>
          <w:rFonts w:ascii="Times New Roman" w:hAnsi="Times New Roman" w:cs="Times New Roman"/>
          <w:b/>
          <w:sz w:val="24"/>
          <w:szCs w:val="24"/>
        </w:rPr>
        <w:t>: HA titre of Turkey in different replicates at 6 weeks interval</w:t>
      </w:r>
      <w:r w:rsidR="00F1422B">
        <w:rPr>
          <w:rStyle w:val="CommentReference"/>
          <w:rtl/>
        </w:rPr>
        <w:commentReference w:id="16"/>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103"/>
        <w:gridCol w:w="2103"/>
        <w:gridCol w:w="1848"/>
      </w:tblGrid>
      <w:tr w:rsidR="009002FF" w:rsidRPr="009002FF" w14:paraId="287F3F61" w14:textId="77777777" w:rsidTr="00BB28A2">
        <w:trPr>
          <w:jc w:val="center"/>
        </w:trPr>
        <w:tc>
          <w:tcPr>
            <w:tcW w:w="1998" w:type="dxa"/>
          </w:tcPr>
          <w:p w14:paraId="19130559" w14:textId="77777777" w:rsidR="009002FF" w:rsidRPr="009002FF" w:rsidRDefault="009002FF" w:rsidP="009002FF">
            <w:pPr>
              <w:jc w:val="both"/>
              <w:rPr>
                <w:rFonts w:ascii="Times New Roman" w:hAnsi="Times New Roman" w:cs="Times New Roman"/>
                <w:b/>
                <w:bCs/>
                <w:sz w:val="24"/>
                <w:szCs w:val="24"/>
              </w:rPr>
            </w:pPr>
            <w:bookmarkStart w:id="17" w:name="_Hlk123812214"/>
            <w:bookmarkEnd w:id="15"/>
            <w:r w:rsidRPr="009002FF">
              <w:rPr>
                <w:rFonts w:ascii="Times New Roman" w:hAnsi="Times New Roman" w:cs="Times New Roman"/>
                <w:b/>
                <w:bCs/>
                <w:sz w:val="24"/>
                <w:szCs w:val="24"/>
              </w:rPr>
              <w:t>Interval</w:t>
            </w:r>
          </w:p>
        </w:tc>
        <w:tc>
          <w:tcPr>
            <w:tcW w:w="2103" w:type="dxa"/>
            <w:vAlign w:val="center"/>
          </w:tcPr>
          <w:p w14:paraId="09C0EEAB" w14:textId="77777777" w:rsidR="009002FF" w:rsidRPr="009002FF" w:rsidRDefault="009002FF" w:rsidP="009002FF">
            <w:pPr>
              <w:jc w:val="both"/>
              <w:rPr>
                <w:rFonts w:ascii="Times New Roman" w:hAnsi="Times New Roman" w:cs="Times New Roman"/>
                <w:b/>
                <w:bCs/>
                <w:sz w:val="24"/>
                <w:szCs w:val="24"/>
              </w:rPr>
            </w:pPr>
            <w:r w:rsidRPr="009002FF">
              <w:rPr>
                <w:rFonts w:ascii="Times New Roman" w:hAnsi="Times New Roman" w:cs="Times New Roman"/>
                <w:b/>
                <w:bCs/>
                <w:sz w:val="24"/>
                <w:szCs w:val="24"/>
              </w:rPr>
              <w:t>R</w:t>
            </w:r>
            <w:r w:rsidRPr="009002FF">
              <w:rPr>
                <w:rFonts w:ascii="Times New Roman" w:hAnsi="Times New Roman" w:cs="Times New Roman"/>
                <w:b/>
                <w:bCs/>
                <w:sz w:val="24"/>
                <w:szCs w:val="24"/>
                <w:vertAlign w:val="subscript"/>
              </w:rPr>
              <w:t>1</w:t>
            </w:r>
          </w:p>
        </w:tc>
        <w:tc>
          <w:tcPr>
            <w:tcW w:w="2103" w:type="dxa"/>
            <w:vAlign w:val="center"/>
          </w:tcPr>
          <w:p w14:paraId="4990C699" w14:textId="77777777" w:rsidR="009002FF" w:rsidRPr="009002FF" w:rsidRDefault="009002FF" w:rsidP="009002FF">
            <w:pPr>
              <w:jc w:val="both"/>
              <w:rPr>
                <w:rFonts w:ascii="Times New Roman" w:hAnsi="Times New Roman" w:cs="Times New Roman"/>
                <w:b/>
                <w:bCs/>
                <w:sz w:val="24"/>
                <w:szCs w:val="24"/>
                <w:vertAlign w:val="superscript"/>
              </w:rPr>
            </w:pPr>
            <w:r w:rsidRPr="009002FF">
              <w:rPr>
                <w:rFonts w:ascii="Times New Roman" w:hAnsi="Times New Roman" w:cs="Times New Roman"/>
                <w:b/>
                <w:bCs/>
                <w:sz w:val="24"/>
                <w:szCs w:val="24"/>
              </w:rPr>
              <w:t>R</w:t>
            </w:r>
            <w:r w:rsidRPr="009002FF">
              <w:rPr>
                <w:rFonts w:ascii="Times New Roman" w:hAnsi="Times New Roman" w:cs="Times New Roman"/>
                <w:b/>
                <w:bCs/>
                <w:sz w:val="24"/>
                <w:szCs w:val="24"/>
                <w:vertAlign w:val="subscript"/>
              </w:rPr>
              <w:t>2</w:t>
            </w:r>
          </w:p>
        </w:tc>
        <w:tc>
          <w:tcPr>
            <w:tcW w:w="1848" w:type="dxa"/>
            <w:vAlign w:val="center"/>
          </w:tcPr>
          <w:p w14:paraId="521FC96D" w14:textId="77777777" w:rsidR="009002FF" w:rsidRPr="009002FF" w:rsidRDefault="009002FF" w:rsidP="009002FF">
            <w:pPr>
              <w:jc w:val="both"/>
              <w:rPr>
                <w:rFonts w:ascii="Times New Roman" w:hAnsi="Times New Roman" w:cs="Times New Roman"/>
                <w:b/>
                <w:bCs/>
                <w:sz w:val="24"/>
                <w:szCs w:val="24"/>
              </w:rPr>
            </w:pPr>
            <w:r w:rsidRPr="009002FF">
              <w:rPr>
                <w:rFonts w:ascii="Times New Roman" w:hAnsi="Times New Roman" w:cs="Times New Roman"/>
                <w:b/>
                <w:bCs/>
                <w:sz w:val="24"/>
                <w:szCs w:val="24"/>
              </w:rPr>
              <w:t>R</w:t>
            </w:r>
            <w:r w:rsidRPr="009002FF">
              <w:rPr>
                <w:rFonts w:ascii="Times New Roman" w:hAnsi="Times New Roman" w:cs="Times New Roman"/>
                <w:b/>
                <w:bCs/>
                <w:sz w:val="24"/>
                <w:szCs w:val="24"/>
                <w:vertAlign w:val="subscript"/>
              </w:rPr>
              <w:t>3</w:t>
            </w:r>
          </w:p>
        </w:tc>
      </w:tr>
      <w:tr w:rsidR="009002FF" w:rsidRPr="009002FF" w14:paraId="2413E909" w14:textId="77777777" w:rsidTr="00BB28A2">
        <w:trPr>
          <w:jc w:val="center"/>
        </w:trPr>
        <w:tc>
          <w:tcPr>
            <w:tcW w:w="1998" w:type="dxa"/>
          </w:tcPr>
          <w:p w14:paraId="34AF2B7B" w14:textId="77777777" w:rsidR="009002FF" w:rsidRPr="009002FF" w:rsidRDefault="009002FF" w:rsidP="009002FF">
            <w:pPr>
              <w:jc w:val="both"/>
              <w:rPr>
                <w:rFonts w:ascii="Times New Roman" w:hAnsi="Times New Roman" w:cs="Times New Roman"/>
                <w:b/>
                <w:bCs/>
                <w:sz w:val="24"/>
                <w:szCs w:val="24"/>
              </w:rPr>
            </w:pPr>
            <w:r w:rsidRPr="009002FF">
              <w:rPr>
                <w:rFonts w:ascii="Times New Roman" w:hAnsi="Times New Roman" w:cs="Times New Roman"/>
                <w:b/>
                <w:bCs/>
                <w:sz w:val="24"/>
                <w:szCs w:val="24"/>
              </w:rPr>
              <w:t>6</w:t>
            </w:r>
            <w:r w:rsidRPr="009002FF">
              <w:rPr>
                <w:rFonts w:ascii="Times New Roman" w:hAnsi="Times New Roman" w:cs="Times New Roman"/>
                <w:b/>
                <w:bCs/>
                <w:sz w:val="24"/>
                <w:szCs w:val="24"/>
                <w:vertAlign w:val="superscript"/>
              </w:rPr>
              <w:t>th</w:t>
            </w:r>
            <w:r w:rsidRPr="009002FF">
              <w:rPr>
                <w:rFonts w:ascii="Times New Roman" w:hAnsi="Times New Roman" w:cs="Times New Roman"/>
                <w:b/>
                <w:bCs/>
                <w:sz w:val="24"/>
                <w:szCs w:val="24"/>
              </w:rPr>
              <w:t xml:space="preserve"> week</w:t>
            </w:r>
          </w:p>
        </w:tc>
        <w:tc>
          <w:tcPr>
            <w:tcW w:w="2103" w:type="dxa"/>
          </w:tcPr>
          <w:p w14:paraId="3F23CCD9" w14:textId="77777777" w:rsidR="009002FF" w:rsidRPr="009002FF" w:rsidRDefault="009002FF" w:rsidP="009002FF">
            <w:pPr>
              <w:jc w:val="both"/>
              <w:rPr>
                <w:rFonts w:ascii="Times New Roman" w:hAnsi="Times New Roman" w:cs="Times New Roman"/>
                <w:sz w:val="24"/>
                <w:szCs w:val="24"/>
              </w:rPr>
            </w:pPr>
            <w:r w:rsidRPr="009002FF">
              <w:rPr>
                <w:rFonts w:ascii="Times New Roman" w:hAnsi="Times New Roman" w:cs="Times New Roman"/>
                <w:sz w:val="24"/>
                <w:szCs w:val="24"/>
              </w:rPr>
              <w:t>3.33±0.59</w:t>
            </w:r>
          </w:p>
        </w:tc>
        <w:tc>
          <w:tcPr>
            <w:tcW w:w="2103" w:type="dxa"/>
          </w:tcPr>
          <w:p w14:paraId="5B767F64" w14:textId="77777777" w:rsidR="009002FF" w:rsidRPr="009002FF" w:rsidRDefault="009002FF" w:rsidP="009002FF">
            <w:pPr>
              <w:jc w:val="both"/>
              <w:rPr>
                <w:rFonts w:ascii="Times New Roman" w:hAnsi="Times New Roman" w:cs="Times New Roman"/>
                <w:sz w:val="24"/>
                <w:szCs w:val="24"/>
              </w:rPr>
            </w:pPr>
            <w:r w:rsidRPr="009002FF">
              <w:rPr>
                <w:rFonts w:ascii="Times New Roman" w:hAnsi="Times New Roman" w:cs="Times New Roman"/>
                <w:sz w:val="24"/>
                <w:szCs w:val="24"/>
              </w:rPr>
              <w:t>3.33±0.59</w:t>
            </w:r>
          </w:p>
        </w:tc>
        <w:tc>
          <w:tcPr>
            <w:tcW w:w="1848" w:type="dxa"/>
          </w:tcPr>
          <w:p w14:paraId="6C020202" w14:textId="77777777" w:rsidR="009002FF" w:rsidRPr="009002FF" w:rsidRDefault="009002FF" w:rsidP="009002FF">
            <w:pPr>
              <w:jc w:val="both"/>
              <w:rPr>
                <w:rFonts w:ascii="Times New Roman" w:hAnsi="Times New Roman" w:cs="Times New Roman"/>
                <w:sz w:val="24"/>
                <w:szCs w:val="24"/>
              </w:rPr>
            </w:pPr>
            <w:r w:rsidRPr="009002FF">
              <w:rPr>
                <w:rFonts w:ascii="Times New Roman" w:hAnsi="Times New Roman" w:cs="Times New Roman"/>
                <w:sz w:val="24"/>
                <w:szCs w:val="24"/>
              </w:rPr>
              <w:t>3.33±0.00</w:t>
            </w:r>
          </w:p>
        </w:tc>
      </w:tr>
      <w:tr w:rsidR="009002FF" w:rsidRPr="009002FF" w14:paraId="455EDFAC" w14:textId="77777777" w:rsidTr="00BB28A2">
        <w:trPr>
          <w:jc w:val="center"/>
        </w:trPr>
        <w:tc>
          <w:tcPr>
            <w:tcW w:w="1998" w:type="dxa"/>
            <w:vAlign w:val="center"/>
          </w:tcPr>
          <w:p w14:paraId="2ADFBDBC" w14:textId="77777777" w:rsidR="009002FF" w:rsidRPr="009002FF" w:rsidRDefault="009002FF" w:rsidP="009002FF">
            <w:pPr>
              <w:jc w:val="both"/>
              <w:rPr>
                <w:rFonts w:ascii="Times New Roman" w:hAnsi="Times New Roman" w:cs="Times New Roman"/>
                <w:b/>
                <w:bCs/>
                <w:sz w:val="24"/>
                <w:szCs w:val="24"/>
              </w:rPr>
            </w:pPr>
            <w:r w:rsidRPr="009002FF">
              <w:rPr>
                <w:rFonts w:ascii="Times New Roman" w:hAnsi="Times New Roman" w:cs="Times New Roman"/>
                <w:b/>
                <w:bCs/>
                <w:sz w:val="24"/>
                <w:szCs w:val="24"/>
              </w:rPr>
              <w:t>12</w:t>
            </w:r>
            <w:r w:rsidRPr="009002FF">
              <w:rPr>
                <w:rFonts w:ascii="Times New Roman" w:hAnsi="Times New Roman" w:cs="Times New Roman"/>
                <w:b/>
                <w:bCs/>
                <w:sz w:val="24"/>
                <w:szCs w:val="24"/>
                <w:vertAlign w:val="superscript"/>
              </w:rPr>
              <w:t>th</w:t>
            </w:r>
            <w:r w:rsidRPr="009002FF">
              <w:rPr>
                <w:rFonts w:ascii="Times New Roman" w:hAnsi="Times New Roman" w:cs="Times New Roman"/>
                <w:b/>
                <w:bCs/>
                <w:sz w:val="24"/>
                <w:szCs w:val="24"/>
              </w:rPr>
              <w:t xml:space="preserve"> week</w:t>
            </w:r>
          </w:p>
        </w:tc>
        <w:tc>
          <w:tcPr>
            <w:tcW w:w="2103" w:type="dxa"/>
          </w:tcPr>
          <w:p w14:paraId="647EA95D" w14:textId="77777777" w:rsidR="009002FF" w:rsidRPr="009002FF" w:rsidRDefault="009002FF" w:rsidP="009002FF">
            <w:pPr>
              <w:jc w:val="both"/>
              <w:rPr>
                <w:rFonts w:ascii="Times New Roman" w:hAnsi="Times New Roman" w:cs="Times New Roman"/>
                <w:sz w:val="24"/>
                <w:szCs w:val="24"/>
              </w:rPr>
            </w:pPr>
            <w:r w:rsidRPr="009002FF">
              <w:rPr>
                <w:rFonts w:ascii="Times New Roman" w:hAnsi="Times New Roman" w:cs="Times New Roman"/>
                <w:sz w:val="24"/>
                <w:szCs w:val="24"/>
              </w:rPr>
              <w:t>4.66±0.74</w:t>
            </w:r>
          </w:p>
        </w:tc>
        <w:tc>
          <w:tcPr>
            <w:tcW w:w="2103" w:type="dxa"/>
          </w:tcPr>
          <w:p w14:paraId="6A344D58" w14:textId="77777777" w:rsidR="009002FF" w:rsidRPr="009002FF" w:rsidRDefault="009002FF" w:rsidP="009002FF">
            <w:pPr>
              <w:jc w:val="both"/>
              <w:rPr>
                <w:rFonts w:ascii="Times New Roman" w:hAnsi="Times New Roman" w:cs="Times New Roman"/>
                <w:sz w:val="24"/>
                <w:szCs w:val="24"/>
              </w:rPr>
            </w:pPr>
            <w:r w:rsidRPr="009002FF">
              <w:rPr>
                <w:rFonts w:ascii="Times New Roman" w:hAnsi="Times New Roman" w:cs="Times New Roman"/>
                <w:sz w:val="24"/>
                <w:szCs w:val="24"/>
              </w:rPr>
              <w:t>4.33±0.74</w:t>
            </w:r>
          </w:p>
        </w:tc>
        <w:tc>
          <w:tcPr>
            <w:tcW w:w="1848" w:type="dxa"/>
          </w:tcPr>
          <w:p w14:paraId="73880CC5" w14:textId="77777777" w:rsidR="009002FF" w:rsidRPr="009002FF" w:rsidRDefault="009002FF" w:rsidP="009002FF">
            <w:pPr>
              <w:jc w:val="both"/>
              <w:rPr>
                <w:rFonts w:ascii="Times New Roman" w:hAnsi="Times New Roman" w:cs="Times New Roman"/>
                <w:sz w:val="24"/>
                <w:szCs w:val="24"/>
              </w:rPr>
            </w:pPr>
            <w:r w:rsidRPr="009002FF">
              <w:rPr>
                <w:rFonts w:ascii="Times New Roman" w:hAnsi="Times New Roman" w:cs="Times New Roman"/>
                <w:sz w:val="24"/>
                <w:szCs w:val="24"/>
              </w:rPr>
              <w:t>4.00±0.00</w:t>
            </w:r>
          </w:p>
        </w:tc>
      </w:tr>
    </w:tbl>
    <w:bookmarkEnd w:id="17"/>
    <w:p w14:paraId="1FE1B761" w14:textId="20C4195B" w:rsidR="00462FC7" w:rsidRDefault="009002FF" w:rsidP="009002FF">
      <w:pPr>
        <w:jc w:val="both"/>
        <w:rPr>
          <w:rFonts w:ascii="Times New Roman" w:hAnsi="Times New Roman" w:cs="Times New Roman"/>
          <w:sz w:val="24"/>
          <w:szCs w:val="24"/>
        </w:rPr>
      </w:pPr>
      <w:r w:rsidRPr="009002FF">
        <w:rPr>
          <w:rFonts w:ascii="Times New Roman" w:hAnsi="Times New Roman" w:cs="Times New Roman"/>
          <w:sz w:val="24"/>
          <w:szCs w:val="24"/>
        </w:rPr>
        <w:t>Means with atleast one common superscripts in a column are nonsignificant (p&lt;0.01)</w:t>
      </w:r>
    </w:p>
    <w:p w14:paraId="154C8C7C" w14:textId="7322B32B" w:rsidR="007C6A21" w:rsidRDefault="00462FC7" w:rsidP="007C6A21">
      <w:pPr>
        <w:jc w:val="both"/>
        <w:rPr>
          <w:rFonts w:ascii="Times New Roman" w:hAnsi="Times New Roman" w:cs="Times New Roman"/>
          <w:b/>
          <w:sz w:val="24"/>
          <w:szCs w:val="24"/>
          <w:lang w:val="en-US"/>
        </w:rPr>
      </w:pPr>
      <w:r>
        <w:rPr>
          <w:rFonts w:ascii="Times New Roman" w:hAnsi="Times New Roman" w:cs="Times New Roman"/>
          <w:noProof/>
          <w:sz w:val="24"/>
          <w:szCs w:val="24"/>
          <w:lang w:val="en-US"/>
        </w:rPr>
        <w:drawing>
          <wp:anchor distT="0" distB="0" distL="114300" distR="114300" simplePos="0" relativeHeight="251663360" behindDoc="0" locked="0" layoutInCell="1" allowOverlap="1" wp14:anchorId="362BA36D" wp14:editId="75B5DBA7">
            <wp:simplePos x="1188720" y="2682240"/>
            <wp:positionH relativeFrom="column">
              <wp:align>left</wp:align>
            </wp:positionH>
            <wp:positionV relativeFrom="paragraph">
              <wp:align>top</wp:align>
            </wp:positionV>
            <wp:extent cx="5279390" cy="2979420"/>
            <wp:effectExtent l="0" t="0" r="0" b="0"/>
            <wp:wrapSquare wrapText="bothSides"/>
            <wp:docPr id="107886436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9390" cy="2979420"/>
                    </a:xfrm>
                    <a:prstGeom prst="rect">
                      <a:avLst/>
                    </a:prstGeom>
                    <a:noFill/>
                  </pic:spPr>
                </pic:pic>
              </a:graphicData>
            </a:graphic>
          </wp:anchor>
        </w:drawing>
      </w:r>
    </w:p>
    <w:p w14:paraId="1F808398" w14:textId="614364C8" w:rsidR="00626D69" w:rsidRPr="00626D69" w:rsidRDefault="007C6A21" w:rsidP="00626D69">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626D69" w:rsidRPr="00626D69">
        <w:rPr>
          <w:rFonts w:ascii="Times New Roman" w:hAnsi="Times New Roman" w:cs="Times New Roman"/>
          <w:b/>
          <w:sz w:val="24"/>
          <w:szCs w:val="24"/>
          <w:lang w:val="en-US"/>
        </w:rPr>
        <w:t xml:space="preserve">Figure </w:t>
      </w:r>
      <w:r w:rsidR="004935AA">
        <w:rPr>
          <w:rFonts w:ascii="Times New Roman" w:hAnsi="Times New Roman" w:cs="Times New Roman"/>
          <w:b/>
          <w:sz w:val="24"/>
          <w:szCs w:val="24"/>
          <w:lang w:val="en-US"/>
        </w:rPr>
        <w:t>6</w:t>
      </w:r>
      <w:r w:rsidR="00626D69" w:rsidRPr="00626D69">
        <w:rPr>
          <w:rFonts w:ascii="Times New Roman" w:hAnsi="Times New Roman" w:cs="Times New Roman"/>
          <w:b/>
          <w:sz w:val="24"/>
          <w:szCs w:val="24"/>
          <w:lang w:val="en-US"/>
        </w:rPr>
        <w:t>: HA titre of Turkey in different replicates at 6 weeks interval</w:t>
      </w:r>
    </w:p>
    <w:p w14:paraId="26E70EBA" w14:textId="104D4B00" w:rsidR="007C6A21" w:rsidRPr="009002FF" w:rsidRDefault="0017462B" w:rsidP="007C6A21">
      <w:pPr>
        <w:jc w:val="both"/>
        <w:rPr>
          <w:rFonts w:ascii="Times New Roman" w:hAnsi="Times New Roman" w:cs="Times New Roman"/>
          <w:b/>
          <w:sz w:val="24"/>
          <w:szCs w:val="24"/>
        </w:rPr>
      </w:pPr>
      <w:r>
        <w:rPr>
          <w:rFonts w:ascii="Times New Roman" w:hAnsi="Times New Roman" w:cs="Times New Roman"/>
          <w:b/>
          <w:bCs/>
          <w:sz w:val="24"/>
          <w:szCs w:val="24"/>
        </w:rPr>
        <w:br/>
      </w:r>
      <w:r w:rsidR="007C6A21" w:rsidRPr="009002FF">
        <w:rPr>
          <w:rFonts w:ascii="Times New Roman" w:hAnsi="Times New Roman" w:cs="Times New Roman"/>
          <w:b/>
          <w:sz w:val="24"/>
          <w:szCs w:val="24"/>
        </w:rPr>
        <w:t xml:space="preserve">Table </w:t>
      </w:r>
      <w:r w:rsidR="008F4A60">
        <w:rPr>
          <w:rFonts w:ascii="Times New Roman" w:hAnsi="Times New Roman" w:cs="Times New Roman"/>
          <w:b/>
          <w:sz w:val="24"/>
          <w:szCs w:val="24"/>
        </w:rPr>
        <w:t>9</w:t>
      </w:r>
      <w:r w:rsidR="007C6A21" w:rsidRPr="009002FF">
        <w:rPr>
          <w:rFonts w:ascii="Times New Roman" w:hAnsi="Times New Roman" w:cs="Times New Roman"/>
          <w:b/>
          <w:sz w:val="24"/>
          <w:szCs w:val="24"/>
        </w:rPr>
        <w:t>:</w:t>
      </w:r>
      <w:r w:rsidR="007C6A21" w:rsidRPr="009002FF">
        <w:rPr>
          <w:rFonts w:ascii="Times New Roman" w:hAnsi="Times New Roman" w:cs="Times New Roman"/>
          <w:b/>
          <w:sz w:val="24"/>
          <w:szCs w:val="24"/>
        </w:rPr>
        <w:tab/>
        <w:t>Cell-mediated immunity (by using PHA-P) (in mm) of Turkey in different replicates at 6 weeks interval</w:t>
      </w:r>
    </w:p>
    <w:tbl>
      <w:tblPr>
        <w:tblW w:w="8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2254"/>
        <w:gridCol w:w="2254"/>
        <w:gridCol w:w="1476"/>
      </w:tblGrid>
      <w:tr w:rsidR="007C6A21" w:rsidRPr="009002FF" w14:paraId="34EF6C84" w14:textId="77777777" w:rsidTr="00BB28A2">
        <w:trPr>
          <w:jc w:val="center"/>
        </w:trPr>
        <w:tc>
          <w:tcPr>
            <w:tcW w:w="2107" w:type="dxa"/>
            <w:vAlign w:val="center"/>
          </w:tcPr>
          <w:p w14:paraId="092CCE37" w14:textId="77777777" w:rsidR="007C6A21" w:rsidRPr="009002FF" w:rsidRDefault="007C6A21" w:rsidP="00BB28A2">
            <w:pPr>
              <w:jc w:val="both"/>
              <w:rPr>
                <w:rFonts w:ascii="Times New Roman" w:hAnsi="Times New Roman" w:cs="Times New Roman"/>
                <w:b/>
                <w:bCs/>
                <w:sz w:val="24"/>
                <w:szCs w:val="24"/>
              </w:rPr>
            </w:pPr>
            <w:bookmarkStart w:id="18" w:name="_Hlk123812288"/>
            <w:r w:rsidRPr="009002FF">
              <w:rPr>
                <w:rFonts w:ascii="Times New Roman" w:hAnsi="Times New Roman" w:cs="Times New Roman"/>
                <w:b/>
                <w:bCs/>
                <w:sz w:val="24"/>
                <w:szCs w:val="24"/>
              </w:rPr>
              <w:t>Interval</w:t>
            </w:r>
          </w:p>
        </w:tc>
        <w:tc>
          <w:tcPr>
            <w:tcW w:w="2254" w:type="dxa"/>
            <w:vAlign w:val="center"/>
          </w:tcPr>
          <w:p w14:paraId="16EFC2E3" w14:textId="77777777" w:rsidR="007C6A21" w:rsidRPr="009002FF" w:rsidRDefault="007C6A21" w:rsidP="00BB28A2">
            <w:pPr>
              <w:jc w:val="both"/>
              <w:rPr>
                <w:rFonts w:ascii="Times New Roman" w:hAnsi="Times New Roman" w:cs="Times New Roman"/>
                <w:b/>
                <w:bCs/>
                <w:sz w:val="24"/>
                <w:szCs w:val="24"/>
              </w:rPr>
            </w:pPr>
            <w:r w:rsidRPr="009002FF">
              <w:rPr>
                <w:rFonts w:ascii="Times New Roman" w:hAnsi="Times New Roman" w:cs="Times New Roman"/>
                <w:b/>
                <w:bCs/>
                <w:sz w:val="24"/>
                <w:szCs w:val="24"/>
              </w:rPr>
              <w:t>R</w:t>
            </w:r>
            <w:r w:rsidRPr="009002FF">
              <w:rPr>
                <w:rFonts w:ascii="Times New Roman" w:hAnsi="Times New Roman" w:cs="Times New Roman"/>
                <w:b/>
                <w:bCs/>
                <w:sz w:val="24"/>
                <w:szCs w:val="24"/>
                <w:vertAlign w:val="subscript"/>
              </w:rPr>
              <w:t>1</w:t>
            </w:r>
          </w:p>
        </w:tc>
        <w:tc>
          <w:tcPr>
            <w:tcW w:w="2254" w:type="dxa"/>
            <w:vAlign w:val="center"/>
          </w:tcPr>
          <w:p w14:paraId="07144D12" w14:textId="77777777" w:rsidR="007C6A21" w:rsidRPr="009002FF" w:rsidRDefault="007C6A21" w:rsidP="00BB28A2">
            <w:pPr>
              <w:jc w:val="both"/>
              <w:rPr>
                <w:rFonts w:ascii="Times New Roman" w:hAnsi="Times New Roman" w:cs="Times New Roman"/>
                <w:b/>
                <w:bCs/>
                <w:sz w:val="24"/>
                <w:szCs w:val="24"/>
                <w:vertAlign w:val="superscript"/>
              </w:rPr>
            </w:pPr>
            <w:r w:rsidRPr="009002FF">
              <w:rPr>
                <w:rFonts w:ascii="Times New Roman" w:hAnsi="Times New Roman" w:cs="Times New Roman"/>
                <w:b/>
                <w:bCs/>
                <w:sz w:val="24"/>
                <w:szCs w:val="24"/>
              </w:rPr>
              <w:t>R</w:t>
            </w:r>
            <w:r w:rsidRPr="009002FF">
              <w:rPr>
                <w:rFonts w:ascii="Times New Roman" w:hAnsi="Times New Roman" w:cs="Times New Roman"/>
                <w:b/>
                <w:bCs/>
                <w:sz w:val="24"/>
                <w:szCs w:val="24"/>
                <w:vertAlign w:val="subscript"/>
              </w:rPr>
              <w:t>2</w:t>
            </w:r>
          </w:p>
        </w:tc>
        <w:tc>
          <w:tcPr>
            <w:tcW w:w="1476" w:type="dxa"/>
            <w:vAlign w:val="center"/>
          </w:tcPr>
          <w:p w14:paraId="30DD4D68" w14:textId="77777777" w:rsidR="007C6A21" w:rsidRPr="009002FF" w:rsidRDefault="007C6A21" w:rsidP="00BB28A2">
            <w:pPr>
              <w:jc w:val="both"/>
              <w:rPr>
                <w:rFonts w:ascii="Times New Roman" w:hAnsi="Times New Roman" w:cs="Times New Roman"/>
                <w:b/>
                <w:bCs/>
                <w:sz w:val="24"/>
                <w:szCs w:val="24"/>
              </w:rPr>
            </w:pPr>
            <w:r w:rsidRPr="009002FF">
              <w:rPr>
                <w:rFonts w:ascii="Times New Roman" w:hAnsi="Times New Roman" w:cs="Times New Roman"/>
                <w:b/>
                <w:bCs/>
                <w:sz w:val="24"/>
                <w:szCs w:val="24"/>
              </w:rPr>
              <w:t>R</w:t>
            </w:r>
            <w:r w:rsidRPr="009002FF">
              <w:rPr>
                <w:rFonts w:ascii="Times New Roman" w:hAnsi="Times New Roman" w:cs="Times New Roman"/>
                <w:b/>
                <w:bCs/>
                <w:sz w:val="24"/>
                <w:szCs w:val="24"/>
                <w:vertAlign w:val="subscript"/>
              </w:rPr>
              <w:t>3</w:t>
            </w:r>
          </w:p>
        </w:tc>
      </w:tr>
      <w:tr w:rsidR="007C6A21" w:rsidRPr="009002FF" w14:paraId="5FAC2B56" w14:textId="77777777" w:rsidTr="00BB28A2">
        <w:trPr>
          <w:jc w:val="center"/>
        </w:trPr>
        <w:tc>
          <w:tcPr>
            <w:tcW w:w="2107" w:type="dxa"/>
            <w:vAlign w:val="center"/>
          </w:tcPr>
          <w:p w14:paraId="6022E6B5" w14:textId="77777777" w:rsidR="007C6A21" w:rsidRPr="009002FF" w:rsidRDefault="007C6A21" w:rsidP="00BB28A2">
            <w:pPr>
              <w:jc w:val="both"/>
              <w:rPr>
                <w:rFonts w:ascii="Times New Roman" w:hAnsi="Times New Roman" w:cs="Times New Roman"/>
                <w:b/>
                <w:bCs/>
                <w:sz w:val="24"/>
                <w:szCs w:val="24"/>
              </w:rPr>
            </w:pPr>
            <w:r w:rsidRPr="009002FF">
              <w:rPr>
                <w:rFonts w:ascii="Times New Roman" w:hAnsi="Times New Roman" w:cs="Times New Roman"/>
                <w:b/>
                <w:bCs/>
                <w:sz w:val="24"/>
                <w:szCs w:val="24"/>
              </w:rPr>
              <w:t>6</w:t>
            </w:r>
            <w:r w:rsidRPr="009002FF">
              <w:rPr>
                <w:rFonts w:ascii="Times New Roman" w:hAnsi="Times New Roman" w:cs="Times New Roman"/>
                <w:b/>
                <w:bCs/>
                <w:sz w:val="24"/>
                <w:szCs w:val="24"/>
                <w:vertAlign w:val="superscript"/>
              </w:rPr>
              <w:t>th</w:t>
            </w:r>
            <w:r w:rsidRPr="009002FF">
              <w:rPr>
                <w:rFonts w:ascii="Times New Roman" w:hAnsi="Times New Roman" w:cs="Times New Roman"/>
                <w:b/>
                <w:bCs/>
                <w:sz w:val="24"/>
                <w:szCs w:val="24"/>
              </w:rPr>
              <w:t xml:space="preserve"> week</w:t>
            </w:r>
          </w:p>
        </w:tc>
        <w:tc>
          <w:tcPr>
            <w:tcW w:w="2254" w:type="dxa"/>
            <w:vAlign w:val="center"/>
          </w:tcPr>
          <w:p w14:paraId="35F99707" w14:textId="77777777" w:rsidR="007C6A21" w:rsidRPr="009002FF" w:rsidRDefault="007C6A21" w:rsidP="00BB28A2">
            <w:pPr>
              <w:jc w:val="both"/>
              <w:rPr>
                <w:rFonts w:ascii="Times New Roman" w:hAnsi="Times New Roman" w:cs="Times New Roman"/>
                <w:sz w:val="24"/>
                <w:szCs w:val="24"/>
              </w:rPr>
            </w:pPr>
            <w:r w:rsidRPr="009002FF">
              <w:rPr>
                <w:rFonts w:ascii="Times New Roman" w:hAnsi="Times New Roman" w:cs="Times New Roman"/>
                <w:sz w:val="24"/>
                <w:szCs w:val="24"/>
              </w:rPr>
              <w:t>0.84</w:t>
            </w:r>
            <w:r w:rsidRPr="009002FF">
              <w:rPr>
                <w:rFonts w:ascii="Times New Roman" w:hAnsi="Times New Roman" w:cs="Times New Roman"/>
                <w:sz w:val="24"/>
                <w:szCs w:val="24"/>
                <w:vertAlign w:val="superscript"/>
              </w:rPr>
              <w:t>a</w:t>
            </w:r>
            <w:r w:rsidRPr="009002FF">
              <w:rPr>
                <w:rFonts w:ascii="Times New Roman" w:hAnsi="Times New Roman" w:cs="Times New Roman"/>
                <w:sz w:val="24"/>
                <w:szCs w:val="24"/>
              </w:rPr>
              <w:t>±0.01</w:t>
            </w:r>
          </w:p>
        </w:tc>
        <w:tc>
          <w:tcPr>
            <w:tcW w:w="2254" w:type="dxa"/>
            <w:vAlign w:val="center"/>
          </w:tcPr>
          <w:p w14:paraId="4323C940" w14:textId="77777777" w:rsidR="007C6A21" w:rsidRPr="009002FF" w:rsidRDefault="007C6A21" w:rsidP="00BB28A2">
            <w:pPr>
              <w:jc w:val="both"/>
              <w:rPr>
                <w:rFonts w:ascii="Times New Roman" w:hAnsi="Times New Roman" w:cs="Times New Roman"/>
                <w:sz w:val="24"/>
                <w:szCs w:val="24"/>
              </w:rPr>
            </w:pPr>
            <w:r w:rsidRPr="009002FF">
              <w:rPr>
                <w:rFonts w:ascii="Times New Roman" w:hAnsi="Times New Roman" w:cs="Times New Roman"/>
                <w:sz w:val="24"/>
                <w:szCs w:val="24"/>
              </w:rPr>
              <w:t>0.76</w:t>
            </w:r>
            <w:r w:rsidRPr="009002FF">
              <w:rPr>
                <w:rFonts w:ascii="Times New Roman" w:hAnsi="Times New Roman" w:cs="Times New Roman"/>
                <w:sz w:val="24"/>
                <w:szCs w:val="24"/>
                <w:vertAlign w:val="superscript"/>
              </w:rPr>
              <w:t>b</w:t>
            </w:r>
            <w:r w:rsidRPr="009002FF">
              <w:rPr>
                <w:rFonts w:ascii="Times New Roman" w:hAnsi="Times New Roman" w:cs="Times New Roman"/>
                <w:sz w:val="24"/>
                <w:szCs w:val="24"/>
              </w:rPr>
              <w:t>±0.01</w:t>
            </w:r>
          </w:p>
        </w:tc>
        <w:tc>
          <w:tcPr>
            <w:tcW w:w="1476" w:type="dxa"/>
            <w:vAlign w:val="center"/>
          </w:tcPr>
          <w:p w14:paraId="4EEC70B2" w14:textId="77777777" w:rsidR="007C6A21" w:rsidRPr="009002FF" w:rsidRDefault="007C6A21" w:rsidP="00BB28A2">
            <w:pPr>
              <w:jc w:val="both"/>
              <w:rPr>
                <w:rFonts w:ascii="Times New Roman" w:hAnsi="Times New Roman" w:cs="Times New Roman"/>
                <w:sz w:val="24"/>
                <w:szCs w:val="24"/>
              </w:rPr>
            </w:pPr>
            <w:r w:rsidRPr="009002FF">
              <w:rPr>
                <w:rFonts w:ascii="Times New Roman" w:hAnsi="Times New Roman" w:cs="Times New Roman"/>
                <w:sz w:val="24"/>
                <w:szCs w:val="24"/>
              </w:rPr>
              <w:t>0.77</w:t>
            </w:r>
            <w:r w:rsidRPr="009002FF">
              <w:rPr>
                <w:rFonts w:ascii="Times New Roman" w:hAnsi="Times New Roman" w:cs="Times New Roman"/>
                <w:sz w:val="24"/>
                <w:szCs w:val="24"/>
                <w:vertAlign w:val="superscript"/>
              </w:rPr>
              <w:t>b</w:t>
            </w:r>
            <w:r w:rsidRPr="009002FF">
              <w:rPr>
                <w:rFonts w:ascii="Times New Roman" w:hAnsi="Times New Roman" w:cs="Times New Roman"/>
                <w:sz w:val="24"/>
                <w:szCs w:val="24"/>
              </w:rPr>
              <w:t>±0.00</w:t>
            </w:r>
          </w:p>
        </w:tc>
      </w:tr>
      <w:tr w:rsidR="007C6A21" w:rsidRPr="009002FF" w14:paraId="10FA3560" w14:textId="77777777" w:rsidTr="00BB28A2">
        <w:trPr>
          <w:jc w:val="center"/>
        </w:trPr>
        <w:tc>
          <w:tcPr>
            <w:tcW w:w="2107" w:type="dxa"/>
            <w:vAlign w:val="center"/>
          </w:tcPr>
          <w:p w14:paraId="6B0777CD" w14:textId="77777777" w:rsidR="007C6A21" w:rsidRPr="009002FF" w:rsidRDefault="007C6A21" w:rsidP="00BB28A2">
            <w:pPr>
              <w:jc w:val="both"/>
              <w:rPr>
                <w:rFonts w:ascii="Times New Roman" w:hAnsi="Times New Roman" w:cs="Times New Roman"/>
                <w:b/>
                <w:bCs/>
                <w:sz w:val="24"/>
                <w:szCs w:val="24"/>
              </w:rPr>
            </w:pPr>
            <w:r w:rsidRPr="009002FF">
              <w:rPr>
                <w:rFonts w:ascii="Times New Roman" w:hAnsi="Times New Roman" w:cs="Times New Roman"/>
                <w:b/>
                <w:bCs/>
                <w:sz w:val="24"/>
                <w:szCs w:val="24"/>
              </w:rPr>
              <w:t>12</w:t>
            </w:r>
            <w:r w:rsidRPr="009002FF">
              <w:rPr>
                <w:rFonts w:ascii="Times New Roman" w:hAnsi="Times New Roman" w:cs="Times New Roman"/>
                <w:b/>
                <w:bCs/>
                <w:sz w:val="24"/>
                <w:szCs w:val="24"/>
                <w:vertAlign w:val="superscript"/>
              </w:rPr>
              <w:t>th</w:t>
            </w:r>
            <w:r w:rsidRPr="009002FF">
              <w:rPr>
                <w:rFonts w:ascii="Times New Roman" w:hAnsi="Times New Roman" w:cs="Times New Roman"/>
                <w:b/>
                <w:bCs/>
                <w:sz w:val="24"/>
                <w:szCs w:val="24"/>
              </w:rPr>
              <w:t xml:space="preserve"> week</w:t>
            </w:r>
          </w:p>
        </w:tc>
        <w:tc>
          <w:tcPr>
            <w:tcW w:w="2254" w:type="dxa"/>
            <w:vAlign w:val="center"/>
          </w:tcPr>
          <w:p w14:paraId="188BF374" w14:textId="77777777" w:rsidR="007C6A21" w:rsidRPr="009002FF" w:rsidRDefault="007C6A21" w:rsidP="00BB28A2">
            <w:pPr>
              <w:jc w:val="both"/>
              <w:rPr>
                <w:rFonts w:ascii="Times New Roman" w:hAnsi="Times New Roman" w:cs="Times New Roman"/>
                <w:sz w:val="24"/>
                <w:szCs w:val="24"/>
              </w:rPr>
            </w:pPr>
            <w:r w:rsidRPr="009002FF">
              <w:rPr>
                <w:rFonts w:ascii="Times New Roman" w:hAnsi="Times New Roman" w:cs="Times New Roman"/>
                <w:sz w:val="24"/>
                <w:szCs w:val="24"/>
              </w:rPr>
              <w:t>0.93</w:t>
            </w:r>
            <w:r w:rsidRPr="009002FF">
              <w:rPr>
                <w:rFonts w:ascii="Times New Roman" w:hAnsi="Times New Roman" w:cs="Times New Roman"/>
                <w:sz w:val="24"/>
                <w:szCs w:val="24"/>
                <w:vertAlign w:val="superscript"/>
              </w:rPr>
              <w:t>a</w:t>
            </w:r>
            <w:r w:rsidRPr="009002FF">
              <w:rPr>
                <w:rFonts w:ascii="Times New Roman" w:hAnsi="Times New Roman" w:cs="Times New Roman"/>
                <w:sz w:val="24"/>
                <w:szCs w:val="24"/>
              </w:rPr>
              <w:t>±0.01</w:t>
            </w:r>
          </w:p>
        </w:tc>
        <w:tc>
          <w:tcPr>
            <w:tcW w:w="2254" w:type="dxa"/>
            <w:vAlign w:val="center"/>
          </w:tcPr>
          <w:p w14:paraId="4C0765E8" w14:textId="77777777" w:rsidR="007C6A21" w:rsidRPr="009002FF" w:rsidRDefault="007C6A21" w:rsidP="00BB28A2">
            <w:pPr>
              <w:jc w:val="both"/>
              <w:rPr>
                <w:rFonts w:ascii="Times New Roman" w:hAnsi="Times New Roman" w:cs="Times New Roman"/>
                <w:sz w:val="24"/>
                <w:szCs w:val="24"/>
              </w:rPr>
            </w:pPr>
            <w:r w:rsidRPr="009002FF">
              <w:rPr>
                <w:rFonts w:ascii="Times New Roman" w:hAnsi="Times New Roman" w:cs="Times New Roman"/>
                <w:sz w:val="24"/>
                <w:szCs w:val="24"/>
              </w:rPr>
              <w:t>0.85</w:t>
            </w:r>
            <w:r w:rsidRPr="009002FF">
              <w:rPr>
                <w:rFonts w:ascii="Times New Roman" w:hAnsi="Times New Roman" w:cs="Times New Roman"/>
                <w:sz w:val="24"/>
                <w:szCs w:val="24"/>
                <w:vertAlign w:val="superscript"/>
              </w:rPr>
              <w:t>b</w:t>
            </w:r>
            <w:r w:rsidRPr="009002FF">
              <w:rPr>
                <w:rFonts w:ascii="Times New Roman" w:hAnsi="Times New Roman" w:cs="Times New Roman"/>
                <w:sz w:val="24"/>
                <w:szCs w:val="24"/>
              </w:rPr>
              <w:t>±0.01</w:t>
            </w:r>
          </w:p>
        </w:tc>
        <w:tc>
          <w:tcPr>
            <w:tcW w:w="1476" w:type="dxa"/>
            <w:vAlign w:val="center"/>
          </w:tcPr>
          <w:p w14:paraId="52DD5B08" w14:textId="77777777" w:rsidR="007C6A21" w:rsidRPr="009002FF" w:rsidRDefault="007C6A21" w:rsidP="00BB28A2">
            <w:pPr>
              <w:jc w:val="both"/>
              <w:rPr>
                <w:rFonts w:ascii="Times New Roman" w:hAnsi="Times New Roman" w:cs="Times New Roman"/>
                <w:sz w:val="24"/>
                <w:szCs w:val="24"/>
              </w:rPr>
            </w:pPr>
            <w:r w:rsidRPr="009002FF">
              <w:rPr>
                <w:rFonts w:ascii="Times New Roman" w:hAnsi="Times New Roman" w:cs="Times New Roman"/>
                <w:sz w:val="24"/>
                <w:szCs w:val="24"/>
              </w:rPr>
              <w:t>0.86</w:t>
            </w:r>
            <w:r w:rsidRPr="009002FF">
              <w:rPr>
                <w:rFonts w:ascii="Times New Roman" w:hAnsi="Times New Roman" w:cs="Times New Roman"/>
                <w:sz w:val="24"/>
                <w:szCs w:val="24"/>
                <w:vertAlign w:val="superscript"/>
              </w:rPr>
              <w:t>b</w:t>
            </w:r>
            <w:r w:rsidRPr="009002FF">
              <w:rPr>
                <w:rFonts w:ascii="Times New Roman" w:hAnsi="Times New Roman" w:cs="Times New Roman"/>
                <w:sz w:val="24"/>
                <w:szCs w:val="24"/>
              </w:rPr>
              <w:t>±0.00</w:t>
            </w:r>
          </w:p>
        </w:tc>
      </w:tr>
    </w:tbl>
    <w:bookmarkEnd w:id="18"/>
    <w:p w14:paraId="69DE53D4" w14:textId="77777777" w:rsidR="007C6A21" w:rsidRDefault="007C6A21" w:rsidP="007C6A21">
      <w:pPr>
        <w:jc w:val="both"/>
        <w:rPr>
          <w:rFonts w:ascii="Times New Roman" w:hAnsi="Times New Roman" w:cs="Times New Roman"/>
          <w:sz w:val="24"/>
          <w:szCs w:val="24"/>
        </w:rPr>
      </w:pPr>
      <w:r>
        <w:rPr>
          <w:rFonts w:ascii="Times New Roman" w:hAnsi="Times New Roman" w:cs="Times New Roman"/>
          <w:sz w:val="24"/>
          <w:szCs w:val="24"/>
        </w:rPr>
        <w:t xml:space="preserve">       </w:t>
      </w:r>
      <w:r w:rsidRPr="009002FF">
        <w:rPr>
          <w:rFonts w:ascii="Times New Roman" w:hAnsi="Times New Roman" w:cs="Times New Roman"/>
          <w:sz w:val="24"/>
          <w:szCs w:val="24"/>
        </w:rPr>
        <w:t xml:space="preserve">Means with atleast one common superscripts in a column are nonsignificant (p&lt;0.01)  </w:t>
      </w:r>
    </w:p>
    <w:p w14:paraId="1142CF73" w14:textId="77777777" w:rsidR="007C6A21" w:rsidRPr="009002FF" w:rsidRDefault="007C6A21" w:rsidP="007C6A21">
      <w:pPr>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37EE86D4" wp14:editId="10473380">
            <wp:extent cx="4863222" cy="3116580"/>
            <wp:effectExtent l="0" t="0" r="0" b="7620"/>
            <wp:docPr id="6310897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66161" cy="3118464"/>
                    </a:xfrm>
                    <a:prstGeom prst="rect">
                      <a:avLst/>
                    </a:prstGeom>
                    <a:noFill/>
                  </pic:spPr>
                </pic:pic>
              </a:graphicData>
            </a:graphic>
          </wp:inline>
        </w:drawing>
      </w:r>
    </w:p>
    <w:p w14:paraId="4B1D23AD" w14:textId="717E3BEC" w:rsidR="007C6A21" w:rsidRPr="003754B1" w:rsidRDefault="007C6A21" w:rsidP="007C6A21">
      <w:pPr>
        <w:jc w:val="both"/>
        <w:rPr>
          <w:rFonts w:ascii="Times New Roman" w:hAnsi="Times New Roman" w:cs="Times New Roman"/>
          <w:b/>
          <w:bCs/>
          <w:sz w:val="24"/>
          <w:szCs w:val="24"/>
          <w:lang w:val="en-US"/>
        </w:rPr>
      </w:pPr>
      <w:r w:rsidRPr="003754B1">
        <w:rPr>
          <w:rFonts w:ascii="Times New Roman" w:hAnsi="Times New Roman" w:cs="Times New Roman"/>
          <w:b/>
          <w:bCs/>
          <w:sz w:val="24"/>
          <w:szCs w:val="24"/>
          <w:lang w:val="en-US"/>
        </w:rPr>
        <w:t xml:space="preserve">Figure </w:t>
      </w:r>
      <w:r>
        <w:rPr>
          <w:rFonts w:ascii="Times New Roman" w:hAnsi="Times New Roman" w:cs="Times New Roman"/>
          <w:b/>
          <w:bCs/>
          <w:sz w:val="24"/>
          <w:szCs w:val="24"/>
          <w:lang w:val="en-US"/>
        </w:rPr>
        <w:t>7</w:t>
      </w:r>
      <w:r w:rsidRPr="003754B1">
        <w:rPr>
          <w:rFonts w:ascii="Times New Roman" w:hAnsi="Times New Roman" w:cs="Times New Roman"/>
          <w:b/>
          <w:bCs/>
          <w:sz w:val="24"/>
          <w:szCs w:val="24"/>
          <w:lang w:val="en-US"/>
        </w:rPr>
        <w:t>:</w:t>
      </w:r>
      <w:r w:rsidRPr="003754B1">
        <w:rPr>
          <w:rFonts w:ascii="Times New Roman" w:hAnsi="Times New Roman" w:cs="Times New Roman"/>
          <w:b/>
          <w:bCs/>
          <w:sz w:val="24"/>
          <w:szCs w:val="24"/>
          <w:lang w:val="en-US"/>
        </w:rPr>
        <w:tab/>
        <w:t>Cell-mediated immunity (by using PHA-P) (in mm) of Turkey in different replicates at 6 weeks interval</w:t>
      </w:r>
    </w:p>
    <w:p w14:paraId="32CFD1E7" w14:textId="168F6BD3" w:rsidR="00BD7164" w:rsidRPr="00BD7164" w:rsidRDefault="00CE56E1" w:rsidP="00BD7164">
      <w:pPr>
        <w:jc w:val="both"/>
        <w:rPr>
          <w:rFonts w:ascii="Times New Roman" w:hAnsi="Times New Roman" w:cs="Times New Roman"/>
          <w:b/>
          <w:bCs/>
          <w:sz w:val="24"/>
          <w:szCs w:val="24"/>
        </w:rPr>
      </w:pPr>
      <w:r w:rsidRPr="00BD7164">
        <w:rPr>
          <w:rFonts w:ascii="Times New Roman" w:hAnsi="Times New Roman" w:cs="Times New Roman"/>
          <w:b/>
          <w:bCs/>
          <w:sz w:val="24"/>
          <w:szCs w:val="24"/>
        </w:rPr>
        <w:t>CONCLUSION</w:t>
      </w:r>
    </w:p>
    <w:p w14:paraId="5B13689F" w14:textId="737F49EC" w:rsidR="00980C55" w:rsidRDefault="00980C55" w:rsidP="00980C55">
      <w:pPr>
        <w:jc w:val="both"/>
        <w:rPr>
          <w:rFonts w:ascii="Times New Roman" w:hAnsi="Times New Roman" w:cs="Times New Roman"/>
          <w:sz w:val="24"/>
          <w:szCs w:val="24"/>
        </w:rPr>
      </w:pPr>
      <w:r w:rsidRPr="00980C55">
        <w:rPr>
          <w:rFonts w:ascii="Times New Roman" w:hAnsi="Times New Roman" w:cs="Times New Roman"/>
          <w:sz w:val="24"/>
          <w:szCs w:val="24"/>
        </w:rPr>
        <w:t xml:space="preserve">The present study highlights the dynamic changes in haematological, biochemical, and immunological parameters of turkeys reared under an intensive system, demonstrating that age plays a significant role in physiological development. Haematological indices such as TEC and TLC were significantly higher at the 6th week, while Hb, PCV, MCV, and MCHC increased at the 12th week, reflecting progressive </w:t>
      </w:r>
      <w:r w:rsidR="001D604F" w:rsidRPr="00980C55">
        <w:rPr>
          <w:rFonts w:ascii="Times New Roman" w:hAnsi="Times New Roman" w:cs="Times New Roman"/>
          <w:sz w:val="24"/>
          <w:szCs w:val="24"/>
        </w:rPr>
        <w:t>haematological</w:t>
      </w:r>
      <w:r w:rsidRPr="00980C55">
        <w:rPr>
          <w:rFonts w:ascii="Times New Roman" w:hAnsi="Times New Roman" w:cs="Times New Roman"/>
          <w:sz w:val="24"/>
          <w:szCs w:val="24"/>
        </w:rPr>
        <w:t xml:space="preserve"> maturation. Among the biochemical parameters, blood glucose, AST, and ALT exhibited significant variations with age and between replicates, suggesting ongoing metabolic adaptation. In contrast, total protein, creatinine, BUN, cholesterol, and triglycerides remained relatively consistent, indicating stable physiological status across different stages of growth. Immunologically, both humoral and cell-mediated responses were significantly enhanced at 12 weeks of age, confirming that immune competence strengthens as birds mature. These outcomes reinforce the importance of age-appropriate management, nutrition, and health monitoring to support optimal growth and immunity. The results also establish a valuable reference point for future research and practical strategies related to genetic selection, nutritional formulation, and disease prevention in turkeys reared under Indian conditions.</w:t>
      </w:r>
    </w:p>
    <w:p w14:paraId="4256C03B" w14:textId="77777777" w:rsidR="0063691F" w:rsidRDefault="0063691F" w:rsidP="00980C55">
      <w:pPr>
        <w:jc w:val="both"/>
        <w:rPr>
          <w:rFonts w:ascii="Times New Roman" w:hAnsi="Times New Roman" w:cs="Times New Roman"/>
          <w:sz w:val="24"/>
          <w:szCs w:val="24"/>
        </w:rPr>
      </w:pPr>
    </w:p>
    <w:p w14:paraId="098ED976" w14:textId="77777777" w:rsidR="0063691F" w:rsidRDefault="0063691F" w:rsidP="00980C55">
      <w:pPr>
        <w:jc w:val="both"/>
        <w:rPr>
          <w:rFonts w:ascii="Times New Roman" w:hAnsi="Times New Roman" w:cs="Times New Roman"/>
          <w:sz w:val="24"/>
          <w:szCs w:val="24"/>
        </w:rPr>
      </w:pPr>
    </w:p>
    <w:p w14:paraId="35C97089" w14:textId="77777777" w:rsidR="0063691F" w:rsidRPr="0063691F" w:rsidRDefault="0063691F" w:rsidP="0063691F">
      <w:pPr>
        <w:jc w:val="both"/>
        <w:rPr>
          <w:rFonts w:ascii="Times New Roman" w:hAnsi="Times New Roman" w:cs="Times New Roman"/>
          <w:sz w:val="24"/>
          <w:szCs w:val="24"/>
        </w:rPr>
      </w:pPr>
      <w:r w:rsidRPr="0063691F">
        <w:rPr>
          <w:rFonts w:ascii="Times New Roman" w:hAnsi="Times New Roman" w:cs="Times New Roman"/>
          <w:sz w:val="24"/>
          <w:szCs w:val="24"/>
        </w:rPr>
        <w:t>COMPETING INTERESTS DISCLAIMER:</w:t>
      </w:r>
    </w:p>
    <w:p w14:paraId="583203F0" w14:textId="0BEF03FA" w:rsidR="0063691F" w:rsidRDefault="0063691F" w:rsidP="0063691F">
      <w:pPr>
        <w:jc w:val="both"/>
        <w:rPr>
          <w:rFonts w:ascii="Times New Roman" w:hAnsi="Times New Roman" w:cs="Times New Roman"/>
          <w:sz w:val="24"/>
          <w:szCs w:val="24"/>
        </w:rPr>
      </w:pPr>
      <w:r w:rsidRPr="0063691F">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25FFE70D" w14:textId="77777777" w:rsidR="0063691F" w:rsidRDefault="0063691F" w:rsidP="00980C55">
      <w:pPr>
        <w:jc w:val="both"/>
        <w:rPr>
          <w:rFonts w:ascii="Times New Roman" w:hAnsi="Times New Roman" w:cs="Times New Roman"/>
          <w:sz w:val="24"/>
          <w:szCs w:val="24"/>
        </w:rPr>
      </w:pPr>
    </w:p>
    <w:p w14:paraId="3914BC9B" w14:textId="77777777" w:rsidR="0063691F" w:rsidRDefault="0063691F" w:rsidP="00980C55">
      <w:pPr>
        <w:jc w:val="both"/>
        <w:rPr>
          <w:rFonts w:ascii="Times New Roman" w:hAnsi="Times New Roman" w:cs="Times New Roman"/>
          <w:sz w:val="24"/>
          <w:szCs w:val="24"/>
        </w:rPr>
      </w:pPr>
    </w:p>
    <w:p w14:paraId="5975E2E5" w14:textId="7BC82DA5" w:rsidR="005301AA" w:rsidRPr="005301AA" w:rsidRDefault="005301AA" w:rsidP="005301AA">
      <w:pPr>
        <w:jc w:val="both"/>
        <w:rPr>
          <w:rFonts w:ascii="Times New Roman" w:hAnsi="Times New Roman" w:cs="Times New Roman"/>
          <w:b/>
          <w:bCs/>
          <w:sz w:val="24"/>
          <w:szCs w:val="24"/>
          <w:lang w:val="en-GB"/>
        </w:rPr>
      </w:pPr>
      <w:commentRangeStart w:id="19"/>
      <w:r w:rsidRPr="005301AA">
        <w:rPr>
          <w:rFonts w:ascii="Times New Roman" w:hAnsi="Times New Roman" w:cs="Times New Roman"/>
          <w:b/>
          <w:bCs/>
          <w:sz w:val="24"/>
          <w:szCs w:val="24"/>
          <w:lang w:val="en-GB"/>
        </w:rPr>
        <w:t>REFERENCES:</w:t>
      </w:r>
      <w:commentRangeEnd w:id="19"/>
      <w:r w:rsidR="00357AF3">
        <w:rPr>
          <w:rStyle w:val="CommentReference"/>
        </w:rPr>
        <w:commentReference w:id="19"/>
      </w:r>
    </w:p>
    <w:p w14:paraId="1A8E48C8"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Agina, O.A., Ezema, W.S. and Nwishienyi, C.N. (2015). Haemato-biochemical profile of apparently healthy domestic turkeys (</w:t>
      </w:r>
      <w:r w:rsidRPr="005301AA">
        <w:rPr>
          <w:rFonts w:ascii="Times New Roman" w:hAnsi="Times New Roman" w:cs="Times New Roman"/>
          <w:i/>
          <w:iCs/>
          <w:sz w:val="24"/>
          <w:szCs w:val="24"/>
        </w:rPr>
        <w:t>Meleagris gallopavo</w:t>
      </w:r>
      <w:r w:rsidRPr="005301AA">
        <w:rPr>
          <w:rFonts w:ascii="Times New Roman" w:hAnsi="Times New Roman" w:cs="Times New Roman"/>
          <w:sz w:val="24"/>
          <w:szCs w:val="24"/>
        </w:rPr>
        <w:t>) in Nsukka, Enugu state, Nigeria. </w:t>
      </w:r>
      <w:r w:rsidRPr="005301AA">
        <w:rPr>
          <w:rFonts w:ascii="Times New Roman" w:hAnsi="Times New Roman" w:cs="Times New Roman"/>
          <w:i/>
          <w:iCs/>
          <w:sz w:val="24"/>
          <w:szCs w:val="24"/>
        </w:rPr>
        <w:t>Animal Research International</w:t>
      </w:r>
      <w:r w:rsidRPr="005301AA">
        <w:rPr>
          <w:rFonts w:ascii="Times New Roman" w:hAnsi="Times New Roman" w:cs="Times New Roman"/>
          <w:sz w:val="24"/>
          <w:szCs w:val="24"/>
        </w:rPr>
        <w:t>, 12(1): 2120-2129.</w:t>
      </w:r>
    </w:p>
    <w:p w14:paraId="5F8ACF1C" w14:textId="77777777" w:rsidR="005301AA" w:rsidRPr="005301AA" w:rsidRDefault="005301AA" w:rsidP="009865A8">
      <w:pPr>
        <w:ind w:left="720" w:hanging="720"/>
        <w:jc w:val="both"/>
        <w:rPr>
          <w:rFonts w:ascii="Times New Roman" w:hAnsi="Times New Roman" w:cs="Times New Roman"/>
          <w:sz w:val="24"/>
          <w:szCs w:val="24"/>
        </w:rPr>
      </w:pPr>
      <w:bookmarkStart w:id="20" w:name="_Hlk106665267"/>
      <w:r w:rsidRPr="005301AA">
        <w:rPr>
          <w:rFonts w:ascii="Times New Roman" w:hAnsi="Times New Roman" w:cs="Times New Roman"/>
          <w:sz w:val="24"/>
          <w:szCs w:val="24"/>
        </w:rPr>
        <w:t>Anandh, M.A. and Jagatheesan, P.N.R. (2015). Reproductive performance of beltsville small white and broad breasted bronze turkeys (</w:t>
      </w:r>
      <w:r w:rsidRPr="005301AA">
        <w:rPr>
          <w:rFonts w:ascii="Times New Roman" w:hAnsi="Times New Roman" w:cs="Times New Roman"/>
          <w:i/>
          <w:iCs/>
          <w:sz w:val="24"/>
          <w:szCs w:val="24"/>
        </w:rPr>
        <w:t>Meleagris gallopavo</w:t>
      </w:r>
      <w:r w:rsidRPr="005301AA">
        <w:rPr>
          <w:rFonts w:ascii="Times New Roman" w:hAnsi="Times New Roman" w:cs="Times New Roman"/>
          <w:sz w:val="24"/>
          <w:szCs w:val="24"/>
        </w:rPr>
        <w:t xml:space="preserve">) under hot humid climatic condition. </w:t>
      </w:r>
      <w:r w:rsidRPr="005301AA">
        <w:rPr>
          <w:rFonts w:ascii="Times New Roman" w:hAnsi="Times New Roman" w:cs="Times New Roman"/>
          <w:i/>
          <w:iCs/>
          <w:sz w:val="24"/>
          <w:szCs w:val="24"/>
        </w:rPr>
        <w:t>Indian Journal of Animal Research</w:t>
      </w:r>
      <w:r w:rsidRPr="005301AA">
        <w:rPr>
          <w:rFonts w:ascii="Times New Roman" w:hAnsi="Times New Roman" w:cs="Times New Roman"/>
          <w:sz w:val="24"/>
          <w:szCs w:val="24"/>
        </w:rPr>
        <w:t>, 49(6): 847-850.</w:t>
      </w:r>
    </w:p>
    <w:p w14:paraId="6B3856B0" w14:textId="77777777" w:rsidR="005301AA" w:rsidRPr="005301AA" w:rsidRDefault="005301AA" w:rsidP="009865A8">
      <w:pPr>
        <w:ind w:left="720" w:hanging="720"/>
        <w:jc w:val="both"/>
        <w:rPr>
          <w:rFonts w:ascii="Times New Roman" w:hAnsi="Times New Roman" w:cs="Times New Roman"/>
          <w:sz w:val="24"/>
          <w:szCs w:val="24"/>
        </w:rPr>
      </w:pPr>
      <w:bookmarkStart w:id="21" w:name="_Hlk106665358"/>
      <w:r w:rsidRPr="005301AA">
        <w:rPr>
          <w:rFonts w:ascii="Times New Roman" w:hAnsi="Times New Roman" w:cs="Times New Roman"/>
          <w:sz w:val="24"/>
          <w:szCs w:val="24"/>
        </w:rPr>
        <w:t>Arora, K.L. (2010). Differences in haemoglobin and packed cell volume in blood collected from different sites in Japanese quail (</w:t>
      </w:r>
      <w:r w:rsidRPr="005301AA">
        <w:rPr>
          <w:rFonts w:ascii="Times New Roman" w:hAnsi="Times New Roman" w:cs="Times New Roman"/>
          <w:i/>
          <w:iCs/>
          <w:sz w:val="24"/>
          <w:szCs w:val="24"/>
        </w:rPr>
        <w:t>Coturnix japonica</w:t>
      </w:r>
      <w:r w:rsidRPr="005301AA">
        <w:rPr>
          <w:rFonts w:ascii="Times New Roman" w:hAnsi="Times New Roman" w:cs="Times New Roman"/>
          <w:sz w:val="24"/>
          <w:szCs w:val="24"/>
        </w:rPr>
        <w:t xml:space="preserve">). </w:t>
      </w:r>
      <w:r w:rsidRPr="005301AA">
        <w:rPr>
          <w:rFonts w:ascii="Times New Roman" w:hAnsi="Times New Roman" w:cs="Times New Roman"/>
          <w:i/>
          <w:iCs/>
          <w:sz w:val="24"/>
          <w:szCs w:val="24"/>
        </w:rPr>
        <w:t>International Journal of Poultry Science</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9</w:t>
      </w:r>
      <w:r w:rsidRPr="005301AA">
        <w:rPr>
          <w:rFonts w:ascii="Times New Roman" w:hAnsi="Times New Roman" w:cs="Times New Roman"/>
          <w:sz w:val="24"/>
          <w:szCs w:val="24"/>
        </w:rPr>
        <w:t>(9): 828-830.</w:t>
      </w:r>
      <w:bookmarkEnd w:id="21"/>
    </w:p>
    <w:p w14:paraId="6B627EE4" w14:textId="77777777" w:rsidR="005301AA" w:rsidRPr="005301AA" w:rsidRDefault="005301AA" w:rsidP="009865A8">
      <w:pPr>
        <w:ind w:left="720" w:hanging="720"/>
        <w:jc w:val="both"/>
        <w:rPr>
          <w:rFonts w:ascii="Times New Roman" w:hAnsi="Times New Roman" w:cs="Times New Roman"/>
          <w:sz w:val="24"/>
          <w:szCs w:val="24"/>
        </w:rPr>
      </w:pPr>
      <w:bookmarkStart w:id="22" w:name="_Hlk106665417"/>
      <w:r w:rsidRPr="005301AA">
        <w:rPr>
          <w:rFonts w:ascii="Times New Roman" w:hAnsi="Times New Roman" w:cs="Times New Roman"/>
          <w:sz w:val="24"/>
          <w:szCs w:val="24"/>
        </w:rPr>
        <w:t>Asaduzzaman, M., Salma, U., Ali, H.S., Hamid, M.A. and Miah, A.G. (2017). Problems and prospects of turkey (</w:t>
      </w:r>
      <w:r w:rsidRPr="005301AA">
        <w:rPr>
          <w:rFonts w:ascii="Times New Roman" w:hAnsi="Times New Roman" w:cs="Times New Roman"/>
          <w:i/>
          <w:iCs/>
          <w:sz w:val="24"/>
          <w:szCs w:val="24"/>
        </w:rPr>
        <w:t>Meleagris gallopavo</w:t>
      </w:r>
      <w:r w:rsidRPr="005301AA">
        <w:rPr>
          <w:rFonts w:ascii="Times New Roman" w:hAnsi="Times New Roman" w:cs="Times New Roman"/>
          <w:sz w:val="24"/>
          <w:szCs w:val="24"/>
        </w:rPr>
        <w:t xml:space="preserve">) production in Bangladesh. </w:t>
      </w:r>
      <w:r w:rsidRPr="005301AA">
        <w:rPr>
          <w:rFonts w:ascii="Times New Roman" w:hAnsi="Times New Roman" w:cs="Times New Roman"/>
          <w:i/>
          <w:iCs/>
          <w:sz w:val="24"/>
          <w:szCs w:val="24"/>
        </w:rPr>
        <w:t>Research in</w:t>
      </w:r>
      <w:r w:rsidRPr="005301AA">
        <w:rPr>
          <w:rFonts w:ascii="Times New Roman" w:hAnsi="Times New Roman" w:cs="Times New Roman"/>
          <w:sz w:val="24"/>
          <w:szCs w:val="24"/>
        </w:rPr>
        <w:t xml:space="preserve"> </w:t>
      </w:r>
      <w:r w:rsidRPr="005301AA">
        <w:rPr>
          <w:rFonts w:ascii="Times New Roman" w:hAnsi="Times New Roman" w:cs="Times New Roman"/>
          <w:i/>
          <w:iCs/>
          <w:sz w:val="24"/>
          <w:szCs w:val="24"/>
        </w:rPr>
        <w:t>Agriculture Livestock and Fisheries</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4</w:t>
      </w:r>
      <w:r w:rsidRPr="005301AA">
        <w:rPr>
          <w:rFonts w:ascii="Times New Roman" w:hAnsi="Times New Roman" w:cs="Times New Roman"/>
          <w:sz w:val="24"/>
          <w:szCs w:val="24"/>
        </w:rPr>
        <w:t>(2): 77-90.</w:t>
      </w:r>
      <w:bookmarkEnd w:id="22"/>
    </w:p>
    <w:p w14:paraId="3CAAF2D4"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 xml:space="preserve">Besbes, B. (2009). Genotype evaluation and breeding of poultry for performance under sub-optimal village conditions. </w:t>
      </w:r>
      <w:r w:rsidRPr="005301AA">
        <w:rPr>
          <w:rFonts w:ascii="Times New Roman" w:hAnsi="Times New Roman" w:cs="Times New Roman"/>
          <w:i/>
          <w:iCs/>
          <w:sz w:val="24"/>
          <w:szCs w:val="24"/>
        </w:rPr>
        <w:t>World’s Poultry Science Journal</w:t>
      </w:r>
      <w:r w:rsidRPr="005301AA">
        <w:rPr>
          <w:rFonts w:ascii="Times New Roman" w:hAnsi="Times New Roman" w:cs="Times New Roman"/>
          <w:sz w:val="24"/>
          <w:szCs w:val="24"/>
        </w:rPr>
        <w:t>, 65: 260-271.</w:t>
      </w:r>
    </w:p>
    <w:p w14:paraId="05328E8E"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Bhattacharyya, A., Majumdar, S., Bhanja, S.K., Mandal, A.B. and Kadam, M. (2018). Effect of maternal dietary manipulation and in ovo injection of nutrients on the hatchability indices, post-hatch growth, feed consumption, feed conversion ratio and immunocompetence traits of turkey poults. </w:t>
      </w:r>
      <w:r w:rsidRPr="005301AA">
        <w:rPr>
          <w:rFonts w:ascii="Times New Roman" w:hAnsi="Times New Roman" w:cs="Times New Roman"/>
          <w:i/>
          <w:iCs/>
          <w:sz w:val="24"/>
          <w:szCs w:val="24"/>
        </w:rPr>
        <w:t>Journal of Applied Animal Research</w:t>
      </w:r>
      <w:r w:rsidRPr="005301AA">
        <w:rPr>
          <w:rFonts w:ascii="Times New Roman" w:hAnsi="Times New Roman" w:cs="Times New Roman"/>
          <w:sz w:val="24"/>
          <w:szCs w:val="24"/>
        </w:rPr>
        <w:t>, </w:t>
      </w:r>
      <w:r w:rsidRPr="005301AA">
        <w:rPr>
          <w:rFonts w:ascii="Times New Roman" w:hAnsi="Times New Roman" w:cs="Times New Roman"/>
          <w:b/>
          <w:bCs/>
          <w:sz w:val="24"/>
          <w:szCs w:val="24"/>
        </w:rPr>
        <w:t>46</w:t>
      </w:r>
      <w:r w:rsidRPr="005301AA">
        <w:rPr>
          <w:rFonts w:ascii="Times New Roman" w:hAnsi="Times New Roman" w:cs="Times New Roman"/>
          <w:sz w:val="24"/>
          <w:szCs w:val="24"/>
        </w:rPr>
        <w:t>(1): 287-294.</w:t>
      </w:r>
    </w:p>
    <w:p w14:paraId="7F938166"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Bounous, D.I., Wyatt, R.D., Gibbs, P.S., Kilburn, J.V. and Quist, C.F. (2000). Normal hematologic and serum biochemical reference intervals for juvenile wild turkeys. </w:t>
      </w:r>
      <w:r w:rsidRPr="005301AA">
        <w:rPr>
          <w:rFonts w:ascii="Times New Roman" w:hAnsi="Times New Roman" w:cs="Times New Roman"/>
          <w:i/>
          <w:iCs/>
          <w:sz w:val="24"/>
          <w:szCs w:val="24"/>
        </w:rPr>
        <w:t>Journal of Wildlife Diseases</w:t>
      </w:r>
      <w:r w:rsidRPr="005301AA">
        <w:rPr>
          <w:rFonts w:ascii="Times New Roman" w:hAnsi="Times New Roman" w:cs="Times New Roman"/>
          <w:sz w:val="24"/>
          <w:szCs w:val="24"/>
        </w:rPr>
        <w:t>, </w:t>
      </w:r>
      <w:r w:rsidRPr="005301AA">
        <w:rPr>
          <w:rFonts w:ascii="Times New Roman" w:hAnsi="Times New Roman" w:cs="Times New Roman"/>
          <w:b/>
          <w:bCs/>
          <w:sz w:val="24"/>
          <w:szCs w:val="24"/>
        </w:rPr>
        <w:t>36</w:t>
      </w:r>
      <w:r w:rsidRPr="005301AA">
        <w:rPr>
          <w:rFonts w:ascii="Times New Roman" w:hAnsi="Times New Roman" w:cs="Times New Roman"/>
          <w:sz w:val="24"/>
          <w:szCs w:val="24"/>
        </w:rPr>
        <w:t>(2): 393-396.</w:t>
      </w:r>
    </w:p>
    <w:p w14:paraId="58D81F83" w14:textId="77777777" w:rsidR="005301AA" w:rsidRPr="005301AA" w:rsidRDefault="005301AA" w:rsidP="009865A8">
      <w:pPr>
        <w:ind w:left="720" w:hanging="720"/>
        <w:jc w:val="both"/>
        <w:rPr>
          <w:rFonts w:ascii="Times New Roman" w:hAnsi="Times New Roman" w:cs="Times New Roman"/>
          <w:sz w:val="24"/>
          <w:szCs w:val="24"/>
        </w:rPr>
      </w:pPr>
      <w:commentRangeStart w:id="23"/>
      <w:r w:rsidRPr="005301AA">
        <w:rPr>
          <w:rFonts w:ascii="Times New Roman" w:hAnsi="Times New Roman" w:cs="Times New Roman"/>
          <w:sz w:val="24"/>
          <w:szCs w:val="24"/>
        </w:rPr>
        <w:t xml:space="preserve">Brant, A.W. (1998). A brief history of the turkey. </w:t>
      </w:r>
      <w:r w:rsidRPr="005301AA">
        <w:rPr>
          <w:rFonts w:ascii="Times New Roman" w:hAnsi="Times New Roman" w:cs="Times New Roman"/>
          <w:i/>
          <w:iCs/>
          <w:sz w:val="24"/>
          <w:szCs w:val="24"/>
        </w:rPr>
        <w:t>World´s Poultry Science Journal</w:t>
      </w:r>
      <w:r w:rsidRPr="005301AA">
        <w:rPr>
          <w:rFonts w:ascii="Times New Roman" w:hAnsi="Times New Roman" w:cs="Times New Roman"/>
          <w:sz w:val="24"/>
          <w:szCs w:val="24"/>
        </w:rPr>
        <w:t xml:space="preserve">, 54(4):    </w:t>
      </w:r>
      <w:r w:rsidRPr="005301AA">
        <w:rPr>
          <w:rFonts w:ascii="Times New Roman" w:hAnsi="Times New Roman" w:cs="Times New Roman"/>
          <w:sz w:val="24"/>
          <w:szCs w:val="24"/>
        </w:rPr>
        <w:br/>
        <w:t xml:space="preserve">            365-373.</w:t>
      </w:r>
      <w:commentRangeEnd w:id="23"/>
      <w:r w:rsidR="002D3B5F">
        <w:rPr>
          <w:rStyle w:val="CommentReference"/>
        </w:rPr>
        <w:commentReference w:id="23"/>
      </w:r>
    </w:p>
    <w:p w14:paraId="763DCF5C" w14:textId="77777777" w:rsid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Cheema, M.A., Qureshi, M.A., Havenstein, G.B., Ferket, P.R. and Nestor, K.E. (2007). A comparison of the immune response of 2003 commercial turkeys and a 1966 randombred strain when fed representative 2003 and 1966 turkey diets. </w:t>
      </w:r>
      <w:r w:rsidRPr="005301AA">
        <w:rPr>
          <w:rFonts w:ascii="Times New Roman" w:hAnsi="Times New Roman" w:cs="Times New Roman"/>
          <w:i/>
          <w:iCs/>
          <w:sz w:val="24"/>
          <w:szCs w:val="24"/>
        </w:rPr>
        <w:t>Poultry Science</w:t>
      </w:r>
      <w:r w:rsidRPr="005301AA">
        <w:rPr>
          <w:rFonts w:ascii="Times New Roman" w:hAnsi="Times New Roman" w:cs="Times New Roman"/>
          <w:sz w:val="24"/>
          <w:szCs w:val="24"/>
        </w:rPr>
        <w:t>, </w:t>
      </w:r>
      <w:r w:rsidRPr="005301AA">
        <w:rPr>
          <w:rFonts w:ascii="Times New Roman" w:hAnsi="Times New Roman" w:cs="Times New Roman"/>
          <w:b/>
          <w:bCs/>
          <w:sz w:val="24"/>
          <w:szCs w:val="24"/>
        </w:rPr>
        <w:t>86</w:t>
      </w:r>
      <w:r w:rsidRPr="005301AA">
        <w:rPr>
          <w:rFonts w:ascii="Times New Roman" w:hAnsi="Times New Roman" w:cs="Times New Roman"/>
          <w:sz w:val="24"/>
          <w:szCs w:val="24"/>
        </w:rPr>
        <w:t>(2): 241-248.</w:t>
      </w:r>
    </w:p>
    <w:p w14:paraId="638DF010" w14:textId="44A63417" w:rsidR="005B2D1D" w:rsidRPr="005301AA" w:rsidRDefault="005B2D1D" w:rsidP="009865A8">
      <w:pPr>
        <w:ind w:left="720" w:hanging="720"/>
        <w:jc w:val="both"/>
        <w:rPr>
          <w:rFonts w:ascii="Times New Roman" w:hAnsi="Times New Roman" w:cs="Times New Roman"/>
          <w:sz w:val="24"/>
          <w:szCs w:val="24"/>
        </w:rPr>
      </w:pPr>
      <w:r w:rsidRPr="005B2D1D">
        <w:rPr>
          <w:rFonts w:ascii="Times New Roman" w:hAnsi="Times New Roman" w:cs="Times New Roman"/>
          <w:sz w:val="24"/>
          <w:szCs w:val="24"/>
        </w:rPr>
        <w:t>Duncan, D.B. (1955). Duncan new multiple range test. </w:t>
      </w:r>
      <w:r w:rsidRPr="005B2D1D">
        <w:rPr>
          <w:rFonts w:ascii="Times New Roman" w:hAnsi="Times New Roman" w:cs="Times New Roman"/>
          <w:i/>
          <w:iCs/>
          <w:sz w:val="24"/>
          <w:szCs w:val="24"/>
        </w:rPr>
        <w:t>Biometrics</w:t>
      </w:r>
      <w:r w:rsidRPr="005B2D1D">
        <w:rPr>
          <w:rFonts w:ascii="Times New Roman" w:hAnsi="Times New Roman" w:cs="Times New Roman"/>
          <w:sz w:val="24"/>
          <w:szCs w:val="24"/>
        </w:rPr>
        <w:t>, </w:t>
      </w:r>
      <w:r w:rsidRPr="005B2D1D">
        <w:rPr>
          <w:rFonts w:ascii="Times New Roman" w:hAnsi="Times New Roman" w:cs="Times New Roman"/>
          <w:b/>
          <w:bCs/>
          <w:sz w:val="24"/>
          <w:szCs w:val="24"/>
        </w:rPr>
        <w:t>11</w:t>
      </w:r>
      <w:r w:rsidRPr="005B2D1D">
        <w:rPr>
          <w:rFonts w:ascii="Times New Roman" w:hAnsi="Times New Roman" w:cs="Times New Roman"/>
          <w:sz w:val="24"/>
          <w:szCs w:val="24"/>
        </w:rPr>
        <w:t>: 1-42.</w:t>
      </w:r>
    </w:p>
    <w:p w14:paraId="3C48F668"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 xml:space="preserve">Etim, N.N., Williams, M.E., Akpabio, U. and Offiong, E.A. (2014). Haematological parameters and factors affecting their values. </w:t>
      </w:r>
      <w:r w:rsidRPr="005301AA">
        <w:rPr>
          <w:rFonts w:ascii="Times New Roman" w:hAnsi="Times New Roman" w:cs="Times New Roman"/>
          <w:i/>
          <w:iCs/>
          <w:sz w:val="24"/>
          <w:szCs w:val="24"/>
        </w:rPr>
        <w:t>Agricultural Science</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2</w:t>
      </w:r>
      <w:r w:rsidRPr="005301AA">
        <w:rPr>
          <w:rFonts w:ascii="Times New Roman" w:hAnsi="Times New Roman" w:cs="Times New Roman"/>
          <w:sz w:val="24"/>
          <w:szCs w:val="24"/>
        </w:rPr>
        <w:t>(1): 37-47.</w:t>
      </w:r>
    </w:p>
    <w:bookmarkEnd w:id="20"/>
    <w:p w14:paraId="5621C288"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 xml:space="preserve">Hayet, S., Sujan, K.M., Mustari, A. and Miah, M.A. (2021). Hemato-biochemical profile of turkey birds selected from Sherpur district of Bangladesh. </w:t>
      </w:r>
      <w:r w:rsidRPr="005301AA">
        <w:rPr>
          <w:rFonts w:ascii="Times New Roman" w:hAnsi="Times New Roman" w:cs="Times New Roman"/>
          <w:i/>
          <w:iCs/>
          <w:sz w:val="24"/>
          <w:szCs w:val="24"/>
        </w:rPr>
        <w:t>International Journal of Advanced</w:t>
      </w:r>
      <w:r w:rsidRPr="005301AA">
        <w:rPr>
          <w:rFonts w:ascii="Times New Roman" w:hAnsi="Times New Roman" w:cs="Times New Roman"/>
          <w:sz w:val="24"/>
          <w:szCs w:val="24"/>
        </w:rPr>
        <w:t xml:space="preserve"> </w:t>
      </w:r>
      <w:r w:rsidRPr="005301AA">
        <w:rPr>
          <w:rFonts w:ascii="Times New Roman" w:hAnsi="Times New Roman" w:cs="Times New Roman"/>
          <w:i/>
          <w:iCs/>
          <w:sz w:val="24"/>
          <w:szCs w:val="24"/>
        </w:rPr>
        <w:t>Research in Biological Sciences</w:t>
      </w:r>
      <w:r w:rsidRPr="005301AA">
        <w:rPr>
          <w:rFonts w:ascii="Times New Roman" w:hAnsi="Times New Roman" w:cs="Times New Roman"/>
          <w:sz w:val="24"/>
          <w:szCs w:val="24"/>
        </w:rPr>
        <w:t>, 8(6): 1-5.</w:t>
      </w:r>
    </w:p>
    <w:p w14:paraId="6830B192"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Ibrahim, A.A., Aliyu, J., Abdu, M.I. and Hassan, A.M. (2012). Effects of age and sex on serum biochemistry values of turkeys (</w:t>
      </w:r>
      <w:r w:rsidRPr="005301AA">
        <w:rPr>
          <w:rFonts w:ascii="Times New Roman" w:hAnsi="Times New Roman" w:cs="Times New Roman"/>
          <w:i/>
          <w:iCs/>
          <w:sz w:val="24"/>
          <w:szCs w:val="24"/>
        </w:rPr>
        <w:t>Meleagris gallopavo</w:t>
      </w:r>
      <w:r w:rsidRPr="005301AA">
        <w:rPr>
          <w:rFonts w:ascii="Times New Roman" w:hAnsi="Times New Roman" w:cs="Times New Roman"/>
          <w:sz w:val="24"/>
          <w:szCs w:val="24"/>
        </w:rPr>
        <w:t>) reared in the semi-arid environment of Nigeria. </w:t>
      </w:r>
      <w:r w:rsidRPr="005301AA">
        <w:rPr>
          <w:rFonts w:ascii="Times New Roman" w:hAnsi="Times New Roman" w:cs="Times New Roman"/>
          <w:i/>
          <w:iCs/>
          <w:sz w:val="24"/>
          <w:szCs w:val="24"/>
        </w:rPr>
        <w:t>World Applied Sciences Journal</w:t>
      </w:r>
      <w:r w:rsidRPr="005301AA">
        <w:rPr>
          <w:rFonts w:ascii="Times New Roman" w:hAnsi="Times New Roman" w:cs="Times New Roman"/>
          <w:sz w:val="24"/>
          <w:szCs w:val="24"/>
        </w:rPr>
        <w:t>, </w:t>
      </w:r>
      <w:r w:rsidRPr="005301AA">
        <w:rPr>
          <w:rFonts w:ascii="Times New Roman" w:hAnsi="Times New Roman" w:cs="Times New Roman"/>
          <w:b/>
          <w:bCs/>
          <w:sz w:val="24"/>
          <w:szCs w:val="24"/>
        </w:rPr>
        <w:t>16</w:t>
      </w:r>
      <w:r w:rsidRPr="005301AA">
        <w:rPr>
          <w:rFonts w:ascii="Times New Roman" w:hAnsi="Times New Roman" w:cs="Times New Roman"/>
          <w:sz w:val="24"/>
          <w:szCs w:val="24"/>
        </w:rPr>
        <w:t>(3): 433-436.</w:t>
      </w:r>
    </w:p>
    <w:p w14:paraId="2F1929E6"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ICAR. (2013). Nutrient requirements of Animals-Poultry (ICAR-NIANP). pp 13-16.</w:t>
      </w:r>
    </w:p>
    <w:p w14:paraId="736919B2"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Isidahomen, C.E., Njidda, A.A. and Amaza, I.B. (2013). Effect of genotype on haematology and serum biochemistry values of turkeys (</w:t>
      </w:r>
      <w:r w:rsidRPr="005301AA">
        <w:rPr>
          <w:rFonts w:ascii="Times New Roman" w:hAnsi="Times New Roman" w:cs="Times New Roman"/>
          <w:i/>
          <w:iCs/>
          <w:sz w:val="24"/>
          <w:szCs w:val="24"/>
        </w:rPr>
        <w:t>meleagris gallopavo</w:t>
      </w:r>
      <w:r w:rsidRPr="005301AA">
        <w:rPr>
          <w:rFonts w:ascii="Times New Roman" w:hAnsi="Times New Roman" w:cs="Times New Roman"/>
          <w:sz w:val="24"/>
          <w:szCs w:val="24"/>
        </w:rPr>
        <w:t xml:space="preserve">) reared in Southern Nigeria. </w:t>
      </w:r>
      <w:r w:rsidRPr="005301AA">
        <w:rPr>
          <w:rFonts w:ascii="Times New Roman" w:hAnsi="Times New Roman" w:cs="Times New Roman"/>
          <w:i/>
          <w:iCs/>
          <w:sz w:val="24"/>
          <w:szCs w:val="24"/>
        </w:rPr>
        <w:t>International Journal of Agriculture and Biosciences</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2</w:t>
      </w:r>
      <w:r w:rsidRPr="005301AA">
        <w:rPr>
          <w:rFonts w:ascii="Times New Roman" w:hAnsi="Times New Roman" w:cs="Times New Roman"/>
          <w:sz w:val="24"/>
          <w:szCs w:val="24"/>
        </w:rPr>
        <w:t>(1): 297-301.</w:t>
      </w:r>
    </w:p>
    <w:p w14:paraId="220BA3E6"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Lazar, R., Boişteanu, P.C., Muntean, C., Apetroaei, C.A. and Ciobanu, M.M. (2012). Characterisation of the haematological profile of the hybrid BUT 6 turkey raised in Romania. </w:t>
      </w:r>
      <w:r w:rsidRPr="005301AA">
        <w:rPr>
          <w:rFonts w:ascii="Times New Roman" w:hAnsi="Times New Roman" w:cs="Times New Roman"/>
          <w:i/>
          <w:iCs/>
          <w:sz w:val="24"/>
          <w:szCs w:val="24"/>
        </w:rPr>
        <w:t>University of Agricultural Sciences and Veterinary Medicine Iasi</w:t>
      </w:r>
      <w:r w:rsidRPr="005301AA">
        <w:rPr>
          <w:rFonts w:ascii="Times New Roman" w:hAnsi="Times New Roman" w:cs="Times New Roman"/>
          <w:sz w:val="24"/>
          <w:szCs w:val="24"/>
        </w:rPr>
        <w:t>, </w:t>
      </w:r>
      <w:r w:rsidRPr="005301AA">
        <w:rPr>
          <w:rFonts w:ascii="Times New Roman" w:hAnsi="Times New Roman" w:cs="Times New Roman"/>
          <w:b/>
          <w:bCs/>
          <w:sz w:val="24"/>
          <w:szCs w:val="24"/>
        </w:rPr>
        <w:t>58</w:t>
      </w:r>
      <w:r w:rsidRPr="005301AA">
        <w:rPr>
          <w:rFonts w:ascii="Times New Roman" w:hAnsi="Times New Roman" w:cs="Times New Roman"/>
          <w:sz w:val="24"/>
          <w:szCs w:val="24"/>
        </w:rPr>
        <w:t>(2): 254-257.</w:t>
      </w:r>
    </w:p>
    <w:p w14:paraId="339B6720"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 xml:space="preserve">Li, Z., Nestor, K.E., Saif, Y.M. and Anderson, J.W. (2000). Antibody responses to sheep red blood cell and </w:t>
      </w:r>
      <w:r w:rsidRPr="005301AA">
        <w:rPr>
          <w:rFonts w:ascii="Times New Roman" w:hAnsi="Times New Roman" w:cs="Times New Roman"/>
          <w:i/>
          <w:iCs/>
          <w:sz w:val="24"/>
          <w:szCs w:val="24"/>
        </w:rPr>
        <w:t>Brucella abortus</w:t>
      </w:r>
      <w:r w:rsidRPr="005301AA">
        <w:rPr>
          <w:rFonts w:ascii="Times New Roman" w:hAnsi="Times New Roman" w:cs="Times New Roman"/>
          <w:sz w:val="24"/>
          <w:szCs w:val="24"/>
        </w:rPr>
        <w:t xml:space="preserve"> antigens in a turkey line selected for increased body weight and its randombred control. </w:t>
      </w:r>
      <w:r w:rsidRPr="005301AA">
        <w:rPr>
          <w:rFonts w:ascii="Times New Roman" w:hAnsi="Times New Roman" w:cs="Times New Roman"/>
          <w:i/>
          <w:iCs/>
          <w:sz w:val="24"/>
          <w:szCs w:val="24"/>
        </w:rPr>
        <w:t>Poultry Science</w:t>
      </w:r>
      <w:r w:rsidRPr="005301AA">
        <w:rPr>
          <w:rFonts w:ascii="Times New Roman" w:hAnsi="Times New Roman" w:cs="Times New Roman"/>
          <w:sz w:val="24"/>
          <w:szCs w:val="24"/>
        </w:rPr>
        <w:t>, </w:t>
      </w:r>
      <w:r w:rsidRPr="005301AA">
        <w:rPr>
          <w:rFonts w:ascii="Times New Roman" w:hAnsi="Times New Roman" w:cs="Times New Roman"/>
          <w:b/>
          <w:bCs/>
          <w:sz w:val="24"/>
          <w:szCs w:val="24"/>
        </w:rPr>
        <w:t>79</w:t>
      </w:r>
      <w:r w:rsidRPr="005301AA">
        <w:rPr>
          <w:rFonts w:ascii="Times New Roman" w:hAnsi="Times New Roman" w:cs="Times New Roman"/>
          <w:sz w:val="24"/>
          <w:szCs w:val="24"/>
        </w:rPr>
        <w:t>(6): 804-809.</w:t>
      </w:r>
    </w:p>
    <w:p w14:paraId="6BD015C8"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Loa, C.C., Lin, T.L., Wu, C.C., Bryan, T., Thacker, H.L., Hooper, T. and Schrader, D. (2001). Humoral and cellular immune responses in turkey poults infected with turkey coronavirus. </w:t>
      </w:r>
      <w:r w:rsidRPr="005301AA">
        <w:rPr>
          <w:rFonts w:ascii="Times New Roman" w:hAnsi="Times New Roman" w:cs="Times New Roman"/>
          <w:i/>
          <w:iCs/>
          <w:sz w:val="24"/>
          <w:szCs w:val="24"/>
        </w:rPr>
        <w:t>Poultry Science</w:t>
      </w:r>
      <w:r w:rsidRPr="005301AA">
        <w:rPr>
          <w:rFonts w:ascii="Times New Roman" w:hAnsi="Times New Roman" w:cs="Times New Roman"/>
          <w:sz w:val="24"/>
          <w:szCs w:val="24"/>
        </w:rPr>
        <w:t>, </w:t>
      </w:r>
      <w:r w:rsidRPr="005301AA">
        <w:rPr>
          <w:rFonts w:ascii="Times New Roman" w:hAnsi="Times New Roman" w:cs="Times New Roman"/>
          <w:b/>
          <w:bCs/>
          <w:sz w:val="24"/>
          <w:szCs w:val="24"/>
        </w:rPr>
        <w:t>80</w:t>
      </w:r>
      <w:r w:rsidRPr="005301AA">
        <w:rPr>
          <w:rFonts w:ascii="Times New Roman" w:hAnsi="Times New Roman" w:cs="Times New Roman"/>
          <w:sz w:val="24"/>
          <w:szCs w:val="24"/>
        </w:rPr>
        <w:t>(10): 1416-1424.</w:t>
      </w:r>
    </w:p>
    <w:p w14:paraId="28E08DB9"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Miah, G., Khanom, M.F., Lima, A., Sohel, S. and Hossain, M.A. (2020). Comparative performance of three varieties of turkey (</w:t>
      </w:r>
      <w:r w:rsidRPr="005301AA">
        <w:rPr>
          <w:rFonts w:ascii="Times New Roman" w:hAnsi="Times New Roman" w:cs="Times New Roman"/>
          <w:i/>
          <w:iCs/>
          <w:sz w:val="24"/>
          <w:szCs w:val="24"/>
        </w:rPr>
        <w:t>Meleagris gallopavo</w:t>
      </w:r>
      <w:r w:rsidRPr="005301AA">
        <w:rPr>
          <w:rFonts w:ascii="Times New Roman" w:hAnsi="Times New Roman" w:cs="Times New Roman"/>
          <w:sz w:val="24"/>
          <w:szCs w:val="24"/>
        </w:rPr>
        <w:t xml:space="preserve">) raised under semi-intensive system. </w:t>
      </w:r>
      <w:r w:rsidRPr="005301AA">
        <w:rPr>
          <w:rFonts w:ascii="Times New Roman" w:hAnsi="Times New Roman" w:cs="Times New Roman"/>
          <w:i/>
          <w:iCs/>
          <w:sz w:val="24"/>
          <w:szCs w:val="24"/>
        </w:rPr>
        <w:t>Bangladesh Journal of Veterinary and Animal Sciences</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8</w:t>
      </w:r>
      <w:r w:rsidRPr="005301AA">
        <w:rPr>
          <w:rFonts w:ascii="Times New Roman" w:hAnsi="Times New Roman" w:cs="Times New Roman"/>
          <w:sz w:val="24"/>
          <w:szCs w:val="24"/>
        </w:rPr>
        <w:t>(1): 29-34.</w:t>
      </w:r>
    </w:p>
    <w:p w14:paraId="49A9B39F"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Milenkaya, O., Weinstein, N., Legge, S. and Walters, J.R. (2013). Variation in body condition indices of crimson finches by sex, breeding stage, age, time of day, and year. </w:t>
      </w:r>
      <w:r w:rsidRPr="005301AA">
        <w:rPr>
          <w:rFonts w:ascii="Times New Roman" w:hAnsi="Times New Roman" w:cs="Times New Roman"/>
          <w:i/>
          <w:iCs/>
          <w:sz w:val="24"/>
          <w:szCs w:val="24"/>
        </w:rPr>
        <w:t>Conservation Physiology</w:t>
      </w:r>
      <w:r w:rsidRPr="005301AA">
        <w:rPr>
          <w:rFonts w:ascii="Times New Roman" w:hAnsi="Times New Roman" w:cs="Times New Roman"/>
          <w:sz w:val="24"/>
          <w:szCs w:val="24"/>
        </w:rPr>
        <w:t>, </w:t>
      </w:r>
      <w:r w:rsidRPr="005301AA">
        <w:rPr>
          <w:rFonts w:ascii="Times New Roman" w:hAnsi="Times New Roman" w:cs="Times New Roman"/>
          <w:b/>
          <w:bCs/>
          <w:sz w:val="24"/>
          <w:szCs w:val="24"/>
        </w:rPr>
        <w:t>1</w:t>
      </w:r>
      <w:r w:rsidRPr="005301AA">
        <w:rPr>
          <w:rFonts w:ascii="Times New Roman" w:hAnsi="Times New Roman" w:cs="Times New Roman"/>
          <w:sz w:val="24"/>
          <w:szCs w:val="24"/>
        </w:rPr>
        <w:t>(1): 1-14.</w:t>
      </w:r>
    </w:p>
    <w:p w14:paraId="0E5CA432"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 xml:space="preserve">Ogundipe, S.O. and Dafwang, I.I. (1980). Turkey production in Nigeria. </w:t>
      </w:r>
      <w:r w:rsidRPr="005301AA">
        <w:rPr>
          <w:rFonts w:ascii="Times New Roman" w:hAnsi="Times New Roman" w:cs="Times New Roman"/>
          <w:i/>
          <w:iCs/>
          <w:sz w:val="24"/>
          <w:szCs w:val="24"/>
        </w:rPr>
        <w:t>National Agricultural Extension Research and Liaison Service Bulletin</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22</w:t>
      </w:r>
      <w:r w:rsidRPr="005301AA">
        <w:rPr>
          <w:rFonts w:ascii="Times New Roman" w:hAnsi="Times New Roman" w:cs="Times New Roman"/>
          <w:sz w:val="24"/>
          <w:szCs w:val="24"/>
        </w:rPr>
        <w:t>: 2-22.</w:t>
      </w:r>
    </w:p>
    <w:p w14:paraId="1313C5F1"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 xml:space="preserve">Olaniyi, O.A., Oyenaiya, O.A., Sogunle, O.M., Akinola, O.S., Adeyemi, O.A. and Ladokun, O.A. (2012). Free-range and deep litter housing systems: effect on performance and blood profile of two strains of cockerel chickens. </w:t>
      </w:r>
      <w:r w:rsidRPr="005301AA">
        <w:rPr>
          <w:rFonts w:ascii="Times New Roman" w:hAnsi="Times New Roman" w:cs="Times New Roman"/>
          <w:i/>
          <w:iCs/>
          <w:sz w:val="24"/>
          <w:szCs w:val="24"/>
        </w:rPr>
        <w:t>Tropical and Subtropical Agroecosystems,</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15</w:t>
      </w:r>
      <w:r w:rsidRPr="005301AA">
        <w:rPr>
          <w:rFonts w:ascii="Times New Roman" w:hAnsi="Times New Roman" w:cs="Times New Roman"/>
          <w:sz w:val="24"/>
          <w:szCs w:val="24"/>
        </w:rPr>
        <w:t>(2): 511-523.</w:t>
      </w:r>
    </w:p>
    <w:p w14:paraId="789D75BB" w14:textId="77777777" w:rsidR="005301AA" w:rsidRPr="005301AA" w:rsidRDefault="005301AA" w:rsidP="009865A8">
      <w:pPr>
        <w:ind w:left="720" w:hanging="720"/>
        <w:jc w:val="both"/>
        <w:rPr>
          <w:rFonts w:ascii="Times New Roman" w:hAnsi="Times New Roman" w:cs="Times New Roman"/>
          <w:sz w:val="24"/>
          <w:szCs w:val="24"/>
        </w:rPr>
      </w:pPr>
      <w:bookmarkStart w:id="24" w:name="_Hlk106665749"/>
      <w:r w:rsidRPr="005301AA">
        <w:rPr>
          <w:rFonts w:ascii="Times New Roman" w:hAnsi="Times New Roman" w:cs="Times New Roman"/>
          <w:sz w:val="24"/>
          <w:szCs w:val="24"/>
        </w:rPr>
        <w:t xml:space="preserve">Olorode, B.R. and Longe, O.G. (2000). Effect of replacing palm kernel cake with shea butter cake on quality characteristics, haematology and serum chemistry of laying hens. </w:t>
      </w:r>
      <w:r w:rsidRPr="005301AA">
        <w:rPr>
          <w:rFonts w:ascii="Times New Roman" w:hAnsi="Times New Roman" w:cs="Times New Roman"/>
          <w:i/>
          <w:iCs/>
          <w:sz w:val="24"/>
          <w:szCs w:val="24"/>
        </w:rPr>
        <w:t>Nigerian Journal of Animal Production</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27</w:t>
      </w:r>
      <w:r w:rsidRPr="005301AA">
        <w:rPr>
          <w:rFonts w:ascii="Times New Roman" w:hAnsi="Times New Roman" w:cs="Times New Roman"/>
          <w:sz w:val="24"/>
          <w:szCs w:val="24"/>
        </w:rPr>
        <w:t>: 19-23.</w:t>
      </w:r>
    </w:p>
    <w:p w14:paraId="4BBA7634" w14:textId="77777777" w:rsidR="005301AA" w:rsidRPr="005301AA" w:rsidRDefault="005301AA" w:rsidP="009865A8">
      <w:pPr>
        <w:ind w:left="720" w:hanging="720"/>
        <w:jc w:val="both"/>
        <w:rPr>
          <w:rFonts w:ascii="Times New Roman" w:hAnsi="Times New Roman" w:cs="Times New Roman"/>
          <w:sz w:val="24"/>
          <w:szCs w:val="24"/>
        </w:rPr>
      </w:pPr>
      <w:bookmarkStart w:id="25" w:name="_Hlk106665779"/>
      <w:commentRangeStart w:id="26"/>
      <w:r w:rsidRPr="005301AA">
        <w:rPr>
          <w:rFonts w:ascii="Times New Roman" w:hAnsi="Times New Roman" w:cs="Times New Roman"/>
          <w:sz w:val="24"/>
          <w:szCs w:val="24"/>
        </w:rPr>
        <w:t xml:space="preserve">Onyeanusi, B.I. (2007). Calcium and Phosphorus levels in Nigerian guinea fowls. </w:t>
      </w:r>
      <w:r w:rsidRPr="005301AA">
        <w:rPr>
          <w:rFonts w:ascii="Times New Roman" w:hAnsi="Times New Roman" w:cs="Times New Roman"/>
          <w:i/>
          <w:iCs/>
          <w:sz w:val="24"/>
          <w:szCs w:val="24"/>
        </w:rPr>
        <w:t>International Journal of Poultry Science</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6</w:t>
      </w:r>
      <w:r w:rsidRPr="005301AA">
        <w:rPr>
          <w:rFonts w:ascii="Times New Roman" w:hAnsi="Times New Roman" w:cs="Times New Roman"/>
          <w:sz w:val="24"/>
          <w:szCs w:val="24"/>
        </w:rPr>
        <w:t>(8): 610-611.</w:t>
      </w:r>
      <w:bookmarkEnd w:id="25"/>
      <w:commentRangeEnd w:id="26"/>
      <w:r w:rsidR="007E52F1">
        <w:rPr>
          <w:rStyle w:val="CommentReference"/>
        </w:rPr>
        <w:commentReference w:id="26"/>
      </w:r>
    </w:p>
    <w:bookmarkEnd w:id="24"/>
    <w:p w14:paraId="4B5578B0"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 xml:space="preserve">Pavlak, M., Vlahovic, K., Jarcic, J., Dorc, A. and Zupancic, Z. (2005). Age, sexual and seasonal differences of haematological values and antibody status to Chlamydophila species in feral and racing pigeons from an urban environment. </w:t>
      </w:r>
      <w:r w:rsidRPr="005301AA">
        <w:rPr>
          <w:rFonts w:ascii="Times New Roman" w:hAnsi="Times New Roman" w:cs="Times New Roman"/>
          <w:i/>
          <w:iCs/>
          <w:sz w:val="24"/>
          <w:szCs w:val="24"/>
        </w:rPr>
        <w:t>European Journal of</w:t>
      </w:r>
      <w:r w:rsidRPr="005301AA">
        <w:rPr>
          <w:rFonts w:ascii="Times New Roman" w:hAnsi="Times New Roman" w:cs="Times New Roman"/>
          <w:sz w:val="24"/>
          <w:szCs w:val="24"/>
        </w:rPr>
        <w:t xml:space="preserve"> </w:t>
      </w:r>
      <w:r w:rsidRPr="005301AA">
        <w:rPr>
          <w:rFonts w:ascii="Times New Roman" w:hAnsi="Times New Roman" w:cs="Times New Roman"/>
          <w:i/>
          <w:iCs/>
          <w:sz w:val="24"/>
          <w:szCs w:val="24"/>
        </w:rPr>
        <w:t>Wildlife Research</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51</w:t>
      </w:r>
      <w:r w:rsidRPr="005301AA">
        <w:rPr>
          <w:rFonts w:ascii="Times New Roman" w:hAnsi="Times New Roman" w:cs="Times New Roman"/>
          <w:sz w:val="24"/>
          <w:szCs w:val="24"/>
        </w:rPr>
        <w:t>(4): 271-276.</w:t>
      </w:r>
    </w:p>
    <w:p w14:paraId="2903E2F0"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Safiyu, K.K., Sogunle, O.M., Egbeyale, L.T., Morolayo, O.A., Odutayo, O.J. and Shittu, T.A. (2020). A study on the impacts of rearing system, sex and plumage colour on haemato-biochemical indices of local turkey breeds (</w:t>
      </w:r>
      <w:r w:rsidRPr="005301AA">
        <w:rPr>
          <w:rFonts w:ascii="Times New Roman" w:hAnsi="Times New Roman" w:cs="Times New Roman"/>
          <w:i/>
          <w:iCs/>
          <w:sz w:val="24"/>
          <w:szCs w:val="24"/>
        </w:rPr>
        <w:t>Meleagris gallopavo</w:t>
      </w:r>
      <w:r w:rsidRPr="005301AA">
        <w:rPr>
          <w:rFonts w:ascii="Times New Roman" w:hAnsi="Times New Roman" w:cs="Times New Roman"/>
          <w:sz w:val="24"/>
          <w:szCs w:val="24"/>
        </w:rPr>
        <w:t>). </w:t>
      </w:r>
      <w:r w:rsidRPr="005301AA">
        <w:rPr>
          <w:rFonts w:ascii="Times New Roman" w:hAnsi="Times New Roman" w:cs="Times New Roman"/>
          <w:i/>
          <w:iCs/>
          <w:sz w:val="24"/>
          <w:szCs w:val="24"/>
        </w:rPr>
        <w:t>Tropical Agriculture</w:t>
      </w:r>
      <w:r w:rsidRPr="005301AA">
        <w:rPr>
          <w:rFonts w:ascii="Times New Roman" w:hAnsi="Times New Roman" w:cs="Times New Roman"/>
          <w:sz w:val="24"/>
          <w:szCs w:val="24"/>
        </w:rPr>
        <w:t>, </w:t>
      </w:r>
      <w:r w:rsidRPr="005301AA">
        <w:rPr>
          <w:rFonts w:ascii="Times New Roman" w:hAnsi="Times New Roman" w:cs="Times New Roman"/>
          <w:b/>
          <w:bCs/>
          <w:sz w:val="24"/>
          <w:szCs w:val="24"/>
        </w:rPr>
        <w:t>97</w:t>
      </w:r>
      <w:r w:rsidRPr="005301AA">
        <w:rPr>
          <w:rFonts w:ascii="Times New Roman" w:hAnsi="Times New Roman" w:cs="Times New Roman"/>
          <w:sz w:val="24"/>
          <w:szCs w:val="24"/>
        </w:rPr>
        <w:t>(1): 5-10.</w:t>
      </w:r>
    </w:p>
    <w:p w14:paraId="1525D35A" w14:textId="77777777" w:rsidR="005301AA" w:rsidRPr="005301AA" w:rsidRDefault="005301AA" w:rsidP="009865A8">
      <w:pPr>
        <w:ind w:left="720" w:hanging="720"/>
        <w:jc w:val="both"/>
        <w:rPr>
          <w:rFonts w:ascii="Times New Roman" w:hAnsi="Times New Roman" w:cs="Times New Roman"/>
          <w:sz w:val="24"/>
          <w:szCs w:val="24"/>
        </w:rPr>
      </w:pPr>
      <w:bookmarkStart w:id="27" w:name="_Hlk106665839"/>
      <w:r w:rsidRPr="005301AA">
        <w:rPr>
          <w:rFonts w:ascii="Times New Roman" w:hAnsi="Times New Roman" w:cs="Times New Roman"/>
          <w:sz w:val="24"/>
          <w:szCs w:val="24"/>
        </w:rPr>
        <w:t xml:space="preserve">Schmidt, E.M., Paulillo, D.S., Martins, A.C. and Lapera G.R. (2009). Hematology of the Bronze turkey: Variation with age and gender. </w:t>
      </w:r>
      <w:r w:rsidRPr="005301AA">
        <w:rPr>
          <w:rFonts w:ascii="Times New Roman" w:hAnsi="Times New Roman" w:cs="Times New Roman"/>
          <w:i/>
          <w:iCs/>
          <w:sz w:val="24"/>
          <w:szCs w:val="24"/>
        </w:rPr>
        <w:t>International Journal of Poultry</w:t>
      </w:r>
      <w:r w:rsidRPr="005301AA">
        <w:rPr>
          <w:rFonts w:ascii="Times New Roman" w:hAnsi="Times New Roman" w:cs="Times New Roman"/>
          <w:sz w:val="24"/>
          <w:szCs w:val="24"/>
        </w:rPr>
        <w:t xml:space="preserve"> </w:t>
      </w:r>
      <w:r w:rsidRPr="005301AA">
        <w:rPr>
          <w:rFonts w:ascii="Times New Roman" w:hAnsi="Times New Roman" w:cs="Times New Roman"/>
          <w:i/>
          <w:iCs/>
          <w:sz w:val="24"/>
          <w:szCs w:val="24"/>
        </w:rPr>
        <w:t>Science</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8</w:t>
      </w:r>
      <w:r w:rsidRPr="005301AA">
        <w:rPr>
          <w:rFonts w:ascii="Times New Roman" w:hAnsi="Times New Roman" w:cs="Times New Roman"/>
          <w:sz w:val="24"/>
          <w:szCs w:val="24"/>
        </w:rPr>
        <w:t>(8): 752-754.</w:t>
      </w:r>
      <w:bookmarkEnd w:id="27"/>
    </w:p>
    <w:p w14:paraId="6729E614" w14:textId="77777777" w:rsidR="005301AA" w:rsidRPr="005301AA" w:rsidRDefault="005301AA" w:rsidP="009865A8">
      <w:pPr>
        <w:ind w:left="720" w:hanging="720"/>
        <w:jc w:val="both"/>
        <w:rPr>
          <w:rFonts w:ascii="Times New Roman" w:hAnsi="Times New Roman" w:cs="Times New Roman"/>
          <w:sz w:val="24"/>
          <w:szCs w:val="24"/>
          <w:lang w:val="en-US"/>
        </w:rPr>
      </w:pPr>
      <w:r w:rsidRPr="005301AA">
        <w:rPr>
          <w:rFonts w:ascii="Times New Roman" w:hAnsi="Times New Roman" w:cs="Times New Roman"/>
          <w:sz w:val="24"/>
          <w:szCs w:val="24"/>
          <w:lang w:val="en-US"/>
        </w:rPr>
        <w:t>Snedecor, G.W. and Cochran, W.G. (1994). Statistical Methods, 8</w:t>
      </w:r>
      <w:r w:rsidRPr="005301AA">
        <w:rPr>
          <w:rFonts w:ascii="Times New Roman" w:hAnsi="Times New Roman" w:cs="Times New Roman"/>
          <w:sz w:val="24"/>
          <w:szCs w:val="24"/>
          <w:vertAlign w:val="superscript"/>
          <w:lang w:val="en-US"/>
        </w:rPr>
        <w:t>th</w:t>
      </w:r>
      <w:r w:rsidRPr="005301AA">
        <w:rPr>
          <w:rFonts w:ascii="Times New Roman" w:hAnsi="Times New Roman" w:cs="Times New Roman"/>
          <w:sz w:val="24"/>
          <w:szCs w:val="24"/>
          <w:lang w:val="en-US"/>
        </w:rPr>
        <w:t xml:space="preserve"> Edn., The lowa state university press, Ames, Lowa, USA, 503 p. </w:t>
      </w:r>
    </w:p>
    <w:p w14:paraId="4D6C8AEB"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 xml:space="preserve">Sogunle, O.M., Egbeyale, L.T., Bajomo, T.T., Bamigboje, O.V. and Fanimo, A.O. (2008). Comparison of the performance, carcass characteristics and haematological parameters of broiler chicks reared in cage and floor. </w:t>
      </w:r>
      <w:r w:rsidRPr="005301AA">
        <w:rPr>
          <w:rFonts w:ascii="Times New Roman" w:hAnsi="Times New Roman" w:cs="Times New Roman"/>
          <w:i/>
          <w:iCs/>
          <w:sz w:val="24"/>
          <w:szCs w:val="24"/>
        </w:rPr>
        <w:t>Pakistan Journal of Biological Sciences,</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11</w:t>
      </w:r>
      <w:r w:rsidRPr="005301AA">
        <w:rPr>
          <w:rFonts w:ascii="Times New Roman" w:hAnsi="Times New Roman" w:cs="Times New Roman"/>
          <w:sz w:val="24"/>
          <w:szCs w:val="24"/>
        </w:rPr>
        <w:t>(4): 480-483.</w:t>
      </w:r>
    </w:p>
    <w:p w14:paraId="581A4AA9" w14:textId="77777777" w:rsidR="005301AA" w:rsidRPr="005301AA"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 xml:space="preserve">Thomas, K.S., Reetha, T.L. and Babu, M. (2014). Growth performance of Turkeys under field condition. </w:t>
      </w:r>
      <w:r w:rsidRPr="005301AA">
        <w:rPr>
          <w:rFonts w:ascii="Times New Roman" w:hAnsi="Times New Roman" w:cs="Times New Roman"/>
          <w:i/>
          <w:iCs/>
          <w:sz w:val="24"/>
          <w:szCs w:val="24"/>
        </w:rPr>
        <w:t>The Indian Journal of Field Veterinarians</w:t>
      </w:r>
      <w:r w:rsidRPr="005301AA">
        <w:rPr>
          <w:rFonts w:ascii="Times New Roman" w:hAnsi="Times New Roman" w:cs="Times New Roman"/>
          <w:sz w:val="24"/>
          <w:szCs w:val="24"/>
        </w:rPr>
        <w:t xml:space="preserve">, </w:t>
      </w:r>
      <w:r w:rsidRPr="005301AA">
        <w:rPr>
          <w:rFonts w:ascii="Times New Roman" w:hAnsi="Times New Roman" w:cs="Times New Roman"/>
          <w:b/>
          <w:bCs/>
          <w:sz w:val="24"/>
          <w:szCs w:val="24"/>
        </w:rPr>
        <w:t>9</w:t>
      </w:r>
      <w:r w:rsidRPr="005301AA">
        <w:rPr>
          <w:rFonts w:ascii="Times New Roman" w:hAnsi="Times New Roman" w:cs="Times New Roman"/>
          <w:sz w:val="24"/>
          <w:szCs w:val="24"/>
        </w:rPr>
        <w:t>(4): 82.</w:t>
      </w:r>
    </w:p>
    <w:p w14:paraId="7009D992" w14:textId="71151B30" w:rsidR="00B125B0" w:rsidRPr="00ED1138" w:rsidRDefault="005301AA" w:rsidP="009865A8">
      <w:pPr>
        <w:ind w:left="720" w:hanging="720"/>
        <w:jc w:val="both"/>
        <w:rPr>
          <w:rFonts w:ascii="Times New Roman" w:hAnsi="Times New Roman" w:cs="Times New Roman"/>
          <w:sz w:val="24"/>
          <w:szCs w:val="24"/>
        </w:rPr>
      </w:pPr>
      <w:r w:rsidRPr="005301AA">
        <w:rPr>
          <w:rFonts w:ascii="Times New Roman" w:hAnsi="Times New Roman" w:cs="Times New Roman"/>
          <w:sz w:val="24"/>
          <w:szCs w:val="24"/>
        </w:rPr>
        <w:t xml:space="preserve">Yang, L., Liu, S., Ding, J., Dai, R., He, C., Xu, K. and Meng, H. (2017). Gut microbiota co-microevolution with selection for host humoral immunity. </w:t>
      </w:r>
      <w:r w:rsidRPr="005301AA">
        <w:rPr>
          <w:rFonts w:ascii="Times New Roman" w:hAnsi="Times New Roman" w:cs="Times New Roman"/>
          <w:i/>
          <w:iCs/>
          <w:sz w:val="24"/>
          <w:szCs w:val="24"/>
        </w:rPr>
        <w:t>Frontiers in Microbiology</w:t>
      </w:r>
      <w:r w:rsidRPr="005301AA">
        <w:rPr>
          <w:rFonts w:ascii="Times New Roman" w:hAnsi="Times New Roman" w:cs="Times New Roman"/>
          <w:sz w:val="24"/>
          <w:szCs w:val="24"/>
        </w:rPr>
        <w:t>, </w:t>
      </w:r>
      <w:r w:rsidRPr="005301AA">
        <w:rPr>
          <w:rFonts w:ascii="Times New Roman" w:hAnsi="Times New Roman" w:cs="Times New Roman"/>
          <w:b/>
          <w:bCs/>
          <w:sz w:val="24"/>
          <w:szCs w:val="24"/>
        </w:rPr>
        <w:t>8</w:t>
      </w:r>
      <w:r w:rsidRPr="005301AA">
        <w:rPr>
          <w:rFonts w:ascii="Times New Roman" w:hAnsi="Times New Roman" w:cs="Times New Roman"/>
          <w:sz w:val="24"/>
          <w:szCs w:val="24"/>
        </w:rPr>
        <w:t>(5): 1-4.</w:t>
      </w:r>
    </w:p>
    <w:p w14:paraId="68058576" w14:textId="77777777" w:rsidR="00BE7FF4" w:rsidRPr="00BE7FF4" w:rsidRDefault="00BE7FF4" w:rsidP="009865A8">
      <w:pPr>
        <w:ind w:left="720" w:hanging="720"/>
        <w:jc w:val="both"/>
        <w:rPr>
          <w:rFonts w:ascii="Times New Roman" w:hAnsi="Times New Roman" w:cs="Times New Roman"/>
          <w:sz w:val="24"/>
          <w:szCs w:val="24"/>
        </w:rPr>
      </w:pPr>
    </w:p>
    <w:p w14:paraId="192353A3" w14:textId="77777777" w:rsidR="00BE7FF4" w:rsidRPr="00901D62" w:rsidRDefault="00BE7FF4" w:rsidP="009865A8">
      <w:pPr>
        <w:ind w:left="720" w:hanging="720"/>
        <w:jc w:val="both"/>
        <w:rPr>
          <w:rFonts w:ascii="Times New Roman" w:hAnsi="Times New Roman" w:cs="Times New Roman"/>
          <w:sz w:val="24"/>
          <w:szCs w:val="24"/>
        </w:rPr>
      </w:pPr>
    </w:p>
    <w:sectPr w:rsidR="00BE7FF4" w:rsidRPr="00901D62" w:rsidSect="00403D9C">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ENOVO X1 YOGA" w:date="2025-07-17T16:57:00Z" w:initials="LXY">
    <w:p w14:paraId="327D7B66" w14:textId="5956A2E5" w:rsidR="00BB28A2" w:rsidRDefault="00BB28A2">
      <w:pPr>
        <w:pStyle w:val="CommentText"/>
      </w:pPr>
      <w:r>
        <w:rPr>
          <w:rStyle w:val="CommentReference"/>
        </w:rPr>
        <w:annotationRef/>
      </w:r>
      <w:r w:rsidRPr="00BB28A2">
        <w:t>The article title is well written.</w:t>
      </w:r>
    </w:p>
  </w:comment>
  <w:comment w:id="1" w:author="LENOVO X1 YOGA" w:date="2025-07-17T17:03:00Z" w:initials="LXY">
    <w:p w14:paraId="4B05767D" w14:textId="4E285741" w:rsidR="00B37492" w:rsidRDefault="00B37492">
      <w:pPr>
        <w:pStyle w:val="CommentText"/>
      </w:pPr>
      <w:r>
        <w:rPr>
          <w:rStyle w:val="CommentReference"/>
        </w:rPr>
        <w:annotationRef/>
      </w:r>
      <w:r w:rsidRPr="00B37492">
        <w:t>At</w:t>
      </w:r>
    </w:p>
  </w:comment>
  <w:comment w:id="2" w:author="LENOVO X1 YOGA" w:date="2025-07-17T17:03:00Z" w:initials="LXY">
    <w:p w14:paraId="07D30DFB" w14:textId="46CC0F5B" w:rsidR="00B37492" w:rsidRDefault="00B37492">
      <w:pPr>
        <w:pStyle w:val="CommentText"/>
      </w:pPr>
      <w:r>
        <w:rPr>
          <w:rStyle w:val="CommentReference"/>
        </w:rPr>
        <w:annotationRef/>
      </w:r>
    </w:p>
  </w:comment>
  <w:comment w:id="3" w:author="LENOVO X1 YOGA" w:date="2025-07-17T17:19:00Z" w:initials="LXY">
    <w:p w14:paraId="702AEA1B" w14:textId="2EF57383" w:rsidR="001E66AF" w:rsidRDefault="001E66AF">
      <w:pPr>
        <w:pStyle w:val="CommentText"/>
      </w:pPr>
      <w:r>
        <w:rPr>
          <w:rStyle w:val="CommentReference"/>
        </w:rPr>
        <w:annotationRef/>
      </w:r>
      <w:r w:rsidRPr="001E66AF">
        <w:t xml:space="preserve">Haematological </w:t>
      </w:r>
    </w:p>
  </w:comment>
  <w:comment w:id="4" w:author="LENOVO X1 YOGA" w:date="2025-07-17T17:19:00Z" w:initials="LXY">
    <w:p w14:paraId="195D365E" w14:textId="567DBEC0" w:rsidR="001E66AF" w:rsidRDefault="001E66AF">
      <w:pPr>
        <w:pStyle w:val="CommentText"/>
      </w:pPr>
      <w:r>
        <w:rPr>
          <w:rStyle w:val="CommentReference"/>
        </w:rPr>
        <w:annotationRef/>
      </w:r>
      <w:r w:rsidRPr="001E66AF">
        <w:t xml:space="preserve">Haematological </w:t>
      </w:r>
    </w:p>
  </w:comment>
  <w:comment w:id="5" w:author="LENOVO X1 YOGA" w:date="2025-07-17T17:12:00Z" w:initials="LXY">
    <w:p w14:paraId="25B0C626" w14:textId="787AD39B" w:rsidR="00E15B3F" w:rsidRPr="00E15B3F" w:rsidRDefault="00E15B3F">
      <w:pPr>
        <w:pStyle w:val="CommentText"/>
        <w:rPr>
          <w:rFonts w:cs="Arial" w:hint="cs"/>
          <w:rtl/>
          <w:lang w:bidi="ar-IQ"/>
        </w:rPr>
      </w:pPr>
      <w:r>
        <w:rPr>
          <w:rStyle w:val="CommentReference"/>
        </w:rPr>
        <w:annotationRef/>
      </w:r>
      <w:r w:rsidRPr="00E15B3F">
        <w:rPr>
          <w:rFonts w:cs="Arial"/>
          <w:lang w:bidi="ar-IQ"/>
        </w:rPr>
        <w:t>Please abbreviate the working methods, as they are common and clear to everyone, and limit yourself to mentioning only the reference that indicates the technique.</w:t>
      </w:r>
    </w:p>
  </w:comment>
  <w:comment w:id="7" w:author="LENOVO X1 YOGA" w:date="2025-07-17T17:15:00Z" w:initials="LXY">
    <w:p w14:paraId="1B14CE2F" w14:textId="3FF00CC8" w:rsidR="00E15B3F" w:rsidRDefault="00E15B3F">
      <w:pPr>
        <w:pStyle w:val="CommentText"/>
      </w:pPr>
      <w:r>
        <w:rPr>
          <w:rStyle w:val="CommentReference"/>
        </w:rPr>
        <w:annotationRef/>
      </w:r>
      <w:r w:rsidRPr="00E15B3F">
        <w:t>Please remove the tables in the working methods because the working method is known in this field and limit yourself to mentioning the reference only.</w:t>
      </w:r>
    </w:p>
  </w:comment>
  <w:comment w:id="8" w:author="LENOVO X1 YOGA" w:date="2025-07-17T17:18:00Z" w:initials="LXY">
    <w:p w14:paraId="2DC6CEA0" w14:textId="2CC21320" w:rsidR="001E66AF" w:rsidRDefault="001E66AF">
      <w:pPr>
        <w:pStyle w:val="CommentText"/>
      </w:pPr>
      <w:r>
        <w:rPr>
          <w:rStyle w:val="CommentReference"/>
        </w:rPr>
        <w:annotationRef/>
      </w:r>
      <w:r w:rsidRPr="001E66AF">
        <w:t xml:space="preserve">Haemoglobin </w:t>
      </w:r>
    </w:p>
  </w:comment>
  <w:comment w:id="9" w:author="LENOVO X1 YOGA" w:date="2025-07-17T17:20:00Z" w:initials="LXY">
    <w:p w14:paraId="545B5633" w14:textId="79D6910B" w:rsidR="0001262A" w:rsidRDefault="0001262A">
      <w:pPr>
        <w:pStyle w:val="CommentText"/>
      </w:pPr>
      <w:r>
        <w:rPr>
          <w:rStyle w:val="CommentReference"/>
        </w:rPr>
        <w:annotationRef/>
      </w:r>
      <w:r w:rsidRPr="0001262A">
        <w:t>Delete the blank space</w:t>
      </w:r>
    </w:p>
  </w:comment>
  <w:comment w:id="10" w:author="LENOVO X1 YOGA" w:date="2025-07-17T17:26:00Z" w:initials="LXY">
    <w:p w14:paraId="3F26509B" w14:textId="5E5FD90B" w:rsidR="00D6006C" w:rsidRDefault="00D6006C">
      <w:pPr>
        <w:pStyle w:val="CommentText"/>
      </w:pPr>
      <w:r>
        <w:rPr>
          <w:rStyle w:val="CommentReference"/>
        </w:rPr>
        <w:annotationRef/>
      </w:r>
      <w:r w:rsidRPr="00D6006C">
        <w:t>(</w:t>
      </w:r>
      <w:bookmarkStart w:id="11" w:name="_GoBack"/>
      <w:bookmarkEnd w:id="11"/>
      <w:r w:rsidR="00F1422B" w:rsidRPr="00D6006C">
        <w:t>Mean</w:t>
      </w:r>
      <w:r w:rsidRPr="00D6006C">
        <w:t xml:space="preserve"> ± standard error)</w:t>
      </w:r>
    </w:p>
  </w:comment>
  <w:comment w:id="12" w:author="LENOVO X1 YOGA" w:date="2025-07-17T17:20:00Z" w:initials="LXY">
    <w:p w14:paraId="63C43D30" w14:textId="73DE5DED" w:rsidR="00D6006C" w:rsidRDefault="00D6006C">
      <w:pPr>
        <w:pStyle w:val="CommentText"/>
      </w:pPr>
      <w:r>
        <w:rPr>
          <w:rStyle w:val="CommentReference"/>
        </w:rPr>
        <w:annotationRef/>
      </w:r>
      <w:r w:rsidRPr="00D6006C">
        <w:t>It is better to place the letters towards the standard error.</w:t>
      </w:r>
    </w:p>
  </w:comment>
  <w:comment w:id="13" w:author="LENOVO X1 YOGA" w:date="2025-07-17T17:26:00Z" w:initials="LXY">
    <w:p w14:paraId="2CD39963" w14:textId="6A6B32C9" w:rsidR="00F1422B" w:rsidRDefault="00F1422B">
      <w:pPr>
        <w:pStyle w:val="CommentText"/>
      </w:pPr>
      <w:r>
        <w:rPr>
          <w:rStyle w:val="CommentReference"/>
        </w:rPr>
        <w:annotationRef/>
      </w:r>
      <w:r w:rsidRPr="00F1422B">
        <w:t>(Mean ± standard error)</w:t>
      </w:r>
    </w:p>
  </w:comment>
  <w:comment w:id="16" w:author="LENOVO X1 YOGA" w:date="2025-07-17T17:27:00Z" w:initials="LXY">
    <w:p w14:paraId="4BBEC79B" w14:textId="3108AAAB" w:rsidR="00F1422B" w:rsidRDefault="00F1422B">
      <w:pPr>
        <w:pStyle w:val="CommentText"/>
      </w:pPr>
      <w:r>
        <w:rPr>
          <w:rStyle w:val="CommentReference"/>
        </w:rPr>
        <w:annotationRef/>
      </w:r>
      <w:r w:rsidRPr="00F1422B">
        <w:t>(Mean ± standard error)</w:t>
      </w:r>
    </w:p>
  </w:comment>
  <w:comment w:id="19" w:author="LENOVO X1 YOGA" w:date="2025-07-17T16:52:00Z" w:initials="LXY">
    <w:p w14:paraId="7C52517A" w14:textId="636D3FA5" w:rsidR="00BB28A2" w:rsidRDefault="00BB28A2">
      <w:pPr>
        <w:pStyle w:val="CommentText"/>
      </w:pPr>
      <w:r>
        <w:rPr>
          <w:rStyle w:val="CommentReference"/>
        </w:rPr>
        <w:annotationRef/>
      </w:r>
      <w:r w:rsidRPr="00357AF3">
        <w:t xml:space="preserve"> Recent references from the last five years (2020–2025) are approximately 8.8%.</w:t>
      </w:r>
    </w:p>
  </w:comment>
  <w:comment w:id="23" w:author="LENOVO X1 YOGA" w:date="2025-07-17T16:48:00Z" w:initials="LXY">
    <w:p w14:paraId="2DFFB3E4" w14:textId="490BFD89" w:rsidR="00BB28A2" w:rsidRDefault="00BB28A2">
      <w:pPr>
        <w:pStyle w:val="CommentText"/>
      </w:pPr>
      <w:r>
        <w:rPr>
          <w:rStyle w:val="CommentReference"/>
        </w:rPr>
        <w:annotationRef/>
      </w:r>
      <w:r w:rsidRPr="002D3B5F">
        <w:t>This reference is not in the text.</w:t>
      </w:r>
    </w:p>
  </w:comment>
  <w:comment w:id="26" w:author="LENOVO X1 YOGA" w:date="2025-07-17T16:50:00Z" w:initials="LXY">
    <w:p w14:paraId="33BB0628" w14:textId="09CE2530" w:rsidR="00BB28A2" w:rsidRDefault="00BB28A2">
      <w:pPr>
        <w:pStyle w:val="CommentText"/>
      </w:pPr>
      <w:r>
        <w:rPr>
          <w:rStyle w:val="CommentReference"/>
        </w:rPr>
        <w:annotationRef/>
      </w:r>
      <w:r w:rsidRPr="007E52F1">
        <w:t>This reference is not in the text.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7D7B66" w15:done="0"/>
  <w15:commentEx w15:paraId="4B05767D" w15:done="0"/>
  <w15:commentEx w15:paraId="07D30DFB" w15:paraIdParent="4B05767D" w15:done="0"/>
  <w15:commentEx w15:paraId="702AEA1B" w15:done="0"/>
  <w15:commentEx w15:paraId="195D365E" w15:done="0"/>
  <w15:commentEx w15:paraId="25B0C626" w15:done="0"/>
  <w15:commentEx w15:paraId="1B14CE2F" w15:done="0"/>
  <w15:commentEx w15:paraId="2DC6CEA0" w15:done="0"/>
  <w15:commentEx w15:paraId="545B5633" w15:done="0"/>
  <w15:commentEx w15:paraId="3F26509B" w15:done="0"/>
  <w15:commentEx w15:paraId="63C43D30" w15:done="0"/>
  <w15:commentEx w15:paraId="2CD39963" w15:done="0"/>
  <w15:commentEx w15:paraId="4BBEC79B" w15:done="0"/>
  <w15:commentEx w15:paraId="7C52517A" w15:done="0"/>
  <w15:commentEx w15:paraId="2DFFB3E4" w15:done="0"/>
  <w15:commentEx w15:paraId="33BB062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B4FC3" w14:textId="77777777" w:rsidR="00673A01" w:rsidRDefault="00673A01">
      <w:pPr>
        <w:spacing w:after="0" w:line="240" w:lineRule="auto"/>
      </w:pPr>
      <w:r>
        <w:separator/>
      </w:r>
    </w:p>
  </w:endnote>
  <w:endnote w:type="continuationSeparator" w:id="0">
    <w:p w14:paraId="0E7400CE" w14:textId="77777777" w:rsidR="00673A01" w:rsidRDefault="00673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6203D" w14:textId="77777777" w:rsidR="00BB28A2" w:rsidRDefault="00BB28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77936" w14:textId="77777777" w:rsidR="00BB28A2" w:rsidRDefault="00BB28A2">
    <w:pPr>
      <w:pStyle w:val="Footer"/>
      <w:jc w:val="center"/>
    </w:pPr>
    <w:r w:rsidRPr="00DE7D3F">
      <w:rPr>
        <w:rFonts w:ascii="Arial" w:hAnsi="Arial"/>
        <w:b/>
      </w:rPr>
      <w:fldChar w:fldCharType="begin"/>
    </w:r>
    <w:r w:rsidRPr="00DE7D3F">
      <w:rPr>
        <w:rFonts w:ascii="Arial" w:hAnsi="Arial"/>
        <w:b/>
      </w:rPr>
      <w:instrText xml:space="preserve"> PAGE   \* MERGEFORMAT </w:instrText>
    </w:r>
    <w:r w:rsidRPr="00DE7D3F">
      <w:rPr>
        <w:rFonts w:ascii="Arial" w:hAnsi="Arial"/>
        <w:b/>
      </w:rPr>
      <w:fldChar w:fldCharType="separate"/>
    </w:r>
    <w:r w:rsidR="00673A01">
      <w:rPr>
        <w:rFonts w:ascii="Arial" w:hAnsi="Arial"/>
        <w:b/>
        <w:noProof/>
      </w:rPr>
      <w:t>1</w:t>
    </w:r>
    <w:r w:rsidRPr="00DE7D3F">
      <w:rPr>
        <w:rFonts w:ascii="Arial" w:hAnsi="Arial"/>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16C62" w14:textId="77777777" w:rsidR="00BB28A2" w:rsidRDefault="00BB28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AE076" w14:textId="77777777" w:rsidR="00673A01" w:rsidRDefault="00673A01">
      <w:pPr>
        <w:spacing w:after="0" w:line="240" w:lineRule="auto"/>
      </w:pPr>
      <w:r>
        <w:separator/>
      </w:r>
    </w:p>
  </w:footnote>
  <w:footnote w:type="continuationSeparator" w:id="0">
    <w:p w14:paraId="0B931A2B" w14:textId="77777777" w:rsidR="00673A01" w:rsidRDefault="00673A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C5636" w14:textId="24D04103" w:rsidR="00BB28A2" w:rsidRDefault="00BB28A2">
    <w:pPr>
      <w:pStyle w:val="Header"/>
    </w:pPr>
    <w:r>
      <w:rPr>
        <w:noProof/>
      </w:rPr>
      <w:pict w14:anchorId="7A1C25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1773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EA1FE" w14:textId="53B4BC0A" w:rsidR="00BB28A2" w:rsidRDefault="00BB28A2">
    <w:pPr>
      <w:pStyle w:val="Header"/>
    </w:pPr>
    <w:r>
      <w:rPr>
        <w:noProof/>
      </w:rPr>
      <w:pict w14:anchorId="1928F7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1773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BBC63" w14:textId="79D56F4B" w:rsidR="00BB28A2" w:rsidRDefault="00BB28A2">
    <w:pPr>
      <w:pStyle w:val="Header"/>
    </w:pPr>
    <w:r>
      <w:rPr>
        <w:noProof/>
      </w:rPr>
      <w:pict w14:anchorId="58777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1773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7DB3"/>
    <w:multiLevelType w:val="hybridMultilevel"/>
    <w:tmpl w:val="97A03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45587"/>
    <w:multiLevelType w:val="multilevel"/>
    <w:tmpl w:val="A7AE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326D6"/>
    <w:multiLevelType w:val="multilevel"/>
    <w:tmpl w:val="108E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13A88"/>
    <w:multiLevelType w:val="multilevel"/>
    <w:tmpl w:val="5C2C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00809"/>
    <w:multiLevelType w:val="hybridMultilevel"/>
    <w:tmpl w:val="F7C0475A"/>
    <w:lvl w:ilvl="0" w:tplc="04E4EA68">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206D3BEB"/>
    <w:multiLevelType w:val="hybridMultilevel"/>
    <w:tmpl w:val="33189EBC"/>
    <w:lvl w:ilvl="0" w:tplc="92E28E5C">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25B4193B"/>
    <w:multiLevelType w:val="multilevel"/>
    <w:tmpl w:val="63A8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CF3093"/>
    <w:multiLevelType w:val="hybridMultilevel"/>
    <w:tmpl w:val="36C8FA1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39274795"/>
    <w:multiLevelType w:val="hybridMultilevel"/>
    <w:tmpl w:val="56FEAF0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B335B8B"/>
    <w:multiLevelType w:val="multilevel"/>
    <w:tmpl w:val="61F8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187513"/>
    <w:multiLevelType w:val="hybridMultilevel"/>
    <w:tmpl w:val="9B16179A"/>
    <w:lvl w:ilvl="0" w:tplc="A7EEC35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E126A84"/>
    <w:multiLevelType w:val="hybridMultilevel"/>
    <w:tmpl w:val="AFFCC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851EC"/>
    <w:multiLevelType w:val="multilevel"/>
    <w:tmpl w:val="11E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182867"/>
    <w:multiLevelType w:val="multilevel"/>
    <w:tmpl w:val="40F2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B50165"/>
    <w:multiLevelType w:val="multilevel"/>
    <w:tmpl w:val="4AAC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7D73A7"/>
    <w:multiLevelType w:val="multilevel"/>
    <w:tmpl w:val="43BE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15277D"/>
    <w:multiLevelType w:val="hybridMultilevel"/>
    <w:tmpl w:val="31F6266E"/>
    <w:lvl w:ilvl="0" w:tplc="D0CE110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54BC6E26"/>
    <w:multiLevelType w:val="multilevel"/>
    <w:tmpl w:val="DBE4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FF1895"/>
    <w:multiLevelType w:val="hybridMultilevel"/>
    <w:tmpl w:val="909C27D4"/>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59AA07B6"/>
    <w:multiLevelType w:val="multilevel"/>
    <w:tmpl w:val="0426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040337"/>
    <w:multiLevelType w:val="multilevel"/>
    <w:tmpl w:val="0E924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BF2501"/>
    <w:multiLevelType w:val="multilevel"/>
    <w:tmpl w:val="88B6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8F02F8"/>
    <w:multiLevelType w:val="multilevel"/>
    <w:tmpl w:val="2F6A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4A5A66"/>
    <w:multiLevelType w:val="multilevel"/>
    <w:tmpl w:val="722A5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DE38D7"/>
    <w:multiLevelType w:val="multilevel"/>
    <w:tmpl w:val="A082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D42FA9"/>
    <w:multiLevelType w:val="multilevel"/>
    <w:tmpl w:val="3012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1B58DF"/>
    <w:multiLevelType w:val="multilevel"/>
    <w:tmpl w:val="4330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BE2DD3"/>
    <w:multiLevelType w:val="multilevel"/>
    <w:tmpl w:val="6A86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F015E3"/>
    <w:multiLevelType w:val="multilevel"/>
    <w:tmpl w:val="D54E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9"/>
  </w:num>
  <w:num w:numId="3">
    <w:abstractNumId w:val="20"/>
  </w:num>
  <w:num w:numId="4">
    <w:abstractNumId w:val="25"/>
  </w:num>
  <w:num w:numId="5">
    <w:abstractNumId w:val="10"/>
  </w:num>
  <w:num w:numId="6">
    <w:abstractNumId w:val="11"/>
  </w:num>
  <w:num w:numId="7">
    <w:abstractNumId w:val="0"/>
  </w:num>
  <w:num w:numId="8">
    <w:abstractNumId w:val="18"/>
  </w:num>
  <w:num w:numId="9">
    <w:abstractNumId w:val="4"/>
  </w:num>
  <w:num w:numId="10">
    <w:abstractNumId w:val="8"/>
  </w:num>
  <w:num w:numId="11">
    <w:abstractNumId w:val="7"/>
  </w:num>
  <w:num w:numId="12">
    <w:abstractNumId w:val="5"/>
  </w:num>
  <w:num w:numId="13">
    <w:abstractNumId w:val="16"/>
  </w:num>
  <w:num w:numId="14">
    <w:abstractNumId w:val="14"/>
  </w:num>
  <w:num w:numId="15">
    <w:abstractNumId w:val="3"/>
  </w:num>
  <w:num w:numId="16">
    <w:abstractNumId w:val="27"/>
  </w:num>
  <w:num w:numId="17">
    <w:abstractNumId w:val="24"/>
  </w:num>
  <w:num w:numId="18">
    <w:abstractNumId w:val="28"/>
  </w:num>
  <w:num w:numId="19">
    <w:abstractNumId w:val="9"/>
  </w:num>
  <w:num w:numId="20">
    <w:abstractNumId w:val="12"/>
  </w:num>
  <w:num w:numId="21">
    <w:abstractNumId w:val="6"/>
  </w:num>
  <w:num w:numId="22">
    <w:abstractNumId w:val="17"/>
  </w:num>
  <w:num w:numId="23">
    <w:abstractNumId w:val="13"/>
  </w:num>
  <w:num w:numId="24">
    <w:abstractNumId w:val="15"/>
  </w:num>
  <w:num w:numId="25">
    <w:abstractNumId w:val="2"/>
  </w:num>
  <w:num w:numId="26">
    <w:abstractNumId w:val="22"/>
  </w:num>
  <w:num w:numId="27">
    <w:abstractNumId w:val="1"/>
  </w:num>
  <w:num w:numId="28">
    <w:abstractNumId w:val="23"/>
  </w:num>
  <w:num w:numId="29">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X1 YOGA">
    <w15:presenceInfo w15:providerId="None" w15:userId="LENOVO X1 YO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D62"/>
    <w:rsid w:val="00004C12"/>
    <w:rsid w:val="00006F3A"/>
    <w:rsid w:val="0001262A"/>
    <w:rsid w:val="00041A80"/>
    <w:rsid w:val="00051CC1"/>
    <w:rsid w:val="0009279C"/>
    <w:rsid w:val="00094570"/>
    <w:rsid w:val="0009730A"/>
    <w:rsid w:val="000B1F6E"/>
    <w:rsid w:val="00122149"/>
    <w:rsid w:val="00135B68"/>
    <w:rsid w:val="0017462B"/>
    <w:rsid w:val="001A49A7"/>
    <w:rsid w:val="001D604F"/>
    <w:rsid w:val="001E66AF"/>
    <w:rsid w:val="001F509F"/>
    <w:rsid w:val="00235ECD"/>
    <w:rsid w:val="0025310B"/>
    <w:rsid w:val="002D3B5F"/>
    <w:rsid w:val="002E1F82"/>
    <w:rsid w:val="002F162C"/>
    <w:rsid w:val="002F1AEB"/>
    <w:rsid w:val="00312558"/>
    <w:rsid w:val="00351557"/>
    <w:rsid w:val="00357AF3"/>
    <w:rsid w:val="003754B1"/>
    <w:rsid w:val="003A1433"/>
    <w:rsid w:val="003A300E"/>
    <w:rsid w:val="003B35CA"/>
    <w:rsid w:val="003C3836"/>
    <w:rsid w:val="003D4287"/>
    <w:rsid w:val="003D58AD"/>
    <w:rsid w:val="003D5E16"/>
    <w:rsid w:val="00403D9C"/>
    <w:rsid w:val="00423C5D"/>
    <w:rsid w:val="00460E7D"/>
    <w:rsid w:val="00462FC7"/>
    <w:rsid w:val="00490343"/>
    <w:rsid w:val="00490B81"/>
    <w:rsid w:val="004935AA"/>
    <w:rsid w:val="004E7304"/>
    <w:rsid w:val="00505E40"/>
    <w:rsid w:val="005127C1"/>
    <w:rsid w:val="005301AA"/>
    <w:rsid w:val="00554F18"/>
    <w:rsid w:val="00562677"/>
    <w:rsid w:val="005635E9"/>
    <w:rsid w:val="00576DDE"/>
    <w:rsid w:val="005A54BE"/>
    <w:rsid w:val="005A57E5"/>
    <w:rsid w:val="005B2D1D"/>
    <w:rsid w:val="005C1CB7"/>
    <w:rsid w:val="005F7B7D"/>
    <w:rsid w:val="00626D69"/>
    <w:rsid w:val="0063691F"/>
    <w:rsid w:val="00637D08"/>
    <w:rsid w:val="006472CA"/>
    <w:rsid w:val="00667138"/>
    <w:rsid w:val="00673A01"/>
    <w:rsid w:val="0069157A"/>
    <w:rsid w:val="006B555C"/>
    <w:rsid w:val="006C0F33"/>
    <w:rsid w:val="006E28CB"/>
    <w:rsid w:val="006F6AF9"/>
    <w:rsid w:val="00772F99"/>
    <w:rsid w:val="00776C07"/>
    <w:rsid w:val="007804E9"/>
    <w:rsid w:val="00785305"/>
    <w:rsid w:val="007A36B5"/>
    <w:rsid w:val="007B2365"/>
    <w:rsid w:val="007C6A21"/>
    <w:rsid w:val="007E52F1"/>
    <w:rsid w:val="00831693"/>
    <w:rsid w:val="0084538E"/>
    <w:rsid w:val="0088550F"/>
    <w:rsid w:val="00895B88"/>
    <w:rsid w:val="008C4946"/>
    <w:rsid w:val="008E7FBD"/>
    <w:rsid w:val="008F2649"/>
    <w:rsid w:val="008F4A60"/>
    <w:rsid w:val="009002FF"/>
    <w:rsid w:val="00901D62"/>
    <w:rsid w:val="00913D71"/>
    <w:rsid w:val="00915487"/>
    <w:rsid w:val="009164AF"/>
    <w:rsid w:val="009365D1"/>
    <w:rsid w:val="009407D8"/>
    <w:rsid w:val="00952A75"/>
    <w:rsid w:val="00967D43"/>
    <w:rsid w:val="00980C55"/>
    <w:rsid w:val="00981B85"/>
    <w:rsid w:val="009865A8"/>
    <w:rsid w:val="00997BA1"/>
    <w:rsid w:val="009B4108"/>
    <w:rsid w:val="009C7B3B"/>
    <w:rsid w:val="00A15A46"/>
    <w:rsid w:val="00A16645"/>
    <w:rsid w:val="00A250FF"/>
    <w:rsid w:val="00A25DB4"/>
    <w:rsid w:val="00A523E1"/>
    <w:rsid w:val="00A54149"/>
    <w:rsid w:val="00AB4421"/>
    <w:rsid w:val="00AB7594"/>
    <w:rsid w:val="00AE2F08"/>
    <w:rsid w:val="00AF1B7C"/>
    <w:rsid w:val="00B125B0"/>
    <w:rsid w:val="00B1287D"/>
    <w:rsid w:val="00B25C23"/>
    <w:rsid w:val="00B37492"/>
    <w:rsid w:val="00B7010A"/>
    <w:rsid w:val="00B76919"/>
    <w:rsid w:val="00B853CF"/>
    <w:rsid w:val="00B916CA"/>
    <w:rsid w:val="00BB28A2"/>
    <w:rsid w:val="00BD7164"/>
    <w:rsid w:val="00BE2A62"/>
    <w:rsid w:val="00BE47E5"/>
    <w:rsid w:val="00BE7FF4"/>
    <w:rsid w:val="00C67A5C"/>
    <w:rsid w:val="00CB5E60"/>
    <w:rsid w:val="00CD1E95"/>
    <w:rsid w:val="00CE56E1"/>
    <w:rsid w:val="00D207D9"/>
    <w:rsid w:val="00D4745D"/>
    <w:rsid w:val="00D52A1E"/>
    <w:rsid w:val="00D6006C"/>
    <w:rsid w:val="00D60135"/>
    <w:rsid w:val="00D621FA"/>
    <w:rsid w:val="00D810F4"/>
    <w:rsid w:val="00D82B16"/>
    <w:rsid w:val="00D96B03"/>
    <w:rsid w:val="00DB4374"/>
    <w:rsid w:val="00DB7BD1"/>
    <w:rsid w:val="00DC2FE6"/>
    <w:rsid w:val="00DC63D1"/>
    <w:rsid w:val="00DD74A0"/>
    <w:rsid w:val="00E15B3F"/>
    <w:rsid w:val="00E600DD"/>
    <w:rsid w:val="00E602B5"/>
    <w:rsid w:val="00EB1305"/>
    <w:rsid w:val="00ED1138"/>
    <w:rsid w:val="00EF274A"/>
    <w:rsid w:val="00EF767A"/>
    <w:rsid w:val="00F06870"/>
    <w:rsid w:val="00F1422B"/>
    <w:rsid w:val="00F21945"/>
    <w:rsid w:val="00F4370C"/>
    <w:rsid w:val="00F533C5"/>
    <w:rsid w:val="00FF777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72B4461"/>
  <w15:chartTrackingRefBased/>
  <w15:docId w15:val="{1A54A292-819F-4944-BEA6-46504EC3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1D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1D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1D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01D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01D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01D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D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D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D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D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1D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1D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1D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01D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01D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D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D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D62"/>
    <w:rPr>
      <w:rFonts w:eastAsiaTheme="majorEastAsia" w:cstheme="majorBidi"/>
      <w:color w:val="272727" w:themeColor="text1" w:themeTint="D8"/>
    </w:rPr>
  </w:style>
  <w:style w:type="paragraph" w:styleId="Title">
    <w:name w:val="Title"/>
    <w:basedOn w:val="Normal"/>
    <w:next w:val="Normal"/>
    <w:link w:val="TitleChar"/>
    <w:uiPriority w:val="10"/>
    <w:qFormat/>
    <w:rsid w:val="00901D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D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D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D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D62"/>
    <w:pPr>
      <w:spacing w:before="160"/>
      <w:jc w:val="center"/>
    </w:pPr>
    <w:rPr>
      <w:i/>
      <w:iCs/>
      <w:color w:val="404040" w:themeColor="text1" w:themeTint="BF"/>
    </w:rPr>
  </w:style>
  <w:style w:type="character" w:customStyle="1" w:styleId="QuoteChar">
    <w:name w:val="Quote Char"/>
    <w:basedOn w:val="DefaultParagraphFont"/>
    <w:link w:val="Quote"/>
    <w:uiPriority w:val="29"/>
    <w:rsid w:val="00901D62"/>
    <w:rPr>
      <w:i/>
      <w:iCs/>
      <w:color w:val="404040" w:themeColor="text1" w:themeTint="BF"/>
    </w:rPr>
  </w:style>
  <w:style w:type="paragraph" w:styleId="ListParagraph">
    <w:name w:val="List Paragraph"/>
    <w:basedOn w:val="Normal"/>
    <w:uiPriority w:val="34"/>
    <w:qFormat/>
    <w:rsid w:val="00901D62"/>
    <w:pPr>
      <w:ind w:left="720"/>
      <w:contextualSpacing/>
    </w:pPr>
  </w:style>
  <w:style w:type="character" w:styleId="IntenseEmphasis">
    <w:name w:val="Intense Emphasis"/>
    <w:basedOn w:val="DefaultParagraphFont"/>
    <w:uiPriority w:val="21"/>
    <w:qFormat/>
    <w:rsid w:val="00901D62"/>
    <w:rPr>
      <w:i/>
      <w:iCs/>
      <w:color w:val="2F5496" w:themeColor="accent1" w:themeShade="BF"/>
    </w:rPr>
  </w:style>
  <w:style w:type="paragraph" w:styleId="IntenseQuote">
    <w:name w:val="Intense Quote"/>
    <w:basedOn w:val="Normal"/>
    <w:next w:val="Normal"/>
    <w:link w:val="IntenseQuoteChar"/>
    <w:uiPriority w:val="30"/>
    <w:qFormat/>
    <w:rsid w:val="00901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1D62"/>
    <w:rPr>
      <w:i/>
      <w:iCs/>
      <w:color w:val="2F5496" w:themeColor="accent1" w:themeShade="BF"/>
    </w:rPr>
  </w:style>
  <w:style w:type="character" w:styleId="IntenseReference">
    <w:name w:val="Intense Reference"/>
    <w:basedOn w:val="DefaultParagraphFont"/>
    <w:uiPriority w:val="32"/>
    <w:qFormat/>
    <w:rsid w:val="00901D62"/>
    <w:rPr>
      <w:b/>
      <w:bCs/>
      <w:smallCaps/>
      <w:color w:val="2F5496" w:themeColor="accent1" w:themeShade="BF"/>
      <w:spacing w:val="5"/>
    </w:rPr>
  </w:style>
  <w:style w:type="paragraph" w:styleId="Footer">
    <w:name w:val="footer"/>
    <w:basedOn w:val="Normal"/>
    <w:link w:val="FooterChar"/>
    <w:uiPriority w:val="99"/>
    <w:unhideWhenUsed/>
    <w:rsid w:val="009002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2FF"/>
  </w:style>
  <w:style w:type="paragraph" w:styleId="NormalWeb">
    <w:name w:val="Normal (Web)"/>
    <w:basedOn w:val="Normal"/>
    <w:uiPriority w:val="99"/>
    <w:semiHidden/>
    <w:unhideWhenUsed/>
    <w:rsid w:val="00312558"/>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customStyle="1" w:styleId="sr-only">
    <w:name w:val="sr-only"/>
    <w:basedOn w:val="DefaultParagraphFont"/>
    <w:rsid w:val="00312558"/>
  </w:style>
  <w:style w:type="character" w:styleId="PlaceholderText">
    <w:name w:val="Placeholder Text"/>
    <w:basedOn w:val="DefaultParagraphFont"/>
    <w:uiPriority w:val="99"/>
    <w:semiHidden/>
    <w:rsid w:val="00AE2F08"/>
    <w:rPr>
      <w:color w:val="666666"/>
    </w:rPr>
  </w:style>
  <w:style w:type="character" w:styleId="Hyperlink">
    <w:name w:val="Hyperlink"/>
    <w:basedOn w:val="DefaultParagraphFont"/>
    <w:uiPriority w:val="99"/>
    <w:unhideWhenUsed/>
    <w:rsid w:val="00DD74A0"/>
    <w:rPr>
      <w:color w:val="0563C1" w:themeColor="hyperlink"/>
      <w:u w:val="single"/>
    </w:rPr>
  </w:style>
  <w:style w:type="character" w:customStyle="1" w:styleId="UnresolvedMention">
    <w:name w:val="Unresolved Mention"/>
    <w:basedOn w:val="DefaultParagraphFont"/>
    <w:uiPriority w:val="99"/>
    <w:semiHidden/>
    <w:unhideWhenUsed/>
    <w:rsid w:val="00DD74A0"/>
    <w:rPr>
      <w:color w:val="605E5C"/>
      <w:shd w:val="clear" w:color="auto" w:fill="E1DFDD"/>
    </w:rPr>
  </w:style>
  <w:style w:type="paragraph" w:styleId="Header">
    <w:name w:val="header"/>
    <w:basedOn w:val="Normal"/>
    <w:link w:val="HeaderChar"/>
    <w:uiPriority w:val="99"/>
    <w:unhideWhenUsed/>
    <w:rsid w:val="00637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D08"/>
  </w:style>
  <w:style w:type="character" w:styleId="CommentReference">
    <w:name w:val="annotation reference"/>
    <w:basedOn w:val="DefaultParagraphFont"/>
    <w:uiPriority w:val="99"/>
    <w:semiHidden/>
    <w:unhideWhenUsed/>
    <w:rsid w:val="002D3B5F"/>
    <w:rPr>
      <w:sz w:val="16"/>
      <w:szCs w:val="16"/>
    </w:rPr>
  </w:style>
  <w:style w:type="paragraph" w:styleId="CommentText">
    <w:name w:val="annotation text"/>
    <w:basedOn w:val="Normal"/>
    <w:link w:val="CommentTextChar"/>
    <w:uiPriority w:val="99"/>
    <w:semiHidden/>
    <w:unhideWhenUsed/>
    <w:rsid w:val="002D3B5F"/>
    <w:pPr>
      <w:spacing w:line="240" w:lineRule="auto"/>
    </w:pPr>
    <w:rPr>
      <w:sz w:val="20"/>
      <w:szCs w:val="20"/>
    </w:rPr>
  </w:style>
  <w:style w:type="character" w:customStyle="1" w:styleId="CommentTextChar">
    <w:name w:val="Comment Text Char"/>
    <w:basedOn w:val="DefaultParagraphFont"/>
    <w:link w:val="CommentText"/>
    <w:uiPriority w:val="99"/>
    <w:semiHidden/>
    <w:rsid w:val="002D3B5F"/>
    <w:rPr>
      <w:sz w:val="20"/>
      <w:szCs w:val="20"/>
    </w:rPr>
  </w:style>
  <w:style w:type="paragraph" w:styleId="CommentSubject">
    <w:name w:val="annotation subject"/>
    <w:basedOn w:val="CommentText"/>
    <w:next w:val="CommentText"/>
    <w:link w:val="CommentSubjectChar"/>
    <w:uiPriority w:val="99"/>
    <w:semiHidden/>
    <w:unhideWhenUsed/>
    <w:rsid w:val="002D3B5F"/>
    <w:rPr>
      <w:b/>
      <w:bCs/>
    </w:rPr>
  </w:style>
  <w:style w:type="character" w:customStyle="1" w:styleId="CommentSubjectChar">
    <w:name w:val="Comment Subject Char"/>
    <w:basedOn w:val="CommentTextChar"/>
    <w:link w:val="CommentSubject"/>
    <w:uiPriority w:val="99"/>
    <w:semiHidden/>
    <w:rsid w:val="002D3B5F"/>
    <w:rPr>
      <w:b/>
      <w:bCs/>
      <w:sz w:val="20"/>
      <w:szCs w:val="20"/>
    </w:rPr>
  </w:style>
  <w:style w:type="paragraph" w:styleId="BalloonText">
    <w:name w:val="Balloon Text"/>
    <w:basedOn w:val="Normal"/>
    <w:link w:val="BalloonTextChar"/>
    <w:uiPriority w:val="99"/>
    <w:semiHidden/>
    <w:unhideWhenUsed/>
    <w:rsid w:val="002D3B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B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41032">
      <w:bodyDiv w:val="1"/>
      <w:marLeft w:val="0"/>
      <w:marRight w:val="0"/>
      <w:marTop w:val="0"/>
      <w:marBottom w:val="0"/>
      <w:divBdr>
        <w:top w:val="none" w:sz="0" w:space="0" w:color="auto"/>
        <w:left w:val="none" w:sz="0" w:space="0" w:color="auto"/>
        <w:bottom w:val="none" w:sz="0" w:space="0" w:color="auto"/>
        <w:right w:val="none" w:sz="0" w:space="0" w:color="auto"/>
      </w:divBdr>
    </w:div>
    <w:div w:id="317030163">
      <w:bodyDiv w:val="1"/>
      <w:marLeft w:val="0"/>
      <w:marRight w:val="0"/>
      <w:marTop w:val="0"/>
      <w:marBottom w:val="0"/>
      <w:divBdr>
        <w:top w:val="none" w:sz="0" w:space="0" w:color="auto"/>
        <w:left w:val="none" w:sz="0" w:space="0" w:color="auto"/>
        <w:bottom w:val="none" w:sz="0" w:space="0" w:color="auto"/>
        <w:right w:val="none" w:sz="0" w:space="0" w:color="auto"/>
      </w:divBdr>
      <w:divsChild>
        <w:div w:id="1761829802">
          <w:marLeft w:val="0"/>
          <w:marRight w:val="0"/>
          <w:marTop w:val="0"/>
          <w:marBottom w:val="0"/>
          <w:divBdr>
            <w:top w:val="none" w:sz="0" w:space="0" w:color="auto"/>
            <w:left w:val="none" w:sz="0" w:space="0" w:color="auto"/>
            <w:bottom w:val="none" w:sz="0" w:space="0" w:color="auto"/>
            <w:right w:val="none" w:sz="0" w:space="0" w:color="auto"/>
          </w:divBdr>
          <w:divsChild>
            <w:div w:id="482237272">
              <w:marLeft w:val="0"/>
              <w:marRight w:val="0"/>
              <w:marTop w:val="0"/>
              <w:marBottom w:val="0"/>
              <w:divBdr>
                <w:top w:val="none" w:sz="0" w:space="0" w:color="auto"/>
                <w:left w:val="none" w:sz="0" w:space="0" w:color="auto"/>
                <w:bottom w:val="none" w:sz="0" w:space="0" w:color="auto"/>
                <w:right w:val="none" w:sz="0" w:space="0" w:color="auto"/>
              </w:divBdr>
              <w:divsChild>
                <w:div w:id="1021012973">
                  <w:marLeft w:val="0"/>
                  <w:marRight w:val="0"/>
                  <w:marTop w:val="0"/>
                  <w:marBottom w:val="0"/>
                  <w:divBdr>
                    <w:top w:val="none" w:sz="0" w:space="0" w:color="auto"/>
                    <w:left w:val="none" w:sz="0" w:space="0" w:color="auto"/>
                    <w:bottom w:val="none" w:sz="0" w:space="0" w:color="auto"/>
                    <w:right w:val="none" w:sz="0" w:space="0" w:color="auto"/>
                  </w:divBdr>
                  <w:divsChild>
                    <w:div w:id="1656109460">
                      <w:marLeft w:val="0"/>
                      <w:marRight w:val="0"/>
                      <w:marTop w:val="0"/>
                      <w:marBottom w:val="0"/>
                      <w:divBdr>
                        <w:top w:val="none" w:sz="0" w:space="0" w:color="auto"/>
                        <w:left w:val="none" w:sz="0" w:space="0" w:color="auto"/>
                        <w:bottom w:val="none" w:sz="0" w:space="0" w:color="auto"/>
                        <w:right w:val="none" w:sz="0" w:space="0" w:color="auto"/>
                      </w:divBdr>
                      <w:divsChild>
                        <w:div w:id="1087843851">
                          <w:marLeft w:val="0"/>
                          <w:marRight w:val="0"/>
                          <w:marTop w:val="0"/>
                          <w:marBottom w:val="0"/>
                          <w:divBdr>
                            <w:top w:val="none" w:sz="0" w:space="0" w:color="auto"/>
                            <w:left w:val="none" w:sz="0" w:space="0" w:color="auto"/>
                            <w:bottom w:val="none" w:sz="0" w:space="0" w:color="auto"/>
                            <w:right w:val="none" w:sz="0" w:space="0" w:color="auto"/>
                          </w:divBdr>
                          <w:divsChild>
                            <w:div w:id="1876960774">
                              <w:marLeft w:val="0"/>
                              <w:marRight w:val="0"/>
                              <w:marTop w:val="0"/>
                              <w:marBottom w:val="0"/>
                              <w:divBdr>
                                <w:top w:val="none" w:sz="0" w:space="0" w:color="auto"/>
                                <w:left w:val="none" w:sz="0" w:space="0" w:color="auto"/>
                                <w:bottom w:val="none" w:sz="0" w:space="0" w:color="auto"/>
                                <w:right w:val="none" w:sz="0" w:space="0" w:color="auto"/>
                              </w:divBdr>
                              <w:divsChild>
                                <w:div w:id="2061857089">
                                  <w:marLeft w:val="0"/>
                                  <w:marRight w:val="0"/>
                                  <w:marTop w:val="0"/>
                                  <w:marBottom w:val="0"/>
                                  <w:divBdr>
                                    <w:top w:val="none" w:sz="0" w:space="0" w:color="auto"/>
                                    <w:left w:val="none" w:sz="0" w:space="0" w:color="auto"/>
                                    <w:bottom w:val="none" w:sz="0" w:space="0" w:color="auto"/>
                                    <w:right w:val="none" w:sz="0" w:space="0" w:color="auto"/>
                                  </w:divBdr>
                                  <w:divsChild>
                                    <w:div w:id="18842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48088">
                      <w:marLeft w:val="0"/>
                      <w:marRight w:val="0"/>
                      <w:marTop w:val="0"/>
                      <w:marBottom w:val="0"/>
                      <w:divBdr>
                        <w:top w:val="none" w:sz="0" w:space="0" w:color="auto"/>
                        <w:left w:val="none" w:sz="0" w:space="0" w:color="auto"/>
                        <w:bottom w:val="none" w:sz="0" w:space="0" w:color="auto"/>
                        <w:right w:val="none" w:sz="0" w:space="0" w:color="auto"/>
                      </w:divBdr>
                      <w:divsChild>
                        <w:div w:id="184477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039037">
      <w:bodyDiv w:val="1"/>
      <w:marLeft w:val="0"/>
      <w:marRight w:val="0"/>
      <w:marTop w:val="0"/>
      <w:marBottom w:val="0"/>
      <w:divBdr>
        <w:top w:val="none" w:sz="0" w:space="0" w:color="auto"/>
        <w:left w:val="none" w:sz="0" w:space="0" w:color="auto"/>
        <w:bottom w:val="none" w:sz="0" w:space="0" w:color="auto"/>
        <w:right w:val="none" w:sz="0" w:space="0" w:color="auto"/>
      </w:divBdr>
    </w:div>
    <w:div w:id="382407225">
      <w:bodyDiv w:val="1"/>
      <w:marLeft w:val="0"/>
      <w:marRight w:val="0"/>
      <w:marTop w:val="0"/>
      <w:marBottom w:val="0"/>
      <w:divBdr>
        <w:top w:val="none" w:sz="0" w:space="0" w:color="auto"/>
        <w:left w:val="none" w:sz="0" w:space="0" w:color="auto"/>
        <w:bottom w:val="none" w:sz="0" w:space="0" w:color="auto"/>
        <w:right w:val="none" w:sz="0" w:space="0" w:color="auto"/>
      </w:divBdr>
    </w:div>
    <w:div w:id="496194741">
      <w:bodyDiv w:val="1"/>
      <w:marLeft w:val="0"/>
      <w:marRight w:val="0"/>
      <w:marTop w:val="0"/>
      <w:marBottom w:val="0"/>
      <w:divBdr>
        <w:top w:val="none" w:sz="0" w:space="0" w:color="auto"/>
        <w:left w:val="none" w:sz="0" w:space="0" w:color="auto"/>
        <w:bottom w:val="none" w:sz="0" w:space="0" w:color="auto"/>
        <w:right w:val="none" w:sz="0" w:space="0" w:color="auto"/>
      </w:divBdr>
      <w:divsChild>
        <w:div w:id="1431004818">
          <w:marLeft w:val="0"/>
          <w:marRight w:val="0"/>
          <w:marTop w:val="0"/>
          <w:marBottom w:val="0"/>
          <w:divBdr>
            <w:top w:val="none" w:sz="0" w:space="0" w:color="auto"/>
            <w:left w:val="none" w:sz="0" w:space="0" w:color="auto"/>
            <w:bottom w:val="none" w:sz="0" w:space="0" w:color="auto"/>
            <w:right w:val="none" w:sz="0" w:space="0" w:color="auto"/>
          </w:divBdr>
          <w:divsChild>
            <w:div w:id="2101174211">
              <w:marLeft w:val="0"/>
              <w:marRight w:val="0"/>
              <w:marTop w:val="0"/>
              <w:marBottom w:val="0"/>
              <w:divBdr>
                <w:top w:val="none" w:sz="0" w:space="0" w:color="auto"/>
                <w:left w:val="none" w:sz="0" w:space="0" w:color="auto"/>
                <w:bottom w:val="none" w:sz="0" w:space="0" w:color="auto"/>
                <w:right w:val="none" w:sz="0" w:space="0" w:color="auto"/>
              </w:divBdr>
              <w:divsChild>
                <w:div w:id="1271663210">
                  <w:marLeft w:val="0"/>
                  <w:marRight w:val="0"/>
                  <w:marTop w:val="0"/>
                  <w:marBottom w:val="0"/>
                  <w:divBdr>
                    <w:top w:val="none" w:sz="0" w:space="0" w:color="auto"/>
                    <w:left w:val="none" w:sz="0" w:space="0" w:color="auto"/>
                    <w:bottom w:val="none" w:sz="0" w:space="0" w:color="auto"/>
                    <w:right w:val="none" w:sz="0" w:space="0" w:color="auto"/>
                  </w:divBdr>
                  <w:divsChild>
                    <w:div w:id="899025814">
                      <w:marLeft w:val="0"/>
                      <w:marRight w:val="0"/>
                      <w:marTop w:val="0"/>
                      <w:marBottom w:val="0"/>
                      <w:divBdr>
                        <w:top w:val="none" w:sz="0" w:space="0" w:color="auto"/>
                        <w:left w:val="none" w:sz="0" w:space="0" w:color="auto"/>
                        <w:bottom w:val="none" w:sz="0" w:space="0" w:color="auto"/>
                        <w:right w:val="none" w:sz="0" w:space="0" w:color="auto"/>
                      </w:divBdr>
                      <w:divsChild>
                        <w:div w:id="1830248599">
                          <w:marLeft w:val="0"/>
                          <w:marRight w:val="0"/>
                          <w:marTop w:val="0"/>
                          <w:marBottom w:val="0"/>
                          <w:divBdr>
                            <w:top w:val="none" w:sz="0" w:space="0" w:color="auto"/>
                            <w:left w:val="none" w:sz="0" w:space="0" w:color="auto"/>
                            <w:bottom w:val="none" w:sz="0" w:space="0" w:color="auto"/>
                            <w:right w:val="none" w:sz="0" w:space="0" w:color="auto"/>
                          </w:divBdr>
                          <w:divsChild>
                            <w:div w:id="281154537">
                              <w:marLeft w:val="0"/>
                              <w:marRight w:val="0"/>
                              <w:marTop w:val="0"/>
                              <w:marBottom w:val="0"/>
                              <w:divBdr>
                                <w:top w:val="none" w:sz="0" w:space="0" w:color="auto"/>
                                <w:left w:val="none" w:sz="0" w:space="0" w:color="auto"/>
                                <w:bottom w:val="none" w:sz="0" w:space="0" w:color="auto"/>
                                <w:right w:val="none" w:sz="0" w:space="0" w:color="auto"/>
                              </w:divBdr>
                              <w:divsChild>
                                <w:div w:id="1986157832">
                                  <w:marLeft w:val="0"/>
                                  <w:marRight w:val="0"/>
                                  <w:marTop w:val="0"/>
                                  <w:marBottom w:val="0"/>
                                  <w:divBdr>
                                    <w:top w:val="none" w:sz="0" w:space="0" w:color="auto"/>
                                    <w:left w:val="none" w:sz="0" w:space="0" w:color="auto"/>
                                    <w:bottom w:val="none" w:sz="0" w:space="0" w:color="auto"/>
                                    <w:right w:val="none" w:sz="0" w:space="0" w:color="auto"/>
                                  </w:divBdr>
                                  <w:divsChild>
                                    <w:div w:id="146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1846">
                      <w:marLeft w:val="0"/>
                      <w:marRight w:val="0"/>
                      <w:marTop w:val="0"/>
                      <w:marBottom w:val="0"/>
                      <w:divBdr>
                        <w:top w:val="none" w:sz="0" w:space="0" w:color="auto"/>
                        <w:left w:val="none" w:sz="0" w:space="0" w:color="auto"/>
                        <w:bottom w:val="none" w:sz="0" w:space="0" w:color="auto"/>
                        <w:right w:val="none" w:sz="0" w:space="0" w:color="auto"/>
                      </w:divBdr>
                      <w:divsChild>
                        <w:div w:id="36602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748360">
      <w:bodyDiv w:val="1"/>
      <w:marLeft w:val="0"/>
      <w:marRight w:val="0"/>
      <w:marTop w:val="0"/>
      <w:marBottom w:val="0"/>
      <w:divBdr>
        <w:top w:val="none" w:sz="0" w:space="0" w:color="auto"/>
        <w:left w:val="none" w:sz="0" w:space="0" w:color="auto"/>
        <w:bottom w:val="none" w:sz="0" w:space="0" w:color="auto"/>
        <w:right w:val="none" w:sz="0" w:space="0" w:color="auto"/>
      </w:divBdr>
    </w:div>
    <w:div w:id="574516944">
      <w:bodyDiv w:val="1"/>
      <w:marLeft w:val="0"/>
      <w:marRight w:val="0"/>
      <w:marTop w:val="0"/>
      <w:marBottom w:val="0"/>
      <w:divBdr>
        <w:top w:val="none" w:sz="0" w:space="0" w:color="auto"/>
        <w:left w:val="none" w:sz="0" w:space="0" w:color="auto"/>
        <w:bottom w:val="none" w:sz="0" w:space="0" w:color="auto"/>
        <w:right w:val="none" w:sz="0" w:space="0" w:color="auto"/>
      </w:divBdr>
      <w:divsChild>
        <w:div w:id="221530081">
          <w:marLeft w:val="0"/>
          <w:marRight w:val="0"/>
          <w:marTop w:val="0"/>
          <w:marBottom w:val="0"/>
          <w:divBdr>
            <w:top w:val="none" w:sz="0" w:space="0" w:color="auto"/>
            <w:left w:val="none" w:sz="0" w:space="0" w:color="auto"/>
            <w:bottom w:val="none" w:sz="0" w:space="0" w:color="auto"/>
            <w:right w:val="none" w:sz="0" w:space="0" w:color="auto"/>
          </w:divBdr>
          <w:divsChild>
            <w:div w:id="1364480346">
              <w:marLeft w:val="0"/>
              <w:marRight w:val="0"/>
              <w:marTop w:val="0"/>
              <w:marBottom w:val="0"/>
              <w:divBdr>
                <w:top w:val="none" w:sz="0" w:space="0" w:color="auto"/>
                <w:left w:val="none" w:sz="0" w:space="0" w:color="auto"/>
                <w:bottom w:val="none" w:sz="0" w:space="0" w:color="auto"/>
                <w:right w:val="none" w:sz="0" w:space="0" w:color="auto"/>
              </w:divBdr>
              <w:divsChild>
                <w:div w:id="405736314">
                  <w:marLeft w:val="0"/>
                  <w:marRight w:val="0"/>
                  <w:marTop w:val="0"/>
                  <w:marBottom w:val="0"/>
                  <w:divBdr>
                    <w:top w:val="none" w:sz="0" w:space="0" w:color="auto"/>
                    <w:left w:val="none" w:sz="0" w:space="0" w:color="auto"/>
                    <w:bottom w:val="none" w:sz="0" w:space="0" w:color="auto"/>
                    <w:right w:val="none" w:sz="0" w:space="0" w:color="auto"/>
                  </w:divBdr>
                  <w:divsChild>
                    <w:div w:id="1385445941">
                      <w:marLeft w:val="0"/>
                      <w:marRight w:val="0"/>
                      <w:marTop w:val="0"/>
                      <w:marBottom w:val="0"/>
                      <w:divBdr>
                        <w:top w:val="none" w:sz="0" w:space="0" w:color="auto"/>
                        <w:left w:val="none" w:sz="0" w:space="0" w:color="auto"/>
                        <w:bottom w:val="none" w:sz="0" w:space="0" w:color="auto"/>
                        <w:right w:val="none" w:sz="0" w:space="0" w:color="auto"/>
                      </w:divBdr>
                      <w:divsChild>
                        <w:div w:id="1431314336">
                          <w:marLeft w:val="0"/>
                          <w:marRight w:val="0"/>
                          <w:marTop w:val="0"/>
                          <w:marBottom w:val="0"/>
                          <w:divBdr>
                            <w:top w:val="none" w:sz="0" w:space="0" w:color="auto"/>
                            <w:left w:val="none" w:sz="0" w:space="0" w:color="auto"/>
                            <w:bottom w:val="none" w:sz="0" w:space="0" w:color="auto"/>
                            <w:right w:val="none" w:sz="0" w:space="0" w:color="auto"/>
                          </w:divBdr>
                          <w:divsChild>
                            <w:div w:id="1041519721">
                              <w:marLeft w:val="0"/>
                              <w:marRight w:val="0"/>
                              <w:marTop w:val="0"/>
                              <w:marBottom w:val="0"/>
                              <w:divBdr>
                                <w:top w:val="none" w:sz="0" w:space="0" w:color="auto"/>
                                <w:left w:val="none" w:sz="0" w:space="0" w:color="auto"/>
                                <w:bottom w:val="none" w:sz="0" w:space="0" w:color="auto"/>
                                <w:right w:val="none" w:sz="0" w:space="0" w:color="auto"/>
                              </w:divBdr>
                              <w:divsChild>
                                <w:div w:id="10379866">
                                  <w:marLeft w:val="0"/>
                                  <w:marRight w:val="0"/>
                                  <w:marTop w:val="0"/>
                                  <w:marBottom w:val="0"/>
                                  <w:divBdr>
                                    <w:top w:val="none" w:sz="0" w:space="0" w:color="auto"/>
                                    <w:left w:val="none" w:sz="0" w:space="0" w:color="auto"/>
                                    <w:bottom w:val="none" w:sz="0" w:space="0" w:color="auto"/>
                                    <w:right w:val="none" w:sz="0" w:space="0" w:color="auto"/>
                                  </w:divBdr>
                                  <w:divsChild>
                                    <w:div w:id="11846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231111">
                      <w:marLeft w:val="0"/>
                      <w:marRight w:val="0"/>
                      <w:marTop w:val="0"/>
                      <w:marBottom w:val="0"/>
                      <w:divBdr>
                        <w:top w:val="none" w:sz="0" w:space="0" w:color="auto"/>
                        <w:left w:val="none" w:sz="0" w:space="0" w:color="auto"/>
                        <w:bottom w:val="none" w:sz="0" w:space="0" w:color="auto"/>
                        <w:right w:val="none" w:sz="0" w:space="0" w:color="auto"/>
                      </w:divBdr>
                      <w:divsChild>
                        <w:div w:id="2297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08015">
      <w:bodyDiv w:val="1"/>
      <w:marLeft w:val="0"/>
      <w:marRight w:val="0"/>
      <w:marTop w:val="0"/>
      <w:marBottom w:val="0"/>
      <w:divBdr>
        <w:top w:val="none" w:sz="0" w:space="0" w:color="auto"/>
        <w:left w:val="none" w:sz="0" w:space="0" w:color="auto"/>
        <w:bottom w:val="none" w:sz="0" w:space="0" w:color="auto"/>
        <w:right w:val="none" w:sz="0" w:space="0" w:color="auto"/>
      </w:divBdr>
      <w:divsChild>
        <w:div w:id="402604710">
          <w:marLeft w:val="0"/>
          <w:marRight w:val="0"/>
          <w:marTop w:val="0"/>
          <w:marBottom w:val="0"/>
          <w:divBdr>
            <w:top w:val="none" w:sz="0" w:space="0" w:color="auto"/>
            <w:left w:val="none" w:sz="0" w:space="0" w:color="auto"/>
            <w:bottom w:val="none" w:sz="0" w:space="0" w:color="auto"/>
            <w:right w:val="none" w:sz="0" w:space="0" w:color="auto"/>
          </w:divBdr>
          <w:divsChild>
            <w:div w:id="629631875">
              <w:marLeft w:val="0"/>
              <w:marRight w:val="0"/>
              <w:marTop w:val="0"/>
              <w:marBottom w:val="0"/>
              <w:divBdr>
                <w:top w:val="none" w:sz="0" w:space="0" w:color="auto"/>
                <w:left w:val="none" w:sz="0" w:space="0" w:color="auto"/>
                <w:bottom w:val="none" w:sz="0" w:space="0" w:color="auto"/>
                <w:right w:val="none" w:sz="0" w:space="0" w:color="auto"/>
              </w:divBdr>
              <w:divsChild>
                <w:div w:id="1770732092">
                  <w:marLeft w:val="0"/>
                  <w:marRight w:val="0"/>
                  <w:marTop w:val="0"/>
                  <w:marBottom w:val="0"/>
                  <w:divBdr>
                    <w:top w:val="none" w:sz="0" w:space="0" w:color="auto"/>
                    <w:left w:val="none" w:sz="0" w:space="0" w:color="auto"/>
                    <w:bottom w:val="none" w:sz="0" w:space="0" w:color="auto"/>
                    <w:right w:val="none" w:sz="0" w:space="0" w:color="auto"/>
                  </w:divBdr>
                  <w:divsChild>
                    <w:div w:id="605845562">
                      <w:marLeft w:val="0"/>
                      <w:marRight w:val="0"/>
                      <w:marTop w:val="0"/>
                      <w:marBottom w:val="0"/>
                      <w:divBdr>
                        <w:top w:val="none" w:sz="0" w:space="0" w:color="auto"/>
                        <w:left w:val="none" w:sz="0" w:space="0" w:color="auto"/>
                        <w:bottom w:val="none" w:sz="0" w:space="0" w:color="auto"/>
                        <w:right w:val="none" w:sz="0" w:space="0" w:color="auto"/>
                      </w:divBdr>
                      <w:divsChild>
                        <w:div w:id="594244734">
                          <w:marLeft w:val="0"/>
                          <w:marRight w:val="0"/>
                          <w:marTop w:val="0"/>
                          <w:marBottom w:val="0"/>
                          <w:divBdr>
                            <w:top w:val="none" w:sz="0" w:space="0" w:color="auto"/>
                            <w:left w:val="none" w:sz="0" w:space="0" w:color="auto"/>
                            <w:bottom w:val="none" w:sz="0" w:space="0" w:color="auto"/>
                            <w:right w:val="none" w:sz="0" w:space="0" w:color="auto"/>
                          </w:divBdr>
                          <w:divsChild>
                            <w:div w:id="1037311316">
                              <w:marLeft w:val="0"/>
                              <w:marRight w:val="0"/>
                              <w:marTop w:val="0"/>
                              <w:marBottom w:val="0"/>
                              <w:divBdr>
                                <w:top w:val="none" w:sz="0" w:space="0" w:color="auto"/>
                                <w:left w:val="none" w:sz="0" w:space="0" w:color="auto"/>
                                <w:bottom w:val="none" w:sz="0" w:space="0" w:color="auto"/>
                                <w:right w:val="none" w:sz="0" w:space="0" w:color="auto"/>
                              </w:divBdr>
                              <w:divsChild>
                                <w:div w:id="1318267945">
                                  <w:marLeft w:val="0"/>
                                  <w:marRight w:val="0"/>
                                  <w:marTop w:val="0"/>
                                  <w:marBottom w:val="0"/>
                                  <w:divBdr>
                                    <w:top w:val="none" w:sz="0" w:space="0" w:color="auto"/>
                                    <w:left w:val="none" w:sz="0" w:space="0" w:color="auto"/>
                                    <w:bottom w:val="none" w:sz="0" w:space="0" w:color="auto"/>
                                    <w:right w:val="none" w:sz="0" w:space="0" w:color="auto"/>
                                  </w:divBdr>
                                  <w:divsChild>
                                    <w:div w:id="1801417321">
                                      <w:marLeft w:val="0"/>
                                      <w:marRight w:val="0"/>
                                      <w:marTop w:val="0"/>
                                      <w:marBottom w:val="0"/>
                                      <w:divBdr>
                                        <w:top w:val="none" w:sz="0" w:space="0" w:color="auto"/>
                                        <w:left w:val="none" w:sz="0" w:space="0" w:color="auto"/>
                                        <w:bottom w:val="none" w:sz="0" w:space="0" w:color="auto"/>
                                        <w:right w:val="none" w:sz="0" w:space="0" w:color="auto"/>
                                      </w:divBdr>
                                      <w:divsChild>
                                        <w:div w:id="595946693">
                                          <w:marLeft w:val="0"/>
                                          <w:marRight w:val="0"/>
                                          <w:marTop w:val="0"/>
                                          <w:marBottom w:val="0"/>
                                          <w:divBdr>
                                            <w:top w:val="none" w:sz="0" w:space="0" w:color="auto"/>
                                            <w:left w:val="none" w:sz="0" w:space="0" w:color="auto"/>
                                            <w:bottom w:val="none" w:sz="0" w:space="0" w:color="auto"/>
                                            <w:right w:val="none" w:sz="0" w:space="0" w:color="auto"/>
                                          </w:divBdr>
                                          <w:divsChild>
                                            <w:div w:id="613292265">
                                              <w:marLeft w:val="0"/>
                                              <w:marRight w:val="0"/>
                                              <w:marTop w:val="0"/>
                                              <w:marBottom w:val="0"/>
                                              <w:divBdr>
                                                <w:top w:val="none" w:sz="0" w:space="0" w:color="auto"/>
                                                <w:left w:val="none" w:sz="0" w:space="0" w:color="auto"/>
                                                <w:bottom w:val="none" w:sz="0" w:space="0" w:color="auto"/>
                                                <w:right w:val="none" w:sz="0" w:space="0" w:color="auto"/>
                                              </w:divBdr>
                                              <w:divsChild>
                                                <w:div w:id="1295064877">
                                                  <w:marLeft w:val="0"/>
                                                  <w:marRight w:val="0"/>
                                                  <w:marTop w:val="0"/>
                                                  <w:marBottom w:val="0"/>
                                                  <w:divBdr>
                                                    <w:top w:val="none" w:sz="0" w:space="0" w:color="auto"/>
                                                    <w:left w:val="none" w:sz="0" w:space="0" w:color="auto"/>
                                                    <w:bottom w:val="none" w:sz="0" w:space="0" w:color="auto"/>
                                                    <w:right w:val="none" w:sz="0" w:space="0" w:color="auto"/>
                                                  </w:divBdr>
                                                  <w:divsChild>
                                                    <w:div w:id="185502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5697">
                                      <w:marLeft w:val="0"/>
                                      <w:marRight w:val="0"/>
                                      <w:marTop w:val="0"/>
                                      <w:marBottom w:val="0"/>
                                      <w:divBdr>
                                        <w:top w:val="none" w:sz="0" w:space="0" w:color="auto"/>
                                        <w:left w:val="none" w:sz="0" w:space="0" w:color="auto"/>
                                        <w:bottom w:val="none" w:sz="0" w:space="0" w:color="auto"/>
                                        <w:right w:val="none" w:sz="0" w:space="0" w:color="auto"/>
                                      </w:divBdr>
                                      <w:divsChild>
                                        <w:div w:id="13907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716761">
          <w:marLeft w:val="0"/>
          <w:marRight w:val="0"/>
          <w:marTop w:val="0"/>
          <w:marBottom w:val="0"/>
          <w:divBdr>
            <w:top w:val="none" w:sz="0" w:space="0" w:color="auto"/>
            <w:left w:val="none" w:sz="0" w:space="0" w:color="auto"/>
            <w:bottom w:val="none" w:sz="0" w:space="0" w:color="auto"/>
            <w:right w:val="none" w:sz="0" w:space="0" w:color="auto"/>
          </w:divBdr>
          <w:divsChild>
            <w:div w:id="866941740">
              <w:marLeft w:val="0"/>
              <w:marRight w:val="0"/>
              <w:marTop w:val="0"/>
              <w:marBottom w:val="0"/>
              <w:divBdr>
                <w:top w:val="none" w:sz="0" w:space="0" w:color="auto"/>
                <w:left w:val="none" w:sz="0" w:space="0" w:color="auto"/>
                <w:bottom w:val="none" w:sz="0" w:space="0" w:color="auto"/>
                <w:right w:val="none" w:sz="0" w:space="0" w:color="auto"/>
              </w:divBdr>
              <w:divsChild>
                <w:div w:id="798840582">
                  <w:marLeft w:val="0"/>
                  <w:marRight w:val="0"/>
                  <w:marTop w:val="0"/>
                  <w:marBottom w:val="0"/>
                  <w:divBdr>
                    <w:top w:val="none" w:sz="0" w:space="0" w:color="auto"/>
                    <w:left w:val="none" w:sz="0" w:space="0" w:color="auto"/>
                    <w:bottom w:val="none" w:sz="0" w:space="0" w:color="auto"/>
                    <w:right w:val="none" w:sz="0" w:space="0" w:color="auto"/>
                  </w:divBdr>
                  <w:divsChild>
                    <w:div w:id="582110695">
                      <w:marLeft w:val="0"/>
                      <w:marRight w:val="0"/>
                      <w:marTop w:val="0"/>
                      <w:marBottom w:val="0"/>
                      <w:divBdr>
                        <w:top w:val="none" w:sz="0" w:space="0" w:color="auto"/>
                        <w:left w:val="none" w:sz="0" w:space="0" w:color="auto"/>
                        <w:bottom w:val="none" w:sz="0" w:space="0" w:color="auto"/>
                        <w:right w:val="none" w:sz="0" w:space="0" w:color="auto"/>
                      </w:divBdr>
                      <w:divsChild>
                        <w:div w:id="10918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858209">
      <w:bodyDiv w:val="1"/>
      <w:marLeft w:val="0"/>
      <w:marRight w:val="0"/>
      <w:marTop w:val="0"/>
      <w:marBottom w:val="0"/>
      <w:divBdr>
        <w:top w:val="none" w:sz="0" w:space="0" w:color="auto"/>
        <w:left w:val="none" w:sz="0" w:space="0" w:color="auto"/>
        <w:bottom w:val="none" w:sz="0" w:space="0" w:color="auto"/>
        <w:right w:val="none" w:sz="0" w:space="0" w:color="auto"/>
      </w:divBdr>
      <w:divsChild>
        <w:div w:id="1655405869">
          <w:marLeft w:val="0"/>
          <w:marRight w:val="0"/>
          <w:marTop w:val="0"/>
          <w:marBottom w:val="0"/>
          <w:divBdr>
            <w:top w:val="none" w:sz="0" w:space="0" w:color="auto"/>
            <w:left w:val="none" w:sz="0" w:space="0" w:color="auto"/>
            <w:bottom w:val="none" w:sz="0" w:space="0" w:color="auto"/>
            <w:right w:val="none" w:sz="0" w:space="0" w:color="auto"/>
          </w:divBdr>
          <w:divsChild>
            <w:div w:id="142622633">
              <w:marLeft w:val="0"/>
              <w:marRight w:val="0"/>
              <w:marTop w:val="0"/>
              <w:marBottom w:val="0"/>
              <w:divBdr>
                <w:top w:val="none" w:sz="0" w:space="0" w:color="auto"/>
                <w:left w:val="none" w:sz="0" w:space="0" w:color="auto"/>
                <w:bottom w:val="none" w:sz="0" w:space="0" w:color="auto"/>
                <w:right w:val="none" w:sz="0" w:space="0" w:color="auto"/>
              </w:divBdr>
              <w:divsChild>
                <w:div w:id="315767489">
                  <w:marLeft w:val="0"/>
                  <w:marRight w:val="0"/>
                  <w:marTop w:val="0"/>
                  <w:marBottom w:val="0"/>
                  <w:divBdr>
                    <w:top w:val="none" w:sz="0" w:space="0" w:color="auto"/>
                    <w:left w:val="none" w:sz="0" w:space="0" w:color="auto"/>
                    <w:bottom w:val="none" w:sz="0" w:space="0" w:color="auto"/>
                    <w:right w:val="none" w:sz="0" w:space="0" w:color="auto"/>
                  </w:divBdr>
                  <w:divsChild>
                    <w:div w:id="239607397">
                      <w:marLeft w:val="0"/>
                      <w:marRight w:val="0"/>
                      <w:marTop w:val="0"/>
                      <w:marBottom w:val="0"/>
                      <w:divBdr>
                        <w:top w:val="none" w:sz="0" w:space="0" w:color="auto"/>
                        <w:left w:val="none" w:sz="0" w:space="0" w:color="auto"/>
                        <w:bottom w:val="none" w:sz="0" w:space="0" w:color="auto"/>
                        <w:right w:val="none" w:sz="0" w:space="0" w:color="auto"/>
                      </w:divBdr>
                      <w:divsChild>
                        <w:div w:id="1133791044">
                          <w:marLeft w:val="0"/>
                          <w:marRight w:val="0"/>
                          <w:marTop w:val="0"/>
                          <w:marBottom w:val="0"/>
                          <w:divBdr>
                            <w:top w:val="none" w:sz="0" w:space="0" w:color="auto"/>
                            <w:left w:val="none" w:sz="0" w:space="0" w:color="auto"/>
                            <w:bottom w:val="none" w:sz="0" w:space="0" w:color="auto"/>
                            <w:right w:val="none" w:sz="0" w:space="0" w:color="auto"/>
                          </w:divBdr>
                          <w:divsChild>
                            <w:div w:id="40906333">
                              <w:marLeft w:val="0"/>
                              <w:marRight w:val="0"/>
                              <w:marTop w:val="0"/>
                              <w:marBottom w:val="0"/>
                              <w:divBdr>
                                <w:top w:val="none" w:sz="0" w:space="0" w:color="auto"/>
                                <w:left w:val="none" w:sz="0" w:space="0" w:color="auto"/>
                                <w:bottom w:val="none" w:sz="0" w:space="0" w:color="auto"/>
                                <w:right w:val="none" w:sz="0" w:space="0" w:color="auto"/>
                              </w:divBdr>
                              <w:divsChild>
                                <w:div w:id="852300928">
                                  <w:marLeft w:val="0"/>
                                  <w:marRight w:val="0"/>
                                  <w:marTop w:val="0"/>
                                  <w:marBottom w:val="0"/>
                                  <w:divBdr>
                                    <w:top w:val="none" w:sz="0" w:space="0" w:color="auto"/>
                                    <w:left w:val="none" w:sz="0" w:space="0" w:color="auto"/>
                                    <w:bottom w:val="none" w:sz="0" w:space="0" w:color="auto"/>
                                    <w:right w:val="none" w:sz="0" w:space="0" w:color="auto"/>
                                  </w:divBdr>
                                  <w:divsChild>
                                    <w:div w:id="68198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11798">
                      <w:marLeft w:val="0"/>
                      <w:marRight w:val="0"/>
                      <w:marTop w:val="0"/>
                      <w:marBottom w:val="0"/>
                      <w:divBdr>
                        <w:top w:val="none" w:sz="0" w:space="0" w:color="auto"/>
                        <w:left w:val="none" w:sz="0" w:space="0" w:color="auto"/>
                        <w:bottom w:val="none" w:sz="0" w:space="0" w:color="auto"/>
                        <w:right w:val="none" w:sz="0" w:space="0" w:color="auto"/>
                      </w:divBdr>
                      <w:divsChild>
                        <w:div w:id="6566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078000">
      <w:bodyDiv w:val="1"/>
      <w:marLeft w:val="0"/>
      <w:marRight w:val="0"/>
      <w:marTop w:val="0"/>
      <w:marBottom w:val="0"/>
      <w:divBdr>
        <w:top w:val="none" w:sz="0" w:space="0" w:color="auto"/>
        <w:left w:val="none" w:sz="0" w:space="0" w:color="auto"/>
        <w:bottom w:val="none" w:sz="0" w:space="0" w:color="auto"/>
        <w:right w:val="none" w:sz="0" w:space="0" w:color="auto"/>
      </w:divBdr>
    </w:div>
    <w:div w:id="1308851461">
      <w:bodyDiv w:val="1"/>
      <w:marLeft w:val="0"/>
      <w:marRight w:val="0"/>
      <w:marTop w:val="0"/>
      <w:marBottom w:val="0"/>
      <w:divBdr>
        <w:top w:val="none" w:sz="0" w:space="0" w:color="auto"/>
        <w:left w:val="none" w:sz="0" w:space="0" w:color="auto"/>
        <w:bottom w:val="none" w:sz="0" w:space="0" w:color="auto"/>
        <w:right w:val="none" w:sz="0" w:space="0" w:color="auto"/>
      </w:divBdr>
    </w:div>
    <w:div w:id="1371223883">
      <w:bodyDiv w:val="1"/>
      <w:marLeft w:val="0"/>
      <w:marRight w:val="0"/>
      <w:marTop w:val="0"/>
      <w:marBottom w:val="0"/>
      <w:divBdr>
        <w:top w:val="none" w:sz="0" w:space="0" w:color="auto"/>
        <w:left w:val="none" w:sz="0" w:space="0" w:color="auto"/>
        <w:bottom w:val="none" w:sz="0" w:space="0" w:color="auto"/>
        <w:right w:val="none" w:sz="0" w:space="0" w:color="auto"/>
      </w:divBdr>
    </w:div>
    <w:div w:id="1416710142">
      <w:bodyDiv w:val="1"/>
      <w:marLeft w:val="0"/>
      <w:marRight w:val="0"/>
      <w:marTop w:val="0"/>
      <w:marBottom w:val="0"/>
      <w:divBdr>
        <w:top w:val="none" w:sz="0" w:space="0" w:color="auto"/>
        <w:left w:val="none" w:sz="0" w:space="0" w:color="auto"/>
        <w:bottom w:val="none" w:sz="0" w:space="0" w:color="auto"/>
        <w:right w:val="none" w:sz="0" w:space="0" w:color="auto"/>
      </w:divBdr>
    </w:div>
    <w:div w:id="1547718348">
      <w:bodyDiv w:val="1"/>
      <w:marLeft w:val="0"/>
      <w:marRight w:val="0"/>
      <w:marTop w:val="0"/>
      <w:marBottom w:val="0"/>
      <w:divBdr>
        <w:top w:val="none" w:sz="0" w:space="0" w:color="auto"/>
        <w:left w:val="none" w:sz="0" w:space="0" w:color="auto"/>
        <w:bottom w:val="none" w:sz="0" w:space="0" w:color="auto"/>
        <w:right w:val="none" w:sz="0" w:space="0" w:color="auto"/>
      </w:divBdr>
    </w:div>
    <w:div w:id="1616254732">
      <w:bodyDiv w:val="1"/>
      <w:marLeft w:val="0"/>
      <w:marRight w:val="0"/>
      <w:marTop w:val="0"/>
      <w:marBottom w:val="0"/>
      <w:divBdr>
        <w:top w:val="none" w:sz="0" w:space="0" w:color="auto"/>
        <w:left w:val="none" w:sz="0" w:space="0" w:color="auto"/>
        <w:bottom w:val="none" w:sz="0" w:space="0" w:color="auto"/>
        <w:right w:val="none" w:sz="0" w:space="0" w:color="auto"/>
      </w:divBdr>
    </w:div>
    <w:div w:id="1689871534">
      <w:bodyDiv w:val="1"/>
      <w:marLeft w:val="0"/>
      <w:marRight w:val="0"/>
      <w:marTop w:val="0"/>
      <w:marBottom w:val="0"/>
      <w:divBdr>
        <w:top w:val="none" w:sz="0" w:space="0" w:color="auto"/>
        <w:left w:val="none" w:sz="0" w:space="0" w:color="auto"/>
        <w:bottom w:val="none" w:sz="0" w:space="0" w:color="auto"/>
        <w:right w:val="none" w:sz="0" w:space="0" w:color="auto"/>
      </w:divBdr>
    </w:div>
    <w:div w:id="181941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5.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image" Target="media/image4.png"/><Relationship Id="rId17" Type="http://schemas.openxmlformats.org/officeDocument/2006/relationships/image" Target="media/image9.png"/><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20</Pages>
  <Words>5957</Words>
  <Characters>33301</Characters>
  <Application>Microsoft Office Word</Application>
  <DocSecurity>0</DocSecurity>
  <Lines>925</Lines>
  <Paragraphs>613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prachi chandrakar</dc:creator>
  <cp:keywords/>
  <dc:description/>
  <cp:lastModifiedBy>LENOVO X1 YOGA</cp:lastModifiedBy>
  <cp:revision>171</cp:revision>
  <dcterms:created xsi:type="dcterms:W3CDTF">2025-06-27T10:26:00Z</dcterms:created>
  <dcterms:modified xsi:type="dcterms:W3CDTF">2025-07-17T14:27:00Z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0dad4634-8be5-4972-a793-707a2b8deab9</vt:lpwstr>
  </property>
</Properties>
</file>