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907B7" w14:textId="77777777" w:rsidR="00EB5387" w:rsidRPr="00902FBB" w:rsidRDefault="00EB5387" w:rsidP="00EB5387">
      <w:pPr>
        <w:pStyle w:val="Title"/>
        <w:spacing w:after="0"/>
        <w:jc w:val="both"/>
        <w:rPr>
          <w:rFonts w:ascii="Arial" w:hAnsi="Arial" w:cs="Arial"/>
          <w:u w:val="single"/>
        </w:rPr>
      </w:pPr>
      <w:r w:rsidRPr="00902FBB">
        <w:rPr>
          <w:rFonts w:ascii="Arial" w:hAnsi="Arial" w:cs="Arial"/>
          <w:u w:val="single"/>
        </w:rPr>
        <w:t>Original Research Article</w:t>
      </w:r>
    </w:p>
    <w:p w14:paraId="5AB9C794" w14:textId="77777777" w:rsidR="00EB5387" w:rsidRPr="00902FBB" w:rsidRDefault="00EB5387" w:rsidP="00EB5387">
      <w:pPr>
        <w:pStyle w:val="Title"/>
        <w:spacing w:after="0"/>
        <w:jc w:val="both"/>
        <w:rPr>
          <w:rFonts w:ascii="Arial" w:hAnsi="Arial" w:cs="Arial"/>
          <w:u w:val="single"/>
        </w:rPr>
      </w:pPr>
    </w:p>
    <w:p w14:paraId="242A5946" w14:textId="77777777" w:rsidR="00EB5387" w:rsidRPr="00902FBB" w:rsidRDefault="00EB5387" w:rsidP="00EB5387">
      <w:pPr>
        <w:pStyle w:val="Author"/>
        <w:spacing w:line="240" w:lineRule="auto"/>
        <w:jc w:val="left"/>
        <w:rPr>
          <w:rFonts w:ascii="Arial" w:hAnsi="Arial" w:cs="Arial"/>
          <w:bCs/>
          <w:iCs/>
          <w:kern w:val="28"/>
          <w:sz w:val="36"/>
        </w:rPr>
      </w:pPr>
      <w:r w:rsidRPr="00902FBB">
        <w:rPr>
          <w:rFonts w:ascii="Arial" w:hAnsi="Arial" w:cs="Arial"/>
          <w:bCs/>
          <w:iCs/>
          <w:kern w:val="28"/>
          <w:sz w:val="36"/>
        </w:rPr>
        <w:t>Effects of Season, Sowing Method and Planting Date on Growth and Yield Components of Pumpkin (Cucurbita moschata Duch. ex Poir.)</w:t>
      </w:r>
    </w:p>
    <w:p w14:paraId="07AFAA79" w14:textId="77777777" w:rsidR="00EB5387" w:rsidRPr="00902FBB" w:rsidRDefault="00EB5387" w:rsidP="00EB5387">
      <w:pPr>
        <w:pStyle w:val="Author"/>
        <w:spacing w:line="240" w:lineRule="auto"/>
        <w:jc w:val="both"/>
        <w:rPr>
          <w:rFonts w:ascii="Arial" w:hAnsi="Arial" w:cs="Arial"/>
          <w:sz w:val="36"/>
        </w:rPr>
      </w:pPr>
    </w:p>
    <w:p w14:paraId="792BA7D7" w14:textId="77777777" w:rsidR="00EB5387" w:rsidRPr="00902FBB" w:rsidRDefault="00EB5387" w:rsidP="00EB5387">
      <w:pPr>
        <w:pStyle w:val="Affiliation"/>
        <w:spacing w:after="0" w:line="240" w:lineRule="auto"/>
        <w:jc w:val="both"/>
        <w:rPr>
          <w:rFonts w:ascii="Arial" w:hAnsi="Arial" w:cs="Arial"/>
        </w:rPr>
      </w:pPr>
    </w:p>
    <w:p w14:paraId="1AD2D2AD" w14:textId="77777777" w:rsidR="00EB5387" w:rsidRPr="00902FBB" w:rsidRDefault="00EB5387" w:rsidP="00EB5387">
      <w:pPr>
        <w:pStyle w:val="Copyright"/>
        <w:spacing w:after="0" w:line="240" w:lineRule="auto"/>
        <w:jc w:val="both"/>
        <w:rPr>
          <w:rFonts w:ascii="Arial" w:hAnsi="Arial" w:cs="Arial"/>
        </w:rPr>
        <w:sectPr w:rsidR="00EB5387" w:rsidRPr="00902FBB" w:rsidSect="00EB5387">
          <w:headerReference w:type="even" r:id="rId5"/>
          <w:headerReference w:type="default" r:id="rId6"/>
          <w:footerReference w:type="even" r:id="rId7"/>
          <w:footerReference w:type="default" r:id="rId8"/>
          <w:headerReference w:type="first" r:id="rId9"/>
          <w:footerReference w:type="first" r:id="rId10"/>
          <w:pgSz w:w="12240" w:h="15840" w:code="1"/>
          <w:pgMar w:top="1440" w:right="2016" w:bottom="2016" w:left="2016" w:header="720" w:footer="1296" w:gutter="0"/>
          <w:cols w:space="720"/>
          <w:docGrid w:linePitch="272"/>
        </w:sectPr>
      </w:pPr>
      <w:r w:rsidRPr="00902FBB">
        <w:rPr>
          <w:rFonts w:ascii="Arial" w:hAnsi="Arial" w:cs="Arial"/>
          <w:noProof/>
        </w:rPr>
        <mc:AlternateContent>
          <mc:Choice Requires="wps">
            <w:drawing>
              <wp:inline distT="0" distB="0" distL="0" distR="0" wp14:anchorId="092E2E34" wp14:editId="4BAF2D8C">
                <wp:extent cx="5303520" cy="0"/>
                <wp:effectExtent l="11430" t="17780" r="9525" b="1079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51DA0F"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Pr="00902FBB">
        <w:rPr>
          <w:rFonts w:ascii="Arial" w:hAnsi="Arial" w:cs="Arial"/>
        </w:rPr>
        <w:t>.</w:t>
      </w:r>
    </w:p>
    <w:p w14:paraId="24E8FC29" w14:textId="77777777" w:rsidR="00EB5387" w:rsidRPr="00902FBB" w:rsidRDefault="00EB5387" w:rsidP="00EB5387">
      <w:pPr>
        <w:pStyle w:val="AbstHead"/>
        <w:spacing w:after="0"/>
        <w:jc w:val="both"/>
        <w:rPr>
          <w:rFonts w:ascii="Arial" w:hAnsi="Arial" w:cs="Arial"/>
        </w:rPr>
      </w:pPr>
      <w:r w:rsidRPr="00902FBB">
        <w:rPr>
          <w:rFonts w:ascii="Arial" w:hAnsi="Arial" w:cs="Arial"/>
        </w:rPr>
        <w:t xml:space="preserve">ABSTRACT  </w:t>
      </w:r>
    </w:p>
    <w:p w14:paraId="191E650C" w14:textId="77777777" w:rsidR="00EB5387" w:rsidRPr="00902FBB" w:rsidRDefault="00EB5387" w:rsidP="00EB538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EB5387" w:rsidRPr="00902FBB" w14:paraId="2023206E" w14:textId="77777777" w:rsidTr="00B11E0C">
        <w:tc>
          <w:tcPr>
            <w:tcW w:w="9576" w:type="dxa"/>
            <w:shd w:val="clear" w:color="auto" w:fill="F2F2F2"/>
          </w:tcPr>
          <w:p w14:paraId="3E174105" w14:textId="77777777" w:rsidR="00EB5387" w:rsidRPr="00902FBB" w:rsidRDefault="00EB5387" w:rsidP="00B11E0C">
            <w:pPr>
              <w:pStyle w:val="Body"/>
              <w:spacing w:after="0"/>
              <w:rPr>
                <w:rFonts w:ascii="Arial" w:eastAsia="Calibri" w:hAnsi="Arial" w:cs="Arial"/>
                <w:szCs w:val="22"/>
              </w:rPr>
            </w:pPr>
            <w:r w:rsidRPr="00902FBB">
              <w:rPr>
                <w:rFonts w:ascii="Arial" w:eastAsia="Calibri" w:hAnsi="Arial" w:cs="Arial"/>
                <w:b/>
                <w:bCs/>
                <w:szCs w:val="22"/>
              </w:rPr>
              <w:t>Aims:</w:t>
            </w:r>
            <w:r w:rsidRPr="00902FBB">
              <w:rPr>
                <w:rFonts w:ascii="Arial" w:eastAsia="Calibri" w:hAnsi="Arial" w:cs="Arial"/>
                <w:szCs w:val="22"/>
              </w:rPr>
              <w:t xml:space="preserve"> The study aimed to evaluate the effects of seasonality, sowing methods and planting dates on the growth and yield components of pumpkin (</w:t>
            </w:r>
            <w:r w:rsidRPr="00902FBB">
              <w:rPr>
                <w:rFonts w:ascii="Arial" w:eastAsia="Calibri" w:hAnsi="Arial" w:cs="Arial"/>
                <w:i/>
                <w:iCs/>
                <w:szCs w:val="22"/>
              </w:rPr>
              <w:t>Cucurbita moschata</w:t>
            </w:r>
            <w:r w:rsidRPr="00902FBB">
              <w:rPr>
                <w:rFonts w:ascii="Arial" w:eastAsia="Calibri" w:hAnsi="Arial" w:cs="Arial"/>
                <w:szCs w:val="22"/>
              </w:rPr>
              <w:t xml:space="preserve"> Duch.) under Sudanese agro-climatic conditions, with the objective of identifying optimal practices for improved productivity.</w:t>
            </w:r>
          </w:p>
          <w:p w14:paraId="1D26377B" w14:textId="77777777" w:rsidR="00EB5387" w:rsidRPr="00902FBB" w:rsidRDefault="00EB5387" w:rsidP="00B11E0C">
            <w:pPr>
              <w:pStyle w:val="Body"/>
              <w:spacing w:after="0"/>
              <w:rPr>
                <w:rFonts w:ascii="Arial" w:eastAsia="Calibri" w:hAnsi="Arial" w:cs="Arial"/>
                <w:szCs w:val="22"/>
              </w:rPr>
            </w:pPr>
            <w:r w:rsidRPr="00902FBB">
              <w:rPr>
                <w:rFonts w:ascii="Arial" w:eastAsia="Calibri" w:hAnsi="Arial" w:cs="Arial"/>
                <w:b/>
                <w:bCs/>
                <w:szCs w:val="22"/>
              </w:rPr>
              <w:t>Study Design:</w:t>
            </w:r>
            <w:r w:rsidRPr="00902FBB">
              <w:rPr>
                <w:rFonts w:ascii="Arial" w:eastAsia="Calibri" w:hAnsi="Arial" w:cs="Arial"/>
                <w:szCs w:val="22"/>
              </w:rPr>
              <w:t xml:space="preserve"> The experiment followed a factorial arrangement in a Randomized Complete Block Design (RCBD), comprising two sowing methods and three planting dates across two winter growing seasons.</w:t>
            </w:r>
          </w:p>
          <w:p w14:paraId="5E2B3B47" w14:textId="77777777" w:rsidR="00EB5387" w:rsidRPr="00902FBB" w:rsidRDefault="00EB5387" w:rsidP="00B11E0C">
            <w:pPr>
              <w:pStyle w:val="Body"/>
              <w:spacing w:after="0"/>
              <w:rPr>
                <w:rFonts w:ascii="Arial" w:eastAsia="Calibri" w:hAnsi="Arial" w:cs="Arial"/>
                <w:szCs w:val="22"/>
              </w:rPr>
            </w:pPr>
            <w:r w:rsidRPr="00902FBB">
              <w:rPr>
                <w:rFonts w:ascii="Arial" w:eastAsia="Calibri" w:hAnsi="Arial" w:cs="Arial"/>
                <w:szCs w:val="22"/>
              </w:rPr>
              <w:t>Place and Duration of Study: The research was conducted at Al-Hudeiba Agricultural Research Station, River Nile State, Sudan, over two winter cropping seasons: 2019–2020 and 2020–2021.</w:t>
            </w:r>
          </w:p>
          <w:p w14:paraId="3B8E0B94" w14:textId="77777777" w:rsidR="00EB5387" w:rsidRPr="00902FBB" w:rsidRDefault="00EB5387" w:rsidP="00B11E0C">
            <w:pPr>
              <w:pStyle w:val="Body"/>
              <w:spacing w:after="0"/>
              <w:rPr>
                <w:rFonts w:ascii="Arial" w:eastAsia="Calibri" w:hAnsi="Arial" w:cs="Arial"/>
                <w:szCs w:val="22"/>
              </w:rPr>
            </w:pPr>
            <w:r w:rsidRPr="00902FBB">
              <w:rPr>
                <w:rFonts w:ascii="Arial" w:eastAsia="Calibri" w:hAnsi="Arial" w:cs="Arial"/>
                <w:b/>
                <w:bCs/>
                <w:szCs w:val="22"/>
              </w:rPr>
              <w:t>Methodology:</w:t>
            </w:r>
            <w:r w:rsidRPr="00902FBB">
              <w:rPr>
                <w:rFonts w:ascii="Arial" w:eastAsia="Calibri" w:hAnsi="Arial" w:cs="Arial"/>
                <w:szCs w:val="22"/>
              </w:rPr>
              <w:t xml:space="preserve"> Two sowing methods—one-side and two-side—were tested alongside three sowing dates (November 4, 14, and 24). A local </w:t>
            </w:r>
            <w:r w:rsidRPr="00902FBB">
              <w:rPr>
                <w:rFonts w:ascii="Arial" w:eastAsia="Calibri" w:hAnsi="Arial" w:cs="Arial"/>
                <w:i/>
                <w:iCs/>
                <w:szCs w:val="22"/>
              </w:rPr>
              <w:t>Cucurbita moschata</w:t>
            </w:r>
            <w:r w:rsidRPr="00902FBB">
              <w:rPr>
                <w:rFonts w:ascii="Arial" w:eastAsia="Calibri" w:hAnsi="Arial" w:cs="Arial"/>
                <w:szCs w:val="22"/>
              </w:rPr>
              <w:t xml:space="preserve"> cultivar was grown under standard management. Data were collected on lateral branches, leaves, flowers, fruit set percentage, fruit number, and fruit yield per plant. Statistical analysis was performed using ANOVA with means separated via LSD at the 5% level.</w:t>
            </w:r>
          </w:p>
          <w:p w14:paraId="535EFF1C" w14:textId="77777777" w:rsidR="00EB5387" w:rsidRPr="00902FBB" w:rsidRDefault="00EB5387" w:rsidP="00B11E0C">
            <w:pPr>
              <w:pStyle w:val="Body"/>
              <w:spacing w:after="0"/>
              <w:rPr>
                <w:rFonts w:ascii="Arial" w:eastAsia="Calibri" w:hAnsi="Arial" w:cs="Arial"/>
                <w:szCs w:val="22"/>
              </w:rPr>
            </w:pPr>
            <w:r w:rsidRPr="00902FBB">
              <w:rPr>
                <w:rFonts w:ascii="Arial" w:eastAsia="Calibri" w:hAnsi="Arial" w:cs="Arial"/>
                <w:b/>
                <w:bCs/>
                <w:szCs w:val="22"/>
              </w:rPr>
              <w:t>Results:</w:t>
            </w:r>
            <w:r w:rsidRPr="00902FBB">
              <w:rPr>
                <w:rFonts w:ascii="Arial" w:eastAsia="Calibri" w:hAnsi="Arial" w:cs="Arial"/>
                <w:szCs w:val="22"/>
              </w:rPr>
              <w:t xml:space="preserve"> Significant seasonal differences were found, with the 2020–2021 season yielding superior performance. The one-side sowing method significantly improved fruit yield. November 14 sowing consistently produced higher values in most traits. The best combination (</w:t>
            </w:r>
            <w:commentRangeStart w:id="0"/>
            <w:r w:rsidRPr="00902FBB">
              <w:rPr>
                <w:rFonts w:ascii="Arial" w:eastAsia="Calibri" w:hAnsi="Arial" w:cs="Arial"/>
                <w:szCs w:val="22"/>
              </w:rPr>
              <w:t>Y2 × SM1 × SD2</w:t>
            </w:r>
            <w:commentRangeEnd w:id="0"/>
            <w:r w:rsidRPr="00902FBB">
              <w:rPr>
                <w:rStyle w:val="CommentReference"/>
                <w:rFonts w:ascii="Arial" w:hAnsi="Arial" w:cs="Arial"/>
                <w:lang w:val="nb-NO" w:eastAsia="nb-NO"/>
              </w:rPr>
              <w:commentReference w:id="0"/>
            </w:r>
            <w:r w:rsidRPr="00902FBB">
              <w:rPr>
                <w:rFonts w:ascii="Arial" w:eastAsia="Calibri" w:hAnsi="Arial" w:cs="Arial"/>
                <w:szCs w:val="22"/>
              </w:rPr>
              <w:t>) resulted in maximum fruit yield and vegetative growth.</w:t>
            </w:r>
          </w:p>
          <w:p w14:paraId="7E6DC6E9" w14:textId="77777777" w:rsidR="00EB5387" w:rsidRPr="00902FBB" w:rsidRDefault="00EB5387" w:rsidP="00B11E0C">
            <w:pPr>
              <w:pStyle w:val="Body"/>
              <w:spacing w:after="0"/>
              <w:rPr>
                <w:rFonts w:ascii="Arial" w:eastAsia="Calibri" w:hAnsi="Arial" w:cs="Arial"/>
                <w:szCs w:val="22"/>
              </w:rPr>
            </w:pPr>
            <w:r w:rsidRPr="00902FBB">
              <w:rPr>
                <w:rFonts w:ascii="Arial" w:eastAsia="Calibri" w:hAnsi="Arial" w:cs="Arial"/>
                <w:b/>
                <w:bCs/>
                <w:szCs w:val="22"/>
              </w:rPr>
              <w:t>Conclusion:</w:t>
            </w:r>
            <w:r w:rsidRPr="00902FBB">
              <w:rPr>
                <w:rFonts w:ascii="Arial" w:hAnsi="Arial" w:cs="Arial"/>
              </w:rPr>
              <w:t xml:space="preserve"> Aligning sowing method and planting date with seasonal conditions can significantly enhance pumpkin productivity in Sudan. The one-side sowing method and mid-November (14 November) planting are recommended for optimal yield. These findings support climate-responsive agronomic strategies for sustainable vegetable production in arid and semi-arid regions.</w:t>
            </w:r>
          </w:p>
          <w:p w14:paraId="5474CE81" w14:textId="77777777" w:rsidR="00EB5387" w:rsidRPr="00902FBB" w:rsidRDefault="00EB5387" w:rsidP="00B11E0C">
            <w:pPr>
              <w:pStyle w:val="Body"/>
              <w:spacing w:after="0"/>
              <w:rPr>
                <w:rFonts w:ascii="Arial" w:eastAsia="Calibri" w:hAnsi="Arial" w:cs="Arial"/>
                <w:szCs w:val="22"/>
              </w:rPr>
            </w:pPr>
          </w:p>
        </w:tc>
      </w:tr>
    </w:tbl>
    <w:p w14:paraId="7E9FCF35" w14:textId="77777777" w:rsidR="00EB5387" w:rsidRPr="00902FBB" w:rsidRDefault="00EB5387" w:rsidP="00EB5387">
      <w:pPr>
        <w:pStyle w:val="Body"/>
        <w:spacing w:after="0"/>
        <w:rPr>
          <w:rFonts w:ascii="Arial" w:hAnsi="Arial" w:cs="Arial"/>
          <w:i/>
        </w:rPr>
      </w:pPr>
    </w:p>
    <w:p w14:paraId="53DD2DBF" w14:textId="77777777" w:rsidR="00EB5387" w:rsidRPr="00902FBB" w:rsidRDefault="00EB5387" w:rsidP="00EB5387">
      <w:pPr>
        <w:pStyle w:val="Body"/>
        <w:spacing w:after="0"/>
        <w:rPr>
          <w:rFonts w:ascii="Arial" w:hAnsi="Arial" w:cs="Arial"/>
          <w:i/>
          <w:sz w:val="18"/>
        </w:rPr>
      </w:pPr>
      <w:r w:rsidRPr="00902FBB">
        <w:rPr>
          <w:rFonts w:ascii="Arial" w:hAnsi="Arial" w:cs="Arial"/>
          <w:b/>
          <w:bCs/>
          <w:i/>
        </w:rPr>
        <w:t>Keywords</w:t>
      </w:r>
      <w:r w:rsidRPr="00902FBB">
        <w:rPr>
          <w:rFonts w:ascii="Arial" w:hAnsi="Arial" w:cs="Arial"/>
          <w:i/>
        </w:rPr>
        <w:t xml:space="preserve">: </w:t>
      </w:r>
      <w:commentRangeStart w:id="1"/>
      <w:r w:rsidRPr="00902FBB">
        <w:rPr>
          <w:rFonts w:ascii="Arial" w:hAnsi="Arial" w:cs="Arial"/>
          <w:i/>
        </w:rPr>
        <w:t>Agronomic practices, Climatic variability</w:t>
      </w:r>
      <w:commentRangeEnd w:id="1"/>
      <w:r w:rsidRPr="00902FBB">
        <w:rPr>
          <w:rStyle w:val="CommentReference"/>
          <w:rFonts w:ascii="Arial" w:hAnsi="Arial" w:cs="Arial"/>
          <w:lang w:val="nb-NO" w:eastAsia="nb-NO"/>
        </w:rPr>
        <w:commentReference w:id="1"/>
      </w:r>
      <w:r w:rsidRPr="00902FBB">
        <w:rPr>
          <w:rFonts w:ascii="Arial" w:hAnsi="Arial" w:cs="Arial"/>
          <w:i/>
        </w:rPr>
        <w:t xml:space="preserve">, Cucurbita moschata, Planting date, Sowing method, Yield components </w:t>
      </w:r>
    </w:p>
    <w:p w14:paraId="6730DE36" w14:textId="77777777" w:rsidR="00EB5387" w:rsidRPr="00902FBB" w:rsidRDefault="00EB5387" w:rsidP="00EB5387">
      <w:pPr>
        <w:pStyle w:val="Body"/>
        <w:spacing w:after="0"/>
        <w:rPr>
          <w:rFonts w:ascii="Arial" w:hAnsi="Arial" w:cs="Arial"/>
          <w:i/>
          <w:sz w:val="18"/>
        </w:rPr>
      </w:pPr>
    </w:p>
    <w:p w14:paraId="58C9B80C" w14:textId="77777777" w:rsidR="00EB5387" w:rsidRPr="00902FBB" w:rsidRDefault="00EB5387" w:rsidP="00EB5387">
      <w:pPr>
        <w:pStyle w:val="Body"/>
        <w:spacing w:after="0"/>
        <w:rPr>
          <w:rFonts w:ascii="Arial" w:hAnsi="Arial" w:cs="Arial"/>
          <w:i/>
        </w:rPr>
      </w:pPr>
    </w:p>
    <w:p w14:paraId="7C8BE116" w14:textId="77777777" w:rsidR="00EB5387" w:rsidRPr="00902FBB" w:rsidRDefault="00EB5387" w:rsidP="00EB5387">
      <w:pPr>
        <w:pStyle w:val="Heading3"/>
        <w:keepNext w:val="0"/>
        <w:keepLines w:val="0"/>
        <w:numPr>
          <w:ilvl w:val="0"/>
          <w:numId w:val="1"/>
        </w:numPr>
        <w:tabs>
          <w:tab w:val="num" w:pos="360"/>
        </w:tabs>
        <w:spacing w:before="100" w:beforeAutospacing="1" w:after="100" w:afterAutospacing="1"/>
        <w:ind w:left="360" w:firstLine="0"/>
        <w:rPr>
          <w:rFonts w:ascii="Arial" w:hAnsi="Arial" w:cs="Arial"/>
          <w:color w:val="auto"/>
          <w:sz w:val="22"/>
          <w:szCs w:val="22"/>
        </w:rPr>
      </w:pPr>
      <w:r w:rsidRPr="00902FBB">
        <w:rPr>
          <w:rStyle w:val="Strong"/>
          <w:rFonts w:ascii="Arial" w:hAnsi="Arial" w:cs="Arial"/>
          <w:color w:val="auto"/>
          <w:sz w:val="22"/>
          <w:szCs w:val="22"/>
        </w:rPr>
        <w:t>INTRODUCTION</w:t>
      </w:r>
    </w:p>
    <w:p w14:paraId="1D46FDBC" w14:textId="77777777" w:rsidR="00EB5387" w:rsidRPr="00902FBB" w:rsidRDefault="00EB5387" w:rsidP="00EB5387">
      <w:pPr>
        <w:spacing w:before="100" w:beforeAutospacing="1" w:after="100" w:afterAutospacing="1"/>
        <w:jc w:val="both"/>
        <w:rPr>
          <w:rFonts w:ascii="Arial" w:hAnsi="Arial" w:cs="Arial"/>
          <w:sz w:val="22"/>
          <w:szCs w:val="22"/>
        </w:rPr>
      </w:pPr>
      <w:r w:rsidRPr="00902FBB">
        <w:rPr>
          <w:rFonts w:ascii="Arial" w:hAnsi="Arial" w:cs="Arial"/>
          <w:sz w:val="22"/>
          <w:szCs w:val="22"/>
        </w:rPr>
        <w:t>Pumpkin (</w:t>
      </w:r>
      <w:r w:rsidRPr="00902FBB">
        <w:rPr>
          <w:rFonts w:ascii="Arial" w:hAnsi="Arial" w:cs="Arial"/>
          <w:i/>
          <w:iCs/>
          <w:sz w:val="22"/>
          <w:szCs w:val="22"/>
        </w:rPr>
        <w:t>Cucurbita moschata</w:t>
      </w:r>
      <w:r w:rsidRPr="00902FBB">
        <w:rPr>
          <w:rFonts w:ascii="Arial" w:hAnsi="Arial" w:cs="Arial"/>
          <w:sz w:val="22"/>
          <w:szCs w:val="22"/>
        </w:rPr>
        <w:t xml:space="preserve"> Duch.) is a vital traditional vegetable crop in Sudan, appreciated for its nutritional value, culinary versatility, and adaptability to diverse </w:t>
      </w:r>
      <w:r w:rsidRPr="00902FBB">
        <w:rPr>
          <w:rFonts w:ascii="Arial" w:hAnsi="Arial" w:cs="Arial"/>
          <w:sz w:val="22"/>
          <w:szCs w:val="22"/>
        </w:rPr>
        <w:lastRenderedPageBreak/>
        <w:t xml:space="preserve">agro-ecological zones. It is widely consumed across the country in both savory and sweet dishes. Commonly, pumpkin is prepared with meat, sautéed onions, tomato sauce, and local spices, and is served with </w:t>
      </w:r>
      <w:r w:rsidRPr="00902FBB">
        <w:rPr>
          <w:rFonts w:ascii="Arial" w:hAnsi="Arial" w:cs="Arial"/>
          <w:i/>
          <w:iCs/>
          <w:sz w:val="22"/>
          <w:szCs w:val="22"/>
        </w:rPr>
        <w:t>kisra</w:t>
      </w:r>
      <w:r w:rsidRPr="00902FBB">
        <w:rPr>
          <w:rFonts w:ascii="Arial" w:hAnsi="Arial" w:cs="Arial"/>
          <w:sz w:val="22"/>
          <w:szCs w:val="22"/>
        </w:rPr>
        <w:t>—a fermented sorghum flatbread. It is also used in sweet preparations with sugar and milk, or as an ingredient in cakes and pastries, reflecting its integral role in Sudanese cuisine.</w:t>
      </w:r>
    </w:p>
    <w:p w14:paraId="4780C8C6" w14:textId="77777777" w:rsidR="00EB5387" w:rsidRPr="00902FBB" w:rsidRDefault="00EB5387" w:rsidP="00EB5387">
      <w:pPr>
        <w:spacing w:before="100" w:beforeAutospacing="1" w:after="100" w:afterAutospacing="1"/>
        <w:jc w:val="both"/>
        <w:rPr>
          <w:rFonts w:ascii="Arial" w:hAnsi="Arial" w:cs="Arial"/>
          <w:sz w:val="22"/>
          <w:szCs w:val="22"/>
        </w:rPr>
      </w:pPr>
      <w:r w:rsidRPr="00902FBB">
        <w:rPr>
          <w:rFonts w:ascii="Arial" w:hAnsi="Arial" w:cs="Arial"/>
          <w:sz w:val="22"/>
          <w:szCs w:val="22"/>
        </w:rPr>
        <w:t xml:space="preserve">The crop is cultivated across various regions in Sudan, including the Northern State, River Nile State, Blue Nile State and Gedaref—particularly in Al-Mafaza and Al-Hawata along the Rahad River, as well as  Kordofan State and Central State, which are identified </w:t>
      </w:r>
      <w:r w:rsidRPr="00902FBB">
        <w:rPr>
          <w:rStyle w:val="ng-star-inserted"/>
          <w:rFonts w:ascii="Arial" w:hAnsi="Arial" w:cs="Arial"/>
          <w:sz w:val="22"/>
          <w:szCs w:val="22"/>
        </w:rPr>
        <w:t xml:space="preserve"> as the most important production area for various pumpkin landraces. </w:t>
      </w:r>
      <w:r w:rsidRPr="00902FBB">
        <w:rPr>
          <w:rFonts w:ascii="Arial" w:hAnsi="Arial" w:cs="Arial"/>
          <w:sz w:val="22"/>
          <w:szCs w:val="22"/>
        </w:rPr>
        <w:t xml:space="preserve">These areas offer favorable conditions such as irrigated land, fertile alluvial soils, and supportive infrastructure, which collectively contribute to pumpkin's prominence in both local consumption and its potential in export markets. In 2020, Sudan produced 33,396 tons of pumpkin on 201 hectares (Ali </w:t>
      </w:r>
      <w:commentRangeStart w:id="2"/>
      <w:r w:rsidRPr="00902FBB">
        <w:rPr>
          <w:rFonts w:ascii="Arial" w:hAnsi="Arial" w:cs="Arial"/>
          <w:sz w:val="22"/>
          <w:szCs w:val="22"/>
        </w:rPr>
        <w:t>et al</w:t>
      </w:r>
      <w:commentRangeEnd w:id="2"/>
      <w:r w:rsidRPr="00902FBB">
        <w:rPr>
          <w:rStyle w:val="CommentReference"/>
          <w:rFonts w:ascii="Arial" w:hAnsi="Arial" w:cs="Arial"/>
          <w:lang w:val="nb-NO" w:eastAsia="nb-NO"/>
        </w:rPr>
        <w:commentReference w:id="2"/>
      </w:r>
      <w:r w:rsidRPr="00902FBB">
        <w:rPr>
          <w:rFonts w:ascii="Arial" w:hAnsi="Arial" w:cs="Arial"/>
          <w:sz w:val="22"/>
          <w:szCs w:val="22"/>
        </w:rPr>
        <w:t xml:space="preserve">., 2022; Hassan </w:t>
      </w:r>
      <w:commentRangeStart w:id="3"/>
      <w:r w:rsidRPr="00902FBB">
        <w:rPr>
          <w:rFonts w:ascii="Arial" w:hAnsi="Arial" w:cs="Arial"/>
          <w:sz w:val="22"/>
          <w:szCs w:val="22"/>
        </w:rPr>
        <w:t>et al</w:t>
      </w:r>
      <w:commentRangeEnd w:id="3"/>
      <w:r w:rsidRPr="00902FBB">
        <w:rPr>
          <w:rStyle w:val="CommentReference"/>
          <w:rFonts w:ascii="Arial" w:hAnsi="Arial" w:cs="Arial"/>
          <w:lang w:val="nb-NO" w:eastAsia="nb-NO"/>
        </w:rPr>
        <w:commentReference w:id="3"/>
      </w:r>
      <w:r w:rsidRPr="00902FBB">
        <w:rPr>
          <w:rFonts w:ascii="Arial" w:hAnsi="Arial" w:cs="Arial"/>
          <w:sz w:val="22"/>
          <w:szCs w:val="22"/>
        </w:rPr>
        <w:t>., 2024).</w:t>
      </w:r>
    </w:p>
    <w:p w14:paraId="32A3259A" w14:textId="77777777" w:rsidR="00EB5387" w:rsidRPr="00902FBB" w:rsidRDefault="00EB5387" w:rsidP="00EB5387">
      <w:pPr>
        <w:spacing w:before="100" w:beforeAutospacing="1" w:after="100" w:afterAutospacing="1"/>
        <w:jc w:val="both"/>
        <w:rPr>
          <w:rFonts w:ascii="Arial" w:hAnsi="Arial" w:cs="Arial"/>
          <w:sz w:val="22"/>
          <w:szCs w:val="22"/>
        </w:rPr>
      </w:pPr>
      <w:r w:rsidRPr="00902FBB">
        <w:rPr>
          <w:rStyle w:val="ng-star-inserted"/>
          <w:rFonts w:ascii="Arial" w:hAnsi="Arial" w:cs="Arial"/>
          <w:sz w:val="22"/>
          <w:szCs w:val="22"/>
        </w:rPr>
        <w:t xml:space="preserve">Despite its prevalence, there is </w:t>
      </w:r>
      <w:r w:rsidRPr="00902FBB">
        <w:rPr>
          <w:rStyle w:val="bold"/>
          <w:rFonts w:ascii="Arial" w:hAnsi="Arial" w:cs="Arial"/>
          <w:sz w:val="22"/>
          <w:szCs w:val="22"/>
        </w:rPr>
        <w:t>no improved cultivar</w:t>
      </w:r>
      <w:r w:rsidRPr="00902FBB">
        <w:rPr>
          <w:rStyle w:val="ng-star-inserted"/>
          <w:rFonts w:ascii="Arial" w:hAnsi="Arial" w:cs="Arial"/>
          <w:sz w:val="22"/>
          <w:szCs w:val="22"/>
        </w:rPr>
        <w:t xml:space="preserve"> for commercial cultivation in Sudan; production relies on local accessions and landraces</w:t>
      </w:r>
      <w:r w:rsidRPr="00902FBB">
        <w:rPr>
          <w:rFonts w:ascii="Arial" w:hAnsi="Arial" w:cs="Arial"/>
          <w:sz w:val="22"/>
          <w:szCs w:val="22"/>
        </w:rPr>
        <w:t xml:space="preserve">, referred to as </w:t>
      </w:r>
      <w:r w:rsidRPr="00902FBB">
        <w:rPr>
          <w:rFonts w:ascii="Arial" w:hAnsi="Arial" w:cs="Arial"/>
          <w:i/>
          <w:iCs/>
          <w:sz w:val="22"/>
          <w:szCs w:val="22"/>
        </w:rPr>
        <w:t>baladi</w:t>
      </w:r>
      <w:r w:rsidRPr="00902FBB">
        <w:rPr>
          <w:rFonts w:ascii="Arial" w:hAnsi="Arial" w:cs="Arial"/>
          <w:sz w:val="22"/>
          <w:szCs w:val="22"/>
        </w:rPr>
        <w:t xml:space="preserve"> varieties, which are typically named after their regions of origin. These </w:t>
      </w:r>
      <w:r w:rsidRPr="00902FBB">
        <w:rPr>
          <w:rFonts w:ascii="Arial" w:hAnsi="Arial" w:cs="Arial"/>
          <w:i/>
          <w:iCs/>
          <w:sz w:val="22"/>
          <w:szCs w:val="22"/>
        </w:rPr>
        <w:t>baladi</w:t>
      </w:r>
      <w:r w:rsidRPr="00902FBB">
        <w:rPr>
          <w:rFonts w:ascii="Arial" w:hAnsi="Arial" w:cs="Arial"/>
          <w:sz w:val="22"/>
          <w:szCs w:val="22"/>
        </w:rPr>
        <w:t xml:space="preserve"> types are noted for their resilience to pests, diseases, and suboptimal management conditions (Ulrich </w:t>
      </w:r>
      <w:commentRangeStart w:id="4"/>
      <w:r w:rsidRPr="00902FBB">
        <w:rPr>
          <w:rFonts w:ascii="Arial" w:hAnsi="Arial" w:cs="Arial"/>
          <w:sz w:val="22"/>
          <w:szCs w:val="22"/>
        </w:rPr>
        <w:t>et al</w:t>
      </w:r>
      <w:commentRangeEnd w:id="4"/>
      <w:r w:rsidRPr="00902FBB">
        <w:rPr>
          <w:rStyle w:val="CommentReference"/>
          <w:rFonts w:ascii="Arial" w:hAnsi="Arial" w:cs="Arial"/>
          <w:lang w:val="nb-NO" w:eastAsia="nb-NO"/>
        </w:rPr>
        <w:commentReference w:id="4"/>
      </w:r>
      <w:r w:rsidRPr="00902FBB">
        <w:rPr>
          <w:rFonts w:ascii="Arial" w:hAnsi="Arial" w:cs="Arial"/>
          <w:sz w:val="22"/>
          <w:szCs w:val="22"/>
        </w:rPr>
        <w:t>., 2022). Pumpkin cultivation is well-suited to Sudan’s winter cropping season, with optimal sowing occurring between October and November. The crop performs best in light sandy-loam soils, particularly those found in alluvial areas along riverbanks.</w:t>
      </w:r>
    </w:p>
    <w:p w14:paraId="37E65E56" w14:textId="77777777" w:rsidR="00EB5387" w:rsidRPr="00902FBB" w:rsidRDefault="00EB5387" w:rsidP="00EB5387">
      <w:pPr>
        <w:spacing w:before="100" w:beforeAutospacing="1" w:after="100" w:afterAutospacing="1"/>
        <w:jc w:val="both"/>
        <w:rPr>
          <w:rFonts w:ascii="Arial" w:hAnsi="Arial" w:cs="Arial"/>
          <w:sz w:val="22"/>
          <w:szCs w:val="22"/>
        </w:rPr>
      </w:pPr>
      <w:r w:rsidRPr="00902FBB">
        <w:rPr>
          <w:rFonts w:ascii="Arial" w:hAnsi="Arial" w:cs="Arial"/>
          <w:sz w:val="22"/>
          <w:szCs w:val="22"/>
        </w:rPr>
        <w:t>Pumpkin plays a critical role in food security, income generation, and sustainable farming systems in both semi-arid and irrigated zones such as Gezira, Sennar, North Kordofan, and Blue Nile States. Despite its wide distribution and socio-economic importance, productivity remains below potential due to suboptimal agronomic practices—especially sowing methods and planting dates that do not align with climatic suitability.</w:t>
      </w:r>
    </w:p>
    <w:p w14:paraId="1BBDD778" w14:textId="77777777" w:rsidR="00EB5387" w:rsidRPr="00902FBB" w:rsidRDefault="00EB5387" w:rsidP="00EB5387">
      <w:pPr>
        <w:spacing w:before="100" w:beforeAutospacing="1" w:after="100" w:afterAutospacing="1"/>
        <w:jc w:val="both"/>
        <w:rPr>
          <w:rFonts w:ascii="Arial" w:hAnsi="Arial" w:cs="Arial"/>
          <w:sz w:val="22"/>
          <w:szCs w:val="22"/>
        </w:rPr>
      </w:pPr>
      <w:r w:rsidRPr="00902FBB">
        <w:rPr>
          <w:rFonts w:ascii="Arial" w:hAnsi="Arial" w:cs="Arial"/>
          <w:sz w:val="22"/>
          <w:szCs w:val="22"/>
        </w:rPr>
        <w:t xml:space="preserve">Sowing method and planting date are key agronomic factors influencing pumpkin growth, development, and yield. The choice of sowing technique—flat sowing, ridging, or pit planting—affects root establishment, soil moisture dynamics, and nutrient availability. Likewise, the timing of planting must align with optimal environmental conditions, including temperature, rainfall, and photoperiod, to maximize phenological efficiency, particularly during flowering and fruit set (Oloyede &amp; Adebooye 2013; Sadia </w:t>
      </w:r>
      <w:commentRangeStart w:id="5"/>
      <w:r w:rsidRPr="00902FBB">
        <w:rPr>
          <w:rFonts w:ascii="Arial" w:hAnsi="Arial" w:cs="Arial"/>
          <w:sz w:val="22"/>
          <w:szCs w:val="22"/>
        </w:rPr>
        <w:t xml:space="preserve">et al.  2023; Kakoli et al., </w:t>
      </w:r>
      <w:commentRangeEnd w:id="5"/>
      <w:r w:rsidRPr="00902FBB">
        <w:rPr>
          <w:rStyle w:val="CommentReference"/>
          <w:rFonts w:ascii="Arial" w:hAnsi="Arial" w:cs="Arial"/>
          <w:lang w:val="nb-NO" w:eastAsia="nb-NO"/>
        </w:rPr>
        <w:commentReference w:id="5"/>
      </w:r>
      <w:r w:rsidRPr="00902FBB">
        <w:rPr>
          <w:rFonts w:ascii="Arial" w:hAnsi="Arial" w:cs="Arial"/>
          <w:sz w:val="22"/>
          <w:szCs w:val="22"/>
        </w:rPr>
        <w:t>2025). However, limited empirical research has examined these interactions in Sudan, resulting in a reliance on traditional practices and inconsistent yields.</w:t>
      </w:r>
    </w:p>
    <w:p w14:paraId="5CFFE258" w14:textId="77777777" w:rsidR="00EB5387" w:rsidRPr="00902FBB" w:rsidRDefault="00EB5387" w:rsidP="00EB5387">
      <w:pPr>
        <w:spacing w:before="100" w:beforeAutospacing="1" w:after="100" w:afterAutospacing="1"/>
        <w:jc w:val="both"/>
        <w:rPr>
          <w:rFonts w:ascii="Arial" w:hAnsi="Arial" w:cs="Arial"/>
          <w:sz w:val="22"/>
          <w:szCs w:val="22"/>
        </w:rPr>
      </w:pPr>
      <w:r w:rsidRPr="00902FBB">
        <w:rPr>
          <w:rFonts w:ascii="Arial" w:hAnsi="Arial" w:cs="Arial"/>
          <w:sz w:val="22"/>
          <w:szCs w:val="22"/>
        </w:rPr>
        <w:t>Globally, studies in tropical and subtropical climates have shown that optimized sowing and planting dates can enhance growth and  yield components such as fruit number, size, seed weight and protein  (</w:t>
      </w:r>
      <w:commentRangeStart w:id="6"/>
      <w:r w:rsidRPr="00902FBB">
        <w:rPr>
          <w:rFonts w:ascii="Arial" w:hAnsi="Arial" w:cs="Arial"/>
          <w:sz w:val="22"/>
          <w:szCs w:val="22"/>
        </w:rPr>
        <w:t>Latifi,  et al.,  2012; Oloyede &amp; Adebooye  2013; Sawale et al., 2022; Sadia  et al., 2023</w:t>
      </w:r>
      <w:commentRangeEnd w:id="6"/>
      <w:r w:rsidRPr="00902FBB">
        <w:rPr>
          <w:rStyle w:val="CommentReference"/>
          <w:rFonts w:ascii="Arial" w:hAnsi="Arial" w:cs="Arial"/>
          <w:lang w:val="nb-NO" w:eastAsia="nb-NO"/>
        </w:rPr>
        <w:commentReference w:id="6"/>
      </w:r>
      <w:r w:rsidRPr="00902FBB">
        <w:rPr>
          <w:rFonts w:ascii="Arial" w:hAnsi="Arial" w:cs="Arial"/>
          <w:sz w:val="22"/>
          <w:szCs w:val="22"/>
        </w:rPr>
        <w:t>). Therefore, identifying agronomic practices tailored to Sudanese conditions is crucial for achieving higher productivity and more sustainable pumpkin farming.</w:t>
      </w:r>
    </w:p>
    <w:p w14:paraId="5F9B3C4F" w14:textId="77777777" w:rsidR="00EB5387" w:rsidRPr="00902FBB" w:rsidRDefault="00EB5387" w:rsidP="00EB5387">
      <w:pPr>
        <w:spacing w:before="100" w:beforeAutospacing="1" w:after="100" w:afterAutospacing="1"/>
        <w:jc w:val="both"/>
        <w:rPr>
          <w:rFonts w:ascii="Arial" w:hAnsi="Arial" w:cs="Arial"/>
          <w:sz w:val="22"/>
          <w:szCs w:val="22"/>
        </w:rPr>
      </w:pPr>
      <w:r w:rsidRPr="00902FBB">
        <w:rPr>
          <w:rFonts w:ascii="Arial" w:hAnsi="Arial" w:cs="Arial"/>
          <w:sz w:val="22"/>
          <w:szCs w:val="22"/>
        </w:rPr>
        <w:lastRenderedPageBreak/>
        <w:t xml:space="preserve">This study aims to investigate the effects of different sowing methods and planting dates on the growth and yield components of </w:t>
      </w:r>
      <w:r w:rsidRPr="00902FBB">
        <w:rPr>
          <w:rFonts w:ascii="Arial" w:hAnsi="Arial" w:cs="Arial"/>
          <w:i/>
          <w:iCs/>
          <w:sz w:val="22"/>
          <w:szCs w:val="22"/>
        </w:rPr>
        <w:t>Cucurbita moschata</w:t>
      </w:r>
      <w:r w:rsidRPr="00902FBB">
        <w:rPr>
          <w:rFonts w:ascii="Arial" w:hAnsi="Arial" w:cs="Arial"/>
          <w:sz w:val="22"/>
          <w:szCs w:val="22"/>
        </w:rPr>
        <w:t xml:space="preserve"> under Sudanese agro-climatic conditions. This research provides location-specific recommendations to enhance farm profitability and guide agricultural extension</w:t>
      </w:r>
    </w:p>
    <w:p w14:paraId="61658394" w14:textId="77777777" w:rsidR="00EB5387" w:rsidRPr="00902FBB" w:rsidRDefault="00EB5387" w:rsidP="00EB5387">
      <w:pPr>
        <w:pStyle w:val="ListParagraph"/>
        <w:numPr>
          <w:ilvl w:val="0"/>
          <w:numId w:val="1"/>
        </w:numPr>
        <w:spacing w:before="100" w:beforeAutospacing="1" w:after="100" w:afterAutospacing="1"/>
        <w:ind w:left="360"/>
        <w:jc w:val="both"/>
        <w:rPr>
          <w:rFonts w:ascii="Arial" w:hAnsi="Arial" w:cs="Arial"/>
          <w:b/>
          <w:bCs/>
        </w:rPr>
      </w:pPr>
      <w:r w:rsidRPr="00902FBB">
        <w:rPr>
          <w:rFonts w:ascii="Arial" w:hAnsi="Arial" w:cs="Arial"/>
          <w:b/>
          <w:bCs/>
        </w:rPr>
        <w:t>MATERIALS AND METHODS</w:t>
      </w:r>
    </w:p>
    <w:p w14:paraId="0E75BFA7" w14:textId="77777777" w:rsidR="00EB5387" w:rsidRPr="00902FBB" w:rsidRDefault="00EB5387" w:rsidP="00EB5387">
      <w:pPr>
        <w:jc w:val="both"/>
        <w:rPr>
          <w:rFonts w:ascii="Arial" w:hAnsi="Arial" w:cs="Arial"/>
          <w:color w:val="0E101A"/>
          <w:sz w:val="22"/>
          <w:szCs w:val="22"/>
        </w:rPr>
      </w:pPr>
      <w:r w:rsidRPr="00902FBB">
        <w:rPr>
          <w:rFonts w:ascii="Arial" w:hAnsi="Arial" w:cs="Arial"/>
          <w:b/>
          <w:bCs/>
          <w:color w:val="0E101A"/>
          <w:sz w:val="22"/>
          <w:szCs w:val="22"/>
        </w:rPr>
        <w:t>2.1 Experimental Site</w:t>
      </w:r>
    </w:p>
    <w:p w14:paraId="564618F2" w14:textId="77777777" w:rsidR="00EB5387" w:rsidRPr="00902FBB" w:rsidRDefault="00EB5387" w:rsidP="00EB5387">
      <w:pPr>
        <w:jc w:val="both"/>
        <w:rPr>
          <w:rFonts w:ascii="Arial" w:hAnsi="Arial" w:cs="Arial"/>
          <w:color w:val="0E101A"/>
          <w:sz w:val="22"/>
          <w:szCs w:val="22"/>
        </w:rPr>
      </w:pPr>
      <w:r w:rsidRPr="00902FBB">
        <w:rPr>
          <w:rFonts w:ascii="Arial" w:hAnsi="Arial" w:cs="Arial"/>
          <w:color w:val="0E101A"/>
          <w:sz w:val="22"/>
          <w:szCs w:val="22"/>
        </w:rPr>
        <w:t xml:space="preserve">The study was conducted at the Al-Hudeiba Agricultural Research Station, located in the city of El-Damer, River Nile State, Sudan. This research station is part of the National Agricultural Research Corporation network and specializes in Nile Valley agriculture. The site is classified with a hot desert climate (BWh), with temperatures typically ranging from 23 °C to 36 °C throughout the year. However, temperatures can occasionally drop to 8 °C or rise as high as 46 °C. The average annual precipitation is approximately 34 mm, with only five rainy days each year exceeding the 1 mm threshold. </w:t>
      </w:r>
    </w:p>
    <w:p w14:paraId="5A37ED5B" w14:textId="77777777" w:rsidR="00EB5387" w:rsidRPr="00902FBB" w:rsidRDefault="00EB5387" w:rsidP="00EB5387">
      <w:pPr>
        <w:jc w:val="both"/>
        <w:rPr>
          <w:rFonts w:ascii="Arial" w:hAnsi="Arial" w:cs="Arial"/>
          <w:color w:val="0E101A"/>
          <w:sz w:val="22"/>
          <w:szCs w:val="22"/>
        </w:rPr>
      </w:pPr>
      <w:r w:rsidRPr="00902FBB">
        <w:rPr>
          <w:rFonts w:ascii="Arial" w:hAnsi="Arial" w:cs="Arial"/>
          <w:b/>
          <w:bCs/>
          <w:color w:val="0E101A"/>
          <w:sz w:val="22"/>
          <w:szCs w:val="22"/>
        </w:rPr>
        <w:t>2.2 Experimental Design</w:t>
      </w:r>
    </w:p>
    <w:p w14:paraId="2E99960D" w14:textId="77777777" w:rsidR="00EB5387" w:rsidRPr="00902FBB" w:rsidRDefault="00EB5387" w:rsidP="00EB5387">
      <w:pPr>
        <w:jc w:val="both"/>
        <w:rPr>
          <w:rFonts w:ascii="Arial" w:hAnsi="Arial" w:cs="Arial"/>
          <w:color w:val="0E101A"/>
          <w:sz w:val="22"/>
          <w:szCs w:val="22"/>
        </w:rPr>
      </w:pPr>
      <w:r w:rsidRPr="00902FBB">
        <w:rPr>
          <w:rFonts w:ascii="Arial" w:hAnsi="Arial" w:cs="Arial"/>
          <w:color w:val="0E101A"/>
          <w:sz w:val="22"/>
          <w:szCs w:val="22"/>
        </w:rPr>
        <w:t xml:space="preserve"> The experiment was conducted using a factorial arrangement in a Randomized Complete Block Design (RCBD) with four replications. The study included three factors: Season (A), Sowing Method (B), and Sowing Date (C). Factor A, Season, had two levels corresponding to two winter growing seasons—2019–2020 and 2020–2021—each extending from November to April. Factor B, the Sowing Method, included two levels: SM1 (one-side sowing method) and SM2 (two-side sowing method). Factor C, Sowing Date, comprised three levels: 4 November, 14 November, and 24 November. The 12 treatment combinations resulting from the factorial arrangement (2 × 2 × 3) were randomly allocated within each of the four blocks, resulting in a total of 48 experimental units. </w:t>
      </w:r>
    </w:p>
    <w:p w14:paraId="551E29F8" w14:textId="77777777" w:rsidR="00EB5387" w:rsidRPr="00902FBB" w:rsidRDefault="00EB5387" w:rsidP="00EB5387">
      <w:pPr>
        <w:jc w:val="both"/>
        <w:rPr>
          <w:rFonts w:ascii="Arial" w:hAnsi="Arial" w:cs="Arial"/>
          <w:sz w:val="22"/>
          <w:szCs w:val="22"/>
        </w:rPr>
      </w:pPr>
      <w:r w:rsidRPr="00902FBB">
        <w:rPr>
          <w:rFonts w:ascii="Arial" w:hAnsi="Arial" w:cs="Arial"/>
          <w:sz w:val="22"/>
          <w:szCs w:val="22"/>
        </w:rPr>
        <w:t xml:space="preserve">Each experimental unit measures five by five meters and contains two raised beds, each 2.5 meters wide and five meters long. Planting took place on specified dates during both the 2019 and 2020 growing seasons. A local cultivar of </w:t>
      </w:r>
      <w:r w:rsidRPr="00902FBB">
        <w:rPr>
          <w:rFonts w:ascii="Arial" w:hAnsi="Arial" w:cs="Arial"/>
          <w:i/>
          <w:iCs/>
          <w:sz w:val="22"/>
          <w:szCs w:val="22"/>
        </w:rPr>
        <w:t>Cucurbita moschata</w:t>
      </w:r>
      <w:r w:rsidRPr="00902FBB">
        <w:rPr>
          <w:rFonts w:ascii="Arial" w:hAnsi="Arial" w:cs="Arial"/>
          <w:sz w:val="22"/>
          <w:szCs w:val="22"/>
        </w:rPr>
        <w:t xml:space="preserve"> , commonly grown in the region, was used. The seeds were hand-sown to a depth of 5 cm, with three seeds planted per hill, which were later thinned to one healthy plant at the two-leaf stage. During land preparation, cured manure was applied two weeks before planting at a rate of five tons per hectare and incorporated during the rotavation process. Phosphorus was supplied in advance using triple super phosphate (TSP) at a rate of 50 kg per hectare to promote strong root development and early plant establishment. Nitrogen was later provided through urea (46% N), applied at a total rate of 90 kg per hectare, split into two equal applications; the first was applied three weeks after sowing to support vegetative growth, and the remaining half was applied at the flowering stage to sustain plant </w:t>
      </w:r>
      <w:r w:rsidRPr="00902FBB">
        <w:rPr>
          <w:rFonts w:ascii="Arial" w:hAnsi="Arial" w:cs="Arial"/>
        </w:rPr>
        <w:t>vigour</w:t>
      </w:r>
      <w:r w:rsidRPr="00902FBB">
        <w:rPr>
          <w:rFonts w:ascii="Arial" w:hAnsi="Arial" w:cs="Arial"/>
          <w:sz w:val="22"/>
          <w:szCs w:val="22"/>
        </w:rPr>
        <w:t xml:space="preserve"> and fruit development.</w:t>
      </w:r>
    </w:p>
    <w:p w14:paraId="013CE03F" w14:textId="77777777" w:rsidR="00EB5387" w:rsidRPr="00902FBB" w:rsidRDefault="00EB5387" w:rsidP="00EB5387">
      <w:pPr>
        <w:jc w:val="both"/>
        <w:rPr>
          <w:rFonts w:ascii="Arial" w:hAnsi="Arial" w:cs="Arial"/>
          <w:sz w:val="22"/>
          <w:szCs w:val="22"/>
        </w:rPr>
      </w:pPr>
    </w:p>
    <w:p w14:paraId="17737980" w14:textId="77777777" w:rsidR="00EB5387" w:rsidRPr="00902FBB" w:rsidRDefault="00EB5387" w:rsidP="00EB5387">
      <w:pPr>
        <w:jc w:val="both"/>
        <w:rPr>
          <w:rFonts w:ascii="Arial" w:hAnsi="Arial" w:cs="Arial"/>
          <w:color w:val="0E101A"/>
          <w:sz w:val="22"/>
          <w:szCs w:val="22"/>
        </w:rPr>
      </w:pPr>
      <w:r w:rsidRPr="00902FBB">
        <w:rPr>
          <w:rFonts w:ascii="Arial" w:hAnsi="Arial" w:cs="Arial"/>
          <w:b/>
          <w:bCs/>
          <w:color w:val="0E101A"/>
          <w:sz w:val="22"/>
          <w:szCs w:val="22"/>
        </w:rPr>
        <w:t xml:space="preserve">2.3 Data collection &amp; statistical analysis </w:t>
      </w:r>
    </w:p>
    <w:p w14:paraId="4408E836" w14:textId="77777777" w:rsidR="00EB5387" w:rsidRPr="00902FBB" w:rsidRDefault="00EB5387" w:rsidP="00EB5387">
      <w:pPr>
        <w:jc w:val="both"/>
        <w:rPr>
          <w:rFonts w:ascii="Arial" w:hAnsi="Arial" w:cs="Arial"/>
          <w:color w:val="0E101A"/>
          <w:sz w:val="22"/>
          <w:szCs w:val="22"/>
        </w:rPr>
      </w:pPr>
      <w:r w:rsidRPr="00902FBB">
        <w:rPr>
          <w:rFonts w:ascii="Arial" w:hAnsi="Arial" w:cs="Arial"/>
          <w:color w:val="0E101A"/>
          <w:sz w:val="22"/>
          <w:szCs w:val="22"/>
        </w:rPr>
        <w:t xml:space="preserve">Data were collected on six traits including, the number of lateral branches, number of leaves per plant, number of flowers per plant, fruit set per cent, number of fruits per plant and fruit yield per plant (kg).  The experiment was conducted using a factorial arrangement and the results were subjected to analysis of variance (ANOVA) to evaluate the main and interaction effects of the studied factors as detailed in Singh and Chaudhary (1987). Statistical analysis was done using GRAPES 1.1.0, online software developed by Gopinath </w:t>
      </w:r>
      <w:commentRangeStart w:id="7"/>
      <w:r w:rsidRPr="00902FBB">
        <w:rPr>
          <w:rFonts w:ascii="Arial" w:hAnsi="Arial" w:cs="Arial"/>
          <w:color w:val="0E101A"/>
          <w:sz w:val="22"/>
          <w:szCs w:val="22"/>
        </w:rPr>
        <w:t>et al</w:t>
      </w:r>
      <w:commentRangeEnd w:id="7"/>
      <w:r w:rsidRPr="00902FBB">
        <w:rPr>
          <w:rStyle w:val="CommentReference"/>
          <w:rFonts w:ascii="Arial" w:hAnsi="Arial" w:cs="Arial"/>
          <w:lang w:val="nb-NO" w:eastAsia="nb-NO"/>
        </w:rPr>
        <w:commentReference w:id="7"/>
      </w:r>
      <w:r w:rsidRPr="00902FBB">
        <w:rPr>
          <w:rFonts w:ascii="Arial" w:hAnsi="Arial" w:cs="Arial"/>
          <w:color w:val="0E101A"/>
          <w:sz w:val="22"/>
          <w:szCs w:val="22"/>
        </w:rPr>
        <w:t xml:space="preserve">., (2021), to test the significance of main effects </w:t>
      </w:r>
      <w:r w:rsidRPr="00902FBB">
        <w:rPr>
          <w:rFonts w:ascii="Arial" w:hAnsi="Arial" w:cs="Arial"/>
          <w:color w:val="0E101A"/>
          <w:sz w:val="22"/>
          <w:szCs w:val="22"/>
        </w:rPr>
        <w:lastRenderedPageBreak/>
        <w:t>(Years, sowing method and sowing date) and their interactions. Means were separated using Least Significant Difference (LSD) at the 5% probability level.   </w:t>
      </w:r>
    </w:p>
    <w:p w14:paraId="24C13440" w14:textId="77777777" w:rsidR="00EB5387" w:rsidRPr="00902FBB" w:rsidRDefault="00EB5387" w:rsidP="00EB5387">
      <w:pPr>
        <w:pStyle w:val="ListParagraph"/>
        <w:numPr>
          <w:ilvl w:val="0"/>
          <w:numId w:val="1"/>
        </w:numPr>
        <w:spacing w:before="100" w:beforeAutospacing="1" w:after="100" w:afterAutospacing="1"/>
        <w:ind w:left="360"/>
        <w:jc w:val="both"/>
        <w:rPr>
          <w:rFonts w:ascii="Arial" w:hAnsi="Arial" w:cs="Arial"/>
          <w:b/>
          <w:bCs/>
          <w:color w:val="0E101A"/>
        </w:rPr>
      </w:pPr>
      <w:r w:rsidRPr="00902FBB">
        <w:rPr>
          <w:rFonts w:ascii="Arial" w:hAnsi="Arial" w:cs="Arial"/>
          <w:b/>
          <w:bCs/>
          <w:color w:val="0E101A"/>
        </w:rPr>
        <w:t xml:space="preserve">RESULTS AND DISCUSSION </w:t>
      </w:r>
    </w:p>
    <w:p w14:paraId="22FE4821" w14:textId="77777777" w:rsidR="00EB5387" w:rsidRPr="00902FBB" w:rsidRDefault="00EB5387" w:rsidP="00EB5387">
      <w:pPr>
        <w:jc w:val="both"/>
        <w:rPr>
          <w:rFonts w:ascii="Arial" w:hAnsi="Arial" w:cs="Arial"/>
          <w:sz w:val="22"/>
          <w:szCs w:val="22"/>
        </w:rPr>
      </w:pPr>
      <w:r w:rsidRPr="00902FBB">
        <w:rPr>
          <w:rFonts w:ascii="Arial" w:hAnsi="Arial" w:cs="Arial"/>
          <w:sz w:val="22"/>
          <w:szCs w:val="22"/>
        </w:rPr>
        <w:t>The climatological data for the two seasons, along with the deviation of the 2020-2021 season from the 2019-2020 season, are recorded in Table 1 and Figure 1, respectively. The analysis of variance (ANOVA) presented in Table 2 shows the mean square values for key growth and yield traits of pumpkin (</w:t>
      </w:r>
      <w:r w:rsidRPr="00902FBB">
        <w:rPr>
          <w:rStyle w:val="Emphasis"/>
          <w:rFonts w:ascii="Arial" w:hAnsi="Arial" w:cs="Arial"/>
          <w:color w:val="0E101A"/>
          <w:sz w:val="22"/>
          <w:szCs w:val="22"/>
        </w:rPr>
        <w:t>Cucurbita spp</w:t>
      </w:r>
      <w:r w:rsidRPr="00902FBB">
        <w:rPr>
          <w:rFonts w:ascii="Arial" w:hAnsi="Arial" w:cs="Arial"/>
          <w:sz w:val="22"/>
          <w:szCs w:val="22"/>
        </w:rPr>
        <w:t xml:space="preserve">.), influenced by year (Y), sowing method (SM), sowing date (SD), and their interactions. The mean performance across different factors and their interaction were assessed for statistical significance and presented in Table 3a and 3b respectively. </w:t>
      </w:r>
    </w:p>
    <w:p w14:paraId="1021DB67" w14:textId="77777777" w:rsidR="00EB5387" w:rsidRPr="00902FBB" w:rsidRDefault="00EB5387" w:rsidP="00EB5387">
      <w:pPr>
        <w:jc w:val="both"/>
        <w:rPr>
          <w:rFonts w:ascii="Arial" w:hAnsi="Arial" w:cs="Arial"/>
          <w:sz w:val="22"/>
          <w:szCs w:val="22"/>
        </w:rPr>
      </w:pPr>
    </w:p>
    <w:p w14:paraId="7DEAC7D8" w14:textId="77777777" w:rsidR="00EB5387" w:rsidRPr="00902FBB" w:rsidRDefault="00EB5387" w:rsidP="00EB5387">
      <w:pPr>
        <w:rPr>
          <w:rFonts w:ascii="Arial" w:hAnsi="Arial" w:cs="Arial"/>
          <w:b/>
          <w:bCs/>
          <w:sz w:val="22"/>
          <w:szCs w:val="22"/>
        </w:rPr>
      </w:pPr>
    </w:p>
    <w:p w14:paraId="3301A9F9" w14:textId="77777777" w:rsidR="00EB5387" w:rsidRPr="00902FBB" w:rsidRDefault="00EB5387" w:rsidP="00EB5387">
      <w:pPr>
        <w:jc w:val="center"/>
        <w:rPr>
          <w:rFonts w:ascii="Arial" w:hAnsi="Arial" w:cs="Arial"/>
          <w:b/>
          <w:bCs/>
          <w:sz w:val="22"/>
          <w:szCs w:val="22"/>
        </w:rPr>
      </w:pPr>
      <w:r w:rsidRPr="00902FBB">
        <w:rPr>
          <w:rFonts w:ascii="Arial" w:hAnsi="Arial" w:cs="Arial"/>
          <w:b/>
          <w:bCs/>
          <w:sz w:val="22"/>
          <w:szCs w:val="22"/>
        </w:rPr>
        <w:t>Table 1. Monthly Climatological Parameters for Atbara–Damar, River Nile State, Sudan (November 2019 – April 2021)</w:t>
      </w:r>
    </w:p>
    <w:p w14:paraId="61E27CB6" w14:textId="77777777" w:rsidR="00EB5387" w:rsidRPr="00902FBB" w:rsidRDefault="00EB5387" w:rsidP="00EB5387">
      <w:pPr>
        <w:rPr>
          <w:rFonts w:ascii="Arial" w:hAnsi="Arial" w:cs="Arial"/>
          <w:b/>
          <w:bCs/>
          <w:sz w:val="22"/>
          <w:szCs w:val="22"/>
        </w:rPr>
      </w:pPr>
    </w:p>
    <w:tbl>
      <w:tblPr>
        <w:tblW w:w="8240" w:type="dxa"/>
        <w:jc w:val="center"/>
        <w:tblLook w:val="04A0" w:firstRow="1" w:lastRow="0" w:firstColumn="1" w:lastColumn="0" w:noHBand="0" w:noVBand="1"/>
      </w:tblPr>
      <w:tblGrid>
        <w:gridCol w:w="1420"/>
        <w:gridCol w:w="1969"/>
        <w:gridCol w:w="960"/>
        <w:gridCol w:w="960"/>
        <w:gridCol w:w="960"/>
        <w:gridCol w:w="1011"/>
        <w:gridCol w:w="960"/>
      </w:tblGrid>
      <w:tr w:rsidR="00EB5387" w:rsidRPr="00902FBB" w14:paraId="6E6C1902" w14:textId="77777777" w:rsidTr="00B11E0C">
        <w:trPr>
          <w:trHeight w:val="870"/>
          <w:jc w:val="center"/>
        </w:trPr>
        <w:tc>
          <w:tcPr>
            <w:tcW w:w="1420" w:type="dxa"/>
            <w:tcBorders>
              <w:top w:val="single" w:sz="4" w:space="0" w:color="auto"/>
              <w:bottom w:val="single" w:sz="4" w:space="0" w:color="auto"/>
            </w:tcBorders>
            <w:shd w:val="clear" w:color="auto" w:fill="auto"/>
            <w:vAlign w:val="center"/>
            <w:hideMark/>
          </w:tcPr>
          <w:p w14:paraId="48D7485B"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Year</w:t>
            </w:r>
          </w:p>
        </w:tc>
        <w:tc>
          <w:tcPr>
            <w:tcW w:w="2020" w:type="dxa"/>
            <w:tcBorders>
              <w:top w:val="single" w:sz="4" w:space="0" w:color="auto"/>
              <w:bottom w:val="single" w:sz="4" w:space="0" w:color="auto"/>
            </w:tcBorders>
            <w:shd w:val="clear" w:color="auto" w:fill="auto"/>
            <w:vAlign w:val="center"/>
            <w:hideMark/>
          </w:tcPr>
          <w:p w14:paraId="05FF96AA"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Month</w:t>
            </w:r>
          </w:p>
        </w:tc>
        <w:tc>
          <w:tcPr>
            <w:tcW w:w="960" w:type="dxa"/>
            <w:tcBorders>
              <w:top w:val="single" w:sz="4" w:space="0" w:color="auto"/>
              <w:bottom w:val="single" w:sz="4" w:space="0" w:color="auto"/>
            </w:tcBorders>
            <w:shd w:val="clear" w:color="auto" w:fill="auto"/>
            <w:vAlign w:val="center"/>
            <w:hideMark/>
          </w:tcPr>
          <w:p w14:paraId="3943B5CD"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Mean Temp (°C)</w:t>
            </w:r>
          </w:p>
        </w:tc>
        <w:tc>
          <w:tcPr>
            <w:tcW w:w="960" w:type="dxa"/>
            <w:tcBorders>
              <w:top w:val="single" w:sz="4" w:space="0" w:color="auto"/>
              <w:bottom w:val="single" w:sz="4" w:space="0" w:color="auto"/>
            </w:tcBorders>
            <w:shd w:val="clear" w:color="auto" w:fill="auto"/>
            <w:vAlign w:val="center"/>
            <w:hideMark/>
          </w:tcPr>
          <w:p w14:paraId="75A23C3B"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Min Temp (°C)</w:t>
            </w:r>
          </w:p>
        </w:tc>
        <w:tc>
          <w:tcPr>
            <w:tcW w:w="960" w:type="dxa"/>
            <w:tcBorders>
              <w:top w:val="single" w:sz="4" w:space="0" w:color="auto"/>
              <w:bottom w:val="single" w:sz="4" w:space="0" w:color="auto"/>
            </w:tcBorders>
            <w:shd w:val="clear" w:color="auto" w:fill="auto"/>
            <w:vAlign w:val="center"/>
            <w:hideMark/>
          </w:tcPr>
          <w:p w14:paraId="6BED9D90"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Max Temp (°C)</w:t>
            </w:r>
          </w:p>
        </w:tc>
        <w:tc>
          <w:tcPr>
            <w:tcW w:w="960" w:type="dxa"/>
            <w:tcBorders>
              <w:top w:val="single" w:sz="4" w:space="0" w:color="auto"/>
              <w:bottom w:val="single" w:sz="4" w:space="0" w:color="auto"/>
            </w:tcBorders>
            <w:shd w:val="clear" w:color="auto" w:fill="auto"/>
            <w:vAlign w:val="center"/>
            <w:hideMark/>
          </w:tcPr>
          <w:p w14:paraId="15C2A084"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Rainfall (mm)</w:t>
            </w:r>
          </w:p>
        </w:tc>
        <w:tc>
          <w:tcPr>
            <w:tcW w:w="960" w:type="dxa"/>
            <w:tcBorders>
              <w:top w:val="single" w:sz="4" w:space="0" w:color="auto"/>
              <w:bottom w:val="single" w:sz="4" w:space="0" w:color="auto"/>
            </w:tcBorders>
            <w:shd w:val="clear" w:color="auto" w:fill="auto"/>
            <w:vAlign w:val="center"/>
            <w:hideMark/>
          </w:tcPr>
          <w:p w14:paraId="66949D86"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RH (%)</w:t>
            </w:r>
          </w:p>
        </w:tc>
      </w:tr>
      <w:tr w:rsidR="00EB5387" w:rsidRPr="00902FBB" w14:paraId="2650A6DB" w14:textId="77777777" w:rsidTr="00B11E0C">
        <w:trPr>
          <w:trHeight w:val="144"/>
          <w:jc w:val="center"/>
        </w:trPr>
        <w:tc>
          <w:tcPr>
            <w:tcW w:w="1420" w:type="dxa"/>
            <w:vMerge w:val="restart"/>
            <w:tcBorders>
              <w:top w:val="single" w:sz="4" w:space="0" w:color="auto"/>
            </w:tcBorders>
            <w:shd w:val="clear" w:color="auto" w:fill="auto"/>
            <w:noWrap/>
            <w:vAlign w:val="center"/>
            <w:hideMark/>
          </w:tcPr>
          <w:p w14:paraId="4408612E"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2019-2020</w:t>
            </w:r>
          </w:p>
        </w:tc>
        <w:tc>
          <w:tcPr>
            <w:tcW w:w="2020" w:type="dxa"/>
            <w:tcBorders>
              <w:top w:val="single" w:sz="4" w:space="0" w:color="auto"/>
            </w:tcBorders>
            <w:shd w:val="clear" w:color="auto" w:fill="auto"/>
            <w:vAlign w:val="center"/>
            <w:hideMark/>
          </w:tcPr>
          <w:p w14:paraId="1084FA81"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Nov</w:t>
            </w:r>
          </w:p>
        </w:tc>
        <w:tc>
          <w:tcPr>
            <w:tcW w:w="960" w:type="dxa"/>
            <w:tcBorders>
              <w:top w:val="single" w:sz="4" w:space="0" w:color="auto"/>
            </w:tcBorders>
            <w:shd w:val="clear" w:color="auto" w:fill="auto"/>
            <w:noWrap/>
            <w:vAlign w:val="center"/>
            <w:hideMark/>
          </w:tcPr>
          <w:p w14:paraId="588AE3B4"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23.0</w:t>
            </w:r>
          </w:p>
        </w:tc>
        <w:tc>
          <w:tcPr>
            <w:tcW w:w="960" w:type="dxa"/>
            <w:tcBorders>
              <w:top w:val="single" w:sz="4" w:space="0" w:color="auto"/>
            </w:tcBorders>
            <w:shd w:val="clear" w:color="auto" w:fill="auto"/>
            <w:noWrap/>
            <w:vAlign w:val="center"/>
            <w:hideMark/>
          </w:tcPr>
          <w:p w14:paraId="634E5D1C"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20.1</w:t>
            </w:r>
          </w:p>
        </w:tc>
        <w:tc>
          <w:tcPr>
            <w:tcW w:w="960" w:type="dxa"/>
            <w:tcBorders>
              <w:top w:val="single" w:sz="4" w:space="0" w:color="auto"/>
            </w:tcBorders>
            <w:shd w:val="clear" w:color="auto" w:fill="auto"/>
            <w:noWrap/>
            <w:vAlign w:val="center"/>
            <w:hideMark/>
          </w:tcPr>
          <w:p w14:paraId="5056EA84"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35.0</w:t>
            </w:r>
          </w:p>
        </w:tc>
        <w:tc>
          <w:tcPr>
            <w:tcW w:w="960" w:type="dxa"/>
            <w:tcBorders>
              <w:top w:val="single" w:sz="4" w:space="0" w:color="auto"/>
            </w:tcBorders>
            <w:shd w:val="clear" w:color="auto" w:fill="auto"/>
            <w:noWrap/>
            <w:vAlign w:val="center"/>
            <w:hideMark/>
          </w:tcPr>
          <w:p w14:paraId="316FA0A5"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0.0</w:t>
            </w:r>
          </w:p>
        </w:tc>
        <w:tc>
          <w:tcPr>
            <w:tcW w:w="960" w:type="dxa"/>
            <w:tcBorders>
              <w:top w:val="single" w:sz="4" w:space="0" w:color="auto"/>
            </w:tcBorders>
            <w:shd w:val="clear" w:color="auto" w:fill="auto"/>
            <w:noWrap/>
            <w:vAlign w:val="center"/>
            <w:hideMark/>
          </w:tcPr>
          <w:p w14:paraId="2272B9DA"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36.0</w:t>
            </w:r>
          </w:p>
        </w:tc>
      </w:tr>
      <w:tr w:rsidR="00EB5387" w:rsidRPr="00902FBB" w14:paraId="5368D2BF" w14:textId="77777777" w:rsidTr="00B11E0C">
        <w:trPr>
          <w:trHeight w:val="144"/>
          <w:jc w:val="center"/>
        </w:trPr>
        <w:tc>
          <w:tcPr>
            <w:tcW w:w="1420" w:type="dxa"/>
            <w:vMerge/>
            <w:vAlign w:val="center"/>
            <w:hideMark/>
          </w:tcPr>
          <w:p w14:paraId="7F1DDE0C" w14:textId="77777777" w:rsidR="00EB5387" w:rsidRPr="00902FBB" w:rsidRDefault="00EB5387" w:rsidP="00B11E0C">
            <w:pPr>
              <w:jc w:val="center"/>
              <w:rPr>
                <w:rFonts w:ascii="Arial" w:hAnsi="Arial" w:cs="Arial"/>
                <w:b/>
                <w:bCs/>
                <w:color w:val="000000"/>
                <w:sz w:val="22"/>
                <w:szCs w:val="22"/>
              </w:rPr>
            </w:pPr>
          </w:p>
        </w:tc>
        <w:tc>
          <w:tcPr>
            <w:tcW w:w="2020" w:type="dxa"/>
            <w:shd w:val="clear" w:color="auto" w:fill="auto"/>
            <w:vAlign w:val="center"/>
            <w:hideMark/>
          </w:tcPr>
          <w:p w14:paraId="37DC5EEE"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Dec</w:t>
            </w:r>
          </w:p>
        </w:tc>
        <w:tc>
          <w:tcPr>
            <w:tcW w:w="960" w:type="dxa"/>
            <w:shd w:val="clear" w:color="auto" w:fill="auto"/>
            <w:noWrap/>
            <w:vAlign w:val="center"/>
            <w:hideMark/>
          </w:tcPr>
          <w:p w14:paraId="1C32B1F2"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22.0</w:t>
            </w:r>
          </w:p>
        </w:tc>
        <w:tc>
          <w:tcPr>
            <w:tcW w:w="960" w:type="dxa"/>
            <w:shd w:val="clear" w:color="auto" w:fill="auto"/>
            <w:noWrap/>
            <w:vAlign w:val="center"/>
            <w:hideMark/>
          </w:tcPr>
          <w:p w14:paraId="5FE15074"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16.1</w:t>
            </w:r>
          </w:p>
        </w:tc>
        <w:tc>
          <w:tcPr>
            <w:tcW w:w="960" w:type="dxa"/>
            <w:shd w:val="clear" w:color="auto" w:fill="auto"/>
            <w:noWrap/>
            <w:vAlign w:val="center"/>
            <w:hideMark/>
          </w:tcPr>
          <w:p w14:paraId="61D84D2D"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31.9</w:t>
            </w:r>
          </w:p>
        </w:tc>
        <w:tc>
          <w:tcPr>
            <w:tcW w:w="960" w:type="dxa"/>
            <w:shd w:val="clear" w:color="auto" w:fill="auto"/>
            <w:noWrap/>
            <w:vAlign w:val="center"/>
            <w:hideMark/>
          </w:tcPr>
          <w:p w14:paraId="4215ABC9"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0.0</w:t>
            </w:r>
          </w:p>
        </w:tc>
        <w:tc>
          <w:tcPr>
            <w:tcW w:w="960" w:type="dxa"/>
            <w:shd w:val="clear" w:color="auto" w:fill="auto"/>
            <w:noWrap/>
            <w:vAlign w:val="center"/>
            <w:hideMark/>
          </w:tcPr>
          <w:p w14:paraId="546C2233"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34.0</w:t>
            </w:r>
          </w:p>
        </w:tc>
      </w:tr>
      <w:tr w:rsidR="00EB5387" w:rsidRPr="00902FBB" w14:paraId="638696B4" w14:textId="77777777" w:rsidTr="00B11E0C">
        <w:trPr>
          <w:trHeight w:val="144"/>
          <w:jc w:val="center"/>
        </w:trPr>
        <w:tc>
          <w:tcPr>
            <w:tcW w:w="1420" w:type="dxa"/>
            <w:vMerge/>
            <w:vAlign w:val="center"/>
            <w:hideMark/>
          </w:tcPr>
          <w:p w14:paraId="7769C984" w14:textId="77777777" w:rsidR="00EB5387" w:rsidRPr="00902FBB" w:rsidRDefault="00EB5387" w:rsidP="00B11E0C">
            <w:pPr>
              <w:jc w:val="center"/>
              <w:rPr>
                <w:rFonts w:ascii="Arial" w:hAnsi="Arial" w:cs="Arial"/>
                <w:b/>
                <w:bCs/>
                <w:color w:val="000000"/>
                <w:sz w:val="22"/>
                <w:szCs w:val="22"/>
              </w:rPr>
            </w:pPr>
          </w:p>
        </w:tc>
        <w:tc>
          <w:tcPr>
            <w:tcW w:w="2020" w:type="dxa"/>
            <w:shd w:val="clear" w:color="auto" w:fill="auto"/>
            <w:vAlign w:val="center"/>
            <w:hideMark/>
          </w:tcPr>
          <w:p w14:paraId="3064CEE1"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Jan</w:t>
            </w:r>
          </w:p>
        </w:tc>
        <w:tc>
          <w:tcPr>
            <w:tcW w:w="960" w:type="dxa"/>
            <w:shd w:val="clear" w:color="auto" w:fill="auto"/>
            <w:noWrap/>
            <w:vAlign w:val="center"/>
            <w:hideMark/>
          </w:tcPr>
          <w:p w14:paraId="26616661"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21.0</w:t>
            </w:r>
          </w:p>
        </w:tc>
        <w:tc>
          <w:tcPr>
            <w:tcW w:w="960" w:type="dxa"/>
            <w:shd w:val="clear" w:color="auto" w:fill="auto"/>
            <w:noWrap/>
            <w:vAlign w:val="center"/>
            <w:hideMark/>
          </w:tcPr>
          <w:p w14:paraId="01A16C83"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14.7</w:t>
            </w:r>
          </w:p>
        </w:tc>
        <w:tc>
          <w:tcPr>
            <w:tcW w:w="960" w:type="dxa"/>
            <w:shd w:val="clear" w:color="auto" w:fill="auto"/>
            <w:noWrap/>
            <w:vAlign w:val="center"/>
            <w:hideMark/>
          </w:tcPr>
          <w:p w14:paraId="28CC85D4"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30.5</w:t>
            </w:r>
          </w:p>
        </w:tc>
        <w:tc>
          <w:tcPr>
            <w:tcW w:w="960" w:type="dxa"/>
            <w:shd w:val="clear" w:color="auto" w:fill="auto"/>
            <w:noWrap/>
            <w:vAlign w:val="center"/>
            <w:hideMark/>
          </w:tcPr>
          <w:p w14:paraId="4936DE3F"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0.0</w:t>
            </w:r>
          </w:p>
        </w:tc>
        <w:tc>
          <w:tcPr>
            <w:tcW w:w="960" w:type="dxa"/>
            <w:shd w:val="clear" w:color="auto" w:fill="auto"/>
            <w:noWrap/>
            <w:vAlign w:val="center"/>
            <w:hideMark/>
          </w:tcPr>
          <w:p w14:paraId="58F9001F"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27.0</w:t>
            </w:r>
          </w:p>
        </w:tc>
      </w:tr>
      <w:tr w:rsidR="00EB5387" w:rsidRPr="00902FBB" w14:paraId="51376617" w14:textId="77777777" w:rsidTr="00B11E0C">
        <w:trPr>
          <w:trHeight w:val="144"/>
          <w:jc w:val="center"/>
        </w:trPr>
        <w:tc>
          <w:tcPr>
            <w:tcW w:w="1420" w:type="dxa"/>
            <w:vMerge/>
            <w:vAlign w:val="center"/>
            <w:hideMark/>
          </w:tcPr>
          <w:p w14:paraId="3D505161" w14:textId="77777777" w:rsidR="00EB5387" w:rsidRPr="00902FBB" w:rsidRDefault="00EB5387" w:rsidP="00B11E0C">
            <w:pPr>
              <w:jc w:val="center"/>
              <w:rPr>
                <w:rFonts w:ascii="Arial" w:hAnsi="Arial" w:cs="Arial"/>
                <w:b/>
                <w:bCs/>
                <w:color w:val="000000"/>
                <w:sz w:val="22"/>
                <w:szCs w:val="22"/>
              </w:rPr>
            </w:pPr>
          </w:p>
        </w:tc>
        <w:tc>
          <w:tcPr>
            <w:tcW w:w="2020" w:type="dxa"/>
            <w:shd w:val="clear" w:color="auto" w:fill="auto"/>
            <w:vAlign w:val="center"/>
            <w:hideMark/>
          </w:tcPr>
          <w:p w14:paraId="4D4ED5D9"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Feb</w:t>
            </w:r>
          </w:p>
        </w:tc>
        <w:tc>
          <w:tcPr>
            <w:tcW w:w="960" w:type="dxa"/>
            <w:shd w:val="clear" w:color="auto" w:fill="auto"/>
            <w:noWrap/>
            <w:vAlign w:val="center"/>
            <w:hideMark/>
          </w:tcPr>
          <w:p w14:paraId="646EB6FA"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23.0</w:t>
            </w:r>
          </w:p>
        </w:tc>
        <w:tc>
          <w:tcPr>
            <w:tcW w:w="960" w:type="dxa"/>
            <w:shd w:val="clear" w:color="auto" w:fill="auto"/>
            <w:noWrap/>
            <w:vAlign w:val="center"/>
            <w:hideMark/>
          </w:tcPr>
          <w:p w14:paraId="066E8A29"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15.1</w:t>
            </w:r>
          </w:p>
        </w:tc>
        <w:tc>
          <w:tcPr>
            <w:tcW w:w="960" w:type="dxa"/>
            <w:shd w:val="clear" w:color="auto" w:fill="auto"/>
            <w:noWrap/>
            <w:vAlign w:val="center"/>
            <w:hideMark/>
          </w:tcPr>
          <w:p w14:paraId="59B70B9A"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31.9</w:t>
            </w:r>
          </w:p>
        </w:tc>
        <w:tc>
          <w:tcPr>
            <w:tcW w:w="960" w:type="dxa"/>
            <w:shd w:val="clear" w:color="auto" w:fill="auto"/>
            <w:noWrap/>
            <w:vAlign w:val="center"/>
            <w:hideMark/>
          </w:tcPr>
          <w:p w14:paraId="5E450270"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0.0</w:t>
            </w:r>
          </w:p>
        </w:tc>
        <w:tc>
          <w:tcPr>
            <w:tcW w:w="960" w:type="dxa"/>
            <w:shd w:val="clear" w:color="auto" w:fill="auto"/>
            <w:noWrap/>
            <w:vAlign w:val="center"/>
            <w:hideMark/>
          </w:tcPr>
          <w:p w14:paraId="187B6752"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29.0</w:t>
            </w:r>
          </w:p>
        </w:tc>
      </w:tr>
      <w:tr w:rsidR="00EB5387" w:rsidRPr="00902FBB" w14:paraId="01934F76" w14:textId="77777777" w:rsidTr="00B11E0C">
        <w:trPr>
          <w:trHeight w:val="144"/>
          <w:jc w:val="center"/>
        </w:trPr>
        <w:tc>
          <w:tcPr>
            <w:tcW w:w="1420" w:type="dxa"/>
            <w:vMerge/>
            <w:vAlign w:val="center"/>
            <w:hideMark/>
          </w:tcPr>
          <w:p w14:paraId="55546E20" w14:textId="77777777" w:rsidR="00EB5387" w:rsidRPr="00902FBB" w:rsidRDefault="00EB5387" w:rsidP="00B11E0C">
            <w:pPr>
              <w:jc w:val="center"/>
              <w:rPr>
                <w:rFonts w:ascii="Arial" w:hAnsi="Arial" w:cs="Arial"/>
                <w:b/>
                <w:bCs/>
                <w:color w:val="000000"/>
                <w:sz w:val="22"/>
                <w:szCs w:val="22"/>
              </w:rPr>
            </w:pPr>
          </w:p>
        </w:tc>
        <w:tc>
          <w:tcPr>
            <w:tcW w:w="2020" w:type="dxa"/>
            <w:shd w:val="clear" w:color="auto" w:fill="auto"/>
            <w:vAlign w:val="center"/>
            <w:hideMark/>
          </w:tcPr>
          <w:p w14:paraId="23119F70"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Mar</w:t>
            </w:r>
          </w:p>
        </w:tc>
        <w:tc>
          <w:tcPr>
            <w:tcW w:w="960" w:type="dxa"/>
            <w:shd w:val="clear" w:color="auto" w:fill="auto"/>
            <w:noWrap/>
            <w:vAlign w:val="center"/>
            <w:hideMark/>
          </w:tcPr>
          <w:p w14:paraId="761E4F0C"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25.0</w:t>
            </w:r>
          </w:p>
        </w:tc>
        <w:tc>
          <w:tcPr>
            <w:tcW w:w="960" w:type="dxa"/>
            <w:shd w:val="clear" w:color="auto" w:fill="auto"/>
            <w:noWrap/>
            <w:vAlign w:val="center"/>
            <w:hideMark/>
          </w:tcPr>
          <w:p w14:paraId="03CB6484"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18.0</w:t>
            </w:r>
          </w:p>
        </w:tc>
        <w:tc>
          <w:tcPr>
            <w:tcW w:w="960" w:type="dxa"/>
            <w:shd w:val="clear" w:color="auto" w:fill="auto"/>
            <w:noWrap/>
            <w:vAlign w:val="center"/>
            <w:hideMark/>
          </w:tcPr>
          <w:p w14:paraId="2CDBD7D3"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35.5</w:t>
            </w:r>
          </w:p>
        </w:tc>
        <w:tc>
          <w:tcPr>
            <w:tcW w:w="960" w:type="dxa"/>
            <w:shd w:val="clear" w:color="auto" w:fill="auto"/>
            <w:noWrap/>
            <w:vAlign w:val="center"/>
            <w:hideMark/>
          </w:tcPr>
          <w:p w14:paraId="08F37227"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0.0</w:t>
            </w:r>
          </w:p>
        </w:tc>
        <w:tc>
          <w:tcPr>
            <w:tcW w:w="960" w:type="dxa"/>
            <w:shd w:val="clear" w:color="auto" w:fill="auto"/>
            <w:noWrap/>
            <w:vAlign w:val="center"/>
            <w:hideMark/>
          </w:tcPr>
          <w:p w14:paraId="7E6EF3FE"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21.0</w:t>
            </w:r>
          </w:p>
        </w:tc>
      </w:tr>
      <w:tr w:rsidR="00EB5387" w:rsidRPr="00902FBB" w14:paraId="2ABB359C" w14:textId="77777777" w:rsidTr="00B11E0C">
        <w:trPr>
          <w:trHeight w:val="144"/>
          <w:jc w:val="center"/>
        </w:trPr>
        <w:tc>
          <w:tcPr>
            <w:tcW w:w="1420" w:type="dxa"/>
            <w:vMerge/>
            <w:vAlign w:val="center"/>
            <w:hideMark/>
          </w:tcPr>
          <w:p w14:paraId="0B5C22D5" w14:textId="77777777" w:rsidR="00EB5387" w:rsidRPr="00902FBB" w:rsidRDefault="00EB5387" w:rsidP="00B11E0C">
            <w:pPr>
              <w:jc w:val="center"/>
              <w:rPr>
                <w:rFonts w:ascii="Arial" w:hAnsi="Arial" w:cs="Arial"/>
                <w:b/>
                <w:bCs/>
                <w:color w:val="000000"/>
                <w:sz w:val="22"/>
                <w:szCs w:val="22"/>
              </w:rPr>
            </w:pPr>
          </w:p>
        </w:tc>
        <w:tc>
          <w:tcPr>
            <w:tcW w:w="2020" w:type="dxa"/>
            <w:shd w:val="clear" w:color="auto" w:fill="auto"/>
            <w:vAlign w:val="center"/>
            <w:hideMark/>
          </w:tcPr>
          <w:p w14:paraId="68B10B5C"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Apr</w:t>
            </w:r>
          </w:p>
        </w:tc>
        <w:tc>
          <w:tcPr>
            <w:tcW w:w="960" w:type="dxa"/>
            <w:shd w:val="clear" w:color="auto" w:fill="auto"/>
            <w:noWrap/>
            <w:vAlign w:val="center"/>
            <w:hideMark/>
          </w:tcPr>
          <w:p w14:paraId="6B0DC6C9"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28.0</w:t>
            </w:r>
          </w:p>
        </w:tc>
        <w:tc>
          <w:tcPr>
            <w:tcW w:w="960" w:type="dxa"/>
            <w:shd w:val="clear" w:color="auto" w:fill="auto"/>
            <w:noWrap/>
            <w:vAlign w:val="center"/>
            <w:hideMark/>
          </w:tcPr>
          <w:p w14:paraId="0A900702"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21.7</w:t>
            </w:r>
          </w:p>
        </w:tc>
        <w:tc>
          <w:tcPr>
            <w:tcW w:w="960" w:type="dxa"/>
            <w:shd w:val="clear" w:color="auto" w:fill="auto"/>
            <w:noWrap/>
            <w:vAlign w:val="center"/>
            <w:hideMark/>
          </w:tcPr>
          <w:p w14:paraId="5269801D"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39.7</w:t>
            </w:r>
          </w:p>
        </w:tc>
        <w:tc>
          <w:tcPr>
            <w:tcW w:w="960" w:type="dxa"/>
            <w:shd w:val="clear" w:color="auto" w:fill="auto"/>
            <w:noWrap/>
            <w:vAlign w:val="center"/>
            <w:hideMark/>
          </w:tcPr>
          <w:p w14:paraId="3464AEB4"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1.0</w:t>
            </w:r>
          </w:p>
        </w:tc>
        <w:tc>
          <w:tcPr>
            <w:tcW w:w="960" w:type="dxa"/>
            <w:shd w:val="clear" w:color="auto" w:fill="auto"/>
            <w:noWrap/>
            <w:vAlign w:val="center"/>
            <w:hideMark/>
          </w:tcPr>
          <w:p w14:paraId="158F04E3"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35.0</w:t>
            </w:r>
          </w:p>
        </w:tc>
      </w:tr>
      <w:tr w:rsidR="00EB5387" w:rsidRPr="00902FBB" w14:paraId="083A10BA" w14:textId="77777777" w:rsidTr="00B11E0C">
        <w:trPr>
          <w:trHeight w:val="144"/>
          <w:jc w:val="center"/>
        </w:trPr>
        <w:tc>
          <w:tcPr>
            <w:tcW w:w="1420" w:type="dxa"/>
            <w:vMerge/>
            <w:tcBorders>
              <w:bottom w:val="single" w:sz="4" w:space="0" w:color="auto"/>
            </w:tcBorders>
            <w:vAlign w:val="center"/>
            <w:hideMark/>
          </w:tcPr>
          <w:p w14:paraId="6B045D8A" w14:textId="77777777" w:rsidR="00EB5387" w:rsidRPr="00902FBB" w:rsidRDefault="00EB5387" w:rsidP="00B11E0C">
            <w:pPr>
              <w:jc w:val="center"/>
              <w:rPr>
                <w:rFonts w:ascii="Arial" w:hAnsi="Arial" w:cs="Arial"/>
                <w:b/>
                <w:bCs/>
                <w:color w:val="000000"/>
                <w:sz w:val="22"/>
                <w:szCs w:val="22"/>
              </w:rPr>
            </w:pPr>
          </w:p>
        </w:tc>
        <w:tc>
          <w:tcPr>
            <w:tcW w:w="2020" w:type="dxa"/>
            <w:tcBorders>
              <w:bottom w:val="single" w:sz="4" w:space="0" w:color="auto"/>
            </w:tcBorders>
            <w:shd w:val="clear" w:color="auto" w:fill="auto"/>
            <w:vAlign w:val="center"/>
            <w:hideMark/>
          </w:tcPr>
          <w:p w14:paraId="218555FF"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 xml:space="preserve">Season Average </w:t>
            </w:r>
          </w:p>
        </w:tc>
        <w:tc>
          <w:tcPr>
            <w:tcW w:w="960" w:type="dxa"/>
            <w:tcBorders>
              <w:bottom w:val="single" w:sz="4" w:space="0" w:color="auto"/>
            </w:tcBorders>
            <w:shd w:val="clear" w:color="auto" w:fill="auto"/>
            <w:noWrap/>
            <w:vAlign w:val="center"/>
            <w:hideMark/>
          </w:tcPr>
          <w:p w14:paraId="1340C99E"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23.7</w:t>
            </w:r>
          </w:p>
        </w:tc>
        <w:tc>
          <w:tcPr>
            <w:tcW w:w="960" w:type="dxa"/>
            <w:tcBorders>
              <w:bottom w:val="single" w:sz="4" w:space="0" w:color="auto"/>
            </w:tcBorders>
            <w:shd w:val="clear" w:color="auto" w:fill="auto"/>
            <w:noWrap/>
            <w:vAlign w:val="center"/>
            <w:hideMark/>
          </w:tcPr>
          <w:p w14:paraId="37836BCB"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 xml:space="preserve">17.6 </w:t>
            </w:r>
          </w:p>
        </w:tc>
        <w:tc>
          <w:tcPr>
            <w:tcW w:w="960" w:type="dxa"/>
            <w:tcBorders>
              <w:bottom w:val="single" w:sz="4" w:space="0" w:color="auto"/>
            </w:tcBorders>
            <w:shd w:val="clear" w:color="auto" w:fill="auto"/>
            <w:noWrap/>
            <w:vAlign w:val="center"/>
            <w:hideMark/>
          </w:tcPr>
          <w:p w14:paraId="47CB29D4"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34.1</w:t>
            </w:r>
          </w:p>
        </w:tc>
        <w:tc>
          <w:tcPr>
            <w:tcW w:w="960" w:type="dxa"/>
            <w:tcBorders>
              <w:bottom w:val="single" w:sz="4" w:space="0" w:color="auto"/>
            </w:tcBorders>
            <w:shd w:val="clear" w:color="auto" w:fill="auto"/>
            <w:noWrap/>
            <w:vAlign w:val="center"/>
            <w:hideMark/>
          </w:tcPr>
          <w:p w14:paraId="5810971C"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0.17</w:t>
            </w:r>
          </w:p>
        </w:tc>
        <w:tc>
          <w:tcPr>
            <w:tcW w:w="960" w:type="dxa"/>
            <w:tcBorders>
              <w:bottom w:val="single" w:sz="4" w:space="0" w:color="auto"/>
            </w:tcBorders>
            <w:shd w:val="clear" w:color="auto" w:fill="auto"/>
            <w:noWrap/>
            <w:hideMark/>
          </w:tcPr>
          <w:p w14:paraId="0F81F8FF"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30.33</w:t>
            </w:r>
          </w:p>
        </w:tc>
      </w:tr>
      <w:tr w:rsidR="00EB5387" w:rsidRPr="00902FBB" w14:paraId="60BF3BA5" w14:textId="77777777" w:rsidTr="00B11E0C">
        <w:trPr>
          <w:trHeight w:val="290"/>
          <w:jc w:val="center"/>
        </w:trPr>
        <w:tc>
          <w:tcPr>
            <w:tcW w:w="1420" w:type="dxa"/>
            <w:vMerge w:val="restart"/>
            <w:tcBorders>
              <w:top w:val="single" w:sz="4" w:space="0" w:color="auto"/>
            </w:tcBorders>
            <w:shd w:val="clear" w:color="auto" w:fill="auto"/>
            <w:noWrap/>
            <w:vAlign w:val="center"/>
            <w:hideMark/>
          </w:tcPr>
          <w:p w14:paraId="36A06AFD"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2020-2021</w:t>
            </w:r>
          </w:p>
        </w:tc>
        <w:tc>
          <w:tcPr>
            <w:tcW w:w="2020" w:type="dxa"/>
            <w:tcBorders>
              <w:top w:val="single" w:sz="4" w:space="0" w:color="auto"/>
            </w:tcBorders>
            <w:shd w:val="clear" w:color="auto" w:fill="auto"/>
            <w:vAlign w:val="center"/>
            <w:hideMark/>
          </w:tcPr>
          <w:p w14:paraId="43354753"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Nov</w:t>
            </w:r>
          </w:p>
        </w:tc>
        <w:tc>
          <w:tcPr>
            <w:tcW w:w="960" w:type="dxa"/>
            <w:tcBorders>
              <w:top w:val="single" w:sz="4" w:space="0" w:color="auto"/>
            </w:tcBorders>
            <w:shd w:val="clear" w:color="auto" w:fill="auto"/>
            <w:vAlign w:val="center"/>
            <w:hideMark/>
          </w:tcPr>
          <w:p w14:paraId="6DFE05B4"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28.1</w:t>
            </w:r>
          </w:p>
        </w:tc>
        <w:tc>
          <w:tcPr>
            <w:tcW w:w="960" w:type="dxa"/>
            <w:tcBorders>
              <w:top w:val="single" w:sz="4" w:space="0" w:color="auto"/>
            </w:tcBorders>
            <w:shd w:val="clear" w:color="auto" w:fill="auto"/>
            <w:noWrap/>
            <w:vAlign w:val="center"/>
            <w:hideMark/>
          </w:tcPr>
          <w:p w14:paraId="452DC054"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21.0</w:t>
            </w:r>
          </w:p>
        </w:tc>
        <w:tc>
          <w:tcPr>
            <w:tcW w:w="960" w:type="dxa"/>
            <w:tcBorders>
              <w:top w:val="single" w:sz="4" w:space="0" w:color="auto"/>
            </w:tcBorders>
            <w:shd w:val="clear" w:color="auto" w:fill="auto"/>
            <w:noWrap/>
            <w:vAlign w:val="center"/>
            <w:hideMark/>
          </w:tcPr>
          <w:p w14:paraId="07382CC3"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35.2</w:t>
            </w:r>
          </w:p>
        </w:tc>
        <w:tc>
          <w:tcPr>
            <w:tcW w:w="960" w:type="dxa"/>
            <w:tcBorders>
              <w:top w:val="single" w:sz="4" w:space="0" w:color="auto"/>
            </w:tcBorders>
            <w:shd w:val="clear" w:color="auto" w:fill="auto"/>
            <w:noWrap/>
            <w:vAlign w:val="center"/>
            <w:hideMark/>
          </w:tcPr>
          <w:p w14:paraId="1119EAF1"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0.7</w:t>
            </w:r>
          </w:p>
        </w:tc>
        <w:tc>
          <w:tcPr>
            <w:tcW w:w="960" w:type="dxa"/>
            <w:tcBorders>
              <w:top w:val="single" w:sz="4" w:space="0" w:color="auto"/>
            </w:tcBorders>
            <w:shd w:val="clear" w:color="auto" w:fill="auto"/>
            <w:vAlign w:val="bottom"/>
            <w:hideMark/>
          </w:tcPr>
          <w:p w14:paraId="2A56D893"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38.0</w:t>
            </w:r>
          </w:p>
        </w:tc>
      </w:tr>
      <w:tr w:rsidR="00EB5387" w:rsidRPr="00902FBB" w14:paraId="192C0C51" w14:textId="77777777" w:rsidTr="00B11E0C">
        <w:trPr>
          <w:trHeight w:val="290"/>
          <w:jc w:val="center"/>
        </w:trPr>
        <w:tc>
          <w:tcPr>
            <w:tcW w:w="1420" w:type="dxa"/>
            <w:vMerge/>
            <w:vAlign w:val="center"/>
            <w:hideMark/>
          </w:tcPr>
          <w:p w14:paraId="23600448" w14:textId="77777777" w:rsidR="00EB5387" w:rsidRPr="00902FBB" w:rsidRDefault="00EB5387" w:rsidP="00B11E0C">
            <w:pPr>
              <w:jc w:val="center"/>
              <w:rPr>
                <w:rFonts w:ascii="Arial" w:hAnsi="Arial" w:cs="Arial"/>
                <w:color w:val="000000"/>
                <w:sz w:val="22"/>
                <w:szCs w:val="22"/>
              </w:rPr>
            </w:pPr>
          </w:p>
        </w:tc>
        <w:tc>
          <w:tcPr>
            <w:tcW w:w="2020" w:type="dxa"/>
            <w:shd w:val="clear" w:color="auto" w:fill="auto"/>
            <w:vAlign w:val="center"/>
            <w:hideMark/>
          </w:tcPr>
          <w:p w14:paraId="359101BE"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Dec</w:t>
            </w:r>
          </w:p>
        </w:tc>
        <w:tc>
          <w:tcPr>
            <w:tcW w:w="960" w:type="dxa"/>
            <w:shd w:val="clear" w:color="auto" w:fill="auto"/>
            <w:vAlign w:val="center"/>
            <w:hideMark/>
          </w:tcPr>
          <w:p w14:paraId="16FCA9B9"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24.5</w:t>
            </w:r>
          </w:p>
        </w:tc>
        <w:tc>
          <w:tcPr>
            <w:tcW w:w="960" w:type="dxa"/>
            <w:shd w:val="clear" w:color="auto" w:fill="auto"/>
            <w:noWrap/>
            <w:vAlign w:val="center"/>
            <w:hideMark/>
          </w:tcPr>
          <w:p w14:paraId="7607CD8F"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17.0</w:t>
            </w:r>
          </w:p>
        </w:tc>
        <w:tc>
          <w:tcPr>
            <w:tcW w:w="960" w:type="dxa"/>
            <w:shd w:val="clear" w:color="auto" w:fill="auto"/>
            <w:noWrap/>
            <w:vAlign w:val="center"/>
            <w:hideMark/>
          </w:tcPr>
          <w:p w14:paraId="2465DF5C"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31.7</w:t>
            </w:r>
          </w:p>
        </w:tc>
        <w:tc>
          <w:tcPr>
            <w:tcW w:w="960" w:type="dxa"/>
            <w:shd w:val="clear" w:color="auto" w:fill="auto"/>
            <w:noWrap/>
            <w:vAlign w:val="center"/>
            <w:hideMark/>
          </w:tcPr>
          <w:p w14:paraId="7336A25D"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0.0</w:t>
            </w:r>
          </w:p>
        </w:tc>
        <w:tc>
          <w:tcPr>
            <w:tcW w:w="960" w:type="dxa"/>
            <w:shd w:val="clear" w:color="auto" w:fill="auto"/>
            <w:vAlign w:val="bottom"/>
            <w:hideMark/>
          </w:tcPr>
          <w:p w14:paraId="11FFB0BD"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35.0</w:t>
            </w:r>
          </w:p>
        </w:tc>
      </w:tr>
      <w:tr w:rsidR="00EB5387" w:rsidRPr="00902FBB" w14:paraId="583F1CDF" w14:textId="77777777" w:rsidTr="00B11E0C">
        <w:trPr>
          <w:trHeight w:val="290"/>
          <w:jc w:val="center"/>
        </w:trPr>
        <w:tc>
          <w:tcPr>
            <w:tcW w:w="1420" w:type="dxa"/>
            <w:vMerge/>
            <w:vAlign w:val="center"/>
            <w:hideMark/>
          </w:tcPr>
          <w:p w14:paraId="49E1481B" w14:textId="77777777" w:rsidR="00EB5387" w:rsidRPr="00902FBB" w:rsidRDefault="00EB5387" w:rsidP="00B11E0C">
            <w:pPr>
              <w:jc w:val="center"/>
              <w:rPr>
                <w:rFonts w:ascii="Arial" w:hAnsi="Arial" w:cs="Arial"/>
                <w:color w:val="000000"/>
                <w:sz w:val="22"/>
                <w:szCs w:val="22"/>
              </w:rPr>
            </w:pPr>
          </w:p>
        </w:tc>
        <w:tc>
          <w:tcPr>
            <w:tcW w:w="2020" w:type="dxa"/>
            <w:shd w:val="clear" w:color="auto" w:fill="auto"/>
            <w:vAlign w:val="center"/>
            <w:hideMark/>
          </w:tcPr>
          <w:p w14:paraId="629814FD"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Jan</w:t>
            </w:r>
          </w:p>
        </w:tc>
        <w:tc>
          <w:tcPr>
            <w:tcW w:w="960" w:type="dxa"/>
            <w:shd w:val="clear" w:color="auto" w:fill="auto"/>
            <w:vAlign w:val="center"/>
            <w:hideMark/>
          </w:tcPr>
          <w:p w14:paraId="7F6A1E4D"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23.2</w:t>
            </w:r>
          </w:p>
        </w:tc>
        <w:tc>
          <w:tcPr>
            <w:tcW w:w="960" w:type="dxa"/>
            <w:shd w:val="clear" w:color="auto" w:fill="auto"/>
            <w:noWrap/>
            <w:vAlign w:val="center"/>
            <w:hideMark/>
          </w:tcPr>
          <w:p w14:paraId="25195B7F"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15.6</w:t>
            </w:r>
          </w:p>
        </w:tc>
        <w:tc>
          <w:tcPr>
            <w:tcW w:w="960" w:type="dxa"/>
            <w:shd w:val="clear" w:color="auto" w:fill="auto"/>
            <w:noWrap/>
            <w:vAlign w:val="center"/>
            <w:hideMark/>
          </w:tcPr>
          <w:p w14:paraId="58D7E3CA"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30.7</w:t>
            </w:r>
          </w:p>
        </w:tc>
        <w:tc>
          <w:tcPr>
            <w:tcW w:w="960" w:type="dxa"/>
            <w:shd w:val="clear" w:color="auto" w:fill="auto"/>
            <w:noWrap/>
            <w:vAlign w:val="center"/>
            <w:hideMark/>
          </w:tcPr>
          <w:p w14:paraId="6D4A8F40"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0.0</w:t>
            </w:r>
          </w:p>
        </w:tc>
        <w:tc>
          <w:tcPr>
            <w:tcW w:w="960" w:type="dxa"/>
            <w:shd w:val="clear" w:color="auto" w:fill="auto"/>
            <w:vAlign w:val="bottom"/>
            <w:hideMark/>
          </w:tcPr>
          <w:p w14:paraId="60668668"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22.0</w:t>
            </w:r>
          </w:p>
        </w:tc>
      </w:tr>
      <w:tr w:rsidR="00EB5387" w:rsidRPr="00902FBB" w14:paraId="48609371" w14:textId="77777777" w:rsidTr="00B11E0C">
        <w:trPr>
          <w:trHeight w:val="290"/>
          <w:jc w:val="center"/>
        </w:trPr>
        <w:tc>
          <w:tcPr>
            <w:tcW w:w="1420" w:type="dxa"/>
            <w:vMerge/>
            <w:vAlign w:val="center"/>
            <w:hideMark/>
          </w:tcPr>
          <w:p w14:paraId="08436FBB" w14:textId="77777777" w:rsidR="00EB5387" w:rsidRPr="00902FBB" w:rsidRDefault="00EB5387" w:rsidP="00B11E0C">
            <w:pPr>
              <w:jc w:val="center"/>
              <w:rPr>
                <w:rFonts w:ascii="Arial" w:hAnsi="Arial" w:cs="Arial"/>
                <w:color w:val="000000"/>
                <w:sz w:val="22"/>
                <w:szCs w:val="22"/>
              </w:rPr>
            </w:pPr>
          </w:p>
        </w:tc>
        <w:tc>
          <w:tcPr>
            <w:tcW w:w="2020" w:type="dxa"/>
            <w:shd w:val="clear" w:color="auto" w:fill="auto"/>
            <w:vAlign w:val="center"/>
            <w:hideMark/>
          </w:tcPr>
          <w:p w14:paraId="1E220ECF"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Feb</w:t>
            </w:r>
          </w:p>
        </w:tc>
        <w:tc>
          <w:tcPr>
            <w:tcW w:w="960" w:type="dxa"/>
            <w:shd w:val="clear" w:color="auto" w:fill="auto"/>
            <w:vAlign w:val="center"/>
            <w:hideMark/>
          </w:tcPr>
          <w:p w14:paraId="1B9EE5AE"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25.0</w:t>
            </w:r>
          </w:p>
        </w:tc>
        <w:tc>
          <w:tcPr>
            <w:tcW w:w="960" w:type="dxa"/>
            <w:shd w:val="clear" w:color="auto" w:fill="auto"/>
            <w:noWrap/>
            <w:vAlign w:val="center"/>
            <w:hideMark/>
          </w:tcPr>
          <w:p w14:paraId="39DE0CD1"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16.8</w:t>
            </w:r>
          </w:p>
        </w:tc>
        <w:tc>
          <w:tcPr>
            <w:tcW w:w="960" w:type="dxa"/>
            <w:shd w:val="clear" w:color="auto" w:fill="auto"/>
            <w:noWrap/>
            <w:vAlign w:val="center"/>
            <w:hideMark/>
          </w:tcPr>
          <w:p w14:paraId="169E8824"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32.6</w:t>
            </w:r>
          </w:p>
        </w:tc>
        <w:tc>
          <w:tcPr>
            <w:tcW w:w="960" w:type="dxa"/>
            <w:shd w:val="clear" w:color="auto" w:fill="auto"/>
            <w:noWrap/>
            <w:vAlign w:val="center"/>
            <w:hideMark/>
          </w:tcPr>
          <w:p w14:paraId="5AD99B3A"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0.0</w:t>
            </w:r>
          </w:p>
        </w:tc>
        <w:tc>
          <w:tcPr>
            <w:tcW w:w="960" w:type="dxa"/>
            <w:shd w:val="clear" w:color="auto" w:fill="auto"/>
            <w:vAlign w:val="bottom"/>
            <w:hideMark/>
          </w:tcPr>
          <w:p w14:paraId="6924EB37"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28.0</w:t>
            </w:r>
          </w:p>
        </w:tc>
      </w:tr>
      <w:tr w:rsidR="00EB5387" w:rsidRPr="00902FBB" w14:paraId="6E979543" w14:textId="77777777" w:rsidTr="00B11E0C">
        <w:trPr>
          <w:trHeight w:val="290"/>
          <w:jc w:val="center"/>
        </w:trPr>
        <w:tc>
          <w:tcPr>
            <w:tcW w:w="1420" w:type="dxa"/>
            <w:vMerge/>
            <w:vAlign w:val="center"/>
            <w:hideMark/>
          </w:tcPr>
          <w:p w14:paraId="3C05368F" w14:textId="77777777" w:rsidR="00EB5387" w:rsidRPr="00902FBB" w:rsidRDefault="00EB5387" w:rsidP="00B11E0C">
            <w:pPr>
              <w:jc w:val="center"/>
              <w:rPr>
                <w:rFonts w:ascii="Arial" w:hAnsi="Arial" w:cs="Arial"/>
                <w:color w:val="000000"/>
                <w:sz w:val="22"/>
                <w:szCs w:val="22"/>
              </w:rPr>
            </w:pPr>
          </w:p>
        </w:tc>
        <w:tc>
          <w:tcPr>
            <w:tcW w:w="2020" w:type="dxa"/>
            <w:shd w:val="clear" w:color="auto" w:fill="auto"/>
            <w:vAlign w:val="center"/>
            <w:hideMark/>
          </w:tcPr>
          <w:p w14:paraId="2F0AE3FE"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Mar</w:t>
            </w:r>
          </w:p>
        </w:tc>
        <w:tc>
          <w:tcPr>
            <w:tcW w:w="960" w:type="dxa"/>
            <w:shd w:val="clear" w:color="auto" w:fill="auto"/>
            <w:vAlign w:val="center"/>
            <w:hideMark/>
          </w:tcPr>
          <w:p w14:paraId="4FD94B28"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28.7</w:t>
            </w:r>
          </w:p>
        </w:tc>
        <w:tc>
          <w:tcPr>
            <w:tcW w:w="960" w:type="dxa"/>
            <w:shd w:val="clear" w:color="auto" w:fill="auto"/>
            <w:noWrap/>
            <w:vAlign w:val="center"/>
            <w:hideMark/>
          </w:tcPr>
          <w:p w14:paraId="5E252D19"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20.3</w:t>
            </w:r>
          </w:p>
        </w:tc>
        <w:tc>
          <w:tcPr>
            <w:tcW w:w="960" w:type="dxa"/>
            <w:shd w:val="clear" w:color="auto" w:fill="auto"/>
            <w:noWrap/>
            <w:vAlign w:val="center"/>
            <w:hideMark/>
          </w:tcPr>
          <w:p w14:paraId="534003AE"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36.5</w:t>
            </w:r>
          </w:p>
        </w:tc>
        <w:tc>
          <w:tcPr>
            <w:tcW w:w="960" w:type="dxa"/>
            <w:shd w:val="clear" w:color="auto" w:fill="auto"/>
            <w:noWrap/>
            <w:vAlign w:val="center"/>
            <w:hideMark/>
          </w:tcPr>
          <w:p w14:paraId="59D9FDC1"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0.1</w:t>
            </w:r>
          </w:p>
        </w:tc>
        <w:tc>
          <w:tcPr>
            <w:tcW w:w="960" w:type="dxa"/>
            <w:shd w:val="clear" w:color="auto" w:fill="auto"/>
            <w:vAlign w:val="bottom"/>
            <w:hideMark/>
          </w:tcPr>
          <w:p w14:paraId="1AE8C343"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36.0</w:t>
            </w:r>
          </w:p>
        </w:tc>
      </w:tr>
      <w:tr w:rsidR="00EB5387" w:rsidRPr="00902FBB" w14:paraId="021266DC" w14:textId="77777777" w:rsidTr="00B11E0C">
        <w:trPr>
          <w:trHeight w:val="290"/>
          <w:jc w:val="center"/>
        </w:trPr>
        <w:tc>
          <w:tcPr>
            <w:tcW w:w="1420" w:type="dxa"/>
            <w:vMerge/>
            <w:vAlign w:val="center"/>
            <w:hideMark/>
          </w:tcPr>
          <w:p w14:paraId="484626D2" w14:textId="77777777" w:rsidR="00EB5387" w:rsidRPr="00902FBB" w:rsidRDefault="00EB5387" w:rsidP="00B11E0C">
            <w:pPr>
              <w:jc w:val="center"/>
              <w:rPr>
                <w:rFonts w:ascii="Arial" w:hAnsi="Arial" w:cs="Arial"/>
                <w:color w:val="000000"/>
                <w:sz w:val="22"/>
                <w:szCs w:val="22"/>
              </w:rPr>
            </w:pPr>
          </w:p>
        </w:tc>
        <w:tc>
          <w:tcPr>
            <w:tcW w:w="2020" w:type="dxa"/>
            <w:shd w:val="clear" w:color="auto" w:fill="auto"/>
            <w:vAlign w:val="center"/>
            <w:hideMark/>
          </w:tcPr>
          <w:p w14:paraId="464C2D51"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Apr</w:t>
            </w:r>
          </w:p>
        </w:tc>
        <w:tc>
          <w:tcPr>
            <w:tcW w:w="960" w:type="dxa"/>
            <w:shd w:val="clear" w:color="auto" w:fill="auto"/>
            <w:vAlign w:val="center"/>
            <w:hideMark/>
          </w:tcPr>
          <w:p w14:paraId="73734CE5"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31.9</w:t>
            </w:r>
          </w:p>
        </w:tc>
        <w:tc>
          <w:tcPr>
            <w:tcW w:w="960" w:type="dxa"/>
            <w:shd w:val="clear" w:color="auto" w:fill="auto"/>
            <w:noWrap/>
            <w:vAlign w:val="center"/>
            <w:hideMark/>
          </w:tcPr>
          <w:p w14:paraId="2959F08B"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24.1</w:t>
            </w:r>
          </w:p>
        </w:tc>
        <w:tc>
          <w:tcPr>
            <w:tcW w:w="960" w:type="dxa"/>
            <w:shd w:val="clear" w:color="auto" w:fill="auto"/>
            <w:noWrap/>
            <w:vAlign w:val="center"/>
            <w:hideMark/>
          </w:tcPr>
          <w:p w14:paraId="7A6DC801"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40.4</w:t>
            </w:r>
          </w:p>
        </w:tc>
        <w:tc>
          <w:tcPr>
            <w:tcW w:w="960" w:type="dxa"/>
            <w:shd w:val="clear" w:color="auto" w:fill="auto"/>
            <w:noWrap/>
            <w:vAlign w:val="center"/>
            <w:hideMark/>
          </w:tcPr>
          <w:p w14:paraId="609EC174"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0.0</w:t>
            </w:r>
          </w:p>
        </w:tc>
        <w:tc>
          <w:tcPr>
            <w:tcW w:w="960" w:type="dxa"/>
            <w:shd w:val="clear" w:color="auto" w:fill="auto"/>
            <w:vAlign w:val="bottom"/>
            <w:hideMark/>
          </w:tcPr>
          <w:p w14:paraId="457058FB" w14:textId="77777777" w:rsidR="00EB5387" w:rsidRPr="00902FBB" w:rsidRDefault="00EB5387" w:rsidP="00B11E0C">
            <w:pPr>
              <w:jc w:val="center"/>
              <w:rPr>
                <w:rFonts w:ascii="Arial" w:hAnsi="Arial" w:cs="Arial"/>
                <w:color w:val="000000"/>
                <w:sz w:val="22"/>
                <w:szCs w:val="22"/>
              </w:rPr>
            </w:pPr>
            <w:r w:rsidRPr="00902FBB">
              <w:rPr>
                <w:rFonts w:ascii="Arial" w:hAnsi="Arial" w:cs="Arial"/>
                <w:color w:val="000000"/>
                <w:sz w:val="22"/>
                <w:szCs w:val="22"/>
              </w:rPr>
              <w:t>30.0</w:t>
            </w:r>
          </w:p>
        </w:tc>
      </w:tr>
      <w:tr w:rsidR="00EB5387" w:rsidRPr="00902FBB" w14:paraId="0F7A0B84" w14:textId="77777777" w:rsidTr="00B11E0C">
        <w:trPr>
          <w:trHeight w:val="290"/>
          <w:jc w:val="center"/>
        </w:trPr>
        <w:tc>
          <w:tcPr>
            <w:tcW w:w="1420" w:type="dxa"/>
            <w:vMerge/>
            <w:tcBorders>
              <w:bottom w:val="single" w:sz="4" w:space="0" w:color="auto"/>
            </w:tcBorders>
            <w:vAlign w:val="center"/>
            <w:hideMark/>
          </w:tcPr>
          <w:p w14:paraId="1700B8F3" w14:textId="77777777" w:rsidR="00EB5387" w:rsidRPr="00902FBB" w:rsidRDefault="00EB5387" w:rsidP="00B11E0C">
            <w:pPr>
              <w:jc w:val="center"/>
              <w:rPr>
                <w:rFonts w:ascii="Arial" w:hAnsi="Arial" w:cs="Arial"/>
                <w:color w:val="000000"/>
                <w:sz w:val="22"/>
                <w:szCs w:val="22"/>
              </w:rPr>
            </w:pPr>
          </w:p>
        </w:tc>
        <w:tc>
          <w:tcPr>
            <w:tcW w:w="2020" w:type="dxa"/>
            <w:tcBorders>
              <w:bottom w:val="single" w:sz="4" w:space="0" w:color="auto"/>
            </w:tcBorders>
            <w:shd w:val="clear" w:color="auto" w:fill="auto"/>
            <w:vAlign w:val="center"/>
            <w:hideMark/>
          </w:tcPr>
          <w:p w14:paraId="11C41082"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 xml:space="preserve">Season Average </w:t>
            </w:r>
          </w:p>
        </w:tc>
        <w:tc>
          <w:tcPr>
            <w:tcW w:w="960" w:type="dxa"/>
            <w:tcBorders>
              <w:bottom w:val="single" w:sz="4" w:space="0" w:color="auto"/>
            </w:tcBorders>
            <w:shd w:val="clear" w:color="auto" w:fill="auto"/>
            <w:vAlign w:val="center"/>
            <w:hideMark/>
          </w:tcPr>
          <w:p w14:paraId="29BA079F"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26.9</w:t>
            </w:r>
          </w:p>
        </w:tc>
        <w:tc>
          <w:tcPr>
            <w:tcW w:w="960" w:type="dxa"/>
            <w:tcBorders>
              <w:bottom w:val="single" w:sz="4" w:space="0" w:color="auto"/>
            </w:tcBorders>
            <w:shd w:val="clear" w:color="auto" w:fill="auto"/>
            <w:noWrap/>
            <w:vAlign w:val="center"/>
            <w:hideMark/>
          </w:tcPr>
          <w:p w14:paraId="60C321AC"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19.1</w:t>
            </w:r>
          </w:p>
        </w:tc>
        <w:tc>
          <w:tcPr>
            <w:tcW w:w="960" w:type="dxa"/>
            <w:tcBorders>
              <w:bottom w:val="single" w:sz="4" w:space="0" w:color="auto"/>
            </w:tcBorders>
            <w:shd w:val="clear" w:color="auto" w:fill="auto"/>
            <w:noWrap/>
            <w:vAlign w:val="center"/>
            <w:hideMark/>
          </w:tcPr>
          <w:p w14:paraId="38EFA531"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35.1</w:t>
            </w:r>
          </w:p>
        </w:tc>
        <w:tc>
          <w:tcPr>
            <w:tcW w:w="960" w:type="dxa"/>
            <w:tcBorders>
              <w:bottom w:val="single" w:sz="4" w:space="0" w:color="auto"/>
            </w:tcBorders>
            <w:shd w:val="clear" w:color="auto" w:fill="auto"/>
            <w:noWrap/>
            <w:vAlign w:val="center"/>
            <w:hideMark/>
          </w:tcPr>
          <w:p w14:paraId="5CA11D3E"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0.1</w:t>
            </w:r>
          </w:p>
        </w:tc>
        <w:tc>
          <w:tcPr>
            <w:tcW w:w="960" w:type="dxa"/>
            <w:tcBorders>
              <w:bottom w:val="single" w:sz="4" w:space="0" w:color="auto"/>
            </w:tcBorders>
            <w:shd w:val="clear" w:color="auto" w:fill="auto"/>
            <w:noWrap/>
            <w:vAlign w:val="bottom"/>
            <w:hideMark/>
          </w:tcPr>
          <w:p w14:paraId="2BEBC890" w14:textId="77777777" w:rsidR="00EB5387" w:rsidRPr="00902FBB" w:rsidRDefault="00EB5387" w:rsidP="00B11E0C">
            <w:pPr>
              <w:jc w:val="center"/>
              <w:rPr>
                <w:rFonts w:ascii="Arial" w:hAnsi="Arial" w:cs="Arial"/>
                <w:b/>
                <w:bCs/>
                <w:color w:val="000000"/>
                <w:sz w:val="22"/>
                <w:szCs w:val="22"/>
              </w:rPr>
            </w:pPr>
            <w:r w:rsidRPr="00902FBB">
              <w:rPr>
                <w:rFonts w:ascii="Arial" w:hAnsi="Arial" w:cs="Arial"/>
                <w:b/>
                <w:bCs/>
                <w:color w:val="000000"/>
                <w:sz w:val="22"/>
                <w:szCs w:val="22"/>
              </w:rPr>
              <w:t>31.5</w:t>
            </w:r>
          </w:p>
        </w:tc>
      </w:tr>
    </w:tbl>
    <w:p w14:paraId="58187A34" w14:textId="77777777" w:rsidR="00EB5387" w:rsidRPr="00902FBB" w:rsidRDefault="00EB5387" w:rsidP="00EB5387">
      <w:pPr>
        <w:jc w:val="center"/>
        <w:rPr>
          <w:rFonts w:ascii="Arial" w:hAnsi="Arial" w:cs="Arial"/>
          <w:color w:val="000000"/>
          <w:sz w:val="22"/>
          <w:szCs w:val="22"/>
        </w:rPr>
      </w:pPr>
    </w:p>
    <w:p w14:paraId="3E150005" w14:textId="77777777" w:rsidR="00EB5387" w:rsidRPr="00902FBB" w:rsidRDefault="00EB5387" w:rsidP="00EB5387">
      <w:pPr>
        <w:jc w:val="both"/>
        <w:rPr>
          <w:rFonts w:ascii="Arial" w:hAnsi="Arial" w:cs="Arial"/>
          <w:sz w:val="22"/>
          <w:szCs w:val="22"/>
        </w:rPr>
      </w:pPr>
    </w:p>
    <w:p w14:paraId="46AEA592" w14:textId="77777777" w:rsidR="00EB5387" w:rsidRPr="00902FBB" w:rsidRDefault="00EB5387" w:rsidP="00EB5387">
      <w:pPr>
        <w:jc w:val="both"/>
        <w:rPr>
          <w:rFonts w:ascii="Arial" w:hAnsi="Arial" w:cs="Arial"/>
          <w:sz w:val="22"/>
          <w:szCs w:val="22"/>
        </w:rPr>
      </w:pPr>
    </w:p>
    <w:p w14:paraId="35129F24" w14:textId="77777777" w:rsidR="00EB5387" w:rsidRPr="00902FBB" w:rsidRDefault="00EB5387" w:rsidP="00EB5387">
      <w:pPr>
        <w:jc w:val="both"/>
        <w:rPr>
          <w:rFonts w:ascii="Arial" w:hAnsi="Arial" w:cs="Arial"/>
          <w:sz w:val="22"/>
          <w:szCs w:val="22"/>
        </w:rPr>
      </w:pPr>
      <w:r w:rsidRPr="00902FBB">
        <w:rPr>
          <w:rFonts w:ascii="Arial" w:hAnsi="Arial" w:cs="Arial"/>
          <w:noProof/>
          <w:sz w:val="22"/>
          <w:szCs w:val="22"/>
        </w:rPr>
        <w:lastRenderedPageBreak/>
        <w:drawing>
          <wp:inline distT="0" distB="0" distL="0" distR="0" wp14:anchorId="1A733797" wp14:editId="51286CA1">
            <wp:extent cx="5212080" cy="3945598"/>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6FFE66" w14:textId="77777777" w:rsidR="00EB5387" w:rsidRPr="00902FBB" w:rsidRDefault="00EB5387" w:rsidP="00EB5387">
      <w:pPr>
        <w:jc w:val="both"/>
        <w:rPr>
          <w:rFonts w:ascii="Arial" w:hAnsi="Arial" w:cs="Arial"/>
          <w:sz w:val="22"/>
          <w:szCs w:val="22"/>
        </w:rPr>
      </w:pPr>
    </w:p>
    <w:p w14:paraId="317F4C1F" w14:textId="77777777" w:rsidR="00EB5387" w:rsidRPr="00902FBB" w:rsidRDefault="00EB5387" w:rsidP="00EB5387">
      <w:pPr>
        <w:spacing w:before="100" w:beforeAutospacing="1" w:after="100" w:afterAutospacing="1"/>
        <w:outlineLvl w:val="3"/>
        <w:rPr>
          <w:rFonts w:ascii="Arial" w:hAnsi="Arial" w:cs="Arial"/>
          <w:b/>
          <w:bCs/>
          <w:sz w:val="22"/>
          <w:szCs w:val="22"/>
        </w:rPr>
      </w:pPr>
      <w:r w:rsidRPr="00902FBB">
        <w:rPr>
          <w:rFonts w:ascii="Arial" w:hAnsi="Arial" w:cs="Arial"/>
          <w:b/>
          <w:bCs/>
          <w:sz w:val="22"/>
          <w:szCs w:val="22"/>
        </w:rPr>
        <w:t xml:space="preserve">3.1 Influence of years on growth and yield parameters </w:t>
      </w:r>
    </w:p>
    <w:p w14:paraId="7B981C85" w14:textId="77777777" w:rsidR="00EB5387" w:rsidRPr="00902FBB" w:rsidRDefault="00EB5387" w:rsidP="00EB5387">
      <w:pPr>
        <w:jc w:val="both"/>
        <w:rPr>
          <w:rFonts w:ascii="Arial" w:hAnsi="Arial" w:cs="Arial"/>
          <w:sz w:val="22"/>
          <w:szCs w:val="22"/>
        </w:rPr>
      </w:pPr>
      <w:r w:rsidRPr="00902FBB">
        <w:rPr>
          <w:rFonts w:ascii="Arial" w:hAnsi="Arial" w:cs="Arial"/>
          <w:sz w:val="22"/>
          <w:szCs w:val="22"/>
        </w:rPr>
        <w:t xml:space="preserve">The analysis of variance (ANOVA) in Table 2. revealed highly significant differences (p &lt; 0.01 or p &lt; 0.001) between the two growing years, 2019–2020 and 2020–2021, for all measured parameters. The second year (2020–2021) </w:t>
      </w:r>
      <w:commentRangeStart w:id="8"/>
      <w:r w:rsidRPr="00902FBB">
        <w:rPr>
          <w:rFonts w:ascii="Arial" w:hAnsi="Arial" w:cs="Arial"/>
          <w:sz w:val="22"/>
          <w:szCs w:val="22"/>
        </w:rPr>
        <w:t>Means</w:t>
      </w:r>
      <w:commentRangeEnd w:id="8"/>
      <w:r w:rsidRPr="00902FBB">
        <w:rPr>
          <w:rStyle w:val="CommentReference"/>
          <w:rFonts w:ascii="Arial" w:hAnsi="Arial" w:cs="Arial"/>
          <w:lang w:val="nb-NO" w:eastAsia="nb-NO"/>
        </w:rPr>
        <w:commentReference w:id="8"/>
      </w:r>
      <w:r w:rsidRPr="00902FBB">
        <w:rPr>
          <w:rFonts w:ascii="Arial" w:hAnsi="Arial" w:cs="Arial"/>
          <w:sz w:val="22"/>
          <w:szCs w:val="22"/>
        </w:rPr>
        <w:t xml:space="preserve"> performance in Table 3a </w:t>
      </w:r>
      <w:commentRangeStart w:id="9"/>
      <w:r w:rsidRPr="00902FBB">
        <w:rPr>
          <w:rFonts w:ascii="Arial" w:hAnsi="Arial" w:cs="Arial"/>
          <w:sz w:val="22"/>
          <w:szCs w:val="22"/>
        </w:rPr>
        <w:t>showed superior performance in most traits</w:t>
      </w:r>
      <w:commentRangeEnd w:id="9"/>
      <w:r w:rsidRPr="00902FBB">
        <w:rPr>
          <w:rStyle w:val="CommentReference"/>
          <w:rFonts w:ascii="Arial" w:hAnsi="Arial" w:cs="Arial"/>
          <w:lang w:val="nb-NO" w:eastAsia="nb-NO"/>
        </w:rPr>
        <w:commentReference w:id="9"/>
      </w:r>
      <w:r w:rsidRPr="00902FBB">
        <w:rPr>
          <w:rFonts w:ascii="Arial" w:hAnsi="Arial" w:cs="Arial"/>
          <w:sz w:val="22"/>
          <w:szCs w:val="22"/>
        </w:rPr>
        <w:t>, including the number of lateral branches per plant (</w:t>
      </w:r>
      <w:commentRangeStart w:id="10"/>
      <w:r w:rsidRPr="00902FBB">
        <w:rPr>
          <w:rFonts w:ascii="Arial" w:hAnsi="Arial" w:cs="Arial"/>
          <w:sz w:val="22"/>
          <w:szCs w:val="22"/>
        </w:rPr>
        <w:t>3.00</w:t>
      </w:r>
      <w:commentRangeEnd w:id="10"/>
      <w:r w:rsidRPr="00902FBB">
        <w:rPr>
          <w:rStyle w:val="CommentReference"/>
          <w:rFonts w:ascii="Arial" w:hAnsi="Arial" w:cs="Arial"/>
          <w:lang w:val="nb-NO" w:eastAsia="nb-NO"/>
        </w:rPr>
        <w:commentReference w:id="10"/>
      </w:r>
      <w:r w:rsidRPr="00902FBB">
        <w:rPr>
          <w:rFonts w:ascii="Arial" w:hAnsi="Arial" w:cs="Arial"/>
          <w:sz w:val="22"/>
          <w:szCs w:val="22"/>
        </w:rPr>
        <w:t>), the number of leaves per plant (91.08), the number of flowers per plant (63.54), the number of fruits per plant (5.46), and the fruit yield per plant (6.89 kg). These findings indicate that environmental differences between the two cropping seasons (2019–2020 and 2020–2021) substantially influenced the growth and productivity of pumpkin. Season (2020–2021) was more favourable for pumpkin growth and yield. Similar findings were reported by Oloyede &amp; Adebooye (2013), who noted that inter-annual climatic variations significantly affect pumpkin productivity, with warmer and more stable conditions enhancing yield. Variability in climatic conditions—particularly rainfall distribution, temperature, and light intensity—likely contributed to these differences. However, It is important to mention that the fruit set percentage (%) was the least favourable trait in 2020–2021. Despite this year showing a higher number of flowers (63.54 compared to 30.46 in 2019–2020), the lower fruit set percentage indicates that factors such as the sex ratio, environmental stress, and resource competition may have contributed to the abortion of these flowers and, hence, lower fruit set.</w:t>
      </w:r>
      <w:r w:rsidRPr="00902FBB">
        <w:rPr>
          <w:rStyle w:val="fontstyle01"/>
          <w:rFonts w:ascii="Arial" w:hAnsi="Arial" w:cs="Arial"/>
          <w:sz w:val="22"/>
          <w:szCs w:val="22"/>
        </w:rPr>
        <w:t xml:space="preserve"> </w:t>
      </w:r>
      <w:r w:rsidRPr="00902FBB">
        <w:rPr>
          <w:rFonts w:ascii="Arial" w:hAnsi="Arial" w:cs="Arial"/>
          <w:sz w:val="22"/>
          <w:szCs w:val="22"/>
        </w:rPr>
        <w:t xml:space="preserve">Climatological data, as per Table 1, and their deviations suggest that the 2020-2021 season was warmer than the 2019- 2020 season, favouring pumpkin growth and yield. The lower fruit set percentage is due to </w:t>
      </w:r>
      <w:r w:rsidRPr="00902FBB">
        <w:rPr>
          <w:rFonts w:ascii="Arial" w:hAnsi="Arial" w:cs="Arial"/>
          <w:sz w:val="22"/>
          <w:szCs w:val="22"/>
        </w:rPr>
        <w:lastRenderedPageBreak/>
        <w:t>trade due to high production of flower production without adequate resource allocation for fruit development in 2020-2021.</w:t>
      </w:r>
    </w:p>
    <w:p w14:paraId="158B23AA" w14:textId="77777777" w:rsidR="00EB5387" w:rsidRPr="00902FBB" w:rsidRDefault="00EB5387" w:rsidP="00EB5387">
      <w:pPr>
        <w:jc w:val="both"/>
        <w:rPr>
          <w:rFonts w:ascii="Arial" w:hAnsi="Arial" w:cs="Arial"/>
          <w:color w:val="0E101A"/>
          <w:sz w:val="22"/>
          <w:szCs w:val="22"/>
        </w:rPr>
      </w:pPr>
    </w:p>
    <w:p w14:paraId="15E3E24A" w14:textId="77777777" w:rsidR="00EB5387" w:rsidRPr="00902FBB" w:rsidRDefault="00EB5387" w:rsidP="00EB5387">
      <w:pPr>
        <w:jc w:val="both"/>
        <w:rPr>
          <w:rFonts w:ascii="Arial" w:hAnsi="Arial" w:cs="Arial"/>
          <w:b/>
          <w:bCs/>
          <w:color w:val="0E101A"/>
          <w:sz w:val="22"/>
          <w:szCs w:val="22"/>
        </w:rPr>
      </w:pPr>
      <w:r w:rsidRPr="00902FBB">
        <w:rPr>
          <w:rFonts w:ascii="Arial" w:hAnsi="Arial" w:cs="Arial"/>
          <w:b/>
          <w:bCs/>
          <w:color w:val="0E101A"/>
          <w:sz w:val="22"/>
          <w:szCs w:val="22"/>
        </w:rPr>
        <w:t>3.2 Effect of sowing method on</w:t>
      </w:r>
      <w:r w:rsidRPr="00902FBB">
        <w:rPr>
          <w:rFonts w:ascii="Arial" w:hAnsi="Arial" w:cs="Arial"/>
          <w:b/>
          <w:bCs/>
          <w:sz w:val="22"/>
          <w:szCs w:val="22"/>
        </w:rPr>
        <w:t xml:space="preserve"> growth and yield parameters</w:t>
      </w:r>
    </w:p>
    <w:p w14:paraId="626CE6D4" w14:textId="77777777" w:rsidR="00EB5387" w:rsidRPr="00902FBB" w:rsidRDefault="00EB5387" w:rsidP="00EB5387">
      <w:pPr>
        <w:jc w:val="both"/>
        <w:rPr>
          <w:rFonts w:ascii="Arial" w:hAnsi="Arial" w:cs="Arial"/>
          <w:color w:val="0E101A"/>
          <w:sz w:val="22"/>
          <w:szCs w:val="22"/>
        </w:rPr>
      </w:pPr>
      <w:r w:rsidRPr="00902FBB">
        <w:rPr>
          <w:rFonts w:ascii="Arial" w:hAnsi="Arial" w:cs="Arial"/>
          <w:color w:val="0E101A"/>
          <w:sz w:val="22"/>
          <w:szCs w:val="22"/>
        </w:rPr>
        <w:t xml:space="preserve">The sowing method had no significant effect on most traits, including number of fruits per plant. However, the one-side sowing configuration significantly influenced the fruit yield per plant (p &lt; 0.05), resulting in an average of 6.56 kg per plant as shown in </w:t>
      </w:r>
      <w:commentRangeStart w:id="11"/>
      <w:r w:rsidRPr="00902FBB">
        <w:rPr>
          <w:rFonts w:ascii="Arial" w:hAnsi="Arial" w:cs="Arial"/>
          <w:color w:val="0E101A"/>
          <w:sz w:val="22"/>
          <w:szCs w:val="22"/>
        </w:rPr>
        <w:t xml:space="preserve">Table 2 and 3a </w:t>
      </w:r>
      <w:commentRangeEnd w:id="11"/>
      <w:r w:rsidRPr="00902FBB">
        <w:rPr>
          <w:rStyle w:val="CommentReference"/>
          <w:rFonts w:ascii="Arial" w:hAnsi="Arial" w:cs="Arial"/>
          <w:lang w:val="nb-NO" w:eastAsia="nb-NO"/>
        </w:rPr>
        <w:commentReference w:id="11"/>
      </w:r>
      <w:r w:rsidRPr="00902FBB">
        <w:rPr>
          <w:rFonts w:ascii="Arial" w:hAnsi="Arial" w:cs="Arial"/>
          <w:color w:val="0E101A"/>
          <w:sz w:val="22"/>
          <w:szCs w:val="22"/>
        </w:rPr>
        <w:t xml:space="preserve">respectively. This suggests that, although the number of fruits per plant was not significantly different, the one-side sowing configuration increased fruit weight, leading to higher overall yield. This may be attributed to reduced competition for resources, allowing the plants to produce heavier fruits. Similar outcomes were reported by </w:t>
      </w:r>
      <w:commentRangeStart w:id="12"/>
      <w:r w:rsidRPr="00902FBB">
        <w:rPr>
          <w:rFonts w:ascii="Arial" w:hAnsi="Arial" w:cs="Arial"/>
          <w:color w:val="0E101A"/>
          <w:sz w:val="22"/>
          <w:szCs w:val="22"/>
        </w:rPr>
        <w:t xml:space="preserve">Obiadalla-Ali, (2009) </w:t>
      </w:r>
      <w:commentRangeEnd w:id="12"/>
      <w:r w:rsidRPr="00902FBB">
        <w:rPr>
          <w:rStyle w:val="CommentReference"/>
          <w:rFonts w:ascii="Arial" w:hAnsi="Arial" w:cs="Arial"/>
          <w:lang w:val="nb-NO" w:eastAsia="nb-NO"/>
        </w:rPr>
        <w:commentReference w:id="12"/>
      </w:r>
      <w:r w:rsidRPr="00902FBB">
        <w:rPr>
          <w:rFonts w:ascii="Arial" w:hAnsi="Arial" w:cs="Arial"/>
          <w:color w:val="0E101A"/>
          <w:sz w:val="22"/>
          <w:szCs w:val="22"/>
        </w:rPr>
        <w:t xml:space="preserve">and </w:t>
      </w:r>
      <w:r w:rsidRPr="00902FBB">
        <w:rPr>
          <w:rFonts w:ascii="Arial" w:hAnsi="Arial" w:cs="Arial"/>
          <w:sz w:val="22"/>
          <w:szCs w:val="22"/>
        </w:rPr>
        <w:t xml:space="preserve">Sure </w:t>
      </w:r>
      <w:commentRangeStart w:id="13"/>
      <w:r w:rsidRPr="00902FBB">
        <w:rPr>
          <w:rFonts w:ascii="Arial" w:hAnsi="Arial" w:cs="Arial"/>
          <w:sz w:val="22"/>
          <w:szCs w:val="22"/>
        </w:rPr>
        <w:t>et a</w:t>
      </w:r>
      <w:commentRangeEnd w:id="13"/>
      <w:r w:rsidRPr="00902FBB">
        <w:rPr>
          <w:rStyle w:val="CommentReference"/>
          <w:rFonts w:ascii="Arial" w:hAnsi="Arial" w:cs="Arial"/>
          <w:lang w:val="nb-NO" w:eastAsia="nb-NO"/>
        </w:rPr>
        <w:commentReference w:id="13"/>
      </w:r>
      <w:r w:rsidRPr="00902FBB">
        <w:rPr>
          <w:rFonts w:ascii="Arial" w:hAnsi="Arial" w:cs="Arial"/>
          <w:sz w:val="22"/>
          <w:szCs w:val="22"/>
        </w:rPr>
        <w:t xml:space="preserve">l. (2012) </w:t>
      </w:r>
      <w:r w:rsidRPr="00902FBB">
        <w:rPr>
          <w:rFonts w:ascii="Arial" w:hAnsi="Arial" w:cs="Arial"/>
          <w:color w:val="0E101A"/>
          <w:sz w:val="22"/>
          <w:szCs w:val="22"/>
        </w:rPr>
        <w:t>who observed that raised bed planting in pumpkin enhanced yield by improving root zone microclimate and reducing waterlogging.</w:t>
      </w:r>
    </w:p>
    <w:p w14:paraId="06E04AD4" w14:textId="77777777" w:rsidR="00EB5387" w:rsidRPr="00902FBB" w:rsidRDefault="00EB5387" w:rsidP="00EB5387">
      <w:pPr>
        <w:jc w:val="both"/>
        <w:rPr>
          <w:rFonts w:ascii="Arial" w:hAnsi="Arial" w:cs="Arial"/>
          <w:b/>
          <w:bCs/>
          <w:color w:val="0E101A"/>
          <w:sz w:val="22"/>
          <w:szCs w:val="22"/>
        </w:rPr>
      </w:pPr>
      <w:r w:rsidRPr="00902FBB">
        <w:rPr>
          <w:rFonts w:ascii="Arial" w:hAnsi="Arial" w:cs="Arial"/>
          <w:b/>
          <w:bCs/>
          <w:color w:val="0E101A"/>
          <w:sz w:val="22"/>
          <w:szCs w:val="22"/>
        </w:rPr>
        <w:t>3.3 Effect of sowing date on</w:t>
      </w:r>
      <w:r w:rsidRPr="00902FBB">
        <w:rPr>
          <w:rFonts w:ascii="Arial" w:hAnsi="Arial" w:cs="Arial"/>
          <w:b/>
          <w:bCs/>
          <w:sz w:val="22"/>
          <w:szCs w:val="22"/>
        </w:rPr>
        <w:t xml:space="preserve"> growth and yield parameters</w:t>
      </w:r>
    </w:p>
    <w:p w14:paraId="65A36B80" w14:textId="77777777" w:rsidR="00EB5387" w:rsidRPr="00902FBB" w:rsidRDefault="00EB5387" w:rsidP="00EB5387">
      <w:pPr>
        <w:pStyle w:val="ListParagraph"/>
        <w:ind w:left="0"/>
        <w:jc w:val="both"/>
        <w:rPr>
          <w:rFonts w:ascii="Arial" w:hAnsi="Arial" w:cs="Arial"/>
        </w:rPr>
      </w:pPr>
      <w:r w:rsidRPr="00902FBB">
        <w:rPr>
          <w:rFonts w:ascii="Arial" w:hAnsi="Arial" w:cs="Arial"/>
        </w:rPr>
        <w:t xml:space="preserve">The sowing date significantly influences several traits, as shown in Table 3a. Highly significant effects were observed for the number of lateral branches (4.19***), the number of flowers per plant (858.06**), the fruit set percentage (123.93**), the number of fruits per plant (20.021*), and fruit yield per plant (kg) (32.71*). This indicates that the sowing date plays a critical role in aligning pumpkin growth stages with favourable environmental conditions. Table 3 shows that the sowing date of November 14 significantly impacts the number of lateral branches (4.06), the number of flowers per plant (55.31), the number of fruits per plant (5.38), and fruit yield per plant (6.79 kg). On the other hand, an early sowing date of November 4 results in a significantly higher fruit set percentage and is statistically comparable to the November 14 sowing date for traits such as the number of fruits per plant (4.69) and fruit yield per plant (5.81 kg). This suggests that early or optimally timed sowing can enhance vegetative development and improve reproductive success by avoiding extreme temperatures, rainfall and high humidity during flowering (Latifi </w:t>
      </w:r>
      <w:commentRangeStart w:id="14"/>
      <w:r w:rsidRPr="00902FBB">
        <w:rPr>
          <w:rFonts w:ascii="Arial" w:hAnsi="Arial" w:cs="Arial"/>
        </w:rPr>
        <w:t>et al</w:t>
      </w:r>
      <w:commentRangeEnd w:id="14"/>
      <w:r w:rsidRPr="00902FBB">
        <w:rPr>
          <w:rStyle w:val="CommentReference"/>
          <w:rFonts w:ascii="Arial" w:hAnsi="Arial" w:cs="Arial"/>
          <w:lang w:val="nb-NO" w:eastAsia="nb-NO"/>
        </w:rPr>
        <w:commentReference w:id="14"/>
      </w:r>
      <w:r w:rsidRPr="00902FBB">
        <w:rPr>
          <w:rFonts w:ascii="Arial" w:hAnsi="Arial" w:cs="Arial"/>
        </w:rPr>
        <w:t>., 2012; Oloyede &amp; Adebooye , 2013). In Bangladesh, sowing time significantly affected the incidence and severity of cucumber mosaic virus (CMV) on pumpkin, as well as overall yield. An early sowing on October 25th resulted in lower disease incidence and severity, and higher yield, compared to a later sowing on November 5</w:t>
      </w:r>
      <w:r w:rsidRPr="00902FBB">
        <w:rPr>
          <w:rFonts w:ascii="Arial" w:hAnsi="Arial" w:cs="Arial"/>
          <w:vertAlign w:val="superscript"/>
        </w:rPr>
        <w:t>th</w:t>
      </w:r>
      <w:r w:rsidRPr="00902FBB">
        <w:rPr>
          <w:rFonts w:ascii="Arial" w:hAnsi="Arial" w:cs="Arial"/>
        </w:rPr>
        <w:t xml:space="preserve"> (Sadia </w:t>
      </w:r>
      <w:commentRangeStart w:id="15"/>
      <w:r w:rsidRPr="00902FBB">
        <w:rPr>
          <w:rFonts w:ascii="Arial" w:hAnsi="Arial" w:cs="Arial"/>
        </w:rPr>
        <w:t>et al</w:t>
      </w:r>
      <w:commentRangeEnd w:id="15"/>
      <w:r w:rsidRPr="00902FBB">
        <w:rPr>
          <w:rStyle w:val="CommentReference"/>
          <w:rFonts w:ascii="Arial" w:hAnsi="Arial" w:cs="Arial"/>
          <w:lang w:val="nb-NO" w:eastAsia="nb-NO"/>
        </w:rPr>
        <w:commentReference w:id="15"/>
      </w:r>
      <w:r w:rsidRPr="00902FBB">
        <w:rPr>
          <w:rFonts w:ascii="Arial" w:hAnsi="Arial" w:cs="Arial"/>
        </w:rPr>
        <w:t xml:space="preserve">.  2023).  </w:t>
      </w:r>
    </w:p>
    <w:p w14:paraId="495FE817" w14:textId="77777777" w:rsidR="00EB5387" w:rsidRPr="00902FBB" w:rsidRDefault="00EB5387" w:rsidP="00EB5387">
      <w:pPr>
        <w:widowControl w:val="0"/>
        <w:autoSpaceDE w:val="0"/>
        <w:autoSpaceDN w:val="0"/>
        <w:adjustRightInd w:val="0"/>
        <w:jc w:val="both"/>
        <w:rPr>
          <w:rFonts w:ascii="Arial" w:hAnsi="Arial" w:cs="Arial"/>
          <w:sz w:val="22"/>
          <w:szCs w:val="22"/>
        </w:rPr>
      </w:pPr>
      <w:r w:rsidRPr="00902FBB">
        <w:rPr>
          <w:rFonts w:ascii="Arial" w:hAnsi="Arial" w:cs="Arial"/>
          <w:sz w:val="22"/>
          <w:szCs w:val="22"/>
        </w:rPr>
        <w:t xml:space="preserve">In Nigeria, studies on </w:t>
      </w:r>
      <w:r w:rsidRPr="00902FBB">
        <w:rPr>
          <w:rFonts w:ascii="Arial" w:hAnsi="Arial" w:cs="Arial"/>
          <w:i/>
          <w:iCs/>
          <w:sz w:val="22"/>
          <w:szCs w:val="22"/>
        </w:rPr>
        <w:t>Cucurbita pepo</w:t>
      </w:r>
      <w:r w:rsidRPr="00902FBB">
        <w:rPr>
          <w:rFonts w:ascii="Arial" w:hAnsi="Arial" w:cs="Arial"/>
          <w:sz w:val="22"/>
          <w:szCs w:val="22"/>
        </w:rPr>
        <w:t xml:space="preserve"> suggested that early planting is beneficial because delayed planting led to a significant reduction in fruit yield and protein content. Crops that experienced less rainfall, moderately high temperatures, and more sunshine generally showed higher fruit yield and protein levels (Oloyede &amp; Adebooye 2013).This is especially important for temperature-sensitive crops like pumpkin, where thermal and photoperiodic stress can significantly reduce fruit set and seed development. across various tropical and subtropical regions, evidence strongly supports that strategic adjustments to sowing and planting dates, often favoring earlier periods or specific seasonal windows, can significantly boost pumpkin and squash yields, enhance fruit quality, accelerate plant maturity, and help mitigate disease incidence, largely by leveraging optimal environmental conditions for growth and pollination (Mohamed, 2011; Latifi </w:t>
      </w:r>
      <w:commentRangeStart w:id="16"/>
      <w:r w:rsidRPr="00902FBB">
        <w:rPr>
          <w:rFonts w:ascii="Arial" w:hAnsi="Arial" w:cs="Arial"/>
          <w:sz w:val="22"/>
          <w:szCs w:val="22"/>
        </w:rPr>
        <w:t>et al</w:t>
      </w:r>
      <w:commentRangeEnd w:id="16"/>
      <w:r w:rsidRPr="00902FBB">
        <w:rPr>
          <w:rStyle w:val="CommentReference"/>
          <w:rFonts w:ascii="Arial" w:hAnsi="Arial" w:cs="Arial"/>
          <w:lang w:val="nb-NO" w:eastAsia="nb-NO"/>
        </w:rPr>
        <w:commentReference w:id="16"/>
      </w:r>
      <w:r w:rsidRPr="00902FBB">
        <w:rPr>
          <w:rFonts w:ascii="Arial" w:hAnsi="Arial" w:cs="Arial"/>
          <w:sz w:val="22"/>
          <w:szCs w:val="22"/>
        </w:rPr>
        <w:t xml:space="preserve">., 2012; Oloyede &amp; Adebooye 2013; Sumathi  &amp; Srimathi  (2013);  Sawale 2022; Sadia </w:t>
      </w:r>
      <w:commentRangeStart w:id="17"/>
      <w:r w:rsidRPr="00902FBB">
        <w:rPr>
          <w:rFonts w:ascii="Arial" w:hAnsi="Arial" w:cs="Arial"/>
          <w:sz w:val="22"/>
          <w:szCs w:val="22"/>
        </w:rPr>
        <w:t>et al</w:t>
      </w:r>
      <w:commentRangeEnd w:id="17"/>
      <w:r w:rsidRPr="00902FBB">
        <w:rPr>
          <w:rStyle w:val="CommentReference"/>
          <w:rFonts w:ascii="Arial" w:hAnsi="Arial" w:cs="Arial"/>
          <w:lang w:val="nb-NO" w:eastAsia="nb-NO"/>
        </w:rPr>
        <w:commentReference w:id="17"/>
      </w:r>
      <w:r w:rsidRPr="00902FBB">
        <w:rPr>
          <w:rFonts w:ascii="Arial" w:hAnsi="Arial" w:cs="Arial"/>
          <w:sz w:val="22"/>
          <w:szCs w:val="22"/>
        </w:rPr>
        <w:t xml:space="preserve">.  2023; Kakoli </w:t>
      </w:r>
      <w:commentRangeStart w:id="18"/>
      <w:r w:rsidRPr="00902FBB">
        <w:rPr>
          <w:rFonts w:ascii="Arial" w:hAnsi="Arial" w:cs="Arial"/>
          <w:sz w:val="22"/>
          <w:szCs w:val="22"/>
        </w:rPr>
        <w:t>et al</w:t>
      </w:r>
      <w:commentRangeEnd w:id="18"/>
      <w:r w:rsidRPr="00902FBB">
        <w:rPr>
          <w:rStyle w:val="CommentReference"/>
          <w:rFonts w:ascii="Arial" w:hAnsi="Arial" w:cs="Arial"/>
          <w:lang w:val="nb-NO" w:eastAsia="nb-NO"/>
        </w:rPr>
        <w:commentReference w:id="18"/>
      </w:r>
      <w:r w:rsidRPr="00902FBB">
        <w:rPr>
          <w:rFonts w:ascii="Arial" w:hAnsi="Arial" w:cs="Arial"/>
          <w:sz w:val="22"/>
          <w:szCs w:val="22"/>
        </w:rPr>
        <w:t>., 2025).  Sumathi, S., &amp; Srimathi, P. (2013).</w:t>
      </w:r>
    </w:p>
    <w:p w14:paraId="7F5784FB" w14:textId="77777777" w:rsidR="00EB5387" w:rsidRPr="00902FBB" w:rsidRDefault="00EB5387" w:rsidP="00EB5387">
      <w:pPr>
        <w:widowControl w:val="0"/>
        <w:autoSpaceDE w:val="0"/>
        <w:autoSpaceDN w:val="0"/>
        <w:adjustRightInd w:val="0"/>
        <w:jc w:val="both"/>
        <w:rPr>
          <w:rFonts w:ascii="Arial" w:hAnsi="Arial" w:cs="Arial"/>
          <w:sz w:val="22"/>
          <w:szCs w:val="22"/>
        </w:rPr>
      </w:pPr>
    </w:p>
    <w:p w14:paraId="5B958E16" w14:textId="77777777" w:rsidR="00EB5387" w:rsidRPr="00902FBB" w:rsidRDefault="00EB5387" w:rsidP="00EB5387">
      <w:pPr>
        <w:widowControl w:val="0"/>
        <w:autoSpaceDE w:val="0"/>
        <w:autoSpaceDN w:val="0"/>
        <w:adjustRightInd w:val="0"/>
        <w:jc w:val="center"/>
        <w:rPr>
          <w:rFonts w:ascii="Arial" w:hAnsi="Arial" w:cs="Arial"/>
          <w:sz w:val="22"/>
          <w:szCs w:val="22"/>
        </w:rPr>
      </w:pPr>
    </w:p>
    <w:p w14:paraId="1378DA68" w14:textId="77777777" w:rsidR="00EB5387" w:rsidRPr="00902FBB" w:rsidRDefault="00EB5387" w:rsidP="00EB5387">
      <w:pPr>
        <w:jc w:val="center"/>
        <w:rPr>
          <w:rFonts w:ascii="Arial" w:hAnsi="Arial" w:cs="Arial"/>
          <w:b/>
          <w:bCs/>
          <w:sz w:val="22"/>
          <w:szCs w:val="22"/>
        </w:rPr>
      </w:pPr>
      <w:r w:rsidRPr="00902FBB">
        <w:rPr>
          <w:rFonts w:ascii="Arial" w:hAnsi="Arial" w:cs="Arial"/>
          <w:b/>
          <w:bCs/>
          <w:sz w:val="22"/>
          <w:szCs w:val="22"/>
        </w:rPr>
        <w:t>Table 2. Analysis of variance for the growth and yield parameters as affected by year (Y), sowing methods (SM), seed date (SD), and their interactions for the field experiments conducted in 2019–2020 and 2020–2021.</w:t>
      </w:r>
    </w:p>
    <w:tbl>
      <w:tblPr>
        <w:tblStyle w:val="TableGrid"/>
        <w:tblpPr w:leftFromText="180" w:rightFromText="180" w:vertAnchor="page" w:horzAnchor="margin" w:tblpXSpec="center" w:tblpY="2931"/>
        <w:tblW w:w="10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1219"/>
        <w:gridCol w:w="1220"/>
        <w:gridCol w:w="1428"/>
        <w:gridCol w:w="1309"/>
        <w:gridCol w:w="1403"/>
        <w:gridCol w:w="1212"/>
      </w:tblGrid>
      <w:tr w:rsidR="00EB5387" w:rsidRPr="00902FBB" w14:paraId="778FDAE4" w14:textId="77777777" w:rsidTr="00B11E0C">
        <w:tc>
          <w:tcPr>
            <w:tcW w:w="2536" w:type="dxa"/>
            <w:tcBorders>
              <w:top w:val="single" w:sz="4" w:space="0" w:color="auto"/>
              <w:bottom w:val="single" w:sz="4" w:space="0" w:color="auto"/>
            </w:tcBorders>
            <w:vAlign w:val="center"/>
          </w:tcPr>
          <w:p w14:paraId="1E5F774A" w14:textId="77777777" w:rsidR="00EB5387" w:rsidRPr="00902FBB" w:rsidRDefault="00EB5387" w:rsidP="00B11E0C">
            <w:pPr>
              <w:jc w:val="center"/>
              <w:rPr>
                <w:rFonts w:ascii="Arial" w:hAnsi="Arial" w:cs="Arial"/>
                <w:b/>
                <w:bCs/>
              </w:rPr>
            </w:pPr>
            <w:r w:rsidRPr="00902FBB">
              <w:rPr>
                <w:rFonts w:ascii="Arial" w:hAnsi="Arial" w:cs="Arial"/>
                <w:b/>
                <w:bCs/>
              </w:rPr>
              <w:lastRenderedPageBreak/>
              <w:t>Source of Variation</w:t>
            </w:r>
          </w:p>
        </w:tc>
        <w:tc>
          <w:tcPr>
            <w:tcW w:w="1219" w:type="dxa"/>
            <w:tcBorders>
              <w:top w:val="single" w:sz="4" w:space="0" w:color="auto"/>
              <w:bottom w:val="single" w:sz="4" w:space="0" w:color="auto"/>
            </w:tcBorders>
            <w:vAlign w:val="center"/>
          </w:tcPr>
          <w:p w14:paraId="4F700B81" w14:textId="77777777" w:rsidR="00EB5387" w:rsidRPr="00902FBB" w:rsidRDefault="00EB5387" w:rsidP="00B11E0C">
            <w:pPr>
              <w:jc w:val="center"/>
              <w:rPr>
                <w:rFonts w:ascii="Arial" w:hAnsi="Arial" w:cs="Arial"/>
                <w:b/>
                <w:bCs/>
              </w:rPr>
            </w:pPr>
            <w:r w:rsidRPr="00902FBB">
              <w:rPr>
                <w:rFonts w:ascii="Arial" w:hAnsi="Arial" w:cs="Arial"/>
                <w:b/>
                <w:bCs/>
              </w:rPr>
              <w:t>Number of Lateral Branches per Plant</w:t>
            </w:r>
          </w:p>
        </w:tc>
        <w:tc>
          <w:tcPr>
            <w:tcW w:w="1220" w:type="dxa"/>
            <w:tcBorders>
              <w:top w:val="single" w:sz="4" w:space="0" w:color="auto"/>
              <w:bottom w:val="single" w:sz="4" w:space="0" w:color="auto"/>
            </w:tcBorders>
            <w:vAlign w:val="center"/>
          </w:tcPr>
          <w:p w14:paraId="1876217E" w14:textId="77777777" w:rsidR="00EB5387" w:rsidRPr="00902FBB" w:rsidRDefault="00EB5387" w:rsidP="00B11E0C">
            <w:pPr>
              <w:jc w:val="center"/>
              <w:rPr>
                <w:rFonts w:ascii="Arial" w:hAnsi="Arial" w:cs="Arial"/>
                <w:b/>
                <w:bCs/>
              </w:rPr>
            </w:pPr>
            <w:r w:rsidRPr="00902FBB">
              <w:rPr>
                <w:rFonts w:ascii="Arial" w:hAnsi="Arial" w:cs="Arial"/>
                <w:b/>
                <w:bCs/>
              </w:rPr>
              <w:t>Number of Leaves per Plant</w:t>
            </w:r>
          </w:p>
        </w:tc>
        <w:tc>
          <w:tcPr>
            <w:tcW w:w="1428" w:type="dxa"/>
            <w:tcBorders>
              <w:top w:val="single" w:sz="4" w:space="0" w:color="auto"/>
              <w:bottom w:val="single" w:sz="4" w:space="0" w:color="auto"/>
            </w:tcBorders>
            <w:vAlign w:val="center"/>
          </w:tcPr>
          <w:p w14:paraId="06EF9925" w14:textId="77777777" w:rsidR="00EB5387" w:rsidRPr="00902FBB" w:rsidRDefault="00EB5387" w:rsidP="00B11E0C">
            <w:pPr>
              <w:jc w:val="center"/>
              <w:rPr>
                <w:rFonts w:ascii="Arial" w:hAnsi="Arial" w:cs="Arial"/>
                <w:b/>
                <w:bCs/>
              </w:rPr>
            </w:pPr>
            <w:r w:rsidRPr="00902FBB">
              <w:rPr>
                <w:rFonts w:ascii="Arial" w:hAnsi="Arial" w:cs="Arial"/>
                <w:b/>
                <w:bCs/>
              </w:rPr>
              <w:t>Number of Flowers per Plant</w:t>
            </w:r>
          </w:p>
        </w:tc>
        <w:tc>
          <w:tcPr>
            <w:tcW w:w="1309" w:type="dxa"/>
            <w:tcBorders>
              <w:top w:val="single" w:sz="4" w:space="0" w:color="auto"/>
              <w:bottom w:val="single" w:sz="4" w:space="0" w:color="auto"/>
            </w:tcBorders>
            <w:vAlign w:val="center"/>
          </w:tcPr>
          <w:p w14:paraId="30D2E706" w14:textId="77777777" w:rsidR="00EB5387" w:rsidRPr="00902FBB" w:rsidRDefault="00EB5387" w:rsidP="00B11E0C">
            <w:pPr>
              <w:jc w:val="center"/>
              <w:rPr>
                <w:rFonts w:ascii="Arial" w:hAnsi="Arial" w:cs="Arial"/>
                <w:b/>
                <w:bCs/>
              </w:rPr>
            </w:pPr>
            <w:r w:rsidRPr="00902FBB">
              <w:rPr>
                <w:rFonts w:ascii="Arial" w:hAnsi="Arial" w:cs="Arial"/>
                <w:b/>
                <w:bCs/>
              </w:rPr>
              <w:t>Number of Fruits per Plant</w:t>
            </w:r>
          </w:p>
        </w:tc>
        <w:tc>
          <w:tcPr>
            <w:tcW w:w="1403" w:type="dxa"/>
            <w:tcBorders>
              <w:top w:val="single" w:sz="4" w:space="0" w:color="auto"/>
              <w:bottom w:val="single" w:sz="4" w:space="0" w:color="auto"/>
            </w:tcBorders>
            <w:vAlign w:val="center"/>
          </w:tcPr>
          <w:p w14:paraId="25F5AF11" w14:textId="77777777" w:rsidR="00EB5387" w:rsidRPr="00902FBB" w:rsidRDefault="00EB5387" w:rsidP="00B11E0C">
            <w:pPr>
              <w:jc w:val="center"/>
              <w:rPr>
                <w:rFonts w:ascii="Arial" w:hAnsi="Arial" w:cs="Arial"/>
                <w:b/>
                <w:bCs/>
              </w:rPr>
            </w:pPr>
            <w:r w:rsidRPr="00902FBB">
              <w:rPr>
                <w:rStyle w:val="Strong"/>
                <w:rFonts w:ascii="Arial" w:hAnsi="Arial" w:cs="Arial"/>
              </w:rPr>
              <w:t>Fruit Set Percentage (%)</w:t>
            </w:r>
          </w:p>
        </w:tc>
        <w:tc>
          <w:tcPr>
            <w:tcW w:w="1212" w:type="dxa"/>
            <w:tcBorders>
              <w:top w:val="single" w:sz="4" w:space="0" w:color="auto"/>
              <w:bottom w:val="single" w:sz="4" w:space="0" w:color="auto"/>
            </w:tcBorders>
            <w:vAlign w:val="center"/>
          </w:tcPr>
          <w:p w14:paraId="5D49E981" w14:textId="77777777" w:rsidR="00EB5387" w:rsidRPr="00902FBB" w:rsidRDefault="00EB5387" w:rsidP="00B11E0C">
            <w:pPr>
              <w:jc w:val="center"/>
              <w:rPr>
                <w:rFonts w:ascii="Arial" w:hAnsi="Arial" w:cs="Arial"/>
                <w:b/>
                <w:bCs/>
              </w:rPr>
            </w:pPr>
            <w:r w:rsidRPr="00902FBB">
              <w:rPr>
                <w:rFonts w:ascii="Arial" w:hAnsi="Arial" w:cs="Arial"/>
                <w:b/>
                <w:bCs/>
              </w:rPr>
              <w:t>Fruit Yield per Plant (kg)</w:t>
            </w:r>
          </w:p>
        </w:tc>
      </w:tr>
      <w:tr w:rsidR="00EB5387" w:rsidRPr="00902FBB" w14:paraId="78B55565" w14:textId="77777777" w:rsidTr="00B11E0C">
        <w:tc>
          <w:tcPr>
            <w:tcW w:w="2536" w:type="dxa"/>
            <w:tcBorders>
              <w:top w:val="single" w:sz="4" w:space="0" w:color="auto"/>
            </w:tcBorders>
            <w:vAlign w:val="center"/>
          </w:tcPr>
          <w:p w14:paraId="64CD65A5" w14:textId="77777777" w:rsidR="00EB5387" w:rsidRPr="00902FBB" w:rsidRDefault="00EB5387" w:rsidP="00B11E0C">
            <w:pPr>
              <w:jc w:val="center"/>
              <w:rPr>
                <w:rFonts w:ascii="Arial" w:hAnsi="Arial" w:cs="Arial"/>
                <w:b/>
                <w:bCs/>
              </w:rPr>
            </w:pPr>
            <w:r w:rsidRPr="00902FBB">
              <w:rPr>
                <w:rFonts w:ascii="Arial" w:hAnsi="Arial" w:cs="Arial"/>
                <w:b/>
                <w:bCs/>
              </w:rPr>
              <w:t>Years (Y)</w:t>
            </w:r>
          </w:p>
        </w:tc>
        <w:tc>
          <w:tcPr>
            <w:tcW w:w="1219" w:type="dxa"/>
            <w:tcBorders>
              <w:top w:val="single" w:sz="4" w:space="0" w:color="auto"/>
            </w:tcBorders>
          </w:tcPr>
          <w:p w14:paraId="36C15EDB"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3**</w:t>
            </w:r>
          </w:p>
        </w:tc>
        <w:tc>
          <w:tcPr>
            <w:tcW w:w="1220" w:type="dxa"/>
            <w:tcBorders>
              <w:top w:val="single" w:sz="4" w:space="0" w:color="auto"/>
            </w:tcBorders>
          </w:tcPr>
          <w:p w14:paraId="3360D153"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 xml:space="preserve">15.274*** </w:t>
            </w:r>
          </w:p>
        </w:tc>
        <w:tc>
          <w:tcPr>
            <w:tcW w:w="1428" w:type="dxa"/>
            <w:tcBorders>
              <w:top w:val="single" w:sz="4" w:space="0" w:color="auto"/>
            </w:tcBorders>
          </w:tcPr>
          <w:p w14:paraId="244B27DC"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 xml:space="preserve">13134.083** </w:t>
            </w:r>
          </w:p>
        </w:tc>
        <w:tc>
          <w:tcPr>
            <w:tcW w:w="1309" w:type="dxa"/>
            <w:tcBorders>
              <w:top w:val="single" w:sz="4" w:space="0" w:color="auto"/>
            </w:tcBorders>
          </w:tcPr>
          <w:p w14:paraId="7244DA11"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52.083**</w:t>
            </w:r>
          </w:p>
        </w:tc>
        <w:tc>
          <w:tcPr>
            <w:tcW w:w="1403" w:type="dxa"/>
            <w:tcBorders>
              <w:top w:val="single" w:sz="4" w:space="0" w:color="auto"/>
            </w:tcBorders>
          </w:tcPr>
          <w:p w14:paraId="566EB263"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131.341**</w:t>
            </w:r>
          </w:p>
        </w:tc>
        <w:tc>
          <w:tcPr>
            <w:tcW w:w="1212" w:type="dxa"/>
            <w:tcBorders>
              <w:top w:val="single" w:sz="4" w:space="0" w:color="auto"/>
            </w:tcBorders>
          </w:tcPr>
          <w:p w14:paraId="6FBE75AD"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89.059**</w:t>
            </w:r>
          </w:p>
        </w:tc>
      </w:tr>
      <w:tr w:rsidR="00EB5387" w:rsidRPr="00902FBB" w14:paraId="045898FD" w14:textId="77777777" w:rsidTr="00B11E0C">
        <w:tc>
          <w:tcPr>
            <w:tcW w:w="2536" w:type="dxa"/>
            <w:vAlign w:val="center"/>
          </w:tcPr>
          <w:p w14:paraId="5F9A0517" w14:textId="77777777" w:rsidR="00EB5387" w:rsidRPr="00902FBB" w:rsidRDefault="00EB5387" w:rsidP="00B11E0C">
            <w:pPr>
              <w:jc w:val="center"/>
              <w:rPr>
                <w:rFonts w:ascii="Arial" w:hAnsi="Arial" w:cs="Arial"/>
                <w:b/>
                <w:bCs/>
              </w:rPr>
            </w:pPr>
            <w:r w:rsidRPr="00902FBB">
              <w:rPr>
                <w:rFonts w:ascii="Arial" w:hAnsi="Arial" w:cs="Arial"/>
                <w:b/>
                <w:bCs/>
              </w:rPr>
              <w:t>Sowing Methods (SM)</w:t>
            </w:r>
          </w:p>
        </w:tc>
        <w:tc>
          <w:tcPr>
            <w:tcW w:w="1219" w:type="dxa"/>
          </w:tcPr>
          <w:p w14:paraId="32C237DF"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 xml:space="preserve">0 </w:t>
            </w:r>
            <w:r w:rsidRPr="00902FBB">
              <w:rPr>
                <w:rFonts w:ascii="Arial" w:hAnsi="Arial" w:cs="Arial"/>
                <w:sz w:val="22"/>
                <w:szCs w:val="22"/>
                <w:vertAlign w:val="superscript"/>
              </w:rPr>
              <w:t>ns</w:t>
            </w:r>
          </w:p>
        </w:tc>
        <w:tc>
          <w:tcPr>
            <w:tcW w:w="1220" w:type="dxa"/>
          </w:tcPr>
          <w:p w14:paraId="5FE62ACB"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0.528</w:t>
            </w:r>
            <w:r w:rsidRPr="00902FBB">
              <w:rPr>
                <w:rFonts w:ascii="Arial" w:hAnsi="Arial" w:cs="Arial"/>
                <w:sz w:val="22"/>
                <w:szCs w:val="22"/>
                <w:vertAlign w:val="superscript"/>
              </w:rPr>
              <w:t>ns</w:t>
            </w:r>
          </w:p>
        </w:tc>
        <w:tc>
          <w:tcPr>
            <w:tcW w:w="1428" w:type="dxa"/>
          </w:tcPr>
          <w:p w14:paraId="1C04A436"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0.333</w:t>
            </w:r>
            <w:r w:rsidRPr="00902FBB">
              <w:rPr>
                <w:rFonts w:ascii="Arial" w:hAnsi="Arial" w:cs="Arial"/>
                <w:sz w:val="22"/>
                <w:szCs w:val="22"/>
                <w:vertAlign w:val="superscript"/>
              </w:rPr>
              <w:t>ns</w:t>
            </w:r>
            <w:r w:rsidRPr="00902FBB">
              <w:rPr>
                <w:rFonts w:ascii="Arial" w:hAnsi="Arial" w:cs="Arial"/>
                <w:sz w:val="22"/>
                <w:szCs w:val="22"/>
              </w:rPr>
              <w:t xml:space="preserve"> </w:t>
            </w:r>
          </w:p>
        </w:tc>
        <w:tc>
          <w:tcPr>
            <w:tcW w:w="1309" w:type="dxa"/>
          </w:tcPr>
          <w:p w14:paraId="791C65C2"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18.750</w:t>
            </w:r>
            <w:r w:rsidRPr="00902FBB">
              <w:rPr>
                <w:rFonts w:ascii="Arial" w:hAnsi="Arial" w:cs="Arial"/>
                <w:sz w:val="22"/>
                <w:szCs w:val="22"/>
                <w:vertAlign w:val="superscript"/>
              </w:rPr>
              <w:t>ns</w:t>
            </w:r>
          </w:p>
        </w:tc>
        <w:tc>
          <w:tcPr>
            <w:tcW w:w="1403" w:type="dxa"/>
          </w:tcPr>
          <w:p w14:paraId="5178C1E1"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61.653</w:t>
            </w:r>
            <w:r w:rsidRPr="00902FBB">
              <w:rPr>
                <w:rFonts w:ascii="Arial" w:hAnsi="Arial" w:cs="Arial"/>
                <w:sz w:val="22"/>
                <w:szCs w:val="22"/>
                <w:vertAlign w:val="superscript"/>
              </w:rPr>
              <w:t>ns</w:t>
            </w:r>
            <w:r w:rsidRPr="00902FBB">
              <w:rPr>
                <w:rFonts w:ascii="Arial" w:hAnsi="Arial" w:cs="Arial"/>
                <w:sz w:val="22"/>
                <w:szCs w:val="22"/>
              </w:rPr>
              <w:t xml:space="preserve"> </w:t>
            </w:r>
          </w:p>
        </w:tc>
        <w:tc>
          <w:tcPr>
            <w:tcW w:w="1212" w:type="dxa"/>
          </w:tcPr>
          <w:p w14:paraId="20B2BF10"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51.258*</w:t>
            </w:r>
          </w:p>
        </w:tc>
      </w:tr>
      <w:tr w:rsidR="00EB5387" w:rsidRPr="00902FBB" w14:paraId="71452B87" w14:textId="77777777" w:rsidTr="00B11E0C">
        <w:tc>
          <w:tcPr>
            <w:tcW w:w="2536" w:type="dxa"/>
            <w:vAlign w:val="center"/>
          </w:tcPr>
          <w:p w14:paraId="55F1E306" w14:textId="77777777" w:rsidR="00EB5387" w:rsidRPr="00902FBB" w:rsidRDefault="00EB5387" w:rsidP="00B11E0C">
            <w:pPr>
              <w:jc w:val="center"/>
              <w:rPr>
                <w:rFonts w:ascii="Arial" w:hAnsi="Arial" w:cs="Arial"/>
                <w:b/>
                <w:bCs/>
              </w:rPr>
            </w:pPr>
            <w:r w:rsidRPr="00902FBB">
              <w:rPr>
                <w:rFonts w:ascii="Arial" w:hAnsi="Arial" w:cs="Arial"/>
                <w:b/>
                <w:bCs/>
              </w:rPr>
              <w:t>Sowing Dates (SD)</w:t>
            </w:r>
          </w:p>
        </w:tc>
        <w:tc>
          <w:tcPr>
            <w:tcW w:w="1219" w:type="dxa"/>
          </w:tcPr>
          <w:p w14:paraId="3B9F311A"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4.1875***</w:t>
            </w:r>
          </w:p>
        </w:tc>
        <w:tc>
          <w:tcPr>
            <w:tcW w:w="1220" w:type="dxa"/>
          </w:tcPr>
          <w:p w14:paraId="652B76B4"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3.281</w:t>
            </w:r>
            <w:r w:rsidRPr="00902FBB">
              <w:rPr>
                <w:rFonts w:ascii="Arial" w:hAnsi="Arial" w:cs="Arial"/>
                <w:sz w:val="22"/>
                <w:szCs w:val="22"/>
                <w:vertAlign w:val="superscript"/>
              </w:rPr>
              <w:t>ns</w:t>
            </w:r>
            <w:r w:rsidRPr="00902FBB">
              <w:rPr>
                <w:rFonts w:ascii="Arial" w:hAnsi="Arial" w:cs="Arial"/>
                <w:sz w:val="22"/>
                <w:szCs w:val="22"/>
              </w:rPr>
              <w:t xml:space="preserve"> </w:t>
            </w:r>
          </w:p>
        </w:tc>
        <w:tc>
          <w:tcPr>
            <w:tcW w:w="1428" w:type="dxa"/>
          </w:tcPr>
          <w:p w14:paraId="4F75C370"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858.063**</w:t>
            </w:r>
          </w:p>
        </w:tc>
        <w:tc>
          <w:tcPr>
            <w:tcW w:w="1309" w:type="dxa"/>
          </w:tcPr>
          <w:p w14:paraId="73D776AD"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20.021*</w:t>
            </w:r>
          </w:p>
        </w:tc>
        <w:tc>
          <w:tcPr>
            <w:tcW w:w="1403" w:type="dxa"/>
          </w:tcPr>
          <w:p w14:paraId="2BF0C6A1"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123.927**</w:t>
            </w:r>
          </w:p>
        </w:tc>
        <w:tc>
          <w:tcPr>
            <w:tcW w:w="1212" w:type="dxa"/>
          </w:tcPr>
          <w:p w14:paraId="4F00EB06"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32.711*</w:t>
            </w:r>
          </w:p>
        </w:tc>
      </w:tr>
      <w:tr w:rsidR="00EB5387" w:rsidRPr="00902FBB" w14:paraId="586F6C92" w14:textId="77777777" w:rsidTr="00B11E0C">
        <w:tc>
          <w:tcPr>
            <w:tcW w:w="2536" w:type="dxa"/>
            <w:vAlign w:val="center"/>
          </w:tcPr>
          <w:p w14:paraId="05A3DEE5" w14:textId="77777777" w:rsidR="00EB5387" w:rsidRPr="00902FBB" w:rsidRDefault="00EB5387" w:rsidP="00B11E0C">
            <w:pPr>
              <w:jc w:val="center"/>
              <w:rPr>
                <w:rFonts w:ascii="Arial" w:hAnsi="Arial" w:cs="Arial"/>
                <w:b/>
                <w:bCs/>
              </w:rPr>
            </w:pPr>
            <w:r w:rsidRPr="00902FBB">
              <w:rPr>
                <w:rFonts w:ascii="Arial" w:hAnsi="Arial" w:cs="Arial"/>
                <w:b/>
                <w:bCs/>
              </w:rPr>
              <w:t>Y × SM</w:t>
            </w:r>
          </w:p>
        </w:tc>
        <w:tc>
          <w:tcPr>
            <w:tcW w:w="1219" w:type="dxa"/>
          </w:tcPr>
          <w:p w14:paraId="7AAAAC9D"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 xml:space="preserve">0.3333 </w:t>
            </w:r>
            <w:r w:rsidRPr="00902FBB">
              <w:rPr>
                <w:rFonts w:ascii="Arial" w:hAnsi="Arial" w:cs="Arial"/>
                <w:sz w:val="22"/>
                <w:szCs w:val="22"/>
                <w:vertAlign w:val="superscript"/>
              </w:rPr>
              <w:t>ns</w:t>
            </w:r>
          </w:p>
        </w:tc>
        <w:tc>
          <w:tcPr>
            <w:tcW w:w="1220" w:type="dxa"/>
          </w:tcPr>
          <w:p w14:paraId="00ACF06F"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 xml:space="preserve">7.063** </w:t>
            </w:r>
          </w:p>
        </w:tc>
        <w:tc>
          <w:tcPr>
            <w:tcW w:w="1428" w:type="dxa"/>
          </w:tcPr>
          <w:p w14:paraId="05908D4C"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396.750</w:t>
            </w:r>
            <w:r w:rsidRPr="00902FBB">
              <w:rPr>
                <w:rFonts w:ascii="Arial" w:hAnsi="Arial" w:cs="Arial"/>
                <w:sz w:val="22"/>
                <w:szCs w:val="22"/>
                <w:vertAlign w:val="superscript"/>
              </w:rPr>
              <w:t>ns</w:t>
            </w:r>
          </w:p>
        </w:tc>
        <w:tc>
          <w:tcPr>
            <w:tcW w:w="1309" w:type="dxa"/>
          </w:tcPr>
          <w:p w14:paraId="15894E37"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56.333**</w:t>
            </w:r>
          </w:p>
        </w:tc>
        <w:tc>
          <w:tcPr>
            <w:tcW w:w="1403" w:type="dxa"/>
          </w:tcPr>
          <w:p w14:paraId="4F8A5C65"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52.041</w:t>
            </w:r>
            <w:r w:rsidRPr="00902FBB">
              <w:rPr>
                <w:rFonts w:ascii="Arial" w:hAnsi="Arial" w:cs="Arial"/>
                <w:sz w:val="22"/>
                <w:szCs w:val="22"/>
                <w:vertAlign w:val="superscript"/>
              </w:rPr>
              <w:t xml:space="preserve">ns </w:t>
            </w:r>
          </w:p>
        </w:tc>
        <w:tc>
          <w:tcPr>
            <w:tcW w:w="1212" w:type="dxa"/>
          </w:tcPr>
          <w:p w14:paraId="0A07630C"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94.265**</w:t>
            </w:r>
          </w:p>
        </w:tc>
      </w:tr>
      <w:tr w:rsidR="00EB5387" w:rsidRPr="00902FBB" w14:paraId="37616078" w14:textId="77777777" w:rsidTr="00B11E0C">
        <w:tc>
          <w:tcPr>
            <w:tcW w:w="2536" w:type="dxa"/>
            <w:vAlign w:val="center"/>
          </w:tcPr>
          <w:p w14:paraId="45A4F322" w14:textId="77777777" w:rsidR="00EB5387" w:rsidRPr="00902FBB" w:rsidRDefault="00EB5387" w:rsidP="00B11E0C">
            <w:pPr>
              <w:jc w:val="center"/>
              <w:rPr>
                <w:rFonts w:ascii="Arial" w:hAnsi="Arial" w:cs="Arial"/>
                <w:b/>
                <w:bCs/>
              </w:rPr>
            </w:pPr>
            <w:r w:rsidRPr="00902FBB">
              <w:rPr>
                <w:rFonts w:ascii="Arial" w:hAnsi="Arial" w:cs="Arial"/>
                <w:b/>
                <w:bCs/>
              </w:rPr>
              <w:t>Y × SD</w:t>
            </w:r>
          </w:p>
        </w:tc>
        <w:tc>
          <w:tcPr>
            <w:tcW w:w="1219" w:type="dxa"/>
          </w:tcPr>
          <w:p w14:paraId="64102DE0"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 xml:space="preserve">0.4375 </w:t>
            </w:r>
            <w:r w:rsidRPr="00902FBB">
              <w:rPr>
                <w:rFonts w:ascii="Arial" w:hAnsi="Arial" w:cs="Arial"/>
                <w:sz w:val="22"/>
                <w:szCs w:val="22"/>
                <w:vertAlign w:val="superscript"/>
              </w:rPr>
              <w:t>ns</w:t>
            </w:r>
          </w:p>
        </w:tc>
        <w:tc>
          <w:tcPr>
            <w:tcW w:w="1220" w:type="dxa"/>
          </w:tcPr>
          <w:p w14:paraId="5BBCD200"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 xml:space="preserve">10.165*** </w:t>
            </w:r>
          </w:p>
        </w:tc>
        <w:tc>
          <w:tcPr>
            <w:tcW w:w="1428" w:type="dxa"/>
          </w:tcPr>
          <w:p w14:paraId="75D12BDA"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1171.896**</w:t>
            </w:r>
          </w:p>
        </w:tc>
        <w:tc>
          <w:tcPr>
            <w:tcW w:w="1309" w:type="dxa"/>
          </w:tcPr>
          <w:p w14:paraId="748C52F0"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47.896***</w:t>
            </w:r>
          </w:p>
        </w:tc>
        <w:tc>
          <w:tcPr>
            <w:tcW w:w="1403" w:type="dxa"/>
          </w:tcPr>
          <w:p w14:paraId="4656AE0F"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117.716**</w:t>
            </w:r>
          </w:p>
        </w:tc>
        <w:tc>
          <w:tcPr>
            <w:tcW w:w="1212" w:type="dxa"/>
          </w:tcPr>
          <w:p w14:paraId="06604C72"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76.556***</w:t>
            </w:r>
          </w:p>
        </w:tc>
      </w:tr>
      <w:tr w:rsidR="00EB5387" w:rsidRPr="00902FBB" w14:paraId="6F8FEB94" w14:textId="77777777" w:rsidTr="00B11E0C">
        <w:tc>
          <w:tcPr>
            <w:tcW w:w="2536" w:type="dxa"/>
            <w:vAlign w:val="center"/>
          </w:tcPr>
          <w:p w14:paraId="2DBEB822" w14:textId="77777777" w:rsidR="00EB5387" w:rsidRPr="00902FBB" w:rsidRDefault="00EB5387" w:rsidP="00B11E0C">
            <w:pPr>
              <w:jc w:val="center"/>
              <w:rPr>
                <w:rFonts w:ascii="Arial" w:hAnsi="Arial" w:cs="Arial"/>
                <w:b/>
                <w:bCs/>
              </w:rPr>
            </w:pPr>
            <w:r w:rsidRPr="00902FBB">
              <w:rPr>
                <w:rFonts w:ascii="Arial" w:hAnsi="Arial" w:cs="Arial"/>
                <w:b/>
                <w:bCs/>
              </w:rPr>
              <w:t>SM × SD</w:t>
            </w:r>
          </w:p>
        </w:tc>
        <w:tc>
          <w:tcPr>
            <w:tcW w:w="1219" w:type="dxa"/>
          </w:tcPr>
          <w:p w14:paraId="08AAB058"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 xml:space="preserve">0.1875 </w:t>
            </w:r>
            <w:r w:rsidRPr="00902FBB">
              <w:rPr>
                <w:rFonts w:ascii="Arial" w:hAnsi="Arial" w:cs="Arial"/>
                <w:sz w:val="22"/>
                <w:szCs w:val="22"/>
                <w:vertAlign w:val="superscript"/>
              </w:rPr>
              <w:t>ns</w:t>
            </w:r>
          </w:p>
        </w:tc>
        <w:tc>
          <w:tcPr>
            <w:tcW w:w="1220" w:type="dxa"/>
          </w:tcPr>
          <w:p w14:paraId="173BD818"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1.525</w:t>
            </w:r>
            <w:r w:rsidRPr="00902FBB">
              <w:rPr>
                <w:rFonts w:ascii="Arial" w:hAnsi="Arial" w:cs="Arial"/>
                <w:sz w:val="22"/>
                <w:szCs w:val="22"/>
                <w:vertAlign w:val="superscript"/>
              </w:rPr>
              <w:t>ns</w:t>
            </w:r>
          </w:p>
        </w:tc>
        <w:tc>
          <w:tcPr>
            <w:tcW w:w="1428" w:type="dxa"/>
          </w:tcPr>
          <w:p w14:paraId="6DDDC611"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711.271*</w:t>
            </w:r>
          </w:p>
        </w:tc>
        <w:tc>
          <w:tcPr>
            <w:tcW w:w="1309" w:type="dxa"/>
          </w:tcPr>
          <w:p w14:paraId="7004609A"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28.563**</w:t>
            </w:r>
          </w:p>
        </w:tc>
        <w:tc>
          <w:tcPr>
            <w:tcW w:w="1403" w:type="dxa"/>
          </w:tcPr>
          <w:p w14:paraId="72FAD978"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22.212</w:t>
            </w:r>
            <w:r w:rsidRPr="00902FBB">
              <w:rPr>
                <w:rFonts w:ascii="Arial" w:hAnsi="Arial" w:cs="Arial"/>
                <w:sz w:val="22"/>
                <w:szCs w:val="22"/>
                <w:vertAlign w:val="superscript"/>
              </w:rPr>
              <w:t>ns</w:t>
            </w:r>
            <w:r w:rsidRPr="00902FBB">
              <w:rPr>
                <w:rFonts w:ascii="Arial" w:hAnsi="Arial" w:cs="Arial"/>
                <w:sz w:val="22"/>
                <w:szCs w:val="22"/>
              </w:rPr>
              <w:t xml:space="preserve"> </w:t>
            </w:r>
          </w:p>
        </w:tc>
        <w:tc>
          <w:tcPr>
            <w:tcW w:w="1212" w:type="dxa"/>
          </w:tcPr>
          <w:p w14:paraId="1C75D598"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47.699**</w:t>
            </w:r>
          </w:p>
        </w:tc>
      </w:tr>
      <w:tr w:rsidR="00EB5387" w:rsidRPr="00902FBB" w14:paraId="4188999E" w14:textId="77777777" w:rsidTr="00B11E0C">
        <w:tc>
          <w:tcPr>
            <w:tcW w:w="2536" w:type="dxa"/>
            <w:tcBorders>
              <w:bottom w:val="single" w:sz="4" w:space="0" w:color="auto"/>
            </w:tcBorders>
            <w:vAlign w:val="center"/>
          </w:tcPr>
          <w:p w14:paraId="7F4D71EA" w14:textId="77777777" w:rsidR="00EB5387" w:rsidRPr="00902FBB" w:rsidRDefault="00EB5387" w:rsidP="00B11E0C">
            <w:pPr>
              <w:jc w:val="center"/>
              <w:rPr>
                <w:rFonts w:ascii="Arial" w:hAnsi="Arial" w:cs="Arial"/>
                <w:b/>
                <w:bCs/>
              </w:rPr>
            </w:pPr>
            <w:r w:rsidRPr="00902FBB">
              <w:rPr>
                <w:rFonts w:ascii="Arial" w:hAnsi="Arial" w:cs="Arial"/>
                <w:b/>
                <w:bCs/>
              </w:rPr>
              <w:t>Y × SM × SD</w:t>
            </w:r>
          </w:p>
        </w:tc>
        <w:tc>
          <w:tcPr>
            <w:tcW w:w="1219" w:type="dxa"/>
            <w:tcBorders>
              <w:bottom w:val="single" w:sz="4" w:space="0" w:color="auto"/>
            </w:tcBorders>
          </w:tcPr>
          <w:p w14:paraId="5918269A"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 xml:space="preserve">0.2708 </w:t>
            </w:r>
            <w:r w:rsidRPr="00902FBB">
              <w:rPr>
                <w:rFonts w:ascii="Arial" w:hAnsi="Arial" w:cs="Arial"/>
                <w:sz w:val="22"/>
                <w:szCs w:val="22"/>
                <w:vertAlign w:val="superscript"/>
              </w:rPr>
              <w:t>ns</w:t>
            </w:r>
          </w:p>
        </w:tc>
        <w:tc>
          <w:tcPr>
            <w:tcW w:w="1220" w:type="dxa"/>
            <w:tcBorders>
              <w:bottom w:val="single" w:sz="4" w:space="0" w:color="auto"/>
            </w:tcBorders>
          </w:tcPr>
          <w:p w14:paraId="0E8DC0E2"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3.332*</w:t>
            </w:r>
          </w:p>
        </w:tc>
        <w:tc>
          <w:tcPr>
            <w:tcW w:w="1428" w:type="dxa"/>
            <w:tcBorders>
              <w:bottom w:val="single" w:sz="4" w:space="0" w:color="auto"/>
            </w:tcBorders>
          </w:tcPr>
          <w:p w14:paraId="6F2D56E5"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380.438</w:t>
            </w:r>
            <w:r w:rsidRPr="00902FBB">
              <w:rPr>
                <w:rFonts w:ascii="Arial" w:hAnsi="Arial" w:cs="Arial"/>
                <w:sz w:val="22"/>
                <w:szCs w:val="22"/>
                <w:vertAlign w:val="superscript"/>
              </w:rPr>
              <w:t>ns</w:t>
            </w:r>
          </w:p>
        </w:tc>
        <w:tc>
          <w:tcPr>
            <w:tcW w:w="1309" w:type="dxa"/>
            <w:tcBorders>
              <w:bottom w:val="single" w:sz="4" w:space="0" w:color="auto"/>
            </w:tcBorders>
          </w:tcPr>
          <w:p w14:paraId="396B8342"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29.021**</w:t>
            </w:r>
          </w:p>
        </w:tc>
        <w:tc>
          <w:tcPr>
            <w:tcW w:w="1403" w:type="dxa"/>
            <w:tcBorders>
              <w:bottom w:val="single" w:sz="4" w:space="0" w:color="auto"/>
            </w:tcBorders>
          </w:tcPr>
          <w:p w14:paraId="6C973C63"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38.406</w:t>
            </w:r>
            <w:r w:rsidRPr="00902FBB">
              <w:rPr>
                <w:rFonts w:ascii="Arial" w:hAnsi="Arial" w:cs="Arial"/>
                <w:sz w:val="22"/>
                <w:szCs w:val="22"/>
                <w:vertAlign w:val="superscript"/>
              </w:rPr>
              <w:t>ns</w:t>
            </w:r>
            <w:r w:rsidRPr="00902FBB">
              <w:rPr>
                <w:rFonts w:ascii="Arial" w:hAnsi="Arial" w:cs="Arial"/>
                <w:sz w:val="22"/>
                <w:szCs w:val="22"/>
              </w:rPr>
              <w:t xml:space="preserve"> </w:t>
            </w:r>
          </w:p>
        </w:tc>
        <w:tc>
          <w:tcPr>
            <w:tcW w:w="1212" w:type="dxa"/>
            <w:tcBorders>
              <w:bottom w:val="single" w:sz="4" w:space="0" w:color="auto"/>
            </w:tcBorders>
          </w:tcPr>
          <w:p w14:paraId="00F491C3"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48.059**</w:t>
            </w:r>
          </w:p>
        </w:tc>
      </w:tr>
    </w:tbl>
    <w:p w14:paraId="307A0995" w14:textId="77777777" w:rsidR="00EB5387" w:rsidRPr="00902FBB" w:rsidRDefault="00EB5387" w:rsidP="00EB5387">
      <w:pPr>
        <w:jc w:val="center"/>
        <w:rPr>
          <w:rFonts w:ascii="Arial" w:hAnsi="Arial" w:cs="Arial"/>
          <w:b/>
          <w:bCs/>
          <w:sz w:val="22"/>
          <w:szCs w:val="22"/>
        </w:rPr>
      </w:pPr>
    </w:p>
    <w:p w14:paraId="54CE6D7F" w14:textId="77777777" w:rsidR="00EB5387" w:rsidRPr="00902FBB" w:rsidRDefault="00EB5387" w:rsidP="00EB5387">
      <w:pPr>
        <w:rPr>
          <w:rFonts w:ascii="Arial" w:hAnsi="Arial" w:cs="Arial"/>
          <w:i/>
          <w:iCs/>
        </w:rPr>
      </w:pPr>
    </w:p>
    <w:p w14:paraId="0E4B8F36" w14:textId="77777777" w:rsidR="00EB5387" w:rsidRPr="00902FBB" w:rsidRDefault="00EB5387" w:rsidP="00EB5387">
      <w:pPr>
        <w:jc w:val="center"/>
        <w:rPr>
          <w:rFonts w:ascii="Arial" w:hAnsi="Arial" w:cs="Arial"/>
          <w:i/>
          <w:iCs/>
          <w:sz w:val="22"/>
          <w:szCs w:val="22"/>
        </w:rPr>
      </w:pPr>
      <w:r w:rsidRPr="00902FBB">
        <w:rPr>
          <w:rFonts w:ascii="Arial" w:hAnsi="Arial" w:cs="Arial"/>
          <w:i/>
          <w:iCs/>
          <w:sz w:val="22"/>
          <w:szCs w:val="22"/>
        </w:rPr>
        <w:t>ns: non-significant, * significant at p = 0.05, ** significant at p &lt; 0.01</w:t>
      </w:r>
      <w:r w:rsidRPr="00902FBB">
        <w:rPr>
          <w:rFonts w:ascii="Arial" w:hAnsi="Arial" w:cs="Arial"/>
          <w:i/>
          <w:iCs/>
          <w:sz w:val="22"/>
          <w:szCs w:val="22"/>
          <w:rtl/>
        </w:rPr>
        <w:t xml:space="preserve"> </w:t>
      </w:r>
      <w:r w:rsidRPr="00902FBB">
        <w:rPr>
          <w:rFonts w:ascii="Arial" w:hAnsi="Arial" w:cs="Arial"/>
          <w:i/>
          <w:iCs/>
          <w:sz w:val="22"/>
          <w:szCs w:val="22"/>
        </w:rPr>
        <w:t>and ***significant at p &lt; 0.001</w:t>
      </w:r>
    </w:p>
    <w:p w14:paraId="03C1B794" w14:textId="77777777" w:rsidR="00EB5387" w:rsidRPr="00902FBB" w:rsidRDefault="00EB5387" w:rsidP="00EB5387">
      <w:pPr>
        <w:jc w:val="center"/>
        <w:rPr>
          <w:rFonts w:ascii="Arial" w:hAnsi="Arial" w:cs="Arial"/>
          <w:b/>
          <w:bCs/>
          <w:sz w:val="22"/>
          <w:szCs w:val="22"/>
        </w:rPr>
      </w:pPr>
    </w:p>
    <w:p w14:paraId="39AC5BA5" w14:textId="77777777" w:rsidR="00EB5387" w:rsidRPr="00902FBB" w:rsidRDefault="00EB5387" w:rsidP="00EB5387">
      <w:pPr>
        <w:jc w:val="center"/>
        <w:rPr>
          <w:rFonts w:ascii="Arial" w:hAnsi="Arial" w:cs="Arial"/>
          <w:b/>
          <w:bCs/>
          <w:sz w:val="22"/>
          <w:szCs w:val="22"/>
        </w:rPr>
      </w:pPr>
    </w:p>
    <w:p w14:paraId="2444893B" w14:textId="77777777" w:rsidR="00EB5387" w:rsidRPr="00902FBB" w:rsidRDefault="00EB5387" w:rsidP="00EB5387">
      <w:pPr>
        <w:jc w:val="center"/>
        <w:rPr>
          <w:rFonts w:ascii="Arial" w:hAnsi="Arial" w:cs="Arial"/>
          <w:b/>
          <w:bCs/>
          <w:sz w:val="22"/>
          <w:szCs w:val="22"/>
        </w:rPr>
      </w:pPr>
      <w:r w:rsidRPr="00902FBB">
        <w:rPr>
          <w:rFonts w:ascii="Arial" w:hAnsi="Arial" w:cs="Arial"/>
          <w:b/>
          <w:bCs/>
          <w:sz w:val="22"/>
          <w:szCs w:val="22"/>
        </w:rPr>
        <w:t>Table 3a. Mean performance for the growth and yield parameters as affected by main effect of year (Y), sowing methods (SM), seed date (SD), conducted in 2019–2020 and 2020–2021.</w:t>
      </w:r>
    </w:p>
    <w:tbl>
      <w:tblPr>
        <w:tblStyle w:val="TableGrid"/>
        <w:tblpPr w:leftFromText="180" w:rightFromText="180" w:vertAnchor="page" w:horzAnchor="margin" w:tblpXSpec="center" w:tblpY="8041"/>
        <w:tblW w:w="10435" w:type="dxa"/>
        <w:tblLook w:val="04A0" w:firstRow="1" w:lastRow="0" w:firstColumn="1" w:lastColumn="0" w:noHBand="0" w:noVBand="1"/>
      </w:tblPr>
      <w:tblGrid>
        <w:gridCol w:w="2807"/>
        <w:gridCol w:w="1280"/>
        <w:gridCol w:w="1159"/>
        <w:gridCol w:w="1324"/>
        <w:gridCol w:w="1159"/>
        <w:gridCol w:w="1403"/>
        <w:gridCol w:w="1303"/>
      </w:tblGrid>
      <w:tr w:rsidR="00EB5387" w:rsidRPr="00902FBB" w14:paraId="0C6B1AD1" w14:textId="77777777" w:rsidTr="00B11E0C">
        <w:tc>
          <w:tcPr>
            <w:tcW w:w="2807" w:type="dxa"/>
            <w:tcBorders>
              <w:top w:val="single" w:sz="4" w:space="0" w:color="auto"/>
              <w:left w:val="nil"/>
              <w:bottom w:val="single" w:sz="4" w:space="0" w:color="auto"/>
              <w:right w:val="nil"/>
            </w:tcBorders>
          </w:tcPr>
          <w:p w14:paraId="7451706D" w14:textId="77777777" w:rsidR="00EB5387" w:rsidRPr="00902FBB" w:rsidRDefault="00EB5387" w:rsidP="00B11E0C">
            <w:pPr>
              <w:rPr>
                <w:rFonts w:ascii="Arial" w:hAnsi="Arial" w:cs="Arial"/>
                <w:b/>
                <w:bCs/>
              </w:rPr>
            </w:pPr>
            <w:r w:rsidRPr="00902FBB">
              <w:rPr>
                <w:rFonts w:ascii="Arial" w:hAnsi="Arial" w:cs="Arial"/>
                <w:b/>
                <w:bCs/>
              </w:rPr>
              <w:t>Treatments</w:t>
            </w:r>
          </w:p>
        </w:tc>
        <w:tc>
          <w:tcPr>
            <w:tcW w:w="1280" w:type="dxa"/>
            <w:tcBorders>
              <w:top w:val="single" w:sz="4" w:space="0" w:color="auto"/>
              <w:left w:val="nil"/>
              <w:bottom w:val="single" w:sz="4" w:space="0" w:color="auto"/>
              <w:right w:val="nil"/>
            </w:tcBorders>
            <w:vAlign w:val="center"/>
          </w:tcPr>
          <w:p w14:paraId="7352F730" w14:textId="77777777" w:rsidR="00EB5387" w:rsidRPr="00902FBB" w:rsidRDefault="00EB5387" w:rsidP="00B11E0C">
            <w:pPr>
              <w:jc w:val="center"/>
              <w:rPr>
                <w:rFonts w:ascii="Arial" w:hAnsi="Arial" w:cs="Arial"/>
                <w:b/>
                <w:bCs/>
              </w:rPr>
            </w:pPr>
            <w:r w:rsidRPr="00902FBB">
              <w:rPr>
                <w:rFonts w:ascii="Arial" w:hAnsi="Arial" w:cs="Arial"/>
                <w:b/>
                <w:bCs/>
              </w:rPr>
              <w:t>Number of Lateral Branches per Plant</w:t>
            </w:r>
          </w:p>
        </w:tc>
        <w:tc>
          <w:tcPr>
            <w:tcW w:w="1159" w:type="dxa"/>
            <w:tcBorders>
              <w:top w:val="single" w:sz="4" w:space="0" w:color="auto"/>
              <w:left w:val="nil"/>
              <w:bottom w:val="single" w:sz="4" w:space="0" w:color="auto"/>
              <w:right w:val="nil"/>
            </w:tcBorders>
            <w:vAlign w:val="center"/>
          </w:tcPr>
          <w:p w14:paraId="50E1D45D" w14:textId="77777777" w:rsidR="00EB5387" w:rsidRPr="00902FBB" w:rsidRDefault="00EB5387" w:rsidP="00B11E0C">
            <w:pPr>
              <w:jc w:val="center"/>
              <w:rPr>
                <w:rFonts w:ascii="Arial" w:hAnsi="Arial" w:cs="Arial"/>
                <w:b/>
                <w:bCs/>
              </w:rPr>
            </w:pPr>
            <w:r w:rsidRPr="00902FBB">
              <w:rPr>
                <w:rFonts w:ascii="Arial" w:hAnsi="Arial" w:cs="Arial"/>
                <w:b/>
                <w:bCs/>
              </w:rPr>
              <w:t>Number of Leaves per Plant</w:t>
            </w:r>
          </w:p>
        </w:tc>
        <w:tc>
          <w:tcPr>
            <w:tcW w:w="1324" w:type="dxa"/>
            <w:tcBorders>
              <w:top w:val="single" w:sz="4" w:space="0" w:color="auto"/>
              <w:left w:val="nil"/>
              <w:bottom w:val="single" w:sz="4" w:space="0" w:color="auto"/>
              <w:right w:val="nil"/>
            </w:tcBorders>
            <w:vAlign w:val="center"/>
          </w:tcPr>
          <w:p w14:paraId="029CCB3B" w14:textId="77777777" w:rsidR="00EB5387" w:rsidRPr="00902FBB" w:rsidRDefault="00EB5387" w:rsidP="00B11E0C">
            <w:pPr>
              <w:jc w:val="center"/>
              <w:rPr>
                <w:rFonts w:ascii="Arial" w:hAnsi="Arial" w:cs="Arial"/>
                <w:b/>
                <w:bCs/>
              </w:rPr>
            </w:pPr>
            <w:r w:rsidRPr="00902FBB">
              <w:rPr>
                <w:rFonts w:ascii="Arial" w:hAnsi="Arial" w:cs="Arial"/>
                <w:b/>
                <w:bCs/>
              </w:rPr>
              <w:t>Number of Flowers per Plant</w:t>
            </w:r>
          </w:p>
        </w:tc>
        <w:tc>
          <w:tcPr>
            <w:tcW w:w="1159" w:type="dxa"/>
            <w:tcBorders>
              <w:top w:val="single" w:sz="4" w:space="0" w:color="auto"/>
              <w:left w:val="nil"/>
              <w:bottom w:val="single" w:sz="4" w:space="0" w:color="auto"/>
              <w:right w:val="nil"/>
            </w:tcBorders>
            <w:vAlign w:val="center"/>
          </w:tcPr>
          <w:p w14:paraId="542D48EF" w14:textId="77777777" w:rsidR="00EB5387" w:rsidRPr="00902FBB" w:rsidRDefault="00EB5387" w:rsidP="00B11E0C">
            <w:pPr>
              <w:jc w:val="center"/>
              <w:rPr>
                <w:rFonts w:ascii="Arial" w:hAnsi="Arial" w:cs="Arial"/>
                <w:b/>
                <w:bCs/>
              </w:rPr>
            </w:pPr>
            <w:r w:rsidRPr="00902FBB">
              <w:rPr>
                <w:rFonts w:ascii="Arial" w:hAnsi="Arial" w:cs="Arial"/>
                <w:b/>
                <w:bCs/>
              </w:rPr>
              <w:t>Number of Fruits per Plant</w:t>
            </w:r>
          </w:p>
        </w:tc>
        <w:tc>
          <w:tcPr>
            <w:tcW w:w="1403" w:type="dxa"/>
            <w:tcBorders>
              <w:top w:val="single" w:sz="4" w:space="0" w:color="auto"/>
              <w:left w:val="nil"/>
              <w:bottom w:val="single" w:sz="4" w:space="0" w:color="auto"/>
              <w:right w:val="nil"/>
            </w:tcBorders>
            <w:vAlign w:val="center"/>
          </w:tcPr>
          <w:p w14:paraId="6853E2FF" w14:textId="77777777" w:rsidR="00EB5387" w:rsidRPr="00902FBB" w:rsidRDefault="00EB5387" w:rsidP="00B11E0C">
            <w:pPr>
              <w:jc w:val="center"/>
              <w:rPr>
                <w:rFonts w:ascii="Arial" w:hAnsi="Arial" w:cs="Arial"/>
                <w:b/>
                <w:bCs/>
              </w:rPr>
            </w:pPr>
            <w:r w:rsidRPr="00902FBB">
              <w:rPr>
                <w:rStyle w:val="Strong"/>
                <w:rFonts w:ascii="Arial" w:hAnsi="Arial" w:cs="Arial"/>
              </w:rPr>
              <w:t>Fruit Set Percentage (%)</w:t>
            </w:r>
          </w:p>
        </w:tc>
        <w:tc>
          <w:tcPr>
            <w:tcW w:w="1303" w:type="dxa"/>
            <w:tcBorders>
              <w:top w:val="single" w:sz="4" w:space="0" w:color="auto"/>
              <w:left w:val="nil"/>
              <w:bottom w:val="single" w:sz="4" w:space="0" w:color="auto"/>
              <w:right w:val="nil"/>
            </w:tcBorders>
            <w:vAlign w:val="center"/>
          </w:tcPr>
          <w:p w14:paraId="7538503D" w14:textId="77777777" w:rsidR="00EB5387" w:rsidRPr="00902FBB" w:rsidRDefault="00EB5387" w:rsidP="00B11E0C">
            <w:pPr>
              <w:jc w:val="center"/>
              <w:rPr>
                <w:rFonts w:ascii="Arial" w:hAnsi="Arial" w:cs="Arial"/>
                <w:b/>
                <w:bCs/>
              </w:rPr>
            </w:pPr>
            <w:r w:rsidRPr="00902FBB">
              <w:rPr>
                <w:rFonts w:ascii="Arial" w:hAnsi="Arial" w:cs="Arial"/>
                <w:b/>
                <w:bCs/>
              </w:rPr>
              <w:t>Fruit Yield per Plant (kg)</w:t>
            </w:r>
          </w:p>
        </w:tc>
      </w:tr>
      <w:tr w:rsidR="00EB5387" w:rsidRPr="00902FBB" w14:paraId="4B5B6BC6" w14:textId="77777777" w:rsidTr="00B11E0C">
        <w:tc>
          <w:tcPr>
            <w:tcW w:w="2807" w:type="dxa"/>
            <w:tcBorders>
              <w:top w:val="single" w:sz="4" w:space="0" w:color="auto"/>
              <w:left w:val="nil"/>
              <w:bottom w:val="nil"/>
              <w:right w:val="nil"/>
            </w:tcBorders>
          </w:tcPr>
          <w:p w14:paraId="03F071B6" w14:textId="77777777" w:rsidR="00EB5387" w:rsidRPr="00902FBB" w:rsidRDefault="00EB5387" w:rsidP="00B11E0C">
            <w:pPr>
              <w:rPr>
                <w:rFonts w:ascii="Arial" w:hAnsi="Arial" w:cs="Arial"/>
                <w:b/>
                <w:bCs/>
              </w:rPr>
            </w:pPr>
            <w:r w:rsidRPr="00902FBB">
              <w:rPr>
                <w:rFonts w:ascii="Arial" w:hAnsi="Arial" w:cs="Arial"/>
                <w:b/>
                <w:bCs/>
              </w:rPr>
              <w:t>Season (Y)</w:t>
            </w:r>
          </w:p>
        </w:tc>
        <w:tc>
          <w:tcPr>
            <w:tcW w:w="1280" w:type="dxa"/>
            <w:tcBorders>
              <w:top w:val="single" w:sz="4" w:space="0" w:color="auto"/>
              <w:left w:val="nil"/>
              <w:bottom w:val="nil"/>
              <w:right w:val="nil"/>
            </w:tcBorders>
          </w:tcPr>
          <w:p w14:paraId="3A4705EB" w14:textId="77777777" w:rsidR="00EB5387" w:rsidRPr="00902FBB" w:rsidRDefault="00EB5387" w:rsidP="00B11E0C">
            <w:pPr>
              <w:jc w:val="center"/>
              <w:rPr>
                <w:rFonts w:ascii="Arial" w:hAnsi="Arial" w:cs="Arial"/>
              </w:rPr>
            </w:pPr>
          </w:p>
        </w:tc>
        <w:tc>
          <w:tcPr>
            <w:tcW w:w="1159" w:type="dxa"/>
            <w:tcBorders>
              <w:top w:val="single" w:sz="4" w:space="0" w:color="auto"/>
              <w:left w:val="nil"/>
              <w:bottom w:val="nil"/>
              <w:right w:val="nil"/>
            </w:tcBorders>
          </w:tcPr>
          <w:p w14:paraId="51BAE80E" w14:textId="77777777" w:rsidR="00EB5387" w:rsidRPr="00902FBB" w:rsidRDefault="00EB5387" w:rsidP="00B11E0C">
            <w:pPr>
              <w:pStyle w:val="Compact"/>
              <w:jc w:val="center"/>
              <w:rPr>
                <w:rFonts w:ascii="Arial" w:hAnsi="Arial" w:cs="Arial"/>
                <w:sz w:val="22"/>
                <w:szCs w:val="22"/>
              </w:rPr>
            </w:pPr>
          </w:p>
        </w:tc>
        <w:tc>
          <w:tcPr>
            <w:tcW w:w="1324" w:type="dxa"/>
            <w:tcBorders>
              <w:top w:val="single" w:sz="4" w:space="0" w:color="auto"/>
              <w:left w:val="nil"/>
              <w:bottom w:val="nil"/>
              <w:right w:val="nil"/>
            </w:tcBorders>
            <w:vAlign w:val="center"/>
          </w:tcPr>
          <w:p w14:paraId="0A653935" w14:textId="77777777" w:rsidR="00EB5387" w:rsidRPr="00902FBB" w:rsidRDefault="00EB5387" w:rsidP="00B11E0C">
            <w:pPr>
              <w:jc w:val="center"/>
              <w:rPr>
                <w:rFonts w:ascii="Arial" w:hAnsi="Arial" w:cs="Arial"/>
                <w:color w:val="000000"/>
              </w:rPr>
            </w:pPr>
          </w:p>
        </w:tc>
        <w:tc>
          <w:tcPr>
            <w:tcW w:w="1159" w:type="dxa"/>
            <w:tcBorders>
              <w:top w:val="single" w:sz="4" w:space="0" w:color="auto"/>
              <w:left w:val="nil"/>
              <w:bottom w:val="nil"/>
              <w:right w:val="nil"/>
            </w:tcBorders>
            <w:vAlign w:val="center"/>
          </w:tcPr>
          <w:p w14:paraId="68504ABE" w14:textId="77777777" w:rsidR="00EB5387" w:rsidRPr="00902FBB" w:rsidRDefault="00EB5387" w:rsidP="00B11E0C">
            <w:pPr>
              <w:jc w:val="center"/>
              <w:rPr>
                <w:rFonts w:ascii="Arial" w:hAnsi="Arial" w:cs="Arial"/>
                <w:color w:val="000000"/>
              </w:rPr>
            </w:pPr>
          </w:p>
        </w:tc>
        <w:tc>
          <w:tcPr>
            <w:tcW w:w="1403" w:type="dxa"/>
            <w:tcBorders>
              <w:top w:val="single" w:sz="4" w:space="0" w:color="auto"/>
              <w:left w:val="nil"/>
              <w:bottom w:val="nil"/>
              <w:right w:val="nil"/>
            </w:tcBorders>
            <w:vAlign w:val="center"/>
          </w:tcPr>
          <w:p w14:paraId="6B504678" w14:textId="77777777" w:rsidR="00EB5387" w:rsidRPr="00902FBB" w:rsidRDefault="00EB5387" w:rsidP="00B11E0C">
            <w:pPr>
              <w:jc w:val="center"/>
              <w:rPr>
                <w:rFonts w:ascii="Arial" w:hAnsi="Arial" w:cs="Arial"/>
                <w:color w:val="000000"/>
              </w:rPr>
            </w:pPr>
          </w:p>
        </w:tc>
        <w:tc>
          <w:tcPr>
            <w:tcW w:w="1303" w:type="dxa"/>
            <w:tcBorders>
              <w:top w:val="single" w:sz="4" w:space="0" w:color="auto"/>
              <w:left w:val="nil"/>
              <w:bottom w:val="nil"/>
              <w:right w:val="nil"/>
            </w:tcBorders>
            <w:vAlign w:val="center"/>
          </w:tcPr>
          <w:p w14:paraId="01AC5592" w14:textId="77777777" w:rsidR="00EB5387" w:rsidRPr="00902FBB" w:rsidRDefault="00EB5387" w:rsidP="00B11E0C">
            <w:pPr>
              <w:jc w:val="center"/>
              <w:rPr>
                <w:rFonts w:ascii="Arial" w:hAnsi="Arial" w:cs="Arial"/>
                <w:color w:val="000000"/>
              </w:rPr>
            </w:pPr>
          </w:p>
        </w:tc>
      </w:tr>
      <w:tr w:rsidR="00EB5387" w:rsidRPr="00902FBB" w14:paraId="0F50CA25" w14:textId="77777777" w:rsidTr="00B11E0C">
        <w:tc>
          <w:tcPr>
            <w:tcW w:w="2807" w:type="dxa"/>
            <w:tcBorders>
              <w:top w:val="nil"/>
              <w:left w:val="nil"/>
              <w:bottom w:val="nil"/>
              <w:right w:val="nil"/>
            </w:tcBorders>
          </w:tcPr>
          <w:p w14:paraId="0D426B71" w14:textId="77777777" w:rsidR="00EB5387" w:rsidRPr="00902FBB" w:rsidRDefault="00EB5387" w:rsidP="00B11E0C">
            <w:pPr>
              <w:rPr>
                <w:rFonts w:ascii="Arial" w:hAnsi="Arial" w:cs="Arial"/>
              </w:rPr>
            </w:pPr>
            <w:r w:rsidRPr="00902FBB">
              <w:rPr>
                <w:rFonts w:ascii="Arial" w:hAnsi="Arial" w:cs="Arial"/>
              </w:rPr>
              <w:t>Year (2019-2020) -Y1</w:t>
            </w:r>
          </w:p>
        </w:tc>
        <w:tc>
          <w:tcPr>
            <w:tcW w:w="1280" w:type="dxa"/>
            <w:tcBorders>
              <w:top w:val="nil"/>
              <w:left w:val="nil"/>
              <w:bottom w:val="nil"/>
              <w:right w:val="nil"/>
            </w:tcBorders>
          </w:tcPr>
          <w:p w14:paraId="482096BB" w14:textId="77777777" w:rsidR="00EB5387" w:rsidRPr="00902FBB" w:rsidRDefault="00EB5387" w:rsidP="00B11E0C">
            <w:pPr>
              <w:jc w:val="center"/>
              <w:rPr>
                <w:rFonts w:ascii="Arial" w:hAnsi="Arial" w:cs="Arial"/>
                <w:b/>
                <w:bCs/>
              </w:rPr>
            </w:pPr>
            <w:r w:rsidRPr="00902FBB">
              <w:rPr>
                <w:rFonts w:ascii="Arial" w:hAnsi="Arial" w:cs="Arial"/>
              </w:rPr>
              <w:t>3.25</w:t>
            </w:r>
            <w:r w:rsidRPr="00902FBB">
              <w:rPr>
                <w:rFonts w:ascii="Arial" w:hAnsi="Arial" w:cs="Arial"/>
                <w:vertAlign w:val="superscript"/>
              </w:rPr>
              <w:t>b</w:t>
            </w:r>
          </w:p>
        </w:tc>
        <w:tc>
          <w:tcPr>
            <w:tcW w:w="1159" w:type="dxa"/>
            <w:tcBorders>
              <w:top w:val="nil"/>
              <w:left w:val="nil"/>
              <w:bottom w:val="nil"/>
              <w:right w:val="nil"/>
            </w:tcBorders>
          </w:tcPr>
          <w:p w14:paraId="2543651E"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73.38</w:t>
            </w:r>
            <w:r w:rsidRPr="00902FBB">
              <w:rPr>
                <w:rFonts w:ascii="Arial" w:hAnsi="Arial" w:cs="Arial"/>
                <w:sz w:val="22"/>
                <w:szCs w:val="22"/>
                <w:vertAlign w:val="superscript"/>
              </w:rPr>
              <w:t>b</w:t>
            </w:r>
          </w:p>
        </w:tc>
        <w:tc>
          <w:tcPr>
            <w:tcW w:w="1324" w:type="dxa"/>
            <w:tcBorders>
              <w:top w:val="nil"/>
              <w:left w:val="nil"/>
              <w:bottom w:val="nil"/>
              <w:right w:val="nil"/>
            </w:tcBorders>
            <w:vAlign w:val="center"/>
          </w:tcPr>
          <w:p w14:paraId="258AF9EE" w14:textId="77777777" w:rsidR="00EB5387" w:rsidRPr="00902FBB" w:rsidRDefault="00EB5387" w:rsidP="00B11E0C">
            <w:pPr>
              <w:jc w:val="center"/>
              <w:rPr>
                <w:rFonts w:ascii="Arial" w:hAnsi="Arial" w:cs="Arial"/>
                <w:color w:val="000000"/>
              </w:rPr>
            </w:pPr>
            <w:r w:rsidRPr="00902FBB">
              <w:rPr>
                <w:rFonts w:ascii="Arial" w:hAnsi="Arial" w:cs="Arial"/>
                <w:color w:val="000000"/>
              </w:rPr>
              <w:t>30.46</w:t>
            </w:r>
            <w:r w:rsidRPr="00902FBB">
              <w:rPr>
                <w:rFonts w:ascii="Arial" w:hAnsi="Arial" w:cs="Arial"/>
                <w:color w:val="000000"/>
                <w:vertAlign w:val="superscript"/>
              </w:rPr>
              <w:t>b</w:t>
            </w:r>
          </w:p>
        </w:tc>
        <w:tc>
          <w:tcPr>
            <w:tcW w:w="1159" w:type="dxa"/>
            <w:tcBorders>
              <w:top w:val="nil"/>
              <w:left w:val="nil"/>
              <w:bottom w:val="nil"/>
              <w:right w:val="nil"/>
            </w:tcBorders>
            <w:vAlign w:val="center"/>
          </w:tcPr>
          <w:p w14:paraId="5FA2E49E" w14:textId="77777777" w:rsidR="00EB5387" w:rsidRPr="00902FBB" w:rsidRDefault="00EB5387" w:rsidP="00B11E0C">
            <w:pPr>
              <w:jc w:val="center"/>
              <w:rPr>
                <w:rFonts w:ascii="Arial" w:hAnsi="Arial" w:cs="Arial"/>
                <w:color w:val="000000"/>
              </w:rPr>
            </w:pPr>
            <w:r w:rsidRPr="00902FBB">
              <w:rPr>
                <w:rFonts w:ascii="Arial" w:hAnsi="Arial" w:cs="Arial"/>
                <w:color w:val="000000"/>
              </w:rPr>
              <w:t>3.38</w:t>
            </w:r>
            <w:r w:rsidRPr="00902FBB">
              <w:rPr>
                <w:rFonts w:ascii="Arial" w:hAnsi="Arial" w:cs="Arial"/>
                <w:color w:val="000000"/>
                <w:vertAlign w:val="superscript"/>
              </w:rPr>
              <w:t>b</w:t>
            </w:r>
          </w:p>
        </w:tc>
        <w:tc>
          <w:tcPr>
            <w:tcW w:w="1403" w:type="dxa"/>
            <w:tcBorders>
              <w:top w:val="nil"/>
              <w:left w:val="nil"/>
              <w:bottom w:val="nil"/>
              <w:right w:val="nil"/>
            </w:tcBorders>
            <w:vAlign w:val="center"/>
          </w:tcPr>
          <w:p w14:paraId="07297458" w14:textId="77777777" w:rsidR="00EB5387" w:rsidRPr="00902FBB" w:rsidRDefault="00EB5387" w:rsidP="00B11E0C">
            <w:pPr>
              <w:jc w:val="center"/>
              <w:rPr>
                <w:rFonts w:ascii="Arial" w:hAnsi="Arial" w:cs="Arial"/>
                <w:color w:val="000000"/>
              </w:rPr>
            </w:pPr>
            <w:r w:rsidRPr="00902FBB">
              <w:rPr>
                <w:rFonts w:ascii="Arial" w:hAnsi="Arial" w:cs="Arial"/>
                <w:color w:val="000000"/>
              </w:rPr>
              <w:t>11.34</w:t>
            </w:r>
            <w:r w:rsidRPr="00902FBB">
              <w:rPr>
                <w:rFonts w:ascii="Arial" w:hAnsi="Arial" w:cs="Arial"/>
                <w:color w:val="000000"/>
                <w:vertAlign w:val="superscript"/>
              </w:rPr>
              <w:t xml:space="preserve">a </w:t>
            </w:r>
          </w:p>
        </w:tc>
        <w:tc>
          <w:tcPr>
            <w:tcW w:w="1303" w:type="dxa"/>
            <w:tcBorders>
              <w:top w:val="nil"/>
              <w:left w:val="nil"/>
              <w:bottom w:val="nil"/>
              <w:right w:val="nil"/>
            </w:tcBorders>
            <w:vAlign w:val="center"/>
          </w:tcPr>
          <w:p w14:paraId="5C60F982" w14:textId="77777777" w:rsidR="00EB5387" w:rsidRPr="00902FBB" w:rsidRDefault="00EB5387" w:rsidP="00B11E0C">
            <w:pPr>
              <w:jc w:val="center"/>
              <w:rPr>
                <w:rFonts w:ascii="Arial" w:hAnsi="Arial" w:cs="Arial"/>
                <w:color w:val="000000"/>
              </w:rPr>
            </w:pPr>
            <w:r w:rsidRPr="00902FBB">
              <w:rPr>
                <w:rFonts w:ascii="Arial" w:hAnsi="Arial" w:cs="Arial"/>
                <w:color w:val="000000"/>
              </w:rPr>
              <w:t>4.16</w:t>
            </w:r>
            <w:r w:rsidRPr="00902FBB">
              <w:rPr>
                <w:rFonts w:ascii="Arial" w:hAnsi="Arial" w:cs="Arial"/>
                <w:color w:val="000000"/>
                <w:vertAlign w:val="superscript"/>
              </w:rPr>
              <w:t>b</w:t>
            </w:r>
            <w:r w:rsidRPr="00902FBB">
              <w:rPr>
                <w:rFonts w:ascii="Arial" w:hAnsi="Arial" w:cs="Arial"/>
                <w:color w:val="000000"/>
              </w:rPr>
              <w:t xml:space="preserve"> </w:t>
            </w:r>
          </w:p>
        </w:tc>
      </w:tr>
      <w:tr w:rsidR="00EB5387" w:rsidRPr="00902FBB" w14:paraId="219E16EA" w14:textId="77777777" w:rsidTr="00B11E0C">
        <w:tc>
          <w:tcPr>
            <w:tcW w:w="2807" w:type="dxa"/>
            <w:tcBorders>
              <w:top w:val="nil"/>
              <w:left w:val="nil"/>
              <w:bottom w:val="nil"/>
              <w:right w:val="nil"/>
            </w:tcBorders>
          </w:tcPr>
          <w:p w14:paraId="29679FB8" w14:textId="77777777" w:rsidR="00EB5387" w:rsidRPr="00902FBB" w:rsidRDefault="00EB5387" w:rsidP="00B11E0C">
            <w:pPr>
              <w:rPr>
                <w:rFonts w:ascii="Arial" w:hAnsi="Arial" w:cs="Arial"/>
              </w:rPr>
            </w:pPr>
            <w:r w:rsidRPr="00902FBB">
              <w:rPr>
                <w:rFonts w:ascii="Arial" w:hAnsi="Arial" w:cs="Arial"/>
              </w:rPr>
              <w:t>Year (2020-2021) -Y2</w:t>
            </w:r>
          </w:p>
        </w:tc>
        <w:tc>
          <w:tcPr>
            <w:tcW w:w="1280" w:type="dxa"/>
            <w:tcBorders>
              <w:top w:val="nil"/>
              <w:left w:val="nil"/>
              <w:bottom w:val="nil"/>
              <w:right w:val="nil"/>
            </w:tcBorders>
          </w:tcPr>
          <w:p w14:paraId="07672B1E" w14:textId="77777777" w:rsidR="00EB5387" w:rsidRPr="00902FBB" w:rsidRDefault="00EB5387" w:rsidP="00B11E0C">
            <w:pPr>
              <w:jc w:val="center"/>
              <w:rPr>
                <w:rFonts w:ascii="Arial" w:hAnsi="Arial" w:cs="Arial"/>
                <w:b/>
                <w:bCs/>
              </w:rPr>
            </w:pPr>
            <w:r w:rsidRPr="00902FBB">
              <w:rPr>
                <w:rFonts w:ascii="Arial" w:hAnsi="Arial" w:cs="Arial"/>
              </w:rPr>
              <w:t>3.75</w:t>
            </w:r>
            <w:r w:rsidRPr="00902FBB">
              <w:rPr>
                <w:rFonts w:ascii="Arial" w:hAnsi="Arial" w:cs="Arial"/>
                <w:vertAlign w:val="superscript"/>
              </w:rPr>
              <w:t>a</w:t>
            </w:r>
          </w:p>
        </w:tc>
        <w:tc>
          <w:tcPr>
            <w:tcW w:w="1159" w:type="dxa"/>
            <w:tcBorders>
              <w:top w:val="nil"/>
              <w:left w:val="nil"/>
              <w:bottom w:val="nil"/>
              <w:right w:val="nil"/>
            </w:tcBorders>
          </w:tcPr>
          <w:p w14:paraId="1BEDC623"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91.08</w:t>
            </w:r>
            <w:r w:rsidRPr="00902FBB">
              <w:rPr>
                <w:rFonts w:ascii="Arial" w:hAnsi="Arial" w:cs="Arial"/>
                <w:sz w:val="22"/>
                <w:szCs w:val="22"/>
                <w:vertAlign w:val="superscript"/>
              </w:rPr>
              <w:t>a</w:t>
            </w:r>
          </w:p>
        </w:tc>
        <w:tc>
          <w:tcPr>
            <w:tcW w:w="1324" w:type="dxa"/>
            <w:tcBorders>
              <w:top w:val="nil"/>
              <w:left w:val="nil"/>
              <w:bottom w:val="nil"/>
              <w:right w:val="nil"/>
            </w:tcBorders>
            <w:vAlign w:val="center"/>
          </w:tcPr>
          <w:p w14:paraId="0BD6F4F3" w14:textId="77777777" w:rsidR="00EB5387" w:rsidRPr="00902FBB" w:rsidRDefault="00EB5387" w:rsidP="00B11E0C">
            <w:pPr>
              <w:jc w:val="center"/>
              <w:rPr>
                <w:rFonts w:ascii="Arial" w:hAnsi="Arial" w:cs="Arial"/>
                <w:color w:val="000000"/>
              </w:rPr>
            </w:pPr>
            <w:r w:rsidRPr="00902FBB">
              <w:rPr>
                <w:rFonts w:ascii="Arial" w:hAnsi="Arial" w:cs="Arial"/>
                <w:color w:val="000000"/>
              </w:rPr>
              <w:t>63.54</w:t>
            </w:r>
            <w:r w:rsidRPr="00902FBB">
              <w:rPr>
                <w:rFonts w:ascii="Arial" w:hAnsi="Arial" w:cs="Arial"/>
                <w:color w:val="000000"/>
                <w:vertAlign w:val="superscript"/>
              </w:rPr>
              <w:t xml:space="preserve">a </w:t>
            </w:r>
          </w:p>
        </w:tc>
        <w:tc>
          <w:tcPr>
            <w:tcW w:w="1159" w:type="dxa"/>
            <w:tcBorders>
              <w:top w:val="nil"/>
              <w:left w:val="nil"/>
              <w:bottom w:val="nil"/>
              <w:right w:val="nil"/>
            </w:tcBorders>
            <w:vAlign w:val="center"/>
          </w:tcPr>
          <w:p w14:paraId="507FC5A6" w14:textId="77777777" w:rsidR="00EB5387" w:rsidRPr="00902FBB" w:rsidRDefault="00EB5387" w:rsidP="00B11E0C">
            <w:pPr>
              <w:jc w:val="center"/>
              <w:rPr>
                <w:rFonts w:ascii="Arial" w:hAnsi="Arial" w:cs="Arial"/>
                <w:color w:val="000000"/>
              </w:rPr>
            </w:pPr>
            <w:r w:rsidRPr="00902FBB">
              <w:rPr>
                <w:rFonts w:ascii="Arial" w:hAnsi="Arial" w:cs="Arial"/>
                <w:color w:val="000000"/>
              </w:rPr>
              <w:t>5.46</w:t>
            </w:r>
            <w:r w:rsidRPr="00902FBB">
              <w:rPr>
                <w:rFonts w:ascii="Arial" w:hAnsi="Arial" w:cs="Arial"/>
                <w:color w:val="000000"/>
                <w:vertAlign w:val="superscript"/>
              </w:rPr>
              <w:t>a</w:t>
            </w:r>
          </w:p>
        </w:tc>
        <w:tc>
          <w:tcPr>
            <w:tcW w:w="1403" w:type="dxa"/>
            <w:tcBorders>
              <w:top w:val="nil"/>
              <w:left w:val="nil"/>
              <w:bottom w:val="nil"/>
              <w:right w:val="nil"/>
            </w:tcBorders>
            <w:vAlign w:val="center"/>
          </w:tcPr>
          <w:p w14:paraId="50CE540F" w14:textId="77777777" w:rsidR="00EB5387" w:rsidRPr="00902FBB" w:rsidRDefault="00EB5387" w:rsidP="00B11E0C">
            <w:pPr>
              <w:jc w:val="center"/>
              <w:rPr>
                <w:rFonts w:ascii="Arial" w:hAnsi="Arial" w:cs="Arial"/>
                <w:color w:val="000000"/>
              </w:rPr>
            </w:pPr>
            <w:r w:rsidRPr="00902FBB">
              <w:rPr>
                <w:rFonts w:ascii="Arial" w:hAnsi="Arial" w:cs="Arial"/>
                <w:color w:val="000000"/>
              </w:rPr>
              <w:t xml:space="preserve">8.03 </w:t>
            </w:r>
            <w:r w:rsidRPr="00902FBB">
              <w:rPr>
                <w:rFonts w:ascii="Arial" w:hAnsi="Arial" w:cs="Arial"/>
                <w:color w:val="000000"/>
                <w:vertAlign w:val="superscript"/>
              </w:rPr>
              <w:t>b</w:t>
            </w:r>
          </w:p>
        </w:tc>
        <w:tc>
          <w:tcPr>
            <w:tcW w:w="1303" w:type="dxa"/>
            <w:tcBorders>
              <w:top w:val="nil"/>
              <w:left w:val="nil"/>
              <w:bottom w:val="nil"/>
              <w:right w:val="nil"/>
            </w:tcBorders>
            <w:vAlign w:val="center"/>
          </w:tcPr>
          <w:p w14:paraId="167BACBA" w14:textId="77777777" w:rsidR="00EB5387" w:rsidRPr="00902FBB" w:rsidRDefault="00EB5387" w:rsidP="00B11E0C">
            <w:pPr>
              <w:jc w:val="center"/>
              <w:rPr>
                <w:rFonts w:ascii="Arial" w:hAnsi="Arial" w:cs="Arial"/>
                <w:color w:val="000000"/>
              </w:rPr>
            </w:pPr>
            <w:r w:rsidRPr="00902FBB">
              <w:rPr>
                <w:rFonts w:ascii="Arial" w:hAnsi="Arial" w:cs="Arial"/>
                <w:color w:val="000000"/>
              </w:rPr>
              <w:t>6.89</w:t>
            </w:r>
            <w:r w:rsidRPr="00902FBB">
              <w:rPr>
                <w:rFonts w:ascii="Arial" w:hAnsi="Arial" w:cs="Arial"/>
                <w:color w:val="000000"/>
                <w:vertAlign w:val="superscript"/>
              </w:rPr>
              <w:t>a</w:t>
            </w:r>
          </w:p>
        </w:tc>
      </w:tr>
      <w:tr w:rsidR="00EB5387" w:rsidRPr="00902FBB" w14:paraId="1C6A9BBF" w14:textId="77777777" w:rsidTr="00B11E0C">
        <w:tc>
          <w:tcPr>
            <w:tcW w:w="2807" w:type="dxa"/>
            <w:tcBorders>
              <w:top w:val="nil"/>
              <w:left w:val="nil"/>
              <w:bottom w:val="single" w:sz="4" w:space="0" w:color="auto"/>
              <w:right w:val="nil"/>
            </w:tcBorders>
          </w:tcPr>
          <w:p w14:paraId="48E1E374" w14:textId="77777777" w:rsidR="00EB5387" w:rsidRPr="00902FBB" w:rsidRDefault="00EB5387" w:rsidP="00B11E0C">
            <w:pPr>
              <w:rPr>
                <w:rFonts w:ascii="Arial" w:hAnsi="Arial" w:cs="Arial"/>
              </w:rPr>
            </w:pPr>
            <w:r w:rsidRPr="00902FBB">
              <w:rPr>
                <w:rFonts w:ascii="Arial" w:hAnsi="Arial" w:cs="Arial"/>
              </w:rPr>
              <w:t>LSD at p &lt; 0.05</w:t>
            </w:r>
          </w:p>
        </w:tc>
        <w:tc>
          <w:tcPr>
            <w:tcW w:w="1280" w:type="dxa"/>
            <w:tcBorders>
              <w:top w:val="nil"/>
              <w:left w:val="nil"/>
              <w:bottom w:val="single" w:sz="4" w:space="0" w:color="auto"/>
              <w:right w:val="nil"/>
            </w:tcBorders>
          </w:tcPr>
          <w:p w14:paraId="1CDFA7D1" w14:textId="77777777" w:rsidR="00EB5387" w:rsidRPr="00902FBB" w:rsidRDefault="00EB5387" w:rsidP="00B11E0C">
            <w:pPr>
              <w:jc w:val="center"/>
              <w:rPr>
                <w:rFonts w:ascii="Arial" w:hAnsi="Arial" w:cs="Arial"/>
                <w:b/>
                <w:bCs/>
              </w:rPr>
            </w:pPr>
            <w:r w:rsidRPr="00902FBB">
              <w:rPr>
                <w:rFonts w:ascii="Arial" w:hAnsi="Arial" w:cs="Arial"/>
                <w:b/>
                <w:bCs/>
              </w:rPr>
              <w:t>0.323</w:t>
            </w:r>
          </w:p>
        </w:tc>
        <w:tc>
          <w:tcPr>
            <w:tcW w:w="1159" w:type="dxa"/>
            <w:tcBorders>
              <w:top w:val="nil"/>
              <w:left w:val="nil"/>
              <w:bottom w:val="single" w:sz="4" w:space="0" w:color="auto"/>
              <w:right w:val="nil"/>
            </w:tcBorders>
          </w:tcPr>
          <w:p w14:paraId="4B35CC20" w14:textId="77777777" w:rsidR="00EB5387" w:rsidRPr="00902FBB" w:rsidRDefault="00EB5387" w:rsidP="00B11E0C">
            <w:pPr>
              <w:jc w:val="center"/>
              <w:rPr>
                <w:rFonts w:ascii="Arial" w:hAnsi="Arial" w:cs="Arial"/>
                <w:b/>
                <w:bCs/>
              </w:rPr>
            </w:pPr>
            <w:r w:rsidRPr="00902FBB">
              <w:rPr>
                <w:rFonts w:ascii="Arial" w:hAnsi="Arial" w:cs="Arial"/>
                <w:b/>
                <w:bCs/>
              </w:rPr>
              <w:t>9.218</w:t>
            </w:r>
          </w:p>
        </w:tc>
        <w:tc>
          <w:tcPr>
            <w:tcW w:w="1324" w:type="dxa"/>
            <w:tcBorders>
              <w:top w:val="nil"/>
              <w:left w:val="nil"/>
              <w:bottom w:val="single" w:sz="4" w:space="0" w:color="auto"/>
              <w:right w:val="nil"/>
            </w:tcBorders>
          </w:tcPr>
          <w:p w14:paraId="69E4C13D" w14:textId="77777777" w:rsidR="00EB5387" w:rsidRPr="00902FBB" w:rsidRDefault="00EB5387" w:rsidP="00B11E0C">
            <w:pPr>
              <w:jc w:val="center"/>
              <w:rPr>
                <w:rFonts w:ascii="Arial" w:hAnsi="Arial" w:cs="Arial"/>
                <w:b/>
                <w:bCs/>
              </w:rPr>
            </w:pPr>
            <w:r w:rsidRPr="00902FBB">
              <w:rPr>
                <w:rFonts w:ascii="Arial" w:hAnsi="Arial" w:cs="Arial"/>
                <w:b/>
                <w:bCs/>
              </w:rPr>
              <w:t>7.459</w:t>
            </w:r>
          </w:p>
        </w:tc>
        <w:tc>
          <w:tcPr>
            <w:tcW w:w="1159" w:type="dxa"/>
            <w:tcBorders>
              <w:top w:val="nil"/>
              <w:left w:val="nil"/>
              <w:bottom w:val="single" w:sz="4" w:space="0" w:color="auto"/>
              <w:right w:val="nil"/>
            </w:tcBorders>
          </w:tcPr>
          <w:p w14:paraId="07D6244B" w14:textId="77777777" w:rsidR="00EB5387" w:rsidRPr="00902FBB" w:rsidRDefault="00EB5387" w:rsidP="00B11E0C">
            <w:pPr>
              <w:jc w:val="center"/>
              <w:rPr>
                <w:rFonts w:ascii="Arial" w:hAnsi="Arial" w:cs="Arial"/>
                <w:b/>
                <w:bCs/>
              </w:rPr>
            </w:pPr>
            <w:r w:rsidRPr="00902FBB">
              <w:rPr>
                <w:rFonts w:ascii="Arial" w:hAnsi="Arial" w:cs="Arial"/>
                <w:b/>
                <w:bCs/>
              </w:rPr>
              <w:t>1.273</w:t>
            </w:r>
          </w:p>
        </w:tc>
        <w:tc>
          <w:tcPr>
            <w:tcW w:w="1403" w:type="dxa"/>
            <w:tcBorders>
              <w:top w:val="nil"/>
              <w:left w:val="nil"/>
              <w:bottom w:val="single" w:sz="4" w:space="0" w:color="auto"/>
              <w:right w:val="nil"/>
            </w:tcBorders>
          </w:tcPr>
          <w:p w14:paraId="3D3B10A3" w14:textId="77777777" w:rsidR="00EB5387" w:rsidRPr="00902FBB" w:rsidRDefault="00EB5387" w:rsidP="00B11E0C">
            <w:pPr>
              <w:jc w:val="center"/>
              <w:rPr>
                <w:rFonts w:ascii="Arial" w:hAnsi="Arial" w:cs="Arial"/>
                <w:b/>
                <w:bCs/>
              </w:rPr>
            </w:pPr>
            <w:r w:rsidRPr="00902FBB">
              <w:rPr>
                <w:rFonts w:ascii="Arial" w:hAnsi="Arial" w:cs="Arial"/>
                <w:b/>
                <w:bCs/>
              </w:rPr>
              <w:t>2.460</w:t>
            </w:r>
          </w:p>
        </w:tc>
        <w:tc>
          <w:tcPr>
            <w:tcW w:w="1303" w:type="dxa"/>
            <w:tcBorders>
              <w:top w:val="nil"/>
              <w:left w:val="nil"/>
              <w:bottom w:val="single" w:sz="4" w:space="0" w:color="auto"/>
              <w:right w:val="nil"/>
            </w:tcBorders>
          </w:tcPr>
          <w:p w14:paraId="1DFA0A52" w14:textId="77777777" w:rsidR="00EB5387" w:rsidRPr="00902FBB" w:rsidRDefault="00EB5387" w:rsidP="00B11E0C">
            <w:pPr>
              <w:jc w:val="center"/>
              <w:rPr>
                <w:rFonts w:ascii="Arial" w:hAnsi="Arial" w:cs="Arial"/>
                <w:b/>
                <w:bCs/>
              </w:rPr>
            </w:pPr>
            <w:r w:rsidRPr="00902FBB">
              <w:rPr>
                <w:rFonts w:ascii="Arial" w:hAnsi="Arial" w:cs="Arial"/>
                <w:b/>
                <w:bCs/>
              </w:rPr>
              <w:t>1.596</w:t>
            </w:r>
          </w:p>
        </w:tc>
      </w:tr>
      <w:tr w:rsidR="00EB5387" w:rsidRPr="00902FBB" w14:paraId="53568795" w14:textId="77777777" w:rsidTr="00B11E0C">
        <w:tc>
          <w:tcPr>
            <w:tcW w:w="2807" w:type="dxa"/>
            <w:tcBorders>
              <w:top w:val="single" w:sz="4" w:space="0" w:color="auto"/>
              <w:left w:val="nil"/>
              <w:bottom w:val="nil"/>
              <w:right w:val="nil"/>
            </w:tcBorders>
          </w:tcPr>
          <w:p w14:paraId="40E5AB74" w14:textId="77777777" w:rsidR="00EB5387" w:rsidRPr="00902FBB" w:rsidRDefault="00EB5387" w:rsidP="00B11E0C">
            <w:pPr>
              <w:rPr>
                <w:rFonts w:ascii="Arial" w:hAnsi="Arial" w:cs="Arial"/>
                <w:b/>
                <w:bCs/>
              </w:rPr>
            </w:pPr>
            <w:r w:rsidRPr="00902FBB">
              <w:rPr>
                <w:rFonts w:ascii="Arial" w:hAnsi="Arial" w:cs="Arial"/>
                <w:b/>
                <w:bCs/>
              </w:rPr>
              <w:t>Sowing Methods (SM)</w:t>
            </w:r>
          </w:p>
        </w:tc>
        <w:tc>
          <w:tcPr>
            <w:tcW w:w="1280" w:type="dxa"/>
            <w:tcBorders>
              <w:top w:val="single" w:sz="4" w:space="0" w:color="auto"/>
              <w:left w:val="nil"/>
              <w:bottom w:val="nil"/>
              <w:right w:val="nil"/>
            </w:tcBorders>
            <w:vAlign w:val="center"/>
          </w:tcPr>
          <w:p w14:paraId="45EF5C67" w14:textId="77777777" w:rsidR="00EB5387" w:rsidRPr="00902FBB" w:rsidRDefault="00EB5387" w:rsidP="00B11E0C">
            <w:pPr>
              <w:jc w:val="center"/>
              <w:rPr>
                <w:rFonts w:ascii="Arial" w:hAnsi="Arial" w:cs="Arial"/>
                <w:color w:val="000000"/>
              </w:rPr>
            </w:pPr>
          </w:p>
        </w:tc>
        <w:tc>
          <w:tcPr>
            <w:tcW w:w="1159" w:type="dxa"/>
            <w:tcBorders>
              <w:top w:val="single" w:sz="4" w:space="0" w:color="auto"/>
              <w:left w:val="nil"/>
              <w:bottom w:val="nil"/>
              <w:right w:val="nil"/>
            </w:tcBorders>
            <w:vAlign w:val="center"/>
          </w:tcPr>
          <w:p w14:paraId="0AB8BE67" w14:textId="77777777" w:rsidR="00EB5387" w:rsidRPr="00902FBB" w:rsidRDefault="00EB5387" w:rsidP="00B11E0C">
            <w:pPr>
              <w:jc w:val="center"/>
              <w:rPr>
                <w:rFonts w:ascii="Arial" w:hAnsi="Arial" w:cs="Arial"/>
                <w:color w:val="000000"/>
              </w:rPr>
            </w:pPr>
          </w:p>
        </w:tc>
        <w:tc>
          <w:tcPr>
            <w:tcW w:w="1324" w:type="dxa"/>
            <w:tcBorders>
              <w:top w:val="single" w:sz="4" w:space="0" w:color="auto"/>
              <w:left w:val="nil"/>
              <w:bottom w:val="nil"/>
              <w:right w:val="nil"/>
            </w:tcBorders>
            <w:vAlign w:val="center"/>
          </w:tcPr>
          <w:p w14:paraId="6C6D26DE" w14:textId="77777777" w:rsidR="00EB5387" w:rsidRPr="00902FBB" w:rsidRDefault="00EB5387" w:rsidP="00B11E0C">
            <w:pPr>
              <w:jc w:val="center"/>
              <w:rPr>
                <w:rFonts w:ascii="Arial" w:hAnsi="Arial" w:cs="Arial"/>
                <w:color w:val="000000"/>
              </w:rPr>
            </w:pPr>
          </w:p>
        </w:tc>
        <w:tc>
          <w:tcPr>
            <w:tcW w:w="1159" w:type="dxa"/>
            <w:tcBorders>
              <w:top w:val="single" w:sz="4" w:space="0" w:color="auto"/>
              <w:left w:val="nil"/>
              <w:bottom w:val="nil"/>
              <w:right w:val="nil"/>
            </w:tcBorders>
            <w:vAlign w:val="center"/>
          </w:tcPr>
          <w:p w14:paraId="32790E5B" w14:textId="77777777" w:rsidR="00EB5387" w:rsidRPr="00902FBB" w:rsidRDefault="00EB5387" w:rsidP="00B11E0C">
            <w:pPr>
              <w:jc w:val="center"/>
              <w:rPr>
                <w:rFonts w:ascii="Arial" w:hAnsi="Arial" w:cs="Arial"/>
                <w:color w:val="000000"/>
              </w:rPr>
            </w:pPr>
          </w:p>
        </w:tc>
        <w:tc>
          <w:tcPr>
            <w:tcW w:w="1403" w:type="dxa"/>
            <w:tcBorders>
              <w:top w:val="single" w:sz="4" w:space="0" w:color="auto"/>
              <w:left w:val="nil"/>
              <w:bottom w:val="nil"/>
              <w:right w:val="nil"/>
            </w:tcBorders>
            <w:vAlign w:val="center"/>
          </w:tcPr>
          <w:p w14:paraId="69288EB3" w14:textId="77777777" w:rsidR="00EB5387" w:rsidRPr="00902FBB" w:rsidRDefault="00EB5387" w:rsidP="00B11E0C">
            <w:pPr>
              <w:jc w:val="center"/>
              <w:rPr>
                <w:rFonts w:ascii="Arial" w:hAnsi="Arial" w:cs="Arial"/>
                <w:color w:val="000000"/>
              </w:rPr>
            </w:pPr>
          </w:p>
        </w:tc>
        <w:tc>
          <w:tcPr>
            <w:tcW w:w="1303" w:type="dxa"/>
            <w:tcBorders>
              <w:top w:val="single" w:sz="4" w:space="0" w:color="auto"/>
              <w:left w:val="nil"/>
              <w:bottom w:val="nil"/>
              <w:right w:val="nil"/>
            </w:tcBorders>
            <w:vAlign w:val="center"/>
          </w:tcPr>
          <w:p w14:paraId="53F75A78" w14:textId="77777777" w:rsidR="00EB5387" w:rsidRPr="00902FBB" w:rsidRDefault="00EB5387" w:rsidP="00B11E0C">
            <w:pPr>
              <w:jc w:val="center"/>
              <w:rPr>
                <w:rFonts w:ascii="Arial" w:hAnsi="Arial" w:cs="Arial"/>
                <w:color w:val="000000"/>
              </w:rPr>
            </w:pPr>
          </w:p>
        </w:tc>
      </w:tr>
      <w:tr w:rsidR="00EB5387" w:rsidRPr="00902FBB" w14:paraId="1458B509" w14:textId="77777777" w:rsidTr="00B11E0C">
        <w:tc>
          <w:tcPr>
            <w:tcW w:w="2807" w:type="dxa"/>
            <w:tcBorders>
              <w:top w:val="nil"/>
              <w:left w:val="nil"/>
              <w:bottom w:val="nil"/>
              <w:right w:val="nil"/>
            </w:tcBorders>
          </w:tcPr>
          <w:p w14:paraId="399C3EBD" w14:textId="77777777" w:rsidR="00EB5387" w:rsidRPr="00902FBB" w:rsidRDefault="00EB5387" w:rsidP="00B11E0C">
            <w:pPr>
              <w:rPr>
                <w:rFonts w:ascii="Arial" w:hAnsi="Arial" w:cs="Arial"/>
              </w:rPr>
            </w:pPr>
            <w:r w:rsidRPr="00902FBB">
              <w:rPr>
                <w:rFonts w:ascii="Arial" w:hAnsi="Arial" w:cs="Arial"/>
              </w:rPr>
              <w:t>One-sided sowing (SM1)</w:t>
            </w:r>
          </w:p>
        </w:tc>
        <w:tc>
          <w:tcPr>
            <w:tcW w:w="1280" w:type="dxa"/>
            <w:tcBorders>
              <w:top w:val="nil"/>
              <w:left w:val="nil"/>
              <w:bottom w:val="nil"/>
              <w:right w:val="nil"/>
            </w:tcBorders>
            <w:vAlign w:val="center"/>
          </w:tcPr>
          <w:p w14:paraId="3A1FA9CF" w14:textId="77777777" w:rsidR="00EB5387" w:rsidRPr="00902FBB" w:rsidRDefault="00EB5387" w:rsidP="00B11E0C">
            <w:pPr>
              <w:jc w:val="center"/>
              <w:rPr>
                <w:rFonts w:ascii="Arial" w:hAnsi="Arial" w:cs="Arial"/>
                <w:color w:val="000000"/>
              </w:rPr>
            </w:pPr>
            <w:r w:rsidRPr="00902FBB">
              <w:rPr>
                <w:rFonts w:ascii="Arial" w:hAnsi="Arial" w:cs="Arial"/>
                <w:color w:val="000000"/>
              </w:rPr>
              <w:t>3.5</w:t>
            </w:r>
          </w:p>
        </w:tc>
        <w:tc>
          <w:tcPr>
            <w:tcW w:w="1159" w:type="dxa"/>
            <w:tcBorders>
              <w:top w:val="nil"/>
              <w:left w:val="nil"/>
              <w:bottom w:val="nil"/>
              <w:right w:val="nil"/>
            </w:tcBorders>
            <w:vAlign w:val="center"/>
          </w:tcPr>
          <w:p w14:paraId="6BC2392C" w14:textId="77777777" w:rsidR="00EB5387" w:rsidRPr="00902FBB" w:rsidRDefault="00EB5387" w:rsidP="00B11E0C">
            <w:pPr>
              <w:jc w:val="center"/>
              <w:rPr>
                <w:rFonts w:ascii="Arial" w:hAnsi="Arial" w:cs="Arial"/>
                <w:color w:val="000000"/>
              </w:rPr>
            </w:pPr>
            <w:r w:rsidRPr="00902FBB">
              <w:rPr>
                <w:rFonts w:ascii="Arial" w:hAnsi="Arial" w:cs="Arial"/>
                <w:color w:val="000000"/>
              </w:rPr>
              <w:t>83.88</w:t>
            </w:r>
          </w:p>
        </w:tc>
        <w:tc>
          <w:tcPr>
            <w:tcW w:w="1324" w:type="dxa"/>
            <w:tcBorders>
              <w:top w:val="nil"/>
              <w:left w:val="nil"/>
              <w:bottom w:val="nil"/>
              <w:right w:val="nil"/>
            </w:tcBorders>
            <w:vAlign w:val="center"/>
          </w:tcPr>
          <w:p w14:paraId="1518380F" w14:textId="77777777" w:rsidR="00EB5387" w:rsidRPr="00902FBB" w:rsidRDefault="00EB5387" w:rsidP="00B11E0C">
            <w:pPr>
              <w:jc w:val="center"/>
              <w:rPr>
                <w:rFonts w:ascii="Arial" w:hAnsi="Arial" w:cs="Arial"/>
                <w:color w:val="000000"/>
              </w:rPr>
            </w:pPr>
            <w:r w:rsidRPr="00902FBB">
              <w:rPr>
                <w:rFonts w:ascii="Arial" w:hAnsi="Arial" w:cs="Arial"/>
                <w:color w:val="000000"/>
              </w:rPr>
              <w:t>46.92</w:t>
            </w:r>
          </w:p>
        </w:tc>
        <w:tc>
          <w:tcPr>
            <w:tcW w:w="1159" w:type="dxa"/>
            <w:tcBorders>
              <w:top w:val="nil"/>
              <w:left w:val="nil"/>
              <w:bottom w:val="nil"/>
              <w:right w:val="nil"/>
            </w:tcBorders>
            <w:vAlign w:val="center"/>
          </w:tcPr>
          <w:p w14:paraId="5D2B60A7" w14:textId="77777777" w:rsidR="00EB5387" w:rsidRPr="00902FBB" w:rsidRDefault="00EB5387" w:rsidP="00B11E0C">
            <w:pPr>
              <w:jc w:val="center"/>
              <w:rPr>
                <w:rFonts w:ascii="Arial" w:hAnsi="Arial" w:cs="Arial"/>
                <w:color w:val="000000"/>
              </w:rPr>
            </w:pPr>
            <w:r w:rsidRPr="00902FBB">
              <w:rPr>
                <w:rFonts w:ascii="Arial" w:hAnsi="Arial" w:cs="Arial"/>
                <w:color w:val="000000"/>
              </w:rPr>
              <w:t xml:space="preserve">5.04 </w:t>
            </w:r>
          </w:p>
        </w:tc>
        <w:tc>
          <w:tcPr>
            <w:tcW w:w="1403" w:type="dxa"/>
            <w:tcBorders>
              <w:top w:val="nil"/>
              <w:left w:val="nil"/>
              <w:bottom w:val="nil"/>
              <w:right w:val="nil"/>
            </w:tcBorders>
            <w:vAlign w:val="center"/>
          </w:tcPr>
          <w:p w14:paraId="6427D243" w14:textId="77777777" w:rsidR="00EB5387" w:rsidRPr="00902FBB" w:rsidRDefault="00EB5387" w:rsidP="00B11E0C">
            <w:pPr>
              <w:jc w:val="center"/>
              <w:rPr>
                <w:rFonts w:ascii="Arial" w:hAnsi="Arial" w:cs="Arial"/>
                <w:color w:val="000000"/>
              </w:rPr>
            </w:pPr>
            <w:r w:rsidRPr="00902FBB">
              <w:rPr>
                <w:rFonts w:ascii="Arial" w:hAnsi="Arial" w:cs="Arial"/>
                <w:color w:val="000000"/>
              </w:rPr>
              <w:t xml:space="preserve">10.82 </w:t>
            </w:r>
          </w:p>
        </w:tc>
        <w:tc>
          <w:tcPr>
            <w:tcW w:w="1303" w:type="dxa"/>
            <w:tcBorders>
              <w:top w:val="nil"/>
              <w:left w:val="nil"/>
              <w:bottom w:val="nil"/>
              <w:right w:val="nil"/>
            </w:tcBorders>
            <w:vAlign w:val="center"/>
          </w:tcPr>
          <w:p w14:paraId="66BA4E3F" w14:textId="77777777" w:rsidR="00EB5387" w:rsidRPr="00902FBB" w:rsidRDefault="00EB5387" w:rsidP="00B11E0C">
            <w:pPr>
              <w:jc w:val="center"/>
              <w:rPr>
                <w:rFonts w:ascii="Arial" w:hAnsi="Arial" w:cs="Arial"/>
                <w:color w:val="000000"/>
              </w:rPr>
            </w:pPr>
            <w:r w:rsidRPr="00902FBB">
              <w:rPr>
                <w:rFonts w:ascii="Arial" w:hAnsi="Arial" w:cs="Arial"/>
                <w:color w:val="000000"/>
              </w:rPr>
              <w:t>6.56</w:t>
            </w:r>
            <w:r w:rsidRPr="00902FBB">
              <w:rPr>
                <w:rFonts w:ascii="Arial" w:hAnsi="Arial" w:cs="Arial"/>
                <w:color w:val="000000"/>
                <w:vertAlign w:val="superscript"/>
              </w:rPr>
              <w:t>a</w:t>
            </w:r>
          </w:p>
        </w:tc>
      </w:tr>
      <w:tr w:rsidR="00EB5387" w:rsidRPr="00902FBB" w14:paraId="32660C9D" w14:textId="77777777" w:rsidTr="00B11E0C">
        <w:trPr>
          <w:trHeight w:val="229"/>
        </w:trPr>
        <w:tc>
          <w:tcPr>
            <w:tcW w:w="2807" w:type="dxa"/>
            <w:tcBorders>
              <w:top w:val="nil"/>
              <w:left w:val="nil"/>
              <w:bottom w:val="nil"/>
              <w:right w:val="nil"/>
            </w:tcBorders>
          </w:tcPr>
          <w:p w14:paraId="2A25CE32" w14:textId="77777777" w:rsidR="00EB5387" w:rsidRPr="00902FBB" w:rsidRDefault="00EB5387" w:rsidP="00B11E0C">
            <w:pPr>
              <w:rPr>
                <w:rFonts w:ascii="Arial" w:hAnsi="Arial" w:cs="Arial"/>
              </w:rPr>
            </w:pPr>
            <w:r w:rsidRPr="00902FBB">
              <w:rPr>
                <w:rFonts w:ascii="Arial" w:hAnsi="Arial" w:cs="Arial"/>
              </w:rPr>
              <w:t>Two-sided sowing (SM2)</w:t>
            </w:r>
          </w:p>
        </w:tc>
        <w:tc>
          <w:tcPr>
            <w:tcW w:w="1280" w:type="dxa"/>
            <w:tcBorders>
              <w:top w:val="nil"/>
              <w:left w:val="nil"/>
              <w:bottom w:val="nil"/>
              <w:right w:val="nil"/>
            </w:tcBorders>
            <w:vAlign w:val="center"/>
          </w:tcPr>
          <w:p w14:paraId="07642949" w14:textId="77777777" w:rsidR="00EB5387" w:rsidRPr="00902FBB" w:rsidRDefault="00EB5387" w:rsidP="00B11E0C">
            <w:pPr>
              <w:jc w:val="center"/>
              <w:rPr>
                <w:rFonts w:ascii="Arial" w:hAnsi="Arial" w:cs="Arial"/>
                <w:color w:val="000000"/>
              </w:rPr>
            </w:pPr>
            <w:r w:rsidRPr="00902FBB">
              <w:rPr>
                <w:rFonts w:ascii="Arial" w:hAnsi="Arial" w:cs="Arial"/>
                <w:color w:val="000000"/>
              </w:rPr>
              <w:t>3.5</w:t>
            </w:r>
          </w:p>
        </w:tc>
        <w:tc>
          <w:tcPr>
            <w:tcW w:w="1159" w:type="dxa"/>
            <w:tcBorders>
              <w:top w:val="nil"/>
              <w:left w:val="nil"/>
              <w:bottom w:val="nil"/>
              <w:right w:val="nil"/>
            </w:tcBorders>
            <w:vAlign w:val="center"/>
          </w:tcPr>
          <w:p w14:paraId="2890962F" w14:textId="77777777" w:rsidR="00EB5387" w:rsidRPr="00902FBB" w:rsidRDefault="00EB5387" w:rsidP="00B11E0C">
            <w:pPr>
              <w:jc w:val="center"/>
              <w:rPr>
                <w:rFonts w:ascii="Arial" w:hAnsi="Arial" w:cs="Arial"/>
                <w:color w:val="000000"/>
              </w:rPr>
            </w:pPr>
            <w:r w:rsidRPr="00902FBB">
              <w:rPr>
                <w:rFonts w:ascii="Arial" w:hAnsi="Arial" w:cs="Arial"/>
                <w:color w:val="000000"/>
              </w:rPr>
              <w:t xml:space="preserve">80.58 </w:t>
            </w:r>
          </w:p>
        </w:tc>
        <w:tc>
          <w:tcPr>
            <w:tcW w:w="1324" w:type="dxa"/>
            <w:tcBorders>
              <w:top w:val="nil"/>
              <w:left w:val="nil"/>
              <w:bottom w:val="nil"/>
              <w:right w:val="nil"/>
            </w:tcBorders>
            <w:vAlign w:val="center"/>
          </w:tcPr>
          <w:p w14:paraId="4DDE598C" w14:textId="77777777" w:rsidR="00EB5387" w:rsidRPr="00902FBB" w:rsidRDefault="00EB5387" w:rsidP="00B11E0C">
            <w:pPr>
              <w:jc w:val="center"/>
              <w:rPr>
                <w:rFonts w:ascii="Arial" w:hAnsi="Arial" w:cs="Arial"/>
                <w:color w:val="000000"/>
              </w:rPr>
            </w:pPr>
            <w:r w:rsidRPr="00902FBB">
              <w:rPr>
                <w:rFonts w:ascii="Arial" w:hAnsi="Arial" w:cs="Arial"/>
                <w:color w:val="000000"/>
              </w:rPr>
              <w:t xml:space="preserve">47.08 </w:t>
            </w:r>
          </w:p>
        </w:tc>
        <w:tc>
          <w:tcPr>
            <w:tcW w:w="1159" w:type="dxa"/>
            <w:tcBorders>
              <w:top w:val="nil"/>
              <w:left w:val="nil"/>
              <w:bottom w:val="nil"/>
              <w:right w:val="nil"/>
            </w:tcBorders>
            <w:vAlign w:val="center"/>
          </w:tcPr>
          <w:p w14:paraId="661E2CD8" w14:textId="77777777" w:rsidR="00EB5387" w:rsidRPr="00902FBB" w:rsidRDefault="00EB5387" w:rsidP="00B11E0C">
            <w:pPr>
              <w:jc w:val="center"/>
              <w:rPr>
                <w:rFonts w:ascii="Arial" w:hAnsi="Arial" w:cs="Arial"/>
                <w:color w:val="000000"/>
              </w:rPr>
            </w:pPr>
            <w:r w:rsidRPr="00902FBB">
              <w:rPr>
                <w:rFonts w:ascii="Arial" w:hAnsi="Arial" w:cs="Arial"/>
                <w:color w:val="000000"/>
              </w:rPr>
              <w:t xml:space="preserve">3.79 </w:t>
            </w:r>
          </w:p>
        </w:tc>
        <w:tc>
          <w:tcPr>
            <w:tcW w:w="1403" w:type="dxa"/>
            <w:tcBorders>
              <w:top w:val="nil"/>
              <w:left w:val="nil"/>
              <w:bottom w:val="nil"/>
              <w:right w:val="nil"/>
            </w:tcBorders>
            <w:vAlign w:val="center"/>
          </w:tcPr>
          <w:p w14:paraId="2EAB4445" w14:textId="77777777" w:rsidR="00EB5387" w:rsidRPr="00902FBB" w:rsidRDefault="00EB5387" w:rsidP="00B11E0C">
            <w:pPr>
              <w:jc w:val="center"/>
              <w:rPr>
                <w:rFonts w:ascii="Arial" w:hAnsi="Arial" w:cs="Arial"/>
                <w:color w:val="000000"/>
              </w:rPr>
            </w:pPr>
            <w:r w:rsidRPr="00902FBB">
              <w:rPr>
                <w:rFonts w:ascii="Arial" w:hAnsi="Arial" w:cs="Arial"/>
                <w:color w:val="000000"/>
              </w:rPr>
              <w:t xml:space="preserve">8.55 </w:t>
            </w:r>
          </w:p>
        </w:tc>
        <w:tc>
          <w:tcPr>
            <w:tcW w:w="1303" w:type="dxa"/>
            <w:tcBorders>
              <w:top w:val="nil"/>
              <w:left w:val="nil"/>
              <w:bottom w:val="nil"/>
              <w:right w:val="nil"/>
            </w:tcBorders>
            <w:vAlign w:val="center"/>
          </w:tcPr>
          <w:p w14:paraId="7B66D0D2" w14:textId="77777777" w:rsidR="00EB5387" w:rsidRPr="00902FBB" w:rsidRDefault="00EB5387" w:rsidP="00B11E0C">
            <w:pPr>
              <w:jc w:val="center"/>
              <w:rPr>
                <w:rFonts w:ascii="Arial" w:hAnsi="Arial" w:cs="Arial"/>
                <w:color w:val="000000"/>
              </w:rPr>
            </w:pPr>
            <w:r w:rsidRPr="00902FBB">
              <w:rPr>
                <w:rFonts w:ascii="Arial" w:hAnsi="Arial" w:cs="Arial"/>
                <w:color w:val="000000"/>
              </w:rPr>
              <w:t>4.49</w:t>
            </w:r>
            <w:r w:rsidRPr="00902FBB">
              <w:rPr>
                <w:rFonts w:ascii="Arial" w:hAnsi="Arial" w:cs="Arial"/>
                <w:color w:val="000000"/>
                <w:vertAlign w:val="superscript"/>
              </w:rPr>
              <w:t xml:space="preserve">b </w:t>
            </w:r>
          </w:p>
        </w:tc>
      </w:tr>
      <w:tr w:rsidR="00EB5387" w:rsidRPr="00902FBB" w14:paraId="7DB420D3" w14:textId="77777777" w:rsidTr="00B11E0C">
        <w:tc>
          <w:tcPr>
            <w:tcW w:w="2807" w:type="dxa"/>
            <w:tcBorders>
              <w:top w:val="nil"/>
              <w:left w:val="nil"/>
              <w:bottom w:val="single" w:sz="4" w:space="0" w:color="auto"/>
              <w:right w:val="nil"/>
            </w:tcBorders>
          </w:tcPr>
          <w:p w14:paraId="0FFEB47C" w14:textId="77777777" w:rsidR="00EB5387" w:rsidRPr="00902FBB" w:rsidRDefault="00EB5387" w:rsidP="00B11E0C">
            <w:pPr>
              <w:rPr>
                <w:rFonts w:ascii="Arial" w:hAnsi="Arial" w:cs="Arial"/>
              </w:rPr>
            </w:pPr>
            <w:r w:rsidRPr="00902FBB">
              <w:rPr>
                <w:rFonts w:ascii="Arial" w:hAnsi="Arial" w:cs="Arial"/>
              </w:rPr>
              <w:t>LSD at p &lt; 0.05</w:t>
            </w:r>
          </w:p>
        </w:tc>
        <w:tc>
          <w:tcPr>
            <w:tcW w:w="1280" w:type="dxa"/>
            <w:tcBorders>
              <w:top w:val="nil"/>
              <w:left w:val="nil"/>
              <w:bottom w:val="single" w:sz="4" w:space="0" w:color="auto"/>
              <w:right w:val="nil"/>
            </w:tcBorders>
          </w:tcPr>
          <w:p w14:paraId="395EBD88" w14:textId="77777777" w:rsidR="00EB5387" w:rsidRPr="00902FBB" w:rsidRDefault="00EB5387" w:rsidP="00B11E0C">
            <w:pPr>
              <w:jc w:val="center"/>
              <w:rPr>
                <w:rFonts w:ascii="Arial" w:hAnsi="Arial" w:cs="Arial"/>
                <w:b/>
                <w:bCs/>
              </w:rPr>
            </w:pPr>
            <w:r w:rsidRPr="00902FBB">
              <w:rPr>
                <w:rFonts w:ascii="Arial" w:hAnsi="Arial" w:cs="Arial"/>
                <w:b/>
                <w:bCs/>
              </w:rPr>
              <w:t>NS</w:t>
            </w:r>
          </w:p>
        </w:tc>
        <w:tc>
          <w:tcPr>
            <w:tcW w:w="1159" w:type="dxa"/>
            <w:tcBorders>
              <w:top w:val="nil"/>
              <w:left w:val="nil"/>
              <w:bottom w:val="single" w:sz="4" w:space="0" w:color="auto"/>
              <w:right w:val="nil"/>
            </w:tcBorders>
          </w:tcPr>
          <w:p w14:paraId="0299E500" w14:textId="77777777" w:rsidR="00EB5387" w:rsidRPr="00902FBB" w:rsidRDefault="00EB5387" w:rsidP="00B11E0C">
            <w:pPr>
              <w:jc w:val="center"/>
              <w:rPr>
                <w:rFonts w:ascii="Arial" w:hAnsi="Arial" w:cs="Arial"/>
                <w:b/>
                <w:bCs/>
              </w:rPr>
            </w:pPr>
            <w:r w:rsidRPr="00902FBB">
              <w:rPr>
                <w:rFonts w:ascii="Arial" w:hAnsi="Arial" w:cs="Arial"/>
                <w:b/>
                <w:bCs/>
              </w:rPr>
              <w:t>NS</w:t>
            </w:r>
          </w:p>
        </w:tc>
        <w:tc>
          <w:tcPr>
            <w:tcW w:w="1324" w:type="dxa"/>
            <w:tcBorders>
              <w:top w:val="nil"/>
              <w:left w:val="nil"/>
              <w:bottom w:val="single" w:sz="4" w:space="0" w:color="auto"/>
              <w:right w:val="nil"/>
            </w:tcBorders>
          </w:tcPr>
          <w:p w14:paraId="64F2D543" w14:textId="77777777" w:rsidR="00EB5387" w:rsidRPr="00902FBB" w:rsidRDefault="00EB5387" w:rsidP="00B11E0C">
            <w:pPr>
              <w:jc w:val="center"/>
              <w:rPr>
                <w:rFonts w:ascii="Arial" w:hAnsi="Arial" w:cs="Arial"/>
                <w:b/>
                <w:bCs/>
              </w:rPr>
            </w:pPr>
            <w:r w:rsidRPr="00902FBB">
              <w:rPr>
                <w:rFonts w:ascii="Arial" w:hAnsi="Arial" w:cs="Arial"/>
                <w:b/>
                <w:bCs/>
              </w:rPr>
              <w:t>NS</w:t>
            </w:r>
          </w:p>
        </w:tc>
        <w:tc>
          <w:tcPr>
            <w:tcW w:w="1159" w:type="dxa"/>
            <w:tcBorders>
              <w:top w:val="nil"/>
              <w:left w:val="nil"/>
              <w:bottom w:val="single" w:sz="4" w:space="0" w:color="auto"/>
              <w:right w:val="nil"/>
            </w:tcBorders>
          </w:tcPr>
          <w:p w14:paraId="52EC683F" w14:textId="77777777" w:rsidR="00EB5387" w:rsidRPr="00902FBB" w:rsidRDefault="00EB5387" w:rsidP="00B11E0C">
            <w:pPr>
              <w:jc w:val="center"/>
              <w:rPr>
                <w:rFonts w:ascii="Arial" w:hAnsi="Arial" w:cs="Arial"/>
                <w:b/>
                <w:bCs/>
              </w:rPr>
            </w:pPr>
            <w:r w:rsidRPr="00902FBB">
              <w:rPr>
                <w:rFonts w:ascii="Arial" w:hAnsi="Arial" w:cs="Arial"/>
                <w:b/>
                <w:bCs/>
              </w:rPr>
              <w:t>NS</w:t>
            </w:r>
          </w:p>
        </w:tc>
        <w:tc>
          <w:tcPr>
            <w:tcW w:w="1403" w:type="dxa"/>
            <w:tcBorders>
              <w:top w:val="nil"/>
              <w:left w:val="nil"/>
              <w:bottom w:val="single" w:sz="4" w:space="0" w:color="auto"/>
              <w:right w:val="nil"/>
            </w:tcBorders>
          </w:tcPr>
          <w:p w14:paraId="526821DC" w14:textId="77777777" w:rsidR="00EB5387" w:rsidRPr="00902FBB" w:rsidRDefault="00EB5387" w:rsidP="00B11E0C">
            <w:pPr>
              <w:jc w:val="center"/>
              <w:rPr>
                <w:rFonts w:ascii="Arial" w:hAnsi="Arial" w:cs="Arial"/>
                <w:b/>
                <w:bCs/>
              </w:rPr>
            </w:pPr>
            <w:r w:rsidRPr="00902FBB">
              <w:rPr>
                <w:rFonts w:ascii="Arial" w:hAnsi="Arial" w:cs="Arial"/>
                <w:b/>
                <w:bCs/>
              </w:rPr>
              <w:t>NS</w:t>
            </w:r>
          </w:p>
        </w:tc>
        <w:tc>
          <w:tcPr>
            <w:tcW w:w="1303" w:type="dxa"/>
            <w:tcBorders>
              <w:top w:val="nil"/>
              <w:left w:val="nil"/>
              <w:bottom w:val="single" w:sz="4" w:space="0" w:color="auto"/>
              <w:right w:val="nil"/>
            </w:tcBorders>
          </w:tcPr>
          <w:p w14:paraId="7FE7E11D" w14:textId="77777777" w:rsidR="00EB5387" w:rsidRPr="00902FBB" w:rsidRDefault="00EB5387" w:rsidP="00B11E0C">
            <w:pPr>
              <w:jc w:val="center"/>
              <w:rPr>
                <w:rFonts w:ascii="Arial" w:hAnsi="Arial" w:cs="Arial"/>
                <w:b/>
                <w:bCs/>
              </w:rPr>
            </w:pPr>
            <w:r w:rsidRPr="00902FBB">
              <w:rPr>
                <w:rFonts w:ascii="Arial" w:hAnsi="Arial" w:cs="Arial"/>
                <w:b/>
                <w:bCs/>
              </w:rPr>
              <w:t>1.596</w:t>
            </w:r>
          </w:p>
        </w:tc>
      </w:tr>
      <w:tr w:rsidR="00EB5387" w:rsidRPr="00902FBB" w14:paraId="26013F09" w14:textId="77777777" w:rsidTr="00B11E0C">
        <w:trPr>
          <w:trHeight w:val="237"/>
        </w:trPr>
        <w:tc>
          <w:tcPr>
            <w:tcW w:w="10435" w:type="dxa"/>
            <w:gridSpan w:val="7"/>
            <w:tcBorders>
              <w:top w:val="single" w:sz="4" w:space="0" w:color="auto"/>
              <w:left w:val="nil"/>
              <w:bottom w:val="nil"/>
              <w:right w:val="nil"/>
            </w:tcBorders>
          </w:tcPr>
          <w:p w14:paraId="025C3245" w14:textId="77777777" w:rsidR="00EB5387" w:rsidRPr="00902FBB" w:rsidRDefault="00EB5387" w:rsidP="00B11E0C">
            <w:pPr>
              <w:rPr>
                <w:rFonts w:ascii="Arial" w:hAnsi="Arial" w:cs="Arial"/>
                <w:b/>
                <w:bCs/>
                <w:color w:val="000000"/>
              </w:rPr>
            </w:pPr>
            <w:r w:rsidRPr="00902FBB">
              <w:rPr>
                <w:rFonts w:ascii="Arial" w:hAnsi="Arial" w:cs="Arial"/>
                <w:b/>
                <w:bCs/>
              </w:rPr>
              <w:t>Sowing Date (SD)</w:t>
            </w:r>
          </w:p>
        </w:tc>
      </w:tr>
      <w:tr w:rsidR="00EB5387" w:rsidRPr="00902FBB" w14:paraId="5F2532F4" w14:textId="77777777" w:rsidTr="00B11E0C">
        <w:trPr>
          <w:trHeight w:val="237"/>
        </w:trPr>
        <w:tc>
          <w:tcPr>
            <w:tcW w:w="2807" w:type="dxa"/>
            <w:tcBorders>
              <w:top w:val="nil"/>
              <w:left w:val="nil"/>
              <w:bottom w:val="nil"/>
              <w:right w:val="nil"/>
            </w:tcBorders>
          </w:tcPr>
          <w:p w14:paraId="18DBF811" w14:textId="77777777" w:rsidR="00EB5387" w:rsidRPr="00902FBB" w:rsidRDefault="00EB5387" w:rsidP="00B11E0C">
            <w:pPr>
              <w:rPr>
                <w:rFonts w:ascii="Arial" w:hAnsi="Arial" w:cs="Arial"/>
              </w:rPr>
            </w:pPr>
            <w:r w:rsidRPr="00902FBB">
              <w:rPr>
                <w:rFonts w:ascii="Arial" w:hAnsi="Arial" w:cs="Arial"/>
              </w:rPr>
              <w:t>Sowing date  4 November  (SD1)</w:t>
            </w:r>
          </w:p>
        </w:tc>
        <w:tc>
          <w:tcPr>
            <w:tcW w:w="1280" w:type="dxa"/>
            <w:tcBorders>
              <w:top w:val="nil"/>
              <w:left w:val="nil"/>
              <w:bottom w:val="nil"/>
              <w:right w:val="nil"/>
            </w:tcBorders>
          </w:tcPr>
          <w:p w14:paraId="49C86CB5" w14:textId="77777777" w:rsidR="00EB5387" w:rsidRPr="00902FBB" w:rsidRDefault="00EB5387" w:rsidP="00B11E0C">
            <w:pPr>
              <w:jc w:val="center"/>
              <w:rPr>
                <w:rFonts w:ascii="Arial" w:hAnsi="Arial" w:cs="Arial"/>
                <w:b/>
                <w:bCs/>
              </w:rPr>
            </w:pPr>
            <w:r w:rsidRPr="00902FBB">
              <w:rPr>
                <w:rFonts w:ascii="Arial" w:hAnsi="Arial" w:cs="Arial"/>
              </w:rPr>
              <w:t>3.38</w:t>
            </w:r>
            <w:r w:rsidRPr="00902FBB">
              <w:rPr>
                <w:rFonts w:ascii="Arial" w:hAnsi="Arial" w:cs="Arial"/>
                <w:vertAlign w:val="superscript"/>
              </w:rPr>
              <w:t>b</w:t>
            </w:r>
          </w:p>
        </w:tc>
        <w:tc>
          <w:tcPr>
            <w:tcW w:w="1159" w:type="dxa"/>
            <w:tcBorders>
              <w:top w:val="nil"/>
              <w:left w:val="nil"/>
              <w:bottom w:val="nil"/>
              <w:right w:val="nil"/>
            </w:tcBorders>
            <w:vAlign w:val="center"/>
          </w:tcPr>
          <w:p w14:paraId="28FF2F00" w14:textId="77777777" w:rsidR="00EB5387" w:rsidRPr="00902FBB" w:rsidRDefault="00EB5387" w:rsidP="00B11E0C">
            <w:pPr>
              <w:jc w:val="center"/>
              <w:rPr>
                <w:rFonts w:ascii="Arial" w:hAnsi="Arial" w:cs="Arial"/>
                <w:color w:val="000000"/>
              </w:rPr>
            </w:pPr>
            <w:r w:rsidRPr="00902FBB">
              <w:rPr>
                <w:rFonts w:ascii="Arial" w:hAnsi="Arial" w:cs="Arial"/>
                <w:color w:val="000000"/>
              </w:rPr>
              <w:t>82.75</w:t>
            </w:r>
          </w:p>
        </w:tc>
        <w:tc>
          <w:tcPr>
            <w:tcW w:w="1324" w:type="dxa"/>
            <w:tcBorders>
              <w:top w:val="nil"/>
              <w:left w:val="nil"/>
              <w:bottom w:val="nil"/>
              <w:right w:val="nil"/>
            </w:tcBorders>
            <w:vAlign w:val="center"/>
          </w:tcPr>
          <w:p w14:paraId="60BAE545" w14:textId="77777777" w:rsidR="00EB5387" w:rsidRPr="00902FBB" w:rsidRDefault="00EB5387" w:rsidP="00B11E0C">
            <w:pPr>
              <w:jc w:val="center"/>
              <w:rPr>
                <w:rFonts w:ascii="Arial" w:hAnsi="Arial" w:cs="Arial"/>
                <w:color w:val="000000"/>
              </w:rPr>
            </w:pPr>
            <w:r w:rsidRPr="00902FBB">
              <w:rPr>
                <w:rFonts w:ascii="Arial" w:hAnsi="Arial" w:cs="Arial"/>
                <w:color w:val="000000"/>
              </w:rPr>
              <w:t>41.50</w:t>
            </w:r>
            <w:r w:rsidRPr="00902FBB">
              <w:rPr>
                <w:rFonts w:ascii="Arial" w:hAnsi="Arial" w:cs="Arial"/>
                <w:color w:val="000000"/>
                <w:vertAlign w:val="superscript"/>
              </w:rPr>
              <w:t>b</w:t>
            </w:r>
          </w:p>
        </w:tc>
        <w:tc>
          <w:tcPr>
            <w:tcW w:w="1159" w:type="dxa"/>
            <w:tcBorders>
              <w:top w:val="nil"/>
              <w:left w:val="nil"/>
              <w:bottom w:val="nil"/>
              <w:right w:val="nil"/>
            </w:tcBorders>
            <w:vAlign w:val="center"/>
          </w:tcPr>
          <w:p w14:paraId="7CFA72D6" w14:textId="77777777" w:rsidR="00EB5387" w:rsidRPr="00902FBB" w:rsidRDefault="00EB5387" w:rsidP="00B11E0C">
            <w:pPr>
              <w:jc w:val="center"/>
              <w:rPr>
                <w:rFonts w:ascii="Arial" w:hAnsi="Arial" w:cs="Arial"/>
                <w:color w:val="000000"/>
              </w:rPr>
            </w:pPr>
            <w:r w:rsidRPr="00902FBB">
              <w:rPr>
                <w:rFonts w:ascii="Arial" w:hAnsi="Arial" w:cs="Arial"/>
                <w:color w:val="000000"/>
              </w:rPr>
              <w:t>4.69</w:t>
            </w:r>
            <w:r w:rsidRPr="00902FBB">
              <w:rPr>
                <w:rFonts w:ascii="Arial" w:hAnsi="Arial" w:cs="Arial"/>
                <w:color w:val="000000"/>
                <w:vertAlign w:val="superscript"/>
              </w:rPr>
              <w:t>ab</w:t>
            </w:r>
          </w:p>
        </w:tc>
        <w:tc>
          <w:tcPr>
            <w:tcW w:w="1403" w:type="dxa"/>
            <w:tcBorders>
              <w:top w:val="nil"/>
              <w:left w:val="nil"/>
              <w:bottom w:val="nil"/>
              <w:right w:val="nil"/>
            </w:tcBorders>
            <w:vAlign w:val="center"/>
          </w:tcPr>
          <w:p w14:paraId="2F1475BA" w14:textId="77777777" w:rsidR="00EB5387" w:rsidRPr="00902FBB" w:rsidRDefault="00EB5387" w:rsidP="00B11E0C">
            <w:pPr>
              <w:jc w:val="center"/>
              <w:rPr>
                <w:rFonts w:ascii="Arial" w:hAnsi="Arial" w:cs="Arial"/>
                <w:color w:val="000000"/>
              </w:rPr>
            </w:pPr>
            <w:r w:rsidRPr="00902FBB">
              <w:rPr>
                <w:rFonts w:ascii="Arial" w:hAnsi="Arial" w:cs="Arial"/>
                <w:color w:val="000000"/>
              </w:rPr>
              <w:t>12.74</w:t>
            </w:r>
            <w:r w:rsidRPr="00902FBB">
              <w:rPr>
                <w:rFonts w:ascii="Arial" w:hAnsi="Arial" w:cs="Arial"/>
                <w:color w:val="000000"/>
                <w:vertAlign w:val="superscript"/>
              </w:rPr>
              <w:t>a</w:t>
            </w:r>
            <w:r w:rsidRPr="00902FBB">
              <w:rPr>
                <w:rFonts w:ascii="Arial" w:hAnsi="Arial" w:cs="Arial"/>
                <w:color w:val="000000"/>
              </w:rPr>
              <w:t xml:space="preserve"> </w:t>
            </w:r>
          </w:p>
        </w:tc>
        <w:tc>
          <w:tcPr>
            <w:tcW w:w="1303" w:type="dxa"/>
            <w:tcBorders>
              <w:top w:val="nil"/>
              <w:left w:val="nil"/>
              <w:bottom w:val="nil"/>
              <w:right w:val="nil"/>
            </w:tcBorders>
            <w:vAlign w:val="center"/>
          </w:tcPr>
          <w:p w14:paraId="3EF52F52" w14:textId="77777777" w:rsidR="00EB5387" w:rsidRPr="00902FBB" w:rsidRDefault="00EB5387" w:rsidP="00B11E0C">
            <w:pPr>
              <w:jc w:val="center"/>
              <w:rPr>
                <w:rFonts w:ascii="Arial" w:hAnsi="Arial" w:cs="Arial"/>
                <w:color w:val="000000"/>
              </w:rPr>
            </w:pPr>
            <w:r w:rsidRPr="00902FBB">
              <w:rPr>
                <w:rFonts w:ascii="Arial" w:hAnsi="Arial" w:cs="Arial"/>
                <w:color w:val="000000"/>
              </w:rPr>
              <w:t>5.81</w:t>
            </w:r>
            <w:r w:rsidRPr="00902FBB">
              <w:rPr>
                <w:rFonts w:ascii="Arial" w:hAnsi="Arial" w:cs="Arial"/>
                <w:color w:val="000000"/>
                <w:vertAlign w:val="superscript"/>
              </w:rPr>
              <w:t>ab</w:t>
            </w:r>
          </w:p>
        </w:tc>
      </w:tr>
      <w:tr w:rsidR="00EB5387" w:rsidRPr="00902FBB" w14:paraId="7DBAFB95" w14:textId="77777777" w:rsidTr="00B11E0C">
        <w:tc>
          <w:tcPr>
            <w:tcW w:w="2807" w:type="dxa"/>
            <w:tcBorders>
              <w:top w:val="nil"/>
              <w:left w:val="nil"/>
              <w:bottom w:val="nil"/>
              <w:right w:val="nil"/>
            </w:tcBorders>
          </w:tcPr>
          <w:p w14:paraId="3120B680" w14:textId="77777777" w:rsidR="00EB5387" w:rsidRPr="00902FBB" w:rsidRDefault="00EB5387" w:rsidP="00B11E0C">
            <w:pPr>
              <w:rPr>
                <w:rFonts w:ascii="Arial" w:hAnsi="Arial" w:cs="Arial"/>
              </w:rPr>
            </w:pPr>
            <w:r w:rsidRPr="00902FBB">
              <w:rPr>
                <w:rFonts w:ascii="Arial" w:hAnsi="Arial" w:cs="Arial"/>
              </w:rPr>
              <w:t>Sowing date 14 November (SD2)</w:t>
            </w:r>
          </w:p>
        </w:tc>
        <w:tc>
          <w:tcPr>
            <w:tcW w:w="1280" w:type="dxa"/>
            <w:tcBorders>
              <w:top w:val="nil"/>
              <w:left w:val="nil"/>
              <w:bottom w:val="nil"/>
              <w:right w:val="nil"/>
            </w:tcBorders>
          </w:tcPr>
          <w:p w14:paraId="4F0609A4" w14:textId="77777777" w:rsidR="00EB5387" w:rsidRPr="00902FBB" w:rsidRDefault="00EB5387" w:rsidP="00B11E0C">
            <w:pPr>
              <w:jc w:val="center"/>
              <w:rPr>
                <w:rFonts w:ascii="Arial" w:hAnsi="Arial" w:cs="Arial"/>
                <w:b/>
                <w:bCs/>
              </w:rPr>
            </w:pPr>
            <w:r w:rsidRPr="00902FBB">
              <w:rPr>
                <w:rFonts w:ascii="Arial" w:hAnsi="Arial" w:cs="Arial"/>
              </w:rPr>
              <w:t>4.06</w:t>
            </w:r>
            <w:r w:rsidRPr="00902FBB">
              <w:rPr>
                <w:rFonts w:ascii="Arial" w:hAnsi="Arial" w:cs="Arial"/>
                <w:vertAlign w:val="superscript"/>
              </w:rPr>
              <w:t>a</w:t>
            </w:r>
          </w:p>
        </w:tc>
        <w:tc>
          <w:tcPr>
            <w:tcW w:w="1159" w:type="dxa"/>
            <w:tcBorders>
              <w:top w:val="nil"/>
              <w:left w:val="nil"/>
              <w:bottom w:val="nil"/>
              <w:right w:val="nil"/>
            </w:tcBorders>
            <w:vAlign w:val="center"/>
          </w:tcPr>
          <w:p w14:paraId="35ACBACF" w14:textId="77777777" w:rsidR="00EB5387" w:rsidRPr="00902FBB" w:rsidRDefault="00EB5387" w:rsidP="00B11E0C">
            <w:pPr>
              <w:jc w:val="center"/>
              <w:rPr>
                <w:rFonts w:ascii="Arial" w:hAnsi="Arial" w:cs="Arial"/>
                <w:color w:val="000000"/>
              </w:rPr>
            </w:pPr>
            <w:r w:rsidRPr="00902FBB">
              <w:rPr>
                <w:rFonts w:ascii="Arial" w:hAnsi="Arial" w:cs="Arial"/>
                <w:color w:val="000000"/>
              </w:rPr>
              <w:t xml:space="preserve">89.06 </w:t>
            </w:r>
          </w:p>
        </w:tc>
        <w:tc>
          <w:tcPr>
            <w:tcW w:w="1324" w:type="dxa"/>
            <w:tcBorders>
              <w:top w:val="nil"/>
              <w:left w:val="nil"/>
              <w:bottom w:val="nil"/>
              <w:right w:val="nil"/>
            </w:tcBorders>
            <w:vAlign w:val="center"/>
          </w:tcPr>
          <w:p w14:paraId="3E87760F" w14:textId="77777777" w:rsidR="00EB5387" w:rsidRPr="00902FBB" w:rsidRDefault="00EB5387" w:rsidP="00B11E0C">
            <w:pPr>
              <w:jc w:val="center"/>
              <w:rPr>
                <w:rFonts w:ascii="Arial" w:hAnsi="Arial" w:cs="Arial"/>
                <w:color w:val="000000"/>
              </w:rPr>
            </w:pPr>
            <w:r w:rsidRPr="00902FBB">
              <w:rPr>
                <w:rFonts w:ascii="Arial" w:hAnsi="Arial" w:cs="Arial"/>
                <w:color w:val="000000"/>
              </w:rPr>
              <w:t>55.31</w:t>
            </w:r>
            <w:r w:rsidRPr="00902FBB">
              <w:rPr>
                <w:rFonts w:ascii="Arial" w:hAnsi="Arial" w:cs="Arial"/>
                <w:color w:val="000000"/>
                <w:vertAlign w:val="superscript"/>
              </w:rPr>
              <w:t>a</w:t>
            </w:r>
            <w:r w:rsidRPr="00902FBB">
              <w:rPr>
                <w:rFonts w:ascii="Arial" w:hAnsi="Arial" w:cs="Arial"/>
                <w:color w:val="000000"/>
              </w:rPr>
              <w:t xml:space="preserve"> </w:t>
            </w:r>
          </w:p>
        </w:tc>
        <w:tc>
          <w:tcPr>
            <w:tcW w:w="1159" w:type="dxa"/>
            <w:tcBorders>
              <w:top w:val="nil"/>
              <w:left w:val="nil"/>
              <w:bottom w:val="nil"/>
              <w:right w:val="nil"/>
            </w:tcBorders>
            <w:vAlign w:val="center"/>
          </w:tcPr>
          <w:p w14:paraId="6DC8F5A3" w14:textId="77777777" w:rsidR="00EB5387" w:rsidRPr="00902FBB" w:rsidRDefault="00EB5387" w:rsidP="00B11E0C">
            <w:pPr>
              <w:jc w:val="center"/>
              <w:rPr>
                <w:rFonts w:ascii="Arial" w:hAnsi="Arial" w:cs="Arial"/>
                <w:color w:val="000000"/>
              </w:rPr>
            </w:pPr>
            <w:r w:rsidRPr="00902FBB">
              <w:rPr>
                <w:rFonts w:ascii="Arial" w:hAnsi="Arial" w:cs="Arial"/>
                <w:color w:val="000000"/>
              </w:rPr>
              <w:t>5.38</w:t>
            </w:r>
            <w:r w:rsidRPr="00902FBB">
              <w:rPr>
                <w:rFonts w:ascii="Arial" w:hAnsi="Arial" w:cs="Arial"/>
                <w:color w:val="000000"/>
                <w:vertAlign w:val="superscript"/>
              </w:rPr>
              <w:t>a</w:t>
            </w:r>
          </w:p>
        </w:tc>
        <w:tc>
          <w:tcPr>
            <w:tcW w:w="1403" w:type="dxa"/>
            <w:tcBorders>
              <w:top w:val="nil"/>
              <w:left w:val="nil"/>
              <w:bottom w:val="nil"/>
              <w:right w:val="nil"/>
            </w:tcBorders>
            <w:vAlign w:val="center"/>
          </w:tcPr>
          <w:p w14:paraId="51846666" w14:textId="77777777" w:rsidR="00EB5387" w:rsidRPr="00902FBB" w:rsidRDefault="00EB5387" w:rsidP="00B11E0C">
            <w:pPr>
              <w:jc w:val="center"/>
              <w:rPr>
                <w:rFonts w:ascii="Arial" w:hAnsi="Arial" w:cs="Arial"/>
                <w:color w:val="000000"/>
              </w:rPr>
            </w:pPr>
            <w:r w:rsidRPr="00902FBB">
              <w:rPr>
                <w:rFonts w:ascii="Arial" w:hAnsi="Arial" w:cs="Arial"/>
                <w:color w:val="000000"/>
              </w:rPr>
              <w:t>9.02</w:t>
            </w:r>
            <w:r w:rsidRPr="00902FBB">
              <w:rPr>
                <w:rFonts w:ascii="Arial" w:hAnsi="Arial" w:cs="Arial"/>
                <w:color w:val="000000"/>
                <w:vertAlign w:val="superscript"/>
              </w:rPr>
              <w:t>b</w:t>
            </w:r>
          </w:p>
        </w:tc>
        <w:tc>
          <w:tcPr>
            <w:tcW w:w="1303" w:type="dxa"/>
            <w:tcBorders>
              <w:top w:val="nil"/>
              <w:left w:val="nil"/>
              <w:bottom w:val="nil"/>
              <w:right w:val="nil"/>
            </w:tcBorders>
            <w:vAlign w:val="center"/>
          </w:tcPr>
          <w:p w14:paraId="5F593E61" w14:textId="77777777" w:rsidR="00EB5387" w:rsidRPr="00902FBB" w:rsidRDefault="00EB5387" w:rsidP="00B11E0C">
            <w:pPr>
              <w:jc w:val="center"/>
              <w:rPr>
                <w:rFonts w:ascii="Arial" w:hAnsi="Arial" w:cs="Arial"/>
                <w:color w:val="000000"/>
              </w:rPr>
            </w:pPr>
            <w:r w:rsidRPr="00902FBB">
              <w:rPr>
                <w:rFonts w:ascii="Arial" w:hAnsi="Arial" w:cs="Arial"/>
                <w:color w:val="000000"/>
              </w:rPr>
              <w:t>6.79</w:t>
            </w:r>
            <w:r w:rsidRPr="00902FBB">
              <w:rPr>
                <w:rFonts w:ascii="Arial" w:hAnsi="Arial" w:cs="Arial"/>
                <w:color w:val="000000"/>
                <w:vertAlign w:val="superscript"/>
              </w:rPr>
              <w:t>a</w:t>
            </w:r>
            <w:r w:rsidRPr="00902FBB">
              <w:rPr>
                <w:rFonts w:ascii="Arial" w:hAnsi="Arial" w:cs="Arial"/>
                <w:color w:val="000000"/>
              </w:rPr>
              <w:t xml:space="preserve"> </w:t>
            </w:r>
          </w:p>
        </w:tc>
      </w:tr>
      <w:tr w:rsidR="00EB5387" w:rsidRPr="00902FBB" w14:paraId="25EAB239" w14:textId="77777777" w:rsidTr="00B11E0C">
        <w:tc>
          <w:tcPr>
            <w:tcW w:w="2807" w:type="dxa"/>
            <w:tcBorders>
              <w:top w:val="nil"/>
              <w:left w:val="nil"/>
              <w:bottom w:val="nil"/>
              <w:right w:val="nil"/>
            </w:tcBorders>
          </w:tcPr>
          <w:p w14:paraId="095275FF" w14:textId="77777777" w:rsidR="00EB5387" w:rsidRPr="00902FBB" w:rsidRDefault="00EB5387" w:rsidP="00B11E0C">
            <w:pPr>
              <w:rPr>
                <w:rFonts w:ascii="Arial" w:hAnsi="Arial" w:cs="Arial"/>
              </w:rPr>
            </w:pPr>
            <w:r w:rsidRPr="00902FBB">
              <w:rPr>
                <w:rFonts w:ascii="Arial" w:hAnsi="Arial" w:cs="Arial"/>
              </w:rPr>
              <w:t>Sowing date 24 November (SD3)</w:t>
            </w:r>
          </w:p>
        </w:tc>
        <w:tc>
          <w:tcPr>
            <w:tcW w:w="1280" w:type="dxa"/>
            <w:tcBorders>
              <w:top w:val="nil"/>
              <w:left w:val="nil"/>
              <w:bottom w:val="nil"/>
              <w:right w:val="nil"/>
            </w:tcBorders>
          </w:tcPr>
          <w:p w14:paraId="3B857CA5" w14:textId="77777777" w:rsidR="00EB5387" w:rsidRPr="00902FBB" w:rsidRDefault="00EB5387" w:rsidP="00B11E0C">
            <w:pPr>
              <w:jc w:val="center"/>
              <w:rPr>
                <w:rFonts w:ascii="Arial" w:hAnsi="Arial" w:cs="Arial"/>
                <w:b/>
                <w:bCs/>
              </w:rPr>
            </w:pPr>
            <w:r w:rsidRPr="00902FBB">
              <w:rPr>
                <w:rFonts w:ascii="Arial" w:hAnsi="Arial" w:cs="Arial"/>
              </w:rPr>
              <w:t>3.06</w:t>
            </w:r>
            <w:r w:rsidRPr="00902FBB">
              <w:rPr>
                <w:rFonts w:ascii="Arial" w:hAnsi="Arial" w:cs="Arial"/>
                <w:vertAlign w:val="superscript"/>
              </w:rPr>
              <w:t>b</w:t>
            </w:r>
          </w:p>
        </w:tc>
        <w:tc>
          <w:tcPr>
            <w:tcW w:w="1159" w:type="dxa"/>
            <w:tcBorders>
              <w:top w:val="nil"/>
              <w:left w:val="nil"/>
              <w:bottom w:val="nil"/>
              <w:right w:val="nil"/>
            </w:tcBorders>
            <w:vAlign w:val="center"/>
          </w:tcPr>
          <w:p w14:paraId="0B0BAAF3" w14:textId="77777777" w:rsidR="00EB5387" w:rsidRPr="00902FBB" w:rsidRDefault="00EB5387" w:rsidP="00B11E0C">
            <w:pPr>
              <w:jc w:val="center"/>
              <w:rPr>
                <w:rFonts w:ascii="Arial" w:hAnsi="Arial" w:cs="Arial"/>
                <w:color w:val="000000"/>
              </w:rPr>
            </w:pPr>
            <w:r w:rsidRPr="00902FBB">
              <w:rPr>
                <w:rFonts w:ascii="Arial" w:hAnsi="Arial" w:cs="Arial"/>
                <w:color w:val="000000"/>
              </w:rPr>
              <w:t>74.88</w:t>
            </w:r>
          </w:p>
        </w:tc>
        <w:tc>
          <w:tcPr>
            <w:tcW w:w="1324" w:type="dxa"/>
            <w:tcBorders>
              <w:top w:val="nil"/>
              <w:left w:val="nil"/>
              <w:bottom w:val="nil"/>
              <w:right w:val="nil"/>
            </w:tcBorders>
            <w:vAlign w:val="center"/>
          </w:tcPr>
          <w:p w14:paraId="59A9DA0F" w14:textId="77777777" w:rsidR="00EB5387" w:rsidRPr="00902FBB" w:rsidRDefault="00EB5387" w:rsidP="00B11E0C">
            <w:pPr>
              <w:jc w:val="center"/>
              <w:rPr>
                <w:rFonts w:ascii="Arial" w:hAnsi="Arial" w:cs="Arial"/>
                <w:color w:val="000000"/>
              </w:rPr>
            </w:pPr>
            <w:r w:rsidRPr="00902FBB">
              <w:rPr>
                <w:rFonts w:ascii="Arial" w:hAnsi="Arial" w:cs="Arial"/>
                <w:color w:val="000000"/>
              </w:rPr>
              <w:t>44.19</w:t>
            </w:r>
            <w:r w:rsidRPr="00902FBB">
              <w:rPr>
                <w:rFonts w:ascii="Arial" w:hAnsi="Arial" w:cs="Arial"/>
                <w:color w:val="000000"/>
                <w:vertAlign w:val="superscript"/>
              </w:rPr>
              <w:t>b</w:t>
            </w:r>
          </w:p>
        </w:tc>
        <w:tc>
          <w:tcPr>
            <w:tcW w:w="1159" w:type="dxa"/>
            <w:tcBorders>
              <w:top w:val="nil"/>
              <w:left w:val="nil"/>
              <w:bottom w:val="nil"/>
              <w:right w:val="nil"/>
            </w:tcBorders>
            <w:vAlign w:val="center"/>
          </w:tcPr>
          <w:p w14:paraId="641F4A9D" w14:textId="77777777" w:rsidR="00EB5387" w:rsidRPr="00902FBB" w:rsidRDefault="00EB5387" w:rsidP="00B11E0C">
            <w:pPr>
              <w:jc w:val="center"/>
              <w:rPr>
                <w:rFonts w:ascii="Arial" w:hAnsi="Arial" w:cs="Arial"/>
                <w:color w:val="000000"/>
              </w:rPr>
            </w:pPr>
            <w:r w:rsidRPr="00902FBB">
              <w:rPr>
                <w:rFonts w:ascii="Arial" w:hAnsi="Arial" w:cs="Arial"/>
                <w:color w:val="000000"/>
              </w:rPr>
              <w:t>3.19</w:t>
            </w:r>
            <w:r w:rsidRPr="00902FBB">
              <w:rPr>
                <w:rFonts w:ascii="Arial" w:hAnsi="Arial" w:cs="Arial"/>
                <w:color w:val="000000"/>
                <w:vertAlign w:val="superscript"/>
              </w:rPr>
              <w:t>b</w:t>
            </w:r>
          </w:p>
        </w:tc>
        <w:tc>
          <w:tcPr>
            <w:tcW w:w="1403" w:type="dxa"/>
            <w:tcBorders>
              <w:top w:val="nil"/>
              <w:left w:val="nil"/>
              <w:bottom w:val="nil"/>
              <w:right w:val="nil"/>
            </w:tcBorders>
            <w:vAlign w:val="center"/>
          </w:tcPr>
          <w:p w14:paraId="1F7E48B9" w14:textId="77777777" w:rsidR="00EB5387" w:rsidRPr="00902FBB" w:rsidRDefault="00EB5387" w:rsidP="00B11E0C">
            <w:pPr>
              <w:jc w:val="center"/>
              <w:rPr>
                <w:rFonts w:ascii="Arial" w:hAnsi="Arial" w:cs="Arial"/>
                <w:color w:val="000000"/>
              </w:rPr>
            </w:pPr>
            <w:r w:rsidRPr="00902FBB">
              <w:rPr>
                <w:rFonts w:ascii="Arial" w:hAnsi="Arial" w:cs="Arial"/>
                <w:color w:val="000000"/>
              </w:rPr>
              <w:t>7.30</w:t>
            </w:r>
            <w:r w:rsidRPr="00902FBB">
              <w:rPr>
                <w:rFonts w:ascii="Arial" w:hAnsi="Arial" w:cs="Arial"/>
                <w:color w:val="000000"/>
                <w:vertAlign w:val="superscript"/>
              </w:rPr>
              <w:t>b</w:t>
            </w:r>
          </w:p>
        </w:tc>
        <w:tc>
          <w:tcPr>
            <w:tcW w:w="1303" w:type="dxa"/>
            <w:tcBorders>
              <w:top w:val="nil"/>
              <w:left w:val="nil"/>
              <w:bottom w:val="nil"/>
              <w:right w:val="nil"/>
            </w:tcBorders>
            <w:vAlign w:val="center"/>
          </w:tcPr>
          <w:p w14:paraId="4AB892F6" w14:textId="77777777" w:rsidR="00EB5387" w:rsidRPr="00902FBB" w:rsidRDefault="00EB5387" w:rsidP="00B11E0C">
            <w:pPr>
              <w:jc w:val="center"/>
              <w:rPr>
                <w:rFonts w:ascii="Arial" w:hAnsi="Arial" w:cs="Arial"/>
                <w:color w:val="000000"/>
              </w:rPr>
            </w:pPr>
            <w:r w:rsidRPr="00902FBB">
              <w:rPr>
                <w:rFonts w:ascii="Arial" w:hAnsi="Arial" w:cs="Arial"/>
                <w:color w:val="000000"/>
              </w:rPr>
              <w:t>3.97</w:t>
            </w:r>
            <w:r w:rsidRPr="00902FBB">
              <w:rPr>
                <w:rFonts w:ascii="Arial" w:hAnsi="Arial" w:cs="Arial"/>
                <w:color w:val="000000"/>
                <w:vertAlign w:val="superscript"/>
              </w:rPr>
              <w:t xml:space="preserve">b </w:t>
            </w:r>
          </w:p>
        </w:tc>
      </w:tr>
      <w:tr w:rsidR="00EB5387" w:rsidRPr="00902FBB" w14:paraId="678C7730" w14:textId="77777777" w:rsidTr="00B11E0C">
        <w:tc>
          <w:tcPr>
            <w:tcW w:w="2807" w:type="dxa"/>
            <w:tcBorders>
              <w:top w:val="nil"/>
              <w:left w:val="nil"/>
              <w:bottom w:val="single" w:sz="4" w:space="0" w:color="auto"/>
              <w:right w:val="nil"/>
            </w:tcBorders>
          </w:tcPr>
          <w:p w14:paraId="37C3F9CB" w14:textId="77777777" w:rsidR="00EB5387" w:rsidRPr="00902FBB" w:rsidRDefault="00EB5387" w:rsidP="00B11E0C">
            <w:pPr>
              <w:rPr>
                <w:rFonts w:ascii="Arial" w:hAnsi="Arial" w:cs="Arial"/>
              </w:rPr>
            </w:pPr>
            <w:r w:rsidRPr="00902FBB">
              <w:rPr>
                <w:rFonts w:ascii="Arial" w:hAnsi="Arial" w:cs="Arial"/>
              </w:rPr>
              <w:t>LSD at p &lt; 0.05</w:t>
            </w:r>
          </w:p>
        </w:tc>
        <w:tc>
          <w:tcPr>
            <w:tcW w:w="1280" w:type="dxa"/>
            <w:tcBorders>
              <w:top w:val="nil"/>
              <w:left w:val="nil"/>
              <w:bottom w:val="single" w:sz="4" w:space="0" w:color="auto"/>
              <w:right w:val="nil"/>
            </w:tcBorders>
          </w:tcPr>
          <w:p w14:paraId="7452A65A" w14:textId="77777777" w:rsidR="00EB5387" w:rsidRPr="00902FBB" w:rsidRDefault="00EB5387" w:rsidP="00B11E0C">
            <w:pPr>
              <w:jc w:val="center"/>
              <w:rPr>
                <w:rFonts w:ascii="Arial" w:hAnsi="Arial" w:cs="Arial"/>
                <w:b/>
                <w:bCs/>
              </w:rPr>
            </w:pPr>
            <w:r w:rsidRPr="00902FBB">
              <w:rPr>
                <w:rFonts w:ascii="Arial" w:hAnsi="Arial" w:cs="Arial"/>
                <w:b/>
                <w:bCs/>
              </w:rPr>
              <w:t>0.396</w:t>
            </w:r>
          </w:p>
        </w:tc>
        <w:tc>
          <w:tcPr>
            <w:tcW w:w="1159" w:type="dxa"/>
            <w:tcBorders>
              <w:top w:val="nil"/>
              <w:left w:val="nil"/>
              <w:bottom w:val="single" w:sz="4" w:space="0" w:color="auto"/>
              <w:right w:val="nil"/>
            </w:tcBorders>
          </w:tcPr>
          <w:p w14:paraId="21C4C116" w14:textId="77777777" w:rsidR="00EB5387" w:rsidRPr="00902FBB" w:rsidRDefault="00EB5387" w:rsidP="00B11E0C">
            <w:pPr>
              <w:jc w:val="center"/>
              <w:rPr>
                <w:rFonts w:ascii="Arial" w:hAnsi="Arial" w:cs="Arial"/>
                <w:b/>
                <w:bCs/>
              </w:rPr>
            </w:pPr>
            <w:r w:rsidRPr="00902FBB">
              <w:rPr>
                <w:rFonts w:ascii="Arial" w:hAnsi="Arial" w:cs="Arial"/>
                <w:b/>
                <w:bCs/>
              </w:rPr>
              <w:t>NS</w:t>
            </w:r>
          </w:p>
        </w:tc>
        <w:tc>
          <w:tcPr>
            <w:tcW w:w="1324" w:type="dxa"/>
            <w:tcBorders>
              <w:top w:val="nil"/>
              <w:left w:val="nil"/>
              <w:bottom w:val="single" w:sz="4" w:space="0" w:color="auto"/>
              <w:right w:val="nil"/>
            </w:tcBorders>
          </w:tcPr>
          <w:p w14:paraId="14301C2C" w14:textId="77777777" w:rsidR="00EB5387" w:rsidRPr="00902FBB" w:rsidRDefault="00EB5387" w:rsidP="00B11E0C">
            <w:pPr>
              <w:jc w:val="center"/>
              <w:rPr>
                <w:rFonts w:ascii="Arial" w:hAnsi="Arial" w:cs="Arial"/>
                <w:b/>
                <w:bCs/>
              </w:rPr>
            </w:pPr>
            <w:r w:rsidRPr="00902FBB">
              <w:rPr>
                <w:rFonts w:ascii="Arial" w:hAnsi="Arial" w:cs="Arial"/>
                <w:b/>
                <w:bCs/>
              </w:rPr>
              <w:t>9.135</w:t>
            </w:r>
          </w:p>
        </w:tc>
        <w:tc>
          <w:tcPr>
            <w:tcW w:w="1159" w:type="dxa"/>
            <w:tcBorders>
              <w:top w:val="nil"/>
              <w:left w:val="nil"/>
              <w:bottom w:val="single" w:sz="4" w:space="0" w:color="auto"/>
              <w:right w:val="nil"/>
            </w:tcBorders>
          </w:tcPr>
          <w:p w14:paraId="14B579C9" w14:textId="77777777" w:rsidR="00EB5387" w:rsidRPr="00902FBB" w:rsidRDefault="00EB5387" w:rsidP="00B11E0C">
            <w:pPr>
              <w:jc w:val="center"/>
              <w:rPr>
                <w:rFonts w:ascii="Arial" w:hAnsi="Arial" w:cs="Arial"/>
                <w:b/>
                <w:bCs/>
              </w:rPr>
            </w:pPr>
            <w:r w:rsidRPr="00902FBB">
              <w:rPr>
                <w:rFonts w:ascii="Arial" w:hAnsi="Arial" w:cs="Arial"/>
                <w:b/>
                <w:bCs/>
              </w:rPr>
              <w:t>1.559</w:t>
            </w:r>
          </w:p>
        </w:tc>
        <w:tc>
          <w:tcPr>
            <w:tcW w:w="1403" w:type="dxa"/>
            <w:tcBorders>
              <w:top w:val="nil"/>
              <w:left w:val="nil"/>
              <w:bottom w:val="single" w:sz="4" w:space="0" w:color="auto"/>
              <w:right w:val="nil"/>
            </w:tcBorders>
          </w:tcPr>
          <w:p w14:paraId="110DD788" w14:textId="77777777" w:rsidR="00EB5387" w:rsidRPr="00902FBB" w:rsidRDefault="00EB5387" w:rsidP="00B11E0C">
            <w:pPr>
              <w:jc w:val="center"/>
              <w:rPr>
                <w:rFonts w:ascii="Arial" w:hAnsi="Arial" w:cs="Arial"/>
                <w:b/>
                <w:bCs/>
              </w:rPr>
            </w:pPr>
            <w:r w:rsidRPr="00902FBB">
              <w:rPr>
                <w:rFonts w:ascii="Arial" w:hAnsi="Arial" w:cs="Arial"/>
                <w:b/>
                <w:bCs/>
              </w:rPr>
              <w:t>3.013</w:t>
            </w:r>
          </w:p>
        </w:tc>
        <w:tc>
          <w:tcPr>
            <w:tcW w:w="1303" w:type="dxa"/>
            <w:tcBorders>
              <w:top w:val="nil"/>
              <w:left w:val="nil"/>
              <w:bottom w:val="single" w:sz="4" w:space="0" w:color="auto"/>
              <w:right w:val="nil"/>
            </w:tcBorders>
          </w:tcPr>
          <w:p w14:paraId="5B124922" w14:textId="77777777" w:rsidR="00EB5387" w:rsidRPr="00902FBB" w:rsidRDefault="00EB5387" w:rsidP="00B11E0C">
            <w:pPr>
              <w:jc w:val="center"/>
              <w:rPr>
                <w:rFonts w:ascii="Arial" w:hAnsi="Arial" w:cs="Arial"/>
                <w:b/>
                <w:bCs/>
              </w:rPr>
            </w:pPr>
            <w:r w:rsidRPr="00902FBB">
              <w:rPr>
                <w:rFonts w:ascii="Arial" w:hAnsi="Arial" w:cs="Arial"/>
                <w:b/>
                <w:bCs/>
              </w:rPr>
              <w:t>1.954</w:t>
            </w:r>
          </w:p>
        </w:tc>
      </w:tr>
    </w:tbl>
    <w:p w14:paraId="12C5647A" w14:textId="77777777" w:rsidR="00EB5387" w:rsidRPr="00902FBB" w:rsidRDefault="00EB5387" w:rsidP="00EB5387">
      <w:pPr>
        <w:rPr>
          <w:rFonts w:ascii="Arial" w:hAnsi="Arial" w:cs="Arial"/>
          <w:b/>
          <w:bCs/>
          <w:sz w:val="22"/>
          <w:szCs w:val="22"/>
        </w:rPr>
      </w:pPr>
    </w:p>
    <w:p w14:paraId="39AC4F59" w14:textId="77777777" w:rsidR="00EB5387" w:rsidRPr="00902FBB" w:rsidRDefault="00EB5387" w:rsidP="00EB5387">
      <w:pPr>
        <w:rPr>
          <w:rFonts w:ascii="Arial" w:hAnsi="Arial" w:cs="Arial"/>
          <w:i/>
          <w:iCs/>
        </w:rPr>
      </w:pPr>
      <w:r w:rsidRPr="00902FBB">
        <w:rPr>
          <w:rFonts w:ascii="Arial" w:hAnsi="Arial" w:cs="Arial"/>
          <w:i/>
          <w:iCs/>
        </w:rPr>
        <w:t xml:space="preserve">Values followed by different letters within a column are significantly different at </w:t>
      </w:r>
      <w:r w:rsidRPr="00902FBB">
        <w:rPr>
          <w:rStyle w:val="Emphasis"/>
          <w:rFonts w:ascii="Arial" w:hAnsi="Arial" w:cs="Arial"/>
        </w:rPr>
        <w:t>P</w:t>
      </w:r>
      <w:r w:rsidRPr="00902FBB">
        <w:rPr>
          <w:rFonts w:ascii="Arial" w:hAnsi="Arial" w:cs="Arial"/>
          <w:i/>
          <w:iCs/>
        </w:rPr>
        <w:t xml:space="preserve"> = 0.05; 'NS' indicates a non-significant difference.</w:t>
      </w:r>
    </w:p>
    <w:p w14:paraId="226CD78F" w14:textId="77777777" w:rsidR="00EB5387" w:rsidRPr="00902FBB" w:rsidRDefault="00EB5387" w:rsidP="00EB5387">
      <w:pPr>
        <w:pStyle w:val="ListParagraph"/>
        <w:numPr>
          <w:ilvl w:val="1"/>
          <w:numId w:val="1"/>
        </w:numPr>
        <w:spacing w:after="160" w:line="259" w:lineRule="auto"/>
        <w:jc w:val="both"/>
        <w:rPr>
          <w:rFonts w:ascii="Arial" w:hAnsi="Arial" w:cs="Arial"/>
          <w:b/>
          <w:bCs/>
          <w:color w:val="0E101A"/>
        </w:rPr>
      </w:pPr>
      <w:r w:rsidRPr="00902FBB">
        <w:rPr>
          <w:rFonts w:ascii="Arial" w:hAnsi="Arial" w:cs="Arial"/>
          <w:b/>
          <w:bCs/>
          <w:color w:val="0E101A"/>
        </w:rPr>
        <w:t>Interaction Effects (Year × Sowing method × Sowing Date)</w:t>
      </w:r>
    </w:p>
    <w:p w14:paraId="449654B4" w14:textId="77777777" w:rsidR="00EB5387" w:rsidRPr="00902FBB" w:rsidRDefault="00EB5387" w:rsidP="00EB5387">
      <w:pPr>
        <w:pStyle w:val="ListParagraph"/>
        <w:ind w:left="730"/>
        <w:jc w:val="both"/>
        <w:rPr>
          <w:rFonts w:ascii="Arial" w:hAnsi="Arial" w:cs="Arial"/>
          <w:b/>
          <w:bCs/>
          <w:color w:val="0E101A"/>
        </w:rPr>
      </w:pPr>
    </w:p>
    <w:p w14:paraId="563C495E" w14:textId="77777777" w:rsidR="00EB5387" w:rsidRPr="00902FBB" w:rsidRDefault="00EB5387" w:rsidP="00EB5387">
      <w:pPr>
        <w:jc w:val="both"/>
        <w:rPr>
          <w:rFonts w:ascii="Arial" w:hAnsi="Arial" w:cs="Arial"/>
          <w:color w:val="0E101A"/>
          <w:sz w:val="22"/>
          <w:szCs w:val="22"/>
        </w:rPr>
      </w:pPr>
      <w:r w:rsidRPr="00902FBB">
        <w:rPr>
          <w:rFonts w:ascii="Arial" w:hAnsi="Arial" w:cs="Arial"/>
          <w:color w:val="0E101A"/>
          <w:sz w:val="22"/>
          <w:szCs w:val="22"/>
        </w:rPr>
        <w:t xml:space="preserve">Several interaction were presented by the ANOVA, as shown in Table 3b, were statistically significant, highlighting the complexity of the pumpkin's response to combined agronomic and seasonal variables. The interaction between years and </w:t>
      </w:r>
      <w:r w:rsidRPr="00902FBB">
        <w:rPr>
          <w:rFonts w:ascii="Arial" w:hAnsi="Arial" w:cs="Arial"/>
          <w:color w:val="0E101A"/>
          <w:sz w:val="22"/>
          <w:szCs w:val="22"/>
        </w:rPr>
        <w:lastRenderedPageBreak/>
        <w:t>sowing methods (Y × SM) significantly affected the number of leaves per plant, the number of fruits per plant, and the fruit yield per plant (kg). The result recommended   the 2020-2021 season with the one-side sowing method (Y2 x SM1) combination for optimal performance in these three traits. This suggests that the effectiveness of the sowing method varies depending on seasonal conditions.</w:t>
      </w:r>
    </w:p>
    <w:p w14:paraId="61D77C07" w14:textId="77777777" w:rsidR="00EB5387" w:rsidRPr="00902FBB" w:rsidRDefault="00EB5387" w:rsidP="00EB5387">
      <w:pPr>
        <w:jc w:val="both"/>
        <w:rPr>
          <w:rFonts w:ascii="Arial" w:hAnsi="Arial" w:cs="Arial"/>
          <w:color w:val="0E101A"/>
          <w:sz w:val="22"/>
          <w:szCs w:val="22"/>
        </w:rPr>
      </w:pPr>
    </w:p>
    <w:p w14:paraId="22BE136D" w14:textId="77777777" w:rsidR="00EB5387" w:rsidRPr="00902FBB" w:rsidRDefault="00EB5387" w:rsidP="00EB5387">
      <w:pPr>
        <w:jc w:val="both"/>
        <w:rPr>
          <w:rFonts w:ascii="Arial" w:hAnsi="Arial" w:cs="Arial"/>
          <w:color w:val="0E101A"/>
          <w:sz w:val="22"/>
          <w:szCs w:val="22"/>
        </w:rPr>
      </w:pPr>
      <w:r w:rsidRPr="00902FBB">
        <w:rPr>
          <w:rFonts w:ascii="Arial" w:hAnsi="Arial" w:cs="Arial"/>
          <w:color w:val="0E101A"/>
          <w:sz w:val="22"/>
          <w:szCs w:val="22"/>
        </w:rPr>
        <w:t>Similarly, the interaction between year and sowing date (Y × SD) had significant effects on number of leaves per plant, number of flowers per plant ,number of  fruits per plant , fruit set percentage    and fruit yield (kg), reflecting the influence of environmental dynamics on optimal sowing time. The results recommend the 2020-2021 season with sowing date 14 March as the best optimum performance for number of leaves per plant, number of flowers per plant, number of fruits per plant and fruit yield (kg).</w:t>
      </w:r>
    </w:p>
    <w:p w14:paraId="70FC123D" w14:textId="77777777" w:rsidR="00EB5387" w:rsidRPr="00902FBB" w:rsidRDefault="00EB5387" w:rsidP="00EB5387">
      <w:pPr>
        <w:jc w:val="both"/>
        <w:rPr>
          <w:rFonts w:ascii="Arial" w:hAnsi="Arial" w:cs="Arial"/>
          <w:color w:val="0E101A"/>
          <w:sz w:val="22"/>
          <w:szCs w:val="22"/>
        </w:rPr>
      </w:pPr>
    </w:p>
    <w:p w14:paraId="11549F9B" w14:textId="77777777" w:rsidR="00EB5387" w:rsidRPr="00902FBB" w:rsidRDefault="00EB5387" w:rsidP="00EB5387">
      <w:pPr>
        <w:jc w:val="both"/>
        <w:rPr>
          <w:rFonts w:ascii="Arial" w:hAnsi="Arial" w:cs="Arial"/>
          <w:color w:val="0E101A"/>
          <w:sz w:val="22"/>
          <w:szCs w:val="22"/>
        </w:rPr>
      </w:pPr>
      <w:r w:rsidRPr="00902FBB">
        <w:rPr>
          <w:rFonts w:ascii="Arial" w:hAnsi="Arial" w:cs="Arial"/>
          <w:color w:val="0E101A"/>
          <w:sz w:val="22"/>
          <w:szCs w:val="22"/>
        </w:rPr>
        <w:t xml:space="preserve">Moreover, the sowing method × sowing date (SM × SD) interaction significantly affected number of flowers per plant, number of fruits per plant and fruit yield (kg). The results recommend one side sowing (SM1) and the 14 November sowing date combination as the best performing combination across the three traits.  This implies that the combination of planting time and method plays a crucial role in regulating reproductive parameters, which are closely tied to final yield. </w:t>
      </w:r>
    </w:p>
    <w:p w14:paraId="767BB115" w14:textId="77777777" w:rsidR="00EB5387" w:rsidRPr="00902FBB" w:rsidRDefault="00EB5387" w:rsidP="00EB5387">
      <w:pPr>
        <w:jc w:val="both"/>
        <w:rPr>
          <w:rFonts w:ascii="Arial" w:hAnsi="Arial" w:cs="Arial"/>
          <w:color w:val="0E101A"/>
          <w:sz w:val="22"/>
          <w:szCs w:val="22"/>
        </w:rPr>
      </w:pPr>
    </w:p>
    <w:p w14:paraId="0245602E" w14:textId="77777777" w:rsidR="00EB5387" w:rsidRPr="00902FBB" w:rsidRDefault="00EB5387" w:rsidP="00EB5387">
      <w:pPr>
        <w:jc w:val="both"/>
        <w:rPr>
          <w:rFonts w:ascii="Arial" w:hAnsi="Arial" w:cs="Arial"/>
          <w:sz w:val="22"/>
          <w:szCs w:val="22"/>
        </w:rPr>
      </w:pPr>
      <w:r w:rsidRPr="00902FBB">
        <w:rPr>
          <w:rFonts w:ascii="Arial" w:hAnsi="Arial" w:cs="Arial"/>
          <w:sz w:val="22"/>
          <w:szCs w:val="22"/>
        </w:rPr>
        <w:t xml:space="preserve">The three-way interaction among years, sowing methods, and sowing dates (Y × SM × SD) significantly influenced the number of leaves, the number of fruits per plant, and the fruit yield per plant (in kilograms). The combination of the 2020-2021 season, one-side sowing method, and a sowing date of November 14 (Y2 × SM1 × SD2) was identified as the best combination, as it resulted in a higher number of leaves, fruits per plant, and fruit yield per plant. </w:t>
      </w:r>
      <w:r w:rsidRPr="00902FBB">
        <w:rPr>
          <w:rStyle w:val="ng-star-inserted"/>
          <w:rFonts w:ascii="Arial" w:hAnsi="Arial" w:cs="Arial"/>
          <w:sz w:val="22"/>
          <w:szCs w:val="22"/>
        </w:rPr>
        <w:t>Previous studies have reported broader three-way interactions that include "year" alongside sowing-related parameters, such as fixed late sowing dates, planting dates, or combinations of spacing and treatments. This indicates that environmental conditions, which can vary from year to year, can indeed influence the outcomes of specific cultivation practices (Harrelson et al., 2008; Abdel-Rahman et al., 2012).</w:t>
      </w:r>
    </w:p>
    <w:p w14:paraId="3A876767" w14:textId="77777777" w:rsidR="00EB5387" w:rsidRPr="00902FBB" w:rsidRDefault="00EB5387" w:rsidP="00EB5387">
      <w:pPr>
        <w:jc w:val="both"/>
        <w:rPr>
          <w:rFonts w:ascii="Arial" w:hAnsi="Arial" w:cs="Arial"/>
          <w:sz w:val="22"/>
          <w:szCs w:val="22"/>
        </w:rPr>
      </w:pPr>
    </w:p>
    <w:p w14:paraId="7796B814" w14:textId="77777777" w:rsidR="00EB5387" w:rsidRPr="00902FBB" w:rsidRDefault="00EB5387" w:rsidP="00EB5387">
      <w:pPr>
        <w:jc w:val="both"/>
        <w:rPr>
          <w:rFonts w:ascii="Arial" w:hAnsi="Arial" w:cs="Arial"/>
          <w:sz w:val="22"/>
          <w:szCs w:val="22"/>
        </w:rPr>
      </w:pPr>
      <w:r w:rsidRPr="00902FBB">
        <w:rPr>
          <w:rFonts w:ascii="Arial" w:hAnsi="Arial" w:cs="Arial"/>
          <w:sz w:val="22"/>
          <w:szCs w:val="22"/>
        </w:rPr>
        <w:t>Overall, the results indicate that pumpkin performance is governed by complex and seasonally dependent agronomic relationships. These findings support the G × E × M framework (Genotype × Environment × Management) proposed by Slafer et al. (2014) and further discussed by Jaenisch et al. (2022) and Cooper et al. (2022). This framework emphasizes that crop performance is influenced by a combination of biological and environmental factors. In this context, year-to-year variability stands out as the primary factor affecting yield variation, while the sowing date and its interaction with the sowing method offer strategic opportunities to enhance productivity.</w:t>
      </w:r>
    </w:p>
    <w:p w14:paraId="6C20CA0E" w14:textId="77777777" w:rsidR="00EB5387" w:rsidRPr="00902FBB" w:rsidRDefault="00EB5387" w:rsidP="00EB5387">
      <w:pPr>
        <w:jc w:val="both"/>
        <w:rPr>
          <w:rFonts w:ascii="Arial" w:hAnsi="Arial" w:cs="Arial"/>
          <w:sz w:val="22"/>
          <w:szCs w:val="22"/>
        </w:rPr>
      </w:pPr>
    </w:p>
    <w:p w14:paraId="40F45F6A" w14:textId="77777777" w:rsidR="00EB5387" w:rsidRPr="00902FBB" w:rsidRDefault="00EB5387" w:rsidP="00EB5387">
      <w:pPr>
        <w:jc w:val="both"/>
        <w:rPr>
          <w:rFonts w:ascii="Arial" w:hAnsi="Arial" w:cs="Arial"/>
          <w:sz w:val="22"/>
          <w:szCs w:val="22"/>
        </w:rPr>
      </w:pPr>
    </w:p>
    <w:p w14:paraId="79FD47BC" w14:textId="77777777" w:rsidR="00EB5387" w:rsidRPr="00902FBB" w:rsidRDefault="00EB5387" w:rsidP="00EB5387">
      <w:pPr>
        <w:jc w:val="center"/>
        <w:rPr>
          <w:rFonts w:ascii="Arial" w:hAnsi="Arial" w:cs="Arial"/>
          <w:b/>
          <w:bCs/>
          <w:sz w:val="22"/>
          <w:szCs w:val="22"/>
        </w:rPr>
      </w:pPr>
      <w:commentRangeStart w:id="19"/>
      <w:r w:rsidRPr="00902FBB">
        <w:rPr>
          <w:rFonts w:ascii="Arial" w:hAnsi="Arial" w:cs="Arial"/>
          <w:b/>
          <w:bCs/>
          <w:sz w:val="22"/>
          <w:szCs w:val="22"/>
        </w:rPr>
        <w:t>Table 3b. Mean performance for the growth and yield parameters as affected by main effect of year (Y), sowing methods (SM), seed date (SD), conducted in 2019–2020 and 2020–2021</w:t>
      </w:r>
      <w:commentRangeEnd w:id="19"/>
      <w:r w:rsidRPr="00902FBB">
        <w:rPr>
          <w:rStyle w:val="CommentReference"/>
          <w:rFonts w:ascii="Arial" w:hAnsi="Arial" w:cs="Arial"/>
          <w:lang w:val="nb-NO" w:eastAsia="nb-NO"/>
        </w:rPr>
        <w:commentReference w:id="19"/>
      </w:r>
      <w:r w:rsidRPr="00902FBB">
        <w:rPr>
          <w:rFonts w:ascii="Arial" w:hAnsi="Arial" w:cs="Arial"/>
          <w:b/>
          <w:bCs/>
          <w:sz w:val="22"/>
          <w:szCs w:val="22"/>
        </w:rPr>
        <w:t>.</w:t>
      </w:r>
    </w:p>
    <w:p w14:paraId="04B5FC86" w14:textId="77777777" w:rsidR="00EB5387" w:rsidRPr="00902FBB" w:rsidRDefault="00EB5387" w:rsidP="00EB5387">
      <w:pPr>
        <w:rPr>
          <w:rFonts w:ascii="Arial" w:hAnsi="Arial" w:cs="Arial"/>
          <w:b/>
          <w:bCs/>
          <w:sz w:val="22"/>
          <w:szCs w:val="22"/>
        </w:rPr>
      </w:pPr>
    </w:p>
    <w:tbl>
      <w:tblPr>
        <w:tblStyle w:val="TableGrid"/>
        <w:tblpPr w:leftFromText="180" w:rightFromText="180" w:vertAnchor="page" w:horzAnchor="margin" w:tblpXSpec="center" w:tblpY="2471"/>
        <w:tblW w:w="10435" w:type="dxa"/>
        <w:tblLook w:val="04A0" w:firstRow="1" w:lastRow="0" w:firstColumn="1" w:lastColumn="0" w:noHBand="0" w:noVBand="1"/>
      </w:tblPr>
      <w:tblGrid>
        <w:gridCol w:w="2807"/>
        <w:gridCol w:w="1280"/>
        <w:gridCol w:w="1159"/>
        <w:gridCol w:w="1324"/>
        <w:gridCol w:w="1159"/>
        <w:gridCol w:w="1403"/>
        <w:gridCol w:w="1303"/>
      </w:tblGrid>
      <w:tr w:rsidR="00EB5387" w:rsidRPr="00902FBB" w14:paraId="6F3EEA39" w14:textId="77777777" w:rsidTr="00B11E0C">
        <w:tc>
          <w:tcPr>
            <w:tcW w:w="2807" w:type="dxa"/>
            <w:tcBorders>
              <w:top w:val="single" w:sz="4" w:space="0" w:color="auto"/>
              <w:left w:val="nil"/>
              <w:bottom w:val="single" w:sz="4" w:space="0" w:color="auto"/>
              <w:right w:val="nil"/>
            </w:tcBorders>
          </w:tcPr>
          <w:p w14:paraId="54A552A8" w14:textId="77777777" w:rsidR="00EB5387" w:rsidRPr="00902FBB" w:rsidRDefault="00EB5387" w:rsidP="00B11E0C">
            <w:pPr>
              <w:rPr>
                <w:rFonts w:ascii="Arial" w:hAnsi="Arial" w:cs="Arial"/>
                <w:b/>
                <w:bCs/>
              </w:rPr>
            </w:pPr>
            <w:r w:rsidRPr="00902FBB">
              <w:rPr>
                <w:rFonts w:ascii="Arial" w:hAnsi="Arial" w:cs="Arial"/>
                <w:b/>
                <w:bCs/>
              </w:rPr>
              <w:lastRenderedPageBreak/>
              <w:t>Treatments</w:t>
            </w:r>
          </w:p>
        </w:tc>
        <w:tc>
          <w:tcPr>
            <w:tcW w:w="1280" w:type="dxa"/>
            <w:tcBorders>
              <w:top w:val="single" w:sz="4" w:space="0" w:color="auto"/>
              <w:left w:val="nil"/>
              <w:bottom w:val="single" w:sz="4" w:space="0" w:color="auto"/>
              <w:right w:val="nil"/>
            </w:tcBorders>
            <w:vAlign w:val="center"/>
          </w:tcPr>
          <w:p w14:paraId="6560D6CA" w14:textId="77777777" w:rsidR="00EB5387" w:rsidRPr="00902FBB" w:rsidRDefault="00EB5387" w:rsidP="00B11E0C">
            <w:pPr>
              <w:jc w:val="center"/>
              <w:rPr>
                <w:rFonts w:ascii="Arial" w:hAnsi="Arial" w:cs="Arial"/>
                <w:b/>
                <w:bCs/>
              </w:rPr>
            </w:pPr>
            <w:r w:rsidRPr="00902FBB">
              <w:rPr>
                <w:rFonts w:ascii="Arial" w:hAnsi="Arial" w:cs="Arial"/>
                <w:b/>
                <w:bCs/>
              </w:rPr>
              <w:t>Number of Lateral Branches per Plant</w:t>
            </w:r>
          </w:p>
        </w:tc>
        <w:tc>
          <w:tcPr>
            <w:tcW w:w="1159" w:type="dxa"/>
            <w:tcBorders>
              <w:top w:val="single" w:sz="4" w:space="0" w:color="auto"/>
              <w:left w:val="nil"/>
              <w:bottom w:val="single" w:sz="4" w:space="0" w:color="auto"/>
              <w:right w:val="nil"/>
            </w:tcBorders>
            <w:vAlign w:val="center"/>
          </w:tcPr>
          <w:p w14:paraId="4F1CE277" w14:textId="77777777" w:rsidR="00EB5387" w:rsidRPr="00902FBB" w:rsidRDefault="00EB5387" w:rsidP="00B11E0C">
            <w:pPr>
              <w:jc w:val="center"/>
              <w:rPr>
                <w:rFonts w:ascii="Arial" w:hAnsi="Arial" w:cs="Arial"/>
                <w:b/>
                <w:bCs/>
              </w:rPr>
            </w:pPr>
            <w:r w:rsidRPr="00902FBB">
              <w:rPr>
                <w:rFonts w:ascii="Arial" w:hAnsi="Arial" w:cs="Arial"/>
                <w:b/>
                <w:bCs/>
              </w:rPr>
              <w:t>Number of Leaves per Plant</w:t>
            </w:r>
          </w:p>
        </w:tc>
        <w:tc>
          <w:tcPr>
            <w:tcW w:w="1324" w:type="dxa"/>
            <w:tcBorders>
              <w:top w:val="single" w:sz="4" w:space="0" w:color="auto"/>
              <w:left w:val="nil"/>
              <w:bottom w:val="single" w:sz="4" w:space="0" w:color="auto"/>
              <w:right w:val="nil"/>
            </w:tcBorders>
            <w:vAlign w:val="center"/>
          </w:tcPr>
          <w:p w14:paraId="2228DC54" w14:textId="77777777" w:rsidR="00EB5387" w:rsidRPr="00902FBB" w:rsidRDefault="00EB5387" w:rsidP="00B11E0C">
            <w:pPr>
              <w:jc w:val="center"/>
              <w:rPr>
                <w:rFonts w:ascii="Arial" w:hAnsi="Arial" w:cs="Arial"/>
                <w:b/>
                <w:bCs/>
              </w:rPr>
            </w:pPr>
            <w:r w:rsidRPr="00902FBB">
              <w:rPr>
                <w:rFonts w:ascii="Arial" w:hAnsi="Arial" w:cs="Arial"/>
                <w:b/>
                <w:bCs/>
              </w:rPr>
              <w:t>Number of Flowers per Plant</w:t>
            </w:r>
          </w:p>
        </w:tc>
        <w:tc>
          <w:tcPr>
            <w:tcW w:w="1159" w:type="dxa"/>
            <w:tcBorders>
              <w:top w:val="single" w:sz="4" w:space="0" w:color="auto"/>
              <w:left w:val="nil"/>
              <w:bottom w:val="single" w:sz="4" w:space="0" w:color="auto"/>
              <w:right w:val="nil"/>
            </w:tcBorders>
            <w:vAlign w:val="center"/>
          </w:tcPr>
          <w:p w14:paraId="149947FA" w14:textId="77777777" w:rsidR="00EB5387" w:rsidRPr="00902FBB" w:rsidRDefault="00EB5387" w:rsidP="00B11E0C">
            <w:pPr>
              <w:jc w:val="center"/>
              <w:rPr>
                <w:rFonts w:ascii="Arial" w:hAnsi="Arial" w:cs="Arial"/>
                <w:b/>
                <w:bCs/>
              </w:rPr>
            </w:pPr>
            <w:r w:rsidRPr="00902FBB">
              <w:rPr>
                <w:rFonts w:ascii="Arial" w:hAnsi="Arial" w:cs="Arial"/>
                <w:b/>
                <w:bCs/>
              </w:rPr>
              <w:t>Number of Fruits per Plant</w:t>
            </w:r>
          </w:p>
        </w:tc>
        <w:tc>
          <w:tcPr>
            <w:tcW w:w="1403" w:type="dxa"/>
            <w:tcBorders>
              <w:top w:val="single" w:sz="4" w:space="0" w:color="auto"/>
              <w:left w:val="nil"/>
              <w:bottom w:val="single" w:sz="4" w:space="0" w:color="auto"/>
              <w:right w:val="nil"/>
            </w:tcBorders>
            <w:vAlign w:val="center"/>
          </w:tcPr>
          <w:p w14:paraId="576B03E8" w14:textId="77777777" w:rsidR="00EB5387" w:rsidRPr="00902FBB" w:rsidRDefault="00EB5387" w:rsidP="00B11E0C">
            <w:pPr>
              <w:jc w:val="center"/>
              <w:rPr>
                <w:rFonts w:ascii="Arial" w:hAnsi="Arial" w:cs="Arial"/>
                <w:b/>
                <w:bCs/>
              </w:rPr>
            </w:pPr>
            <w:r w:rsidRPr="00902FBB">
              <w:rPr>
                <w:rStyle w:val="Strong"/>
                <w:rFonts w:ascii="Arial" w:hAnsi="Arial" w:cs="Arial"/>
              </w:rPr>
              <w:t>Fruit Set Percentage (%)</w:t>
            </w:r>
          </w:p>
        </w:tc>
        <w:tc>
          <w:tcPr>
            <w:tcW w:w="1303" w:type="dxa"/>
            <w:tcBorders>
              <w:top w:val="single" w:sz="4" w:space="0" w:color="auto"/>
              <w:left w:val="nil"/>
              <w:bottom w:val="single" w:sz="4" w:space="0" w:color="auto"/>
              <w:right w:val="nil"/>
            </w:tcBorders>
            <w:vAlign w:val="center"/>
          </w:tcPr>
          <w:p w14:paraId="3F81BD10" w14:textId="77777777" w:rsidR="00EB5387" w:rsidRPr="00902FBB" w:rsidRDefault="00EB5387" w:rsidP="00B11E0C">
            <w:pPr>
              <w:jc w:val="center"/>
              <w:rPr>
                <w:rFonts w:ascii="Arial" w:hAnsi="Arial" w:cs="Arial"/>
                <w:b/>
                <w:bCs/>
              </w:rPr>
            </w:pPr>
            <w:r w:rsidRPr="00902FBB">
              <w:rPr>
                <w:rFonts w:ascii="Arial" w:hAnsi="Arial" w:cs="Arial"/>
                <w:b/>
                <w:bCs/>
              </w:rPr>
              <w:t>Fruit Yield per Plant (kg)</w:t>
            </w:r>
          </w:p>
        </w:tc>
      </w:tr>
      <w:tr w:rsidR="00EB5387" w:rsidRPr="00902FBB" w14:paraId="4D1B93CB" w14:textId="77777777" w:rsidTr="00B11E0C">
        <w:tc>
          <w:tcPr>
            <w:tcW w:w="2807" w:type="dxa"/>
            <w:tcBorders>
              <w:top w:val="single" w:sz="4" w:space="0" w:color="auto"/>
              <w:left w:val="nil"/>
              <w:bottom w:val="nil"/>
              <w:right w:val="nil"/>
            </w:tcBorders>
          </w:tcPr>
          <w:p w14:paraId="5BAC7D9F" w14:textId="77777777" w:rsidR="00EB5387" w:rsidRPr="00902FBB" w:rsidRDefault="00EB5387" w:rsidP="00B11E0C">
            <w:pPr>
              <w:rPr>
                <w:rFonts w:ascii="Arial" w:hAnsi="Arial" w:cs="Arial"/>
                <w:b/>
                <w:bCs/>
              </w:rPr>
            </w:pPr>
            <w:r w:rsidRPr="00902FBB">
              <w:rPr>
                <w:rFonts w:ascii="Arial" w:hAnsi="Arial" w:cs="Arial"/>
                <w:b/>
                <w:bCs/>
              </w:rPr>
              <w:t>Season (Y)</w:t>
            </w:r>
          </w:p>
        </w:tc>
        <w:tc>
          <w:tcPr>
            <w:tcW w:w="1280" w:type="dxa"/>
            <w:tcBorders>
              <w:top w:val="single" w:sz="4" w:space="0" w:color="auto"/>
              <w:left w:val="nil"/>
              <w:bottom w:val="nil"/>
              <w:right w:val="nil"/>
            </w:tcBorders>
          </w:tcPr>
          <w:p w14:paraId="035C32C7" w14:textId="77777777" w:rsidR="00EB5387" w:rsidRPr="00902FBB" w:rsidRDefault="00EB5387" w:rsidP="00B11E0C">
            <w:pPr>
              <w:jc w:val="center"/>
              <w:rPr>
                <w:rFonts w:ascii="Arial" w:hAnsi="Arial" w:cs="Arial"/>
              </w:rPr>
            </w:pPr>
          </w:p>
        </w:tc>
        <w:tc>
          <w:tcPr>
            <w:tcW w:w="1159" w:type="dxa"/>
            <w:tcBorders>
              <w:top w:val="single" w:sz="4" w:space="0" w:color="auto"/>
              <w:left w:val="nil"/>
              <w:bottom w:val="nil"/>
              <w:right w:val="nil"/>
            </w:tcBorders>
          </w:tcPr>
          <w:p w14:paraId="0314B2FF" w14:textId="77777777" w:rsidR="00EB5387" w:rsidRPr="00902FBB" w:rsidRDefault="00EB5387" w:rsidP="00B11E0C">
            <w:pPr>
              <w:pStyle w:val="Compact"/>
              <w:jc w:val="center"/>
              <w:rPr>
                <w:rFonts w:ascii="Arial" w:hAnsi="Arial" w:cs="Arial"/>
                <w:sz w:val="22"/>
                <w:szCs w:val="22"/>
              </w:rPr>
            </w:pPr>
          </w:p>
        </w:tc>
        <w:tc>
          <w:tcPr>
            <w:tcW w:w="1324" w:type="dxa"/>
            <w:tcBorders>
              <w:top w:val="single" w:sz="4" w:space="0" w:color="auto"/>
              <w:left w:val="nil"/>
              <w:bottom w:val="nil"/>
              <w:right w:val="nil"/>
            </w:tcBorders>
            <w:vAlign w:val="center"/>
          </w:tcPr>
          <w:p w14:paraId="4C2384AD" w14:textId="77777777" w:rsidR="00EB5387" w:rsidRPr="00902FBB" w:rsidRDefault="00EB5387" w:rsidP="00B11E0C">
            <w:pPr>
              <w:jc w:val="center"/>
              <w:rPr>
                <w:rFonts w:ascii="Arial" w:hAnsi="Arial" w:cs="Arial"/>
                <w:color w:val="000000"/>
              </w:rPr>
            </w:pPr>
          </w:p>
        </w:tc>
        <w:tc>
          <w:tcPr>
            <w:tcW w:w="1159" w:type="dxa"/>
            <w:tcBorders>
              <w:top w:val="single" w:sz="4" w:space="0" w:color="auto"/>
              <w:left w:val="nil"/>
              <w:bottom w:val="nil"/>
              <w:right w:val="nil"/>
            </w:tcBorders>
            <w:vAlign w:val="center"/>
          </w:tcPr>
          <w:p w14:paraId="09A5C8DB" w14:textId="77777777" w:rsidR="00EB5387" w:rsidRPr="00902FBB" w:rsidRDefault="00EB5387" w:rsidP="00B11E0C">
            <w:pPr>
              <w:jc w:val="center"/>
              <w:rPr>
                <w:rFonts w:ascii="Arial" w:hAnsi="Arial" w:cs="Arial"/>
                <w:color w:val="000000"/>
              </w:rPr>
            </w:pPr>
          </w:p>
        </w:tc>
        <w:tc>
          <w:tcPr>
            <w:tcW w:w="1403" w:type="dxa"/>
            <w:tcBorders>
              <w:top w:val="single" w:sz="4" w:space="0" w:color="auto"/>
              <w:left w:val="nil"/>
              <w:bottom w:val="nil"/>
              <w:right w:val="nil"/>
            </w:tcBorders>
            <w:vAlign w:val="center"/>
          </w:tcPr>
          <w:p w14:paraId="3817222C" w14:textId="77777777" w:rsidR="00EB5387" w:rsidRPr="00902FBB" w:rsidRDefault="00EB5387" w:rsidP="00B11E0C">
            <w:pPr>
              <w:jc w:val="center"/>
              <w:rPr>
                <w:rFonts w:ascii="Arial" w:hAnsi="Arial" w:cs="Arial"/>
                <w:color w:val="000000"/>
              </w:rPr>
            </w:pPr>
          </w:p>
        </w:tc>
        <w:tc>
          <w:tcPr>
            <w:tcW w:w="1303" w:type="dxa"/>
            <w:tcBorders>
              <w:top w:val="single" w:sz="4" w:space="0" w:color="auto"/>
              <w:left w:val="nil"/>
              <w:bottom w:val="nil"/>
              <w:right w:val="nil"/>
            </w:tcBorders>
            <w:vAlign w:val="center"/>
          </w:tcPr>
          <w:p w14:paraId="6A86B6B1" w14:textId="77777777" w:rsidR="00EB5387" w:rsidRPr="00902FBB" w:rsidRDefault="00EB5387" w:rsidP="00B11E0C">
            <w:pPr>
              <w:jc w:val="center"/>
              <w:rPr>
                <w:rFonts w:ascii="Arial" w:hAnsi="Arial" w:cs="Arial"/>
                <w:color w:val="000000"/>
              </w:rPr>
            </w:pPr>
          </w:p>
        </w:tc>
      </w:tr>
      <w:tr w:rsidR="00EB5387" w:rsidRPr="00902FBB" w14:paraId="5CC7BC01" w14:textId="77777777" w:rsidTr="00B11E0C">
        <w:tc>
          <w:tcPr>
            <w:tcW w:w="2807" w:type="dxa"/>
            <w:tcBorders>
              <w:top w:val="nil"/>
              <w:left w:val="nil"/>
              <w:bottom w:val="nil"/>
              <w:right w:val="nil"/>
            </w:tcBorders>
          </w:tcPr>
          <w:p w14:paraId="3601B760" w14:textId="77777777" w:rsidR="00EB5387" w:rsidRPr="00902FBB" w:rsidRDefault="00EB5387" w:rsidP="00B11E0C">
            <w:pPr>
              <w:rPr>
                <w:rFonts w:ascii="Arial" w:hAnsi="Arial" w:cs="Arial"/>
              </w:rPr>
            </w:pPr>
            <w:r w:rsidRPr="00902FBB">
              <w:rPr>
                <w:rFonts w:ascii="Arial" w:hAnsi="Arial" w:cs="Arial"/>
              </w:rPr>
              <w:t>Year (2019-2020) -Y1</w:t>
            </w:r>
          </w:p>
        </w:tc>
        <w:tc>
          <w:tcPr>
            <w:tcW w:w="1280" w:type="dxa"/>
            <w:tcBorders>
              <w:top w:val="nil"/>
              <w:left w:val="nil"/>
              <w:bottom w:val="nil"/>
              <w:right w:val="nil"/>
            </w:tcBorders>
          </w:tcPr>
          <w:p w14:paraId="7AE4B58A" w14:textId="77777777" w:rsidR="00EB5387" w:rsidRPr="00902FBB" w:rsidRDefault="00EB5387" w:rsidP="00B11E0C">
            <w:pPr>
              <w:jc w:val="center"/>
              <w:rPr>
                <w:rFonts w:ascii="Arial" w:hAnsi="Arial" w:cs="Arial"/>
                <w:b/>
                <w:bCs/>
              </w:rPr>
            </w:pPr>
            <w:r w:rsidRPr="00902FBB">
              <w:rPr>
                <w:rFonts w:ascii="Arial" w:hAnsi="Arial" w:cs="Arial"/>
              </w:rPr>
              <w:t>3.25</w:t>
            </w:r>
            <w:r w:rsidRPr="00902FBB">
              <w:rPr>
                <w:rFonts w:ascii="Arial" w:hAnsi="Arial" w:cs="Arial"/>
                <w:vertAlign w:val="superscript"/>
              </w:rPr>
              <w:t>b</w:t>
            </w:r>
          </w:p>
        </w:tc>
        <w:tc>
          <w:tcPr>
            <w:tcW w:w="1159" w:type="dxa"/>
            <w:tcBorders>
              <w:top w:val="nil"/>
              <w:left w:val="nil"/>
              <w:bottom w:val="nil"/>
              <w:right w:val="nil"/>
            </w:tcBorders>
          </w:tcPr>
          <w:p w14:paraId="33155CE7"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73.38</w:t>
            </w:r>
            <w:r w:rsidRPr="00902FBB">
              <w:rPr>
                <w:rFonts w:ascii="Arial" w:hAnsi="Arial" w:cs="Arial"/>
                <w:sz w:val="22"/>
                <w:szCs w:val="22"/>
                <w:vertAlign w:val="superscript"/>
              </w:rPr>
              <w:t>b</w:t>
            </w:r>
          </w:p>
        </w:tc>
        <w:tc>
          <w:tcPr>
            <w:tcW w:w="1324" w:type="dxa"/>
            <w:tcBorders>
              <w:top w:val="nil"/>
              <w:left w:val="nil"/>
              <w:bottom w:val="nil"/>
              <w:right w:val="nil"/>
            </w:tcBorders>
            <w:vAlign w:val="center"/>
          </w:tcPr>
          <w:p w14:paraId="5599E7CD" w14:textId="77777777" w:rsidR="00EB5387" w:rsidRPr="00902FBB" w:rsidRDefault="00EB5387" w:rsidP="00B11E0C">
            <w:pPr>
              <w:jc w:val="center"/>
              <w:rPr>
                <w:rFonts w:ascii="Arial" w:hAnsi="Arial" w:cs="Arial"/>
                <w:color w:val="000000"/>
              </w:rPr>
            </w:pPr>
            <w:r w:rsidRPr="00902FBB">
              <w:rPr>
                <w:rFonts w:ascii="Arial" w:hAnsi="Arial" w:cs="Arial"/>
                <w:color w:val="000000"/>
              </w:rPr>
              <w:t>30.46</w:t>
            </w:r>
            <w:r w:rsidRPr="00902FBB">
              <w:rPr>
                <w:rFonts w:ascii="Arial" w:hAnsi="Arial" w:cs="Arial"/>
                <w:color w:val="000000"/>
                <w:vertAlign w:val="superscript"/>
              </w:rPr>
              <w:t>b</w:t>
            </w:r>
          </w:p>
        </w:tc>
        <w:tc>
          <w:tcPr>
            <w:tcW w:w="1159" w:type="dxa"/>
            <w:tcBorders>
              <w:top w:val="nil"/>
              <w:left w:val="nil"/>
              <w:bottom w:val="nil"/>
              <w:right w:val="nil"/>
            </w:tcBorders>
            <w:vAlign w:val="center"/>
          </w:tcPr>
          <w:p w14:paraId="0C5E942B" w14:textId="77777777" w:rsidR="00EB5387" w:rsidRPr="00902FBB" w:rsidRDefault="00EB5387" w:rsidP="00B11E0C">
            <w:pPr>
              <w:jc w:val="center"/>
              <w:rPr>
                <w:rFonts w:ascii="Arial" w:hAnsi="Arial" w:cs="Arial"/>
                <w:color w:val="000000"/>
              </w:rPr>
            </w:pPr>
            <w:r w:rsidRPr="00902FBB">
              <w:rPr>
                <w:rFonts w:ascii="Arial" w:hAnsi="Arial" w:cs="Arial"/>
                <w:color w:val="000000"/>
              </w:rPr>
              <w:t>3.38</w:t>
            </w:r>
            <w:r w:rsidRPr="00902FBB">
              <w:rPr>
                <w:rFonts w:ascii="Arial" w:hAnsi="Arial" w:cs="Arial"/>
                <w:color w:val="000000"/>
                <w:vertAlign w:val="superscript"/>
              </w:rPr>
              <w:t>b</w:t>
            </w:r>
          </w:p>
        </w:tc>
        <w:tc>
          <w:tcPr>
            <w:tcW w:w="1403" w:type="dxa"/>
            <w:tcBorders>
              <w:top w:val="nil"/>
              <w:left w:val="nil"/>
              <w:bottom w:val="nil"/>
              <w:right w:val="nil"/>
            </w:tcBorders>
            <w:vAlign w:val="center"/>
          </w:tcPr>
          <w:p w14:paraId="2366F04B" w14:textId="77777777" w:rsidR="00EB5387" w:rsidRPr="00902FBB" w:rsidRDefault="00EB5387" w:rsidP="00B11E0C">
            <w:pPr>
              <w:jc w:val="center"/>
              <w:rPr>
                <w:rFonts w:ascii="Arial" w:hAnsi="Arial" w:cs="Arial"/>
                <w:color w:val="000000"/>
              </w:rPr>
            </w:pPr>
            <w:r w:rsidRPr="00902FBB">
              <w:rPr>
                <w:rFonts w:ascii="Arial" w:hAnsi="Arial" w:cs="Arial"/>
                <w:color w:val="000000"/>
              </w:rPr>
              <w:t>11.34</w:t>
            </w:r>
            <w:r w:rsidRPr="00902FBB">
              <w:rPr>
                <w:rFonts w:ascii="Arial" w:hAnsi="Arial" w:cs="Arial"/>
                <w:color w:val="000000"/>
                <w:vertAlign w:val="superscript"/>
              </w:rPr>
              <w:t xml:space="preserve">a </w:t>
            </w:r>
          </w:p>
        </w:tc>
        <w:tc>
          <w:tcPr>
            <w:tcW w:w="1303" w:type="dxa"/>
            <w:tcBorders>
              <w:top w:val="nil"/>
              <w:left w:val="nil"/>
              <w:bottom w:val="nil"/>
              <w:right w:val="nil"/>
            </w:tcBorders>
            <w:vAlign w:val="center"/>
          </w:tcPr>
          <w:p w14:paraId="3F1D2957" w14:textId="77777777" w:rsidR="00EB5387" w:rsidRPr="00902FBB" w:rsidRDefault="00EB5387" w:rsidP="00B11E0C">
            <w:pPr>
              <w:jc w:val="center"/>
              <w:rPr>
                <w:rFonts w:ascii="Arial" w:hAnsi="Arial" w:cs="Arial"/>
                <w:color w:val="000000"/>
              </w:rPr>
            </w:pPr>
            <w:r w:rsidRPr="00902FBB">
              <w:rPr>
                <w:rFonts w:ascii="Arial" w:hAnsi="Arial" w:cs="Arial"/>
                <w:color w:val="000000"/>
              </w:rPr>
              <w:t>4.16</w:t>
            </w:r>
            <w:r w:rsidRPr="00902FBB">
              <w:rPr>
                <w:rFonts w:ascii="Arial" w:hAnsi="Arial" w:cs="Arial"/>
                <w:color w:val="000000"/>
                <w:vertAlign w:val="superscript"/>
              </w:rPr>
              <w:t>b</w:t>
            </w:r>
            <w:r w:rsidRPr="00902FBB">
              <w:rPr>
                <w:rFonts w:ascii="Arial" w:hAnsi="Arial" w:cs="Arial"/>
                <w:color w:val="000000"/>
              </w:rPr>
              <w:t xml:space="preserve"> </w:t>
            </w:r>
          </w:p>
        </w:tc>
      </w:tr>
      <w:tr w:rsidR="00EB5387" w:rsidRPr="00902FBB" w14:paraId="35C8EFBD" w14:textId="77777777" w:rsidTr="00B11E0C">
        <w:tc>
          <w:tcPr>
            <w:tcW w:w="2807" w:type="dxa"/>
            <w:tcBorders>
              <w:top w:val="nil"/>
              <w:left w:val="nil"/>
              <w:bottom w:val="nil"/>
              <w:right w:val="nil"/>
            </w:tcBorders>
          </w:tcPr>
          <w:p w14:paraId="7584648D" w14:textId="77777777" w:rsidR="00EB5387" w:rsidRPr="00902FBB" w:rsidRDefault="00EB5387" w:rsidP="00B11E0C">
            <w:pPr>
              <w:rPr>
                <w:rFonts w:ascii="Arial" w:hAnsi="Arial" w:cs="Arial"/>
              </w:rPr>
            </w:pPr>
            <w:r w:rsidRPr="00902FBB">
              <w:rPr>
                <w:rFonts w:ascii="Arial" w:hAnsi="Arial" w:cs="Arial"/>
              </w:rPr>
              <w:t>Year (2020-2021) -Y2</w:t>
            </w:r>
          </w:p>
        </w:tc>
        <w:tc>
          <w:tcPr>
            <w:tcW w:w="1280" w:type="dxa"/>
            <w:tcBorders>
              <w:top w:val="nil"/>
              <w:left w:val="nil"/>
              <w:bottom w:val="nil"/>
              <w:right w:val="nil"/>
            </w:tcBorders>
          </w:tcPr>
          <w:p w14:paraId="73126E87" w14:textId="77777777" w:rsidR="00EB5387" w:rsidRPr="00902FBB" w:rsidRDefault="00EB5387" w:rsidP="00B11E0C">
            <w:pPr>
              <w:jc w:val="center"/>
              <w:rPr>
                <w:rFonts w:ascii="Arial" w:hAnsi="Arial" w:cs="Arial"/>
                <w:b/>
                <w:bCs/>
              </w:rPr>
            </w:pPr>
            <w:r w:rsidRPr="00902FBB">
              <w:rPr>
                <w:rFonts w:ascii="Arial" w:hAnsi="Arial" w:cs="Arial"/>
              </w:rPr>
              <w:t>3.75</w:t>
            </w:r>
            <w:r w:rsidRPr="00902FBB">
              <w:rPr>
                <w:rFonts w:ascii="Arial" w:hAnsi="Arial" w:cs="Arial"/>
                <w:vertAlign w:val="superscript"/>
              </w:rPr>
              <w:t>a</w:t>
            </w:r>
          </w:p>
        </w:tc>
        <w:tc>
          <w:tcPr>
            <w:tcW w:w="1159" w:type="dxa"/>
            <w:tcBorders>
              <w:top w:val="nil"/>
              <w:left w:val="nil"/>
              <w:bottom w:val="nil"/>
              <w:right w:val="nil"/>
            </w:tcBorders>
          </w:tcPr>
          <w:p w14:paraId="2527343F" w14:textId="77777777" w:rsidR="00EB5387" w:rsidRPr="00902FBB" w:rsidRDefault="00EB5387" w:rsidP="00B11E0C">
            <w:pPr>
              <w:pStyle w:val="Compact"/>
              <w:jc w:val="center"/>
              <w:rPr>
                <w:rFonts w:ascii="Arial" w:hAnsi="Arial" w:cs="Arial"/>
                <w:sz w:val="22"/>
                <w:szCs w:val="22"/>
              </w:rPr>
            </w:pPr>
            <w:r w:rsidRPr="00902FBB">
              <w:rPr>
                <w:rFonts w:ascii="Arial" w:hAnsi="Arial" w:cs="Arial"/>
                <w:sz w:val="22"/>
                <w:szCs w:val="22"/>
              </w:rPr>
              <w:t>91.08</w:t>
            </w:r>
            <w:r w:rsidRPr="00902FBB">
              <w:rPr>
                <w:rFonts w:ascii="Arial" w:hAnsi="Arial" w:cs="Arial"/>
                <w:sz w:val="22"/>
                <w:szCs w:val="22"/>
                <w:vertAlign w:val="superscript"/>
              </w:rPr>
              <w:t>a</w:t>
            </w:r>
          </w:p>
        </w:tc>
        <w:tc>
          <w:tcPr>
            <w:tcW w:w="1324" w:type="dxa"/>
            <w:tcBorders>
              <w:top w:val="nil"/>
              <w:left w:val="nil"/>
              <w:bottom w:val="nil"/>
              <w:right w:val="nil"/>
            </w:tcBorders>
            <w:vAlign w:val="center"/>
          </w:tcPr>
          <w:p w14:paraId="6C0C0A75" w14:textId="77777777" w:rsidR="00EB5387" w:rsidRPr="00902FBB" w:rsidRDefault="00EB5387" w:rsidP="00B11E0C">
            <w:pPr>
              <w:jc w:val="center"/>
              <w:rPr>
                <w:rFonts w:ascii="Arial" w:hAnsi="Arial" w:cs="Arial"/>
                <w:color w:val="000000"/>
              </w:rPr>
            </w:pPr>
            <w:r w:rsidRPr="00902FBB">
              <w:rPr>
                <w:rFonts w:ascii="Arial" w:hAnsi="Arial" w:cs="Arial"/>
                <w:color w:val="000000"/>
              </w:rPr>
              <w:t>63.54</w:t>
            </w:r>
            <w:r w:rsidRPr="00902FBB">
              <w:rPr>
                <w:rFonts w:ascii="Arial" w:hAnsi="Arial" w:cs="Arial"/>
                <w:color w:val="000000"/>
                <w:vertAlign w:val="superscript"/>
              </w:rPr>
              <w:t xml:space="preserve">a </w:t>
            </w:r>
          </w:p>
        </w:tc>
        <w:tc>
          <w:tcPr>
            <w:tcW w:w="1159" w:type="dxa"/>
            <w:tcBorders>
              <w:top w:val="nil"/>
              <w:left w:val="nil"/>
              <w:bottom w:val="nil"/>
              <w:right w:val="nil"/>
            </w:tcBorders>
            <w:vAlign w:val="center"/>
          </w:tcPr>
          <w:p w14:paraId="24FA25D6" w14:textId="77777777" w:rsidR="00EB5387" w:rsidRPr="00902FBB" w:rsidRDefault="00EB5387" w:rsidP="00B11E0C">
            <w:pPr>
              <w:jc w:val="center"/>
              <w:rPr>
                <w:rFonts w:ascii="Arial" w:hAnsi="Arial" w:cs="Arial"/>
                <w:color w:val="000000"/>
              </w:rPr>
            </w:pPr>
            <w:r w:rsidRPr="00902FBB">
              <w:rPr>
                <w:rFonts w:ascii="Arial" w:hAnsi="Arial" w:cs="Arial"/>
                <w:color w:val="000000"/>
              </w:rPr>
              <w:t>5.46</w:t>
            </w:r>
            <w:r w:rsidRPr="00902FBB">
              <w:rPr>
                <w:rFonts w:ascii="Arial" w:hAnsi="Arial" w:cs="Arial"/>
                <w:color w:val="000000"/>
                <w:vertAlign w:val="superscript"/>
              </w:rPr>
              <w:t>a</w:t>
            </w:r>
          </w:p>
        </w:tc>
        <w:tc>
          <w:tcPr>
            <w:tcW w:w="1403" w:type="dxa"/>
            <w:tcBorders>
              <w:top w:val="nil"/>
              <w:left w:val="nil"/>
              <w:bottom w:val="nil"/>
              <w:right w:val="nil"/>
            </w:tcBorders>
            <w:vAlign w:val="center"/>
          </w:tcPr>
          <w:p w14:paraId="2B8A5BFC" w14:textId="77777777" w:rsidR="00EB5387" w:rsidRPr="00902FBB" w:rsidRDefault="00EB5387" w:rsidP="00B11E0C">
            <w:pPr>
              <w:jc w:val="center"/>
              <w:rPr>
                <w:rFonts w:ascii="Arial" w:hAnsi="Arial" w:cs="Arial"/>
                <w:color w:val="000000"/>
              </w:rPr>
            </w:pPr>
            <w:r w:rsidRPr="00902FBB">
              <w:rPr>
                <w:rFonts w:ascii="Arial" w:hAnsi="Arial" w:cs="Arial"/>
                <w:color w:val="000000"/>
              </w:rPr>
              <w:t xml:space="preserve">8.03 </w:t>
            </w:r>
            <w:r w:rsidRPr="00902FBB">
              <w:rPr>
                <w:rFonts w:ascii="Arial" w:hAnsi="Arial" w:cs="Arial"/>
                <w:color w:val="000000"/>
                <w:vertAlign w:val="superscript"/>
              </w:rPr>
              <w:t>b</w:t>
            </w:r>
          </w:p>
        </w:tc>
        <w:tc>
          <w:tcPr>
            <w:tcW w:w="1303" w:type="dxa"/>
            <w:tcBorders>
              <w:top w:val="nil"/>
              <w:left w:val="nil"/>
              <w:bottom w:val="nil"/>
              <w:right w:val="nil"/>
            </w:tcBorders>
            <w:vAlign w:val="center"/>
          </w:tcPr>
          <w:p w14:paraId="75F792D5" w14:textId="77777777" w:rsidR="00EB5387" w:rsidRPr="00902FBB" w:rsidRDefault="00EB5387" w:rsidP="00B11E0C">
            <w:pPr>
              <w:jc w:val="center"/>
              <w:rPr>
                <w:rFonts w:ascii="Arial" w:hAnsi="Arial" w:cs="Arial"/>
                <w:color w:val="000000"/>
              </w:rPr>
            </w:pPr>
            <w:r w:rsidRPr="00902FBB">
              <w:rPr>
                <w:rFonts w:ascii="Arial" w:hAnsi="Arial" w:cs="Arial"/>
                <w:color w:val="000000"/>
              </w:rPr>
              <w:t>6.89</w:t>
            </w:r>
            <w:r w:rsidRPr="00902FBB">
              <w:rPr>
                <w:rFonts w:ascii="Arial" w:hAnsi="Arial" w:cs="Arial"/>
                <w:color w:val="000000"/>
                <w:vertAlign w:val="superscript"/>
              </w:rPr>
              <w:t>a</w:t>
            </w:r>
          </w:p>
        </w:tc>
      </w:tr>
      <w:tr w:rsidR="00EB5387" w:rsidRPr="00902FBB" w14:paraId="21D54F11" w14:textId="77777777" w:rsidTr="00B11E0C">
        <w:tc>
          <w:tcPr>
            <w:tcW w:w="2807" w:type="dxa"/>
            <w:tcBorders>
              <w:top w:val="nil"/>
              <w:left w:val="nil"/>
              <w:bottom w:val="single" w:sz="4" w:space="0" w:color="auto"/>
              <w:right w:val="nil"/>
            </w:tcBorders>
          </w:tcPr>
          <w:p w14:paraId="78A1F0F6" w14:textId="77777777" w:rsidR="00EB5387" w:rsidRPr="00902FBB" w:rsidRDefault="00EB5387" w:rsidP="00B11E0C">
            <w:pPr>
              <w:rPr>
                <w:rFonts w:ascii="Arial" w:hAnsi="Arial" w:cs="Arial"/>
              </w:rPr>
            </w:pPr>
            <w:r w:rsidRPr="00902FBB">
              <w:rPr>
                <w:rFonts w:ascii="Arial" w:hAnsi="Arial" w:cs="Arial"/>
              </w:rPr>
              <w:t>LSD at p &lt; 0.05</w:t>
            </w:r>
          </w:p>
        </w:tc>
        <w:tc>
          <w:tcPr>
            <w:tcW w:w="1280" w:type="dxa"/>
            <w:tcBorders>
              <w:top w:val="nil"/>
              <w:left w:val="nil"/>
              <w:bottom w:val="single" w:sz="4" w:space="0" w:color="auto"/>
              <w:right w:val="nil"/>
            </w:tcBorders>
          </w:tcPr>
          <w:p w14:paraId="77A5FC42" w14:textId="77777777" w:rsidR="00EB5387" w:rsidRPr="00902FBB" w:rsidRDefault="00EB5387" w:rsidP="00B11E0C">
            <w:pPr>
              <w:jc w:val="center"/>
              <w:rPr>
                <w:rFonts w:ascii="Arial" w:hAnsi="Arial" w:cs="Arial"/>
                <w:b/>
                <w:bCs/>
              </w:rPr>
            </w:pPr>
            <w:r w:rsidRPr="00902FBB">
              <w:rPr>
                <w:rFonts w:ascii="Arial" w:hAnsi="Arial" w:cs="Arial"/>
                <w:b/>
                <w:bCs/>
              </w:rPr>
              <w:t>0.323</w:t>
            </w:r>
          </w:p>
        </w:tc>
        <w:tc>
          <w:tcPr>
            <w:tcW w:w="1159" w:type="dxa"/>
            <w:tcBorders>
              <w:top w:val="nil"/>
              <w:left w:val="nil"/>
              <w:bottom w:val="single" w:sz="4" w:space="0" w:color="auto"/>
              <w:right w:val="nil"/>
            </w:tcBorders>
          </w:tcPr>
          <w:p w14:paraId="35CB6996" w14:textId="77777777" w:rsidR="00EB5387" w:rsidRPr="00902FBB" w:rsidRDefault="00EB5387" w:rsidP="00B11E0C">
            <w:pPr>
              <w:jc w:val="center"/>
              <w:rPr>
                <w:rFonts w:ascii="Arial" w:hAnsi="Arial" w:cs="Arial"/>
                <w:b/>
                <w:bCs/>
              </w:rPr>
            </w:pPr>
            <w:r w:rsidRPr="00902FBB">
              <w:rPr>
                <w:rFonts w:ascii="Arial" w:hAnsi="Arial" w:cs="Arial"/>
                <w:b/>
                <w:bCs/>
              </w:rPr>
              <w:t>9.218</w:t>
            </w:r>
          </w:p>
        </w:tc>
        <w:tc>
          <w:tcPr>
            <w:tcW w:w="1324" w:type="dxa"/>
            <w:tcBorders>
              <w:top w:val="nil"/>
              <w:left w:val="nil"/>
              <w:bottom w:val="single" w:sz="4" w:space="0" w:color="auto"/>
              <w:right w:val="nil"/>
            </w:tcBorders>
          </w:tcPr>
          <w:p w14:paraId="579E71D6" w14:textId="77777777" w:rsidR="00EB5387" w:rsidRPr="00902FBB" w:rsidRDefault="00EB5387" w:rsidP="00B11E0C">
            <w:pPr>
              <w:jc w:val="center"/>
              <w:rPr>
                <w:rFonts w:ascii="Arial" w:hAnsi="Arial" w:cs="Arial"/>
                <w:b/>
                <w:bCs/>
              </w:rPr>
            </w:pPr>
            <w:r w:rsidRPr="00902FBB">
              <w:rPr>
                <w:rFonts w:ascii="Arial" w:hAnsi="Arial" w:cs="Arial"/>
                <w:b/>
                <w:bCs/>
              </w:rPr>
              <w:t>7.459</w:t>
            </w:r>
          </w:p>
        </w:tc>
        <w:tc>
          <w:tcPr>
            <w:tcW w:w="1159" w:type="dxa"/>
            <w:tcBorders>
              <w:top w:val="nil"/>
              <w:left w:val="nil"/>
              <w:bottom w:val="single" w:sz="4" w:space="0" w:color="auto"/>
              <w:right w:val="nil"/>
            </w:tcBorders>
          </w:tcPr>
          <w:p w14:paraId="7482107B" w14:textId="77777777" w:rsidR="00EB5387" w:rsidRPr="00902FBB" w:rsidRDefault="00EB5387" w:rsidP="00B11E0C">
            <w:pPr>
              <w:jc w:val="center"/>
              <w:rPr>
                <w:rFonts w:ascii="Arial" w:hAnsi="Arial" w:cs="Arial"/>
                <w:b/>
                <w:bCs/>
              </w:rPr>
            </w:pPr>
            <w:r w:rsidRPr="00902FBB">
              <w:rPr>
                <w:rFonts w:ascii="Arial" w:hAnsi="Arial" w:cs="Arial"/>
                <w:b/>
                <w:bCs/>
              </w:rPr>
              <w:t>1.273</w:t>
            </w:r>
          </w:p>
        </w:tc>
        <w:tc>
          <w:tcPr>
            <w:tcW w:w="1403" w:type="dxa"/>
            <w:tcBorders>
              <w:top w:val="nil"/>
              <w:left w:val="nil"/>
              <w:bottom w:val="single" w:sz="4" w:space="0" w:color="auto"/>
              <w:right w:val="nil"/>
            </w:tcBorders>
          </w:tcPr>
          <w:p w14:paraId="3CBF348C" w14:textId="77777777" w:rsidR="00EB5387" w:rsidRPr="00902FBB" w:rsidRDefault="00EB5387" w:rsidP="00B11E0C">
            <w:pPr>
              <w:jc w:val="center"/>
              <w:rPr>
                <w:rFonts w:ascii="Arial" w:hAnsi="Arial" w:cs="Arial"/>
                <w:b/>
                <w:bCs/>
              </w:rPr>
            </w:pPr>
            <w:r w:rsidRPr="00902FBB">
              <w:rPr>
                <w:rFonts w:ascii="Arial" w:hAnsi="Arial" w:cs="Arial"/>
                <w:b/>
                <w:bCs/>
              </w:rPr>
              <w:t>2.460</w:t>
            </w:r>
          </w:p>
        </w:tc>
        <w:tc>
          <w:tcPr>
            <w:tcW w:w="1303" w:type="dxa"/>
            <w:tcBorders>
              <w:top w:val="nil"/>
              <w:left w:val="nil"/>
              <w:bottom w:val="single" w:sz="4" w:space="0" w:color="auto"/>
              <w:right w:val="nil"/>
            </w:tcBorders>
          </w:tcPr>
          <w:p w14:paraId="0E4FAE10" w14:textId="77777777" w:rsidR="00EB5387" w:rsidRPr="00902FBB" w:rsidRDefault="00EB5387" w:rsidP="00B11E0C">
            <w:pPr>
              <w:jc w:val="center"/>
              <w:rPr>
                <w:rFonts w:ascii="Arial" w:hAnsi="Arial" w:cs="Arial"/>
                <w:b/>
                <w:bCs/>
              </w:rPr>
            </w:pPr>
            <w:r w:rsidRPr="00902FBB">
              <w:rPr>
                <w:rFonts w:ascii="Arial" w:hAnsi="Arial" w:cs="Arial"/>
                <w:b/>
                <w:bCs/>
              </w:rPr>
              <w:t>1.596</w:t>
            </w:r>
          </w:p>
        </w:tc>
      </w:tr>
      <w:tr w:rsidR="00EB5387" w:rsidRPr="00902FBB" w14:paraId="5C01CA76" w14:textId="77777777" w:rsidTr="00B11E0C">
        <w:tc>
          <w:tcPr>
            <w:tcW w:w="2807" w:type="dxa"/>
            <w:tcBorders>
              <w:top w:val="single" w:sz="4" w:space="0" w:color="auto"/>
              <w:left w:val="nil"/>
              <w:bottom w:val="nil"/>
              <w:right w:val="nil"/>
            </w:tcBorders>
          </w:tcPr>
          <w:p w14:paraId="0F46FBF2" w14:textId="77777777" w:rsidR="00EB5387" w:rsidRPr="00902FBB" w:rsidRDefault="00EB5387" w:rsidP="00B11E0C">
            <w:pPr>
              <w:rPr>
                <w:rFonts w:ascii="Arial" w:hAnsi="Arial" w:cs="Arial"/>
                <w:b/>
                <w:bCs/>
              </w:rPr>
            </w:pPr>
            <w:r w:rsidRPr="00902FBB">
              <w:rPr>
                <w:rFonts w:ascii="Arial" w:hAnsi="Arial" w:cs="Arial"/>
                <w:b/>
                <w:bCs/>
              </w:rPr>
              <w:t>Sowing Methods (SM)</w:t>
            </w:r>
          </w:p>
        </w:tc>
        <w:tc>
          <w:tcPr>
            <w:tcW w:w="1280" w:type="dxa"/>
            <w:tcBorders>
              <w:top w:val="single" w:sz="4" w:space="0" w:color="auto"/>
              <w:left w:val="nil"/>
              <w:bottom w:val="nil"/>
              <w:right w:val="nil"/>
            </w:tcBorders>
            <w:vAlign w:val="center"/>
          </w:tcPr>
          <w:p w14:paraId="313C324E" w14:textId="77777777" w:rsidR="00EB5387" w:rsidRPr="00902FBB" w:rsidRDefault="00EB5387" w:rsidP="00B11E0C">
            <w:pPr>
              <w:jc w:val="center"/>
              <w:rPr>
                <w:rFonts w:ascii="Arial" w:hAnsi="Arial" w:cs="Arial"/>
                <w:color w:val="000000"/>
              </w:rPr>
            </w:pPr>
          </w:p>
        </w:tc>
        <w:tc>
          <w:tcPr>
            <w:tcW w:w="1159" w:type="dxa"/>
            <w:tcBorders>
              <w:top w:val="single" w:sz="4" w:space="0" w:color="auto"/>
              <w:left w:val="nil"/>
              <w:bottom w:val="nil"/>
              <w:right w:val="nil"/>
            </w:tcBorders>
            <w:vAlign w:val="center"/>
          </w:tcPr>
          <w:p w14:paraId="6D62A76F" w14:textId="77777777" w:rsidR="00EB5387" w:rsidRPr="00902FBB" w:rsidRDefault="00EB5387" w:rsidP="00B11E0C">
            <w:pPr>
              <w:jc w:val="center"/>
              <w:rPr>
                <w:rFonts w:ascii="Arial" w:hAnsi="Arial" w:cs="Arial"/>
                <w:color w:val="000000"/>
              </w:rPr>
            </w:pPr>
          </w:p>
        </w:tc>
        <w:tc>
          <w:tcPr>
            <w:tcW w:w="1324" w:type="dxa"/>
            <w:tcBorders>
              <w:top w:val="single" w:sz="4" w:space="0" w:color="auto"/>
              <w:left w:val="nil"/>
              <w:bottom w:val="nil"/>
              <w:right w:val="nil"/>
            </w:tcBorders>
            <w:vAlign w:val="center"/>
          </w:tcPr>
          <w:p w14:paraId="7CBE4A00" w14:textId="77777777" w:rsidR="00EB5387" w:rsidRPr="00902FBB" w:rsidRDefault="00EB5387" w:rsidP="00B11E0C">
            <w:pPr>
              <w:jc w:val="center"/>
              <w:rPr>
                <w:rFonts w:ascii="Arial" w:hAnsi="Arial" w:cs="Arial"/>
                <w:color w:val="000000"/>
              </w:rPr>
            </w:pPr>
          </w:p>
        </w:tc>
        <w:tc>
          <w:tcPr>
            <w:tcW w:w="1159" w:type="dxa"/>
            <w:tcBorders>
              <w:top w:val="single" w:sz="4" w:space="0" w:color="auto"/>
              <w:left w:val="nil"/>
              <w:bottom w:val="nil"/>
              <w:right w:val="nil"/>
            </w:tcBorders>
            <w:vAlign w:val="center"/>
          </w:tcPr>
          <w:p w14:paraId="2B29EBCB" w14:textId="77777777" w:rsidR="00EB5387" w:rsidRPr="00902FBB" w:rsidRDefault="00EB5387" w:rsidP="00B11E0C">
            <w:pPr>
              <w:jc w:val="center"/>
              <w:rPr>
                <w:rFonts w:ascii="Arial" w:hAnsi="Arial" w:cs="Arial"/>
                <w:color w:val="000000"/>
              </w:rPr>
            </w:pPr>
          </w:p>
        </w:tc>
        <w:tc>
          <w:tcPr>
            <w:tcW w:w="1403" w:type="dxa"/>
            <w:tcBorders>
              <w:top w:val="single" w:sz="4" w:space="0" w:color="auto"/>
              <w:left w:val="nil"/>
              <w:bottom w:val="nil"/>
              <w:right w:val="nil"/>
            </w:tcBorders>
            <w:vAlign w:val="center"/>
          </w:tcPr>
          <w:p w14:paraId="0247A616" w14:textId="77777777" w:rsidR="00EB5387" w:rsidRPr="00902FBB" w:rsidRDefault="00EB5387" w:rsidP="00B11E0C">
            <w:pPr>
              <w:jc w:val="center"/>
              <w:rPr>
                <w:rFonts w:ascii="Arial" w:hAnsi="Arial" w:cs="Arial"/>
                <w:color w:val="000000"/>
              </w:rPr>
            </w:pPr>
          </w:p>
        </w:tc>
        <w:tc>
          <w:tcPr>
            <w:tcW w:w="1303" w:type="dxa"/>
            <w:tcBorders>
              <w:top w:val="single" w:sz="4" w:space="0" w:color="auto"/>
              <w:left w:val="nil"/>
              <w:bottom w:val="nil"/>
              <w:right w:val="nil"/>
            </w:tcBorders>
            <w:vAlign w:val="center"/>
          </w:tcPr>
          <w:p w14:paraId="11BB5D95" w14:textId="77777777" w:rsidR="00EB5387" w:rsidRPr="00902FBB" w:rsidRDefault="00EB5387" w:rsidP="00B11E0C">
            <w:pPr>
              <w:jc w:val="center"/>
              <w:rPr>
                <w:rFonts w:ascii="Arial" w:hAnsi="Arial" w:cs="Arial"/>
                <w:color w:val="000000"/>
              </w:rPr>
            </w:pPr>
          </w:p>
        </w:tc>
      </w:tr>
      <w:tr w:rsidR="00EB5387" w:rsidRPr="00902FBB" w14:paraId="541F81F3" w14:textId="77777777" w:rsidTr="00B11E0C">
        <w:tc>
          <w:tcPr>
            <w:tcW w:w="2807" w:type="dxa"/>
            <w:tcBorders>
              <w:top w:val="nil"/>
              <w:left w:val="nil"/>
              <w:bottom w:val="nil"/>
              <w:right w:val="nil"/>
            </w:tcBorders>
          </w:tcPr>
          <w:p w14:paraId="4BC0FD96" w14:textId="77777777" w:rsidR="00EB5387" w:rsidRPr="00902FBB" w:rsidRDefault="00EB5387" w:rsidP="00B11E0C">
            <w:pPr>
              <w:rPr>
                <w:rFonts w:ascii="Arial" w:hAnsi="Arial" w:cs="Arial"/>
              </w:rPr>
            </w:pPr>
            <w:r w:rsidRPr="00902FBB">
              <w:rPr>
                <w:rFonts w:ascii="Arial" w:hAnsi="Arial" w:cs="Arial"/>
              </w:rPr>
              <w:t>One-sided sowing (SM1)</w:t>
            </w:r>
          </w:p>
        </w:tc>
        <w:tc>
          <w:tcPr>
            <w:tcW w:w="1280" w:type="dxa"/>
            <w:tcBorders>
              <w:top w:val="nil"/>
              <w:left w:val="nil"/>
              <w:bottom w:val="nil"/>
              <w:right w:val="nil"/>
            </w:tcBorders>
            <w:vAlign w:val="center"/>
          </w:tcPr>
          <w:p w14:paraId="45CD52D6" w14:textId="77777777" w:rsidR="00EB5387" w:rsidRPr="00902FBB" w:rsidRDefault="00EB5387" w:rsidP="00B11E0C">
            <w:pPr>
              <w:jc w:val="center"/>
              <w:rPr>
                <w:rFonts w:ascii="Arial" w:hAnsi="Arial" w:cs="Arial"/>
                <w:color w:val="000000"/>
              </w:rPr>
            </w:pPr>
            <w:r w:rsidRPr="00902FBB">
              <w:rPr>
                <w:rFonts w:ascii="Arial" w:hAnsi="Arial" w:cs="Arial"/>
                <w:color w:val="000000"/>
              </w:rPr>
              <w:t>3.5</w:t>
            </w:r>
          </w:p>
        </w:tc>
        <w:tc>
          <w:tcPr>
            <w:tcW w:w="1159" w:type="dxa"/>
            <w:tcBorders>
              <w:top w:val="nil"/>
              <w:left w:val="nil"/>
              <w:bottom w:val="nil"/>
              <w:right w:val="nil"/>
            </w:tcBorders>
            <w:vAlign w:val="center"/>
          </w:tcPr>
          <w:p w14:paraId="70EFB26E" w14:textId="77777777" w:rsidR="00EB5387" w:rsidRPr="00902FBB" w:rsidRDefault="00EB5387" w:rsidP="00B11E0C">
            <w:pPr>
              <w:jc w:val="center"/>
              <w:rPr>
                <w:rFonts w:ascii="Arial" w:hAnsi="Arial" w:cs="Arial"/>
                <w:color w:val="000000"/>
              </w:rPr>
            </w:pPr>
            <w:r w:rsidRPr="00902FBB">
              <w:rPr>
                <w:rFonts w:ascii="Arial" w:hAnsi="Arial" w:cs="Arial"/>
                <w:color w:val="000000"/>
              </w:rPr>
              <w:t>83.88</w:t>
            </w:r>
          </w:p>
        </w:tc>
        <w:tc>
          <w:tcPr>
            <w:tcW w:w="1324" w:type="dxa"/>
            <w:tcBorders>
              <w:top w:val="nil"/>
              <w:left w:val="nil"/>
              <w:bottom w:val="nil"/>
              <w:right w:val="nil"/>
            </w:tcBorders>
            <w:vAlign w:val="center"/>
          </w:tcPr>
          <w:p w14:paraId="369D2C3C" w14:textId="77777777" w:rsidR="00EB5387" w:rsidRPr="00902FBB" w:rsidRDefault="00EB5387" w:rsidP="00B11E0C">
            <w:pPr>
              <w:jc w:val="center"/>
              <w:rPr>
                <w:rFonts w:ascii="Arial" w:hAnsi="Arial" w:cs="Arial"/>
                <w:color w:val="000000"/>
              </w:rPr>
            </w:pPr>
            <w:r w:rsidRPr="00902FBB">
              <w:rPr>
                <w:rFonts w:ascii="Arial" w:hAnsi="Arial" w:cs="Arial"/>
                <w:color w:val="000000"/>
              </w:rPr>
              <w:t>46.92</w:t>
            </w:r>
          </w:p>
        </w:tc>
        <w:tc>
          <w:tcPr>
            <w:tcW w:w="1159" w:type="dxa"/>
            <w:tcBorders>
              <w:top w:val="nil"/>
              <w:left w:val="nil"/>
              <w:bottom w:val="nil"/>
              <w:right w:val="nil"/>
            </w:tcBorders>
            <w:vAlign w:val="center"/>
          </w:tcPr>
          <w:p w14:paraId="46B6C074" w14:textId="77777777" w:rsidR="00EB5387" w:rsidRPr="00902FBB" w:rsidRDefault="00EB5387" w:rsidP="00B11E0C">
            <w:pPr>
              <w:jc w:val="center"/>
              <w:rPr>
                <w:rFonts w:ascii="Arial" w:hAnsi="Arial" w:cs="Arial"/>
                <w:color w:val="000000"/>
              </w:rPr>
            </w:pPr>
            <w:r w:rsidRPr="00902FBB">
              <w:rPr>
                <w:rFonts w:ascii="Arial" w:hAnsi="Arial" w:cs="Arial"/>
                <w:color w:val="000000"/>
              </w:rPr>
              <w:t xml:space="preserve">5.04 </w:t>
            </w:r>
          </w:p>
        </w:tc>
        <w:tc>
          <w:tcPr>
            <w:tcW w:w="1403" w:type="dxa"/>
            <w:tcBorders>
              <w:top w:val="nil"/>
              <w:left w:val="nil"/>
              <w:bottom w:val="nil"/>
              <w:right w:val="nil"/>
            </w:tcBorders>
            <w:vAlign w:val="center"/>
          </w:tcPr>
          <w:p w14:paraId="6C0206FE" w14:textId="77777777" w:rsidR="00EB5387" w:rsidRPr="00902FBB" w:rsidRDefault="00EB5387" w:rsidP="00B11E0C">
            <w:pPr>
              <w:jc w:val="center"/>
              <w:rPr>
                <w:rFonts w:ascii="Arial" w:hAnsi="Arial" w:cs="Arial"/>
                <w:color w:val="000000"/>
              </w:rPr>
            </w:pPr>
            <w:r w:rsidRPr="00902FBB">
              <w:rPr>
                <w:rFonts w:ascii="Arial" w:hAnsi="Arial" w:cs="Arial"/>
                <w:color w:val="000000"/>
              </w:rPr>
              <w:t xml:space="preserve">10.82 </w:t>
            </w:r>
          </w:p>
        </w:tc>
        <w:tc>
          <w:tcPr>
            <w:tcW w:w="1303" w:type="dxa"/>
            <w:tcBorders>
              <w:top w:val="nil"/>
              <w:left w:val="nil"/>
              <w:bottom w:val="nil"/>
              <w:right w:val="nil"/>
            </w:tcBorders>
            <w:vAlign w:val="center"/>
          </w:tcPr>
          <w:p w14:paraId="24D32AD9" w14:textId="77777777" w:rsidR="00EB5387" w:rsidRPr="00902FBB" w:rsidRDefault="00EB5387" w:rsidP="00B11E0C">
            <w:pPr>
              <w:jc w:val="center"/>
              <w:rPr>
                <w:rFonts w:ascii="Arial" w:hAnsi="Arial" w:cs="Arial"/>
                <w:color w:val="000000"/>
              </w:rPr>
            </w:pPr>
            <w:r w:rsidRPr="00902FBB">
              <w:rPr>
                <w:rFonts w:ascii="Arial" w:hAnsi="Arial" w:cs="Arial"/>
                <w:color w:val="000000"/>
              </w:rPr>
              <w:t>6.56</w:t>
            </w:r>
            <w:r w:rsidRPr="00902FBB">
              <w:rPr>
                <w:rFonts w:ascii="Arial" w:hAnsi="Arial" w:cs="Arial"/>
                <w:color w:val="000000"/>
                <w:vertAlign w:val="superscript"/>
              </w:rPr>
              <w:t>a</w:t>
            </w:r>
          </w:p>
        </w:tc>
      </w:tr>
      <w:tr w:rsidR="00EB5387" w:rsidRPr="00902FBB" w14:paraId="3083E7A3" w14:textId="77777777" w:rsidTr="00B11E0C">
        <w:trPr>
          <w:trHeight w:val="229"/>
        </w:trPr>
        <w:tc>
          <w:tcPr>
            <w:tcW w:w="2807" w:type="dxa"/>
            <w:tcBorders>
              <w:top w:val="nil"/>
              <w:left w:val="nil"/>
              <w:bottom w:val="nil"/>
              <w:right w:val="nil"/>
            </w:tcBorders>
          </w:tcPr>
          <w:p w14:paraId="57C92D2E" w14:textId="77777777" w:rsidR="00EB5387" w:rsidRPr="00902FBB" w:rsidRDefault="00EB5387" w:rsidP="00B11E0C">
            <w:pPr>
              <w:rPr>
                <w:rFonts w:ascii="Arial" w:hAnsi="Arial" w:cs="Arial"/>
              </w:rPr>
            </w:pPr>
            <w:r w:rsidRPr="00902FBB">
              <w:rPr>
                <w:rFonts w:ascii="Arial" w:hAnsi="Arial" w:cs="Arial"/>
              </w:rPr>
              <w:t>Two-sided sowing (SM2)</w:t>
            </w:r>
          </w:p>
        </w:tc>
        <w:tc>
          <w:tcPr>
            <w:tcW w:w="1280" w:type="dxa"/>
            <w:tcBorders>
              <w:top w:val="nil"/>
              <w:left w:val="nil"/>
              <w:bottom w:val="nil"/>
              <w:right w:val="nil"/>
            </w:tcBorders>
            <w:vAlign w:val="center"/>
          </w:tcPr>
          <w:p w14:paraId="5BD718BF" w14:textId="77777777" w:rsidR="00EB5387" w:rsidRPr="00902FBB" w:rsidRDefault="00EB5387" w:rsidP="00B11E0C">
            <w:pPr>
              <w:jc w:val="center"/>
              <w:rPr>
                <w:rFonts w:ascii="Arial" w:hAnsi="Arial" w:cs="Arial"/>
                <w:color w:val="000000"/>
              </w:rPr>
            </w:pPr>
            <w:r w:rsidRPr="00902FBB">
              <w:rPr>
                <w:rFonts w:ascii="Arial" w:hAnsi="Arial" w:cs="Arial"/>
                <w:color w:val="000000"/>
              </w:rPr>
              <w:t>3.5</w:t>
            </w:r>
          </w:p>
        </w:tc>
        <w:tc>
          <w:tcPr>
            <w:tcW w:w="1159" w:type="dxa"/>
            <w:tcBorders>
              <w:top w:val="nil"/>
              <w:left w:val="nil"/>
              <w:bottom w:val="nil"/>
              <w:right w:val="nil"/>
            </w:tcBorders>
            <w:vAlign w:val="center"/>
          </w:tcPr>
          <w:p w14:paraId="65DD4BD3" w14:textId="77777777" w:rsidR="00EB5387" w:rsidRPr="00902FBB" w:rsidRDefault="00EB5387" w:rsidP="00B11E0C">
            <w:pPr>
              <w:jc w:val="center"/>
              <w:rPr>
                <w:rFonts w:ascii="Arial" w:hAnsi="Arial" w:cs="Arial"/>
                <w:color w:val="000000"/>
              </w:rPr>
            </w:pPr>
            <w:r w:rsidRPr="00902FBB">
              <w:rPr>
                <w:rFonts w:ascii="Arial" w:hAnsi="Arial" w:cs="Arial"/>
                <w:color w:val="000000"/>
              </w:rPr>
              <w:t xml:space="preserve">80.58 </w:t>
            </w:r>
          </w:p>
        </w:tc>
        <w:tc>
          <w:tcPr>
            <w:tcW w:w="1324" w:type="dxa"/>
            <w:tcBorders>
              <w:top w:val="nil"/>
              <w:left w:val="nil"/>
              <w:bottom w:val="nil"/>
              <w:right w:val="nil"/>
            </w:tcBorders>
            <w:vAlign w:val="center"/>
          </w:tcPr>
          <w:p w14:paraId="75B2C1D4" w14:textId="77777777" w:rsidR="00EB5387" w:rsidRPr="00902FBB" w:rsidRDefault="00EB5387" w:rsidP="00B11E0C">
            <w:pPr>
              <w:jc w:val="center"/>
              <w:rPr>
                <w:rFonts w:ascii="Arial" w:hAnsi="Arial" w:cs="Arial"/>
                <w:color w:val="000000"/>
              </w:rPr>
            </w:pPr>
            <w:r w:rsidRPr="00902FBB">
              <w:rPr>
                <w:rFonts w:ascii="Arial" w:hAnsi="Arial" w:cs="Arial"/>
                <w:color w:val="000000"/>
              </w:rPr>
              <w:t xml:space="preserve">47.08 </w:t>
            </w:r>
          </w:p>
        </w:tc>
        <w:tc>
          <w:tcPr>
            <w:tcW w:w="1159" w:type="dxa"/>
            <w:tcBorders>
              <w:top w:val="nil"/>
              <w:left w:val="nil"/>
              <w:bottom w:val="nil"/>
              <w:right w:val="nil"/>
            </w:tcBorders>
            <w:vAlign w:val="center"/>
          </w:tcPr>
          <w:p w14:paraId="65C2DC99" w14:textId="77777777" w:rsidR="00EB5387" w:rsidRPr="00902FBB" w:rsidRDefault="00EB5387" w:rsidP="00B11E0C">
            <w:pPr>
              <w:jc w:val="center"/>
              <w:rPr>
                <w:rFonts w:ascii="Arial" w:hAnsi="Arial" w:cs="Arial"/>
                <w:color w:val="000000"/>
              </w:rPr>
            </w:pPr>
            <w:r w:rsidRPr="00902FBB">
              <w:rPr>
                <w:rFonts w:ascii="Arial" w:hAnsi="Arial" w:cs="Arial"/>
                <w:color w:val="000000"/>
              </w:rPr>
              <w:t xml:space="preserve">3.79 </w:t>
            </w:r>
          </w:p>
        </w:tc>
        <w:tc>
          <w:tcPr>
            <w:tcW w:w="1403" w:type="dxa"/>
            <w:tcBorders>
              <w:top w:val="nil"/>
              <w:left w:val="nil"/>
              <w:bottom w:val="nil"/>
              <w:right w:val="nil"/>
            </w:tcBorders>
            <w:vAlign w:val="center"/>
          </w:tcPr>
          <w:p w14:paraId="7F95B9B6" w14:textId="77777777" w:rsidR="00EB5387" w:rsidRPr="00902FBB" w:rsidRDefault="00EB5387" w:rsidP="00B11E0C">
            <w:pPr>
              <w:jc w:val="center"/>
              <w:rPr>
                <w:rFonts w:ascii="Arial" w:hAnsi="Arial" w:cs="Arial"/>
                <w:color w:val="000000"/>
              </w:rPr>
            </w:pPr>
            <w:r w:rsidRPr="00902FBB">
              <w:rPr>
                <w:rFonts w:ascii="Arial" w:hAnsi="Arial" w:cs="Arial"/>
                <w:color w:val="000000"/>
              </w:rPr>
              <w:t xml:space="preserve">8.55 </w:t>
            </w:r>
          </w:p>
        </w:tc>
        <w:tc>
          <w:tcPr>
            <w:tcW w:w="1303" w:type="dxa"/>
            <w:tcBorders>
              <w:top w:val="nil"/>
              <w:left w:val="nil"/>
              <w:bottom w:val="nil"/>
              <w:right w:val="nil"/>
            </w:tcBorders>
            <w:vAlign w:val="center"/>
          </w:tcPr>
          <w:p w14:paraId="2E027D0B" w14:textId="77777777" w:rsidR="00EB5387" w:rsidRPr="00902FBB" w:rsidRDefault="00EB5387" w:rsidP="00B11E0C">
            <w:pPr>
              <w:jc w:val="center"/>
              <w:rPr>
                <w:rFonts w:ascii="Arial" w:hAnsi="Arial" w:cs="Arial"/>
                <w:color w:val="000000"/>
              </w:rPr>
            </w:pPr>
            <w:r w:rsidRPr="00902FBB">
              <w:rPr>
                <w:rFonts w:ascii="Arial" w:hAnsi="Arial" w:cs="Arial"/>
                <w:color w:val="000000"/>
              </w:rPr>
              <w:t>4.49</w:t>
            </w:r>
            <w:r w:rsidRPr="00902FBB">
              <w:rPr>
                <w:rFonts w:ascii="Arial" w:hAnsi="Arial" w:cs="Arial"/>
                <w:color w:val="000000"/>
                <w:vertAlign w:val="superscript"/>
              </w:rPr>
              <w:t xml:space="preserve">b </w:t>
            </w:r>
          </w:p>
        </w:tc>
      </w:tr>
      <w:tr w:rsidR="00EB5387" w:rsidRPr="00902FBB" w14:paraId="70993A06" w14:textId="77777777" w:rsidTr="00B11E0C">
        <w:tc>
          <w:tcPr>
            <w:tcW w:w="2807" w:type="dxa"/>
            <w:tcBorders>
              <w:top w:val="nil"/>
              <w:left w:val="nil"/>
              <w:bottom w:val="single" w:sz="4" w:space="0" w:color="auto"/>
              <w:right w:val="nil"/>
            </w:tcBorders>
          </w:tcPr>
          <w:p w14:paraId="4F5A2D7C" w14:textId="77777777" w:rsidR="00EB5387" w:rsidRPr="00902FBB" w:rsidRDefault="00EB5387" w:rsidP="00B11E0C">
            <w:pPr>
              <w:rPr>
                <w:rFonts w:ascii="Arial" w:hAnsi="Arial" w:cs="Arial"/>
              </w:rPr>
            </w:pPr>
            <w:r w:rsidRPr="00902FBB">
              <w:rPr>
                <w:rFonts w:ascii="Arial" w:hAnsi="Arial" w:cs="Arial"/>
              </w:rPr>
              <w:t>LSD at p &lt; 0.05</w:t>
            </w:r>
          </w:p>
        </w:tc>
        <w:tc>
          <w:tcPr>
            <w:tcW w:w="1280" w:type="dxa"/>
            <w:tcBorders>
              <w:top w:val="nil"/>
              <w:left w:val="nil"/>
              <w:bottom w:val="single" w:sz="4" w:space="0" w:color="auto"/>
              <w:right w:val="nil"/>
            </w:tcBorders>
          </w:tcPr>
          <w:p w14:paraId="518FBCA5" w14:textId="77777777" w:rsidR="00EB5387" w:rsidRPr="00902FBB" w:rsidRDefault="00EB5387" w:rsidP="00B11E0C">
            <w:pPr>
              <w:jc w:val="center"/>
              <w:rPr>
                <w:rFonts w:ascii="Arial" w:hAnsi="Arial" w:cs="Arial"/>
                <w:b/>
                <w:bCs/>
              </w:rPr>
            </w:pPr>
            <w:r w:rsidRPr="00902FBB">
              <w:rPr>
                <w:rFonts w:ascii="Arial" w:hAnsi="Arial" w:cs="Arial"/>
                <w:b/>
                <w:bCs/>
              </w:rPr>
              <w:t>NS</w:t>
            </w:r>
          </w:p>
        </w:tc>
        <w:tc>
          <w:tcPr>
            <w:tcW w:w="1159" w:type="dxa"/>
            <w:tcBorders>
              <w:top w:val="nil"/>
              <w:left w:val="nil"/>
              <w:bottom w:val="single" w:sz="4" w:space="0" w:color="auto"/>
              <w:right w:val="nil"/>
            </w:tcBorders>
          </w:tcPr>
          <w:p w14:paraId="1244F48A" w14:textId="77777777" w:rsidR="00EB5387" w:rsidRPr="00902FBB" w:rsidRDefault="00EB5387" w:rsidP="00B11E0C">
            <w:pPr>
              <w:jc w:val="center"/>
              <w:rPr>
                <w:rFonts w:ascii="Arial" w:hAnsi="Arial" w:cs="Arial"/>
                <w:b/>
                <w:bCs/>
              </w:rPr>
            </w:pPr>
            <w:r w:rsidRPr="00902FBB">
              <w:rPr>
                <w:rFonts w:ascii="Arial" w:hAnsi="Arial" w:cs="Arial"/>
                <w:b/>
                <w:bCs/>
              </w:rPr>
              <w:t>NS</w:t>
            </w:r>
          </w:p>
        </w:tc>
        <w:tc>
          <w:tcPr>
            <w:tcW w:w="1324" w:type="dxa"/>
            <w:tcBorders>
              <w:top w:val="nil"/>
              <w:left w:val="nil"/>
              <w:bottom w:val="single" w:sz="4" w:space="0" w:color="auto"/>
              <w:right w:val="nil"/>
            </w:tcBorders>
          </w:tcPr>
          <w:p w14:paraId="7A660980" w14:textId="77777777" w:rsidR="00EB5387" w:rsidRPr="00902FBB" w:rsidRDefault="00EB5387" w:rsidP="00B11E0C">
            <w:pPr>
              <w:jc w:val="center"/>
              <w:rPr>
                <w:rFonts w:ascii="Arial" w:hAnsi="Arial" w:cs="Arial"/>
                <w:b/>
                <w:bCs/>
              </w:rPr>
            </w:pPr>
            <w:r w:rsidRPr="00902FBB">
              <w:rPr>
                <w:rFonts w:ascii="Arial" w:hAnsi="Arial" w:cs="Arial"/>
                <w:b/>
                <w:bCs/>
              </w:rPr>
              <w:t>NS</w:t>
            </w:r>
          </w:p>
        </w:tc>
        <w:tc>
          <w:tcPr>
            <w:tcW w:w="1159" w:type="dxa"/>
            <w:tcBorders>
              <w:top w:val="nil"/>
              <w:left w:val="nil"/>
              <w:bottom w:val="single" w:sz="4" w:space="0" w:color="auto"/>
              <w:right w:val="nil"/>
            </w:tcBorders>
          </w:tcPr>
          <w:p w14:paraId="37877C9F" w14:textId="77777777" w:rsidR="00EB5387" w:rsidRPr="00902FBB" w:rsidRDefault="00EB5387" w:rsidP="00B11E0C">
            <w:pPr>
              <w:jc w:val="center"/>
              <w:rPr>
                <w:rFonts w:ascii="Arial" w:hAnsi="Arial" w:cs="Arial"/>
                <w:b/>
                <w:bCs/>
              </w:rPr>
            </w:pPr>
            <w:r w:rsidRPr="00902FBB">
              <w:rPr>
                <w:rFonts w:ascii="Arial" w:hAnsi="Arial" w:cs="Arial"/>
                <w:b/>
                <w:bCs/>
              </w:rPr>
              <w:t>NS</w:t>
            </w:r>
          </w:p>
        </w:tc>
        <w:tc>
          <w:tcPr>
            <w:tcW w:w="1403" w:type="dxa"/>
            <w:tcBorders>
              <w:top w:val="nil"/>
              <w:left w:val="nil"/>
              <w:bottom w:val="single" w:sz="4" w:space="0" w:color="auto"/>
              <w:right w:val="nil"/>
            </w:tcBorders>
          </w:tcPr>
          <w:p w14:paraId="63C4A2D2" w14:textId="77777777" w:rsidR="00EB5387" w:rsidRPr="00902FBB" w:rsidRDefault="00EB5387" w:rsidP="00B11E0C">
            <w:pPr>
              <w:jc w:val="center"/>
              <w:rPr>
                <w:rFonts w:ascii="Arial" w:hAnsi="Arial" w:cs="Arial"/>
                <w:b/>
                <w:bCs/>
              </w:rPr>
            </w:pPr>
            <w:r w:rsidRPr="00902FBB">
              <w:rPr>
                <w:rFonts w:ascii="Arial" w:hAnsi="Arial" w:cs="Arial"/>
                <w:b/>
                <w:bCs/>
              </w:rPr>
              <w:t>NS</w:t>
            </w:r>
          </w:p>
        </w:tc>
        <w:tc>
          <w:tcPr>
            <w:tcW w:w="1303" w:type="dxa"/>
            <w:tcBorders>
              <w:top w:val="nil"/>
              <w:left w:val="nil"/>
              <w:bottom w:val="single" w:sz="4" w:space="0" w:color="auto"/>
              <w:right w:val="nil"/>
            </w:tcBorders>
          </w:tcPr>
          <w:p w14:paraId="09A741F0" w14:textId="77777777" w:rsidR="00EB5387" w:rsidRPr="00902FBB" w:rsidRDefault="00EB5387" w:rsidP="00B11E0C">
            <w:pPr>
              <w:jc w:val="center"/>
              <w:rPr>
                <w:rFonts w:ascii="Arial" w:hAnsi="Arial" w:cs="Arial"/>
                <w:b/>
                <w:bCs/>
              </w:rPr>
            </w:pPr>
            <w:r w:rsidRPr="00902FBB">
              <w:rPr>
                <w:rFonts w:ascii="Arial" w:hAnsi="Arial" w:cs="Arial"/>
                <w:b/>
                <w:bCs/>
              </w:rPr>
              <w:t>1.596</w:t>
            </w:r>
          </w:p>
        </w:tc>
      </w:tr>
      <w:tr w:rsidR="00EB5387" w:rsidRPr="00902FBB" w14:paraId="4BDD0B40" w14:textId="77777777" w:rsidTr="00B11E0C">
        <w:trPr>
          <w:trHeight w:val="237"/>
        </w:trPr>
        <w:tc>
          <w:tcPr>
            <w:tcW w:w="10435" w:type="dxa"/>
            <w:gridSpan w:val="7"/>
            <w:tcBorders>
              <w:top w:val="single" w:sz="4" w:space="0" w:color="auto"/>
              <w:left w:val="nil"/>
              <w:bottom w:val="nil"/>
              <w:right w:val="nil"/>
            </w:tcBorders>
          </w:tcPr>
          <w:p w14:paraId="4153EDF8" w14:textId="77777777" w:rsidR="00EB5387" w:rsidRPr="00902FBB" w:rsidRDefault="00EB5387" w:rsidP="00B11E0C">
            <w:pPr>
              <w:rPr>
                <w:rFonts w:ascii="Arial" w:hAnsi="Arial" w:cs="Arial"/>
                <w:b/>
                <w:bCs/>
                <w:color w:val="000000"/>
              </w:rPr>
            </w:pPr>
            <w:r w:rsidRPr="00902FBB">
              <w:rPr>
                <w:rFonts w:ascii="Arial" w:hAnsi="Arial" w:cs="Arial"/>
                <w:b/>
                <w:bCs/>
              </w:rPr>
              <w:t>Sowing Date (SD)</w:t>
            </w:r>
          </w:p>
        </w:tc>
      </w:tr>
      <w:tr w:rsidR="00EB5387" w:rsidRPr="00902FBB" w14:paraId="075D095B" w14:textId="77777777" w:rsidTr="00B11E0C">
        <w:trPr>
          <w:trHeight w:val="237"/>
        </w:trPr>
        <w:tc>
          <w:tcPr>
            <w:tcW w:w="2807" w:type="dxa"/>
            <w:tcBorders>
              <w:top w:val="nil"/>
              <w:left w:val="nil"/>
              <w:bottom w:val="nil"/>
              <w:right w:val="nil"/>
            </w:tcBorders>
          </w:tcPr>
          <w:p w14:paraId="7A056D04" w14:textId="77777777" w:rsidR="00EB5387" w:rsidRPr="00902FBB" w:rsidRDefault="00EB5387" w:rsidP="00B11E0C">
            <w:pPr>
              <w:rPr>
                <w:rFonts w:ascii="Arial" w:hAnsi="Arial" w:cs="Arial"/>
              </w:rPr>
            </w:pPr>
            <w:r w:rsidRPr="00902FBB">
              <w:rPr>
                <w:rFonts w:ascii="Arial" w:hAnsi="Arial" w:cs="Arial"/>
              </w:rPr>
              <w:t>Sowing date  4 November  (SD1)</w:t>
            </w:r>
          </w:p>
        </w:tc>
        <w:tc>
          <w:tcPr>
            <w:tcW w:w="1280" w:type="dxa"/>
            <w:tcBorders>
              <w:top w:val="nil"/>
              <w:left w:val="nil"/>
              <w:bottom w:val="nil"/>
              <w:right w:val="nil"/>
            </w:tcBorders>
          </w:tcPr>
          <w:p w14:paraId="3D341955" w14:textId="77777777" w:rsidR="00EB5387" w:rsidRPr="00902FBB" w:rsidRDefault="00EB5387" w:rsidP="00B11E0C">
            <w:pPr>
              <w:jc w:val="center"/>
              <w:rPr>
                <w:rFonts w:ascii="Arial" w:hAnsi="Arial" w:cs="Arial"/>
                <w:b/>
                <w:bCs/>
              </w:rPr>
            </w:pPr>
            <w:r w:rsidRPr="00902FBB">
              <w:rPr>
                <w:rFonts w:ascii="Arial" w:hAnsi="Arial" w:cs="Arial"/>
              </w:rPr>
              <w:t>3.38</w:t>
            </w:r>
            <w:r w:rsidRPr="00902FBB">
              <w:rPr>
                <w:rFonts w:ascii="Arial" w:hAnsi="Arial" w:cs="Arial"/>
                <w:vertAlign w:val="superscript"/>
              </w:rPr>
              <w:t>b</w:t>
            </w:r>
          </w:p>
        </w:tc>
        <w:tc>
          <w:tcPr>
            <w:tcW w:w="1159" w:type="dxa"/>
            <w:tcBorders>
              <w:top w:val="nil"/>
              <w:left w:val="nil"/>
              <w:bottom w:val="nil"/>
              <w:right w:val="nil"/>
            </w:tcBorders>
            <w:vAlign w:val="center"/>
          </w:tcPr>
          <w:p w14:paraId="12BC947E" w14:textId="77777777" w:rsidR="00EB5387" w:rsidRPr="00902FBB" w:rsidRDefault="00EB5387" w:rsidP="00B11E0C">
            <w:pPr>
              <w:jc w:val="center"/>
              <w:rPr>
                <w:rFonts w:ascii="Arial" w:hAnsi="Arial" w:cs="Arial"/>
                <w:color w:val="000000"/>
              </w:rPr>
            </w:pPr>
            <w:r w:rsidRPr="00902FBB">
              <w:rPr>
                <w:rFonts w:ascii="Arial" w:hAnsi="Arial" w:cs="Arial"/>
                <w:color w:val="000000"/>
              </w:rPr>
              <w:t>82.75</w:t>
            </w:r>
          </w:p>
        </w:tc>
        <w:tc>
          <w:tcPr>
            <w:tcW w:w="1324" w:type="dxa"/>
            <w:tcBorders>
              <w:top w:val="nil"/>
              <w:left w:val="nil"/>
              <w:bottom w:val="nil"/>
              <w:right w:val="nil"/>
            </w:tcBorders>
            <w:vAlign w:val="center"/>
          </w:tcPr>
          <w:p w14:paraId="67996B9B" w14:textId="77777777" w:rsidR="00EB5387" w:rsidRPr="00902FBB" w:rsidRDefault="00EB5387" w:rsidP="00B11E0C">
            <w:pPr>
              <w:jc w:val="center"/>
              <w:rPr>
                <w:rFonts w:ascii="Arial" w:hAnsi="Arial" w:cs="Arial"/>
                <w:color w:val="000000"/>
              </w:rPr>
            </w:pPr>
            <w:r w:rsidRPr="00902FBB">
              <w:rPr>
                <w:rFonts w:ascii="Arial" w:hAnsi="Arial" w:cs="Arial"/>
                <w:color w:val="000000"/>
              </w:rPr>
              <w:t>41.50</w:t>
            </w:r>
            <w:r w:rsidRPr="00902FBB">
              <w:rPr>
                <w:rFonts w:ascii="Arial" w:hAnsi="Arial" w:cs="Arial"/>
                <w:color w:val="000000"/>
                <w:vertAlign w:val="superscript"/>
              </w:rPr>
              <w:t>b</w:t>
            </w:r>
          </w:p>
        </w:tc>
        <w:tc>
          <w:tcPr>
            <w:tcW w:w="1159" w:type="dxa"/>
            <w:tcBorders>
              <w:top w:val="nil"/>
              <w:left w:val="nil"/>
              <w:bottom w:val="nil"/>
              <w:right w:val="nil"/>
            </w:tcBorders>
            <w:vAlign w:val="center"/>
          </w:tcPr>
          <w:p w14:paraId="03C1FE3E" w14:textId="77777777" w:rsidR="00EB5387" w:rsidRPr="00902FBB" w:rsidRDefault="00EB5387" w:rsidP="00B11E0C">
            <w:pPr>
              <w:jc w:val="center"/>
              <w:rPr>
                <w:rFonts w:ascii="Arial" w:hAnsi="Arial" w:cs="Arial"/>
                <w:color w:val="000000"/>
              </w:rPr>
            </w:pPr>
            <w:r w:rsidRPr="00902FBB">
              <w:rPr>
                <w:rFonts w:ascii="Arial" w:hAnsi="Arial" w:cs="Arial"/>
                <w:color w:val="000000"/>
              </w:rPr>
              <w:t>4.69</w:t>
            </w:r>
            <w:r w:rsidRPr="00902FBB">
              <w:rPr>
                <w:rFonts w:ascii="Arial" w:hAnsi="Arial" w:cs="Arial"/>
                <w:color w:val="000000"/>
                <w:vertAlign w:val="superscript"/>
              </w:rPr>
              <w:t>ab</w:t>
            </w:r>
          </w:p>
        </w:tc>
        <w:tc>
          <w:tcPr>
            <w:tcW w:w="1403" w:type="dxa"/>
            <w:tcBorders>
              <w:top w:val="nil"/>
              <w:left w:val="nil"/>
              <w:bottom w:val="nil"/>
              <w:right w:val="nil"/>
            </w:tcBorders>
            <w:vAlign w:val="center"/>
          </w:tcPr>
          <w:p w14:paraId="44433756" w14:textId="77777777" w:rsidR="00EB5387" w:rsidRPr="00902FBB" w:rsidRDefault="00EB5387" w:rsidP="00B11E0C">
            <w:pPr>
              <w:jc w:val="center"/>
              <w:rPr>
                <w:rFonts w:ascii="Arial" w:hAnsi="Arial" w:cs="Arial"/>
                <w:color w:val="000000"/>
              </w:rPr>
            </w:pPr>
            <w:r w:rsidRPr="00902FBB">
              <w:rPr>
                <w:rFonts w:ascii="Arial" w:hAnsi="Arial" w:cs="Arial"/>
                <w:color w:val="000000"/>
              </w:rPr>
              <w:t>12.74</w:t>
            </w:r>
            <w:r w:rsidRPr="00902FBB">
              <w:rPr>
                <w:rFonts w:ascii="Arial" w:hAnsi="Arial" w:cs="Arial"/>
                <w:color w:val="000000"/>
                <w:vertAlign w:val="superscript"/>
              </w:rPr>
              <w:t>a</w:t>
            </w:r>
            <w:r w:rsidRPr="00902FBB">
              <w:rPr>
                <w:rFonts w:ascii="Arial" w:hAnsi="Arial" w:cs="Arial"/>
                <w:color w:val="000000"/>
              </w:rPr>
              <w:t xml:space="preserve"> </w:t>
            </w:r>
          </w:p>
        </w:tc>
        <w:tc>
          <w:tcPr>
            <w:tcW w:w="1303" w:type="dxa"/>
            <w:tcBorders>
              <w:top w:val="nil"/>
              <w:left w:val="nil"/>
              <w:bottom w:val="nil"/>
              <w:right w:val="nil"/>
            </w:tcBorders>
            <w:vAlign w:val="center"/>
          </w:tcPr>
          <w:p w14:paraId="61AEBB87" w14:textId="77777777" w:rsidR="00EB5387" w:rsidRPr="00902FBB" w:rsidRDefault="00EB5387" w:rsidP="00B11E0C">
            <w:pPr>
              <w:jc w:val="center"/>
              <w:rPr>
                <w:rFonts w:ascii="Arial" w:hAnsi="Arial" w:cs="Arial"/>
                <w:color w:val="000000"/>
              </w:rPr>
            </w:pPr>
            <w:r w:rsidRPr="00902FBB">
              <w:rPr>
                <w:rFonts w:ascii="Arial" w:hAnsi="Arial" w:cs="Arial"/>
                <w:color w:val="000000"/>
              </w:rPr>
              <w:t>5.81</w:t>
            </w:r>
            <w:r w:rsidRPr="00902FBB">
              <w:rPr>
                <w:rFonts w:ascii="Arial" w:hAnsi="Arial" w:cs="Arial"/>
                <w:color w:val="000000"/>
                <w:vertAlign w:val="superscript"/>
              </w:rPr>
              <w:t>ab</w:t>
            </w:r>
          </w:p>
        </w:tc>
      </w:tr>
      <w:tr w:rsidR="00EB5387" w:rsidRPr="00902FBB" w14:paraId="34E06CCD" w14:textId="77777777" w:rsidTr="00B11E0C">
        <w:tc>
          <w:tcPr>
            <w:tcW w:w="2807" w:type="dxa"/>
            <w:tcBorders>
              <w:top w:val="nil"/>
              <w:left w:val="nil"/>
              <w:bottom w:val="nil"/>
              <w:right w:val="nil"/>
            </w:tcBorders>
          </w:tcPr>
          <w:p w14:paraId="173C9D56" w14:textId="77777777" w:rsidR="00EB5387" w:rsidRPr="00902FBB" w:rsidRDefault="00EB5387" w:rsidP="00B11E0C">
            <w:pPr>
              <w:rPr>
                <w:rFonts w:ascii="Arial" w:hAnsi="Arial" w:cs="Arial"/>
              </w:rPr>
            </w:pPr>
            <w:r w:rsidRPr="00902FBB">
              <w:rPr>
                <w:rFonts w:ascii="Arial" w:hAnsi="Arial" w:cs="Arial"/>
              </w:rPr>
              <w:t>Sowing date 14 November (SD2)</w:t>
            </w:r>
          </w:p>
        </w:tc>
        <w:tc>
          <w:tcPr>
            <w:tcW w:w="1280" w:type="dxa"/>
            <w:tcBorders>
              <w:top w:val="nil"/>
              <w:left w:val="nil"/>
              <w:bottom w:val="nil"/>
              <w:right w:val="nil"/>
            </w:tcBorders>
          </w:tcPr>
          <w:p w14:paraId="0B6CA557" w14:textId="77777777" w:rsidR="00EB5387" w:rsidRPr="00902FBB" w:rsidRDefault="00EB5387" w:rsidP="00B11E0C">
            <w:pPr>
              <w:jc w:val="center"/>
              <w:rPr>
                <w:rFonts w:ascii="Arial" w:hAnsi="Arial" w:cs="Arial"/>
                <w:b/>
                <w:bCs/>
              </w:rPr>
            </w:pPr>
            <w:r w:rsidRPr="00902FBB">
              <w:rPr>
                <w:rFonts w:ascii="Arial" w:hAnsi="Arial" w:cs="Arial"/>
              </w:rPr>
              <w:t>4.06</w:t>
            </w:r>
            <w:r w:rsidRPr="00902FBB">
              <w:rPr>
                <w:rFonts w:ascii="Arial" w:hAnsi="Arial" w:cs="Arial"/>
                <w:vertAlign w:val="superscript"/>
              </w:rPr>
              <w:t>a</w:t>
            </w:r>
          </w:p>
        </w:tc>
        <w:tc>
          <w:tcPr>
            <w:tcW w:w="1159" w:type="dxa"/>
            <w:tcBorders>
              <w:top w:val="nil"/>
              <w:left w:val="nil"/>
              <w:bottom w:val="nil"/>
              <w:right w:val="nil"/>
            </w:tcBorders>
            <w:vAlign w:val="center"/>
          </w:tcPr>
          <w:p w14:paraId="620FBDD0" w14:textId="77777777" w:rsidR="00EB5387" w:rsidRPr="00902FBB" w:rsidRDefault="00EB5387" w:rsidP="00B11E0C">
            <w:pPr>
              <w:jc w:val="center"/>
              <w:rPr>
                <w:rFonts w:ascii="Arial" w:hAnsi="Arial" w:cs="Arial"/>
                <w:color w:val="000000"/>
              </w:rPr>
            </w:pPr>
            <w:r w:rsidRPr="00902FBB">
              <w:rPr>
                <w:rFonts w:ascii="Arial" w:hAnsi="Arial" w:cs="Arial"/>
                <w:color w:val="000000"/>
              </w:rPr>
              <w:t xml:space="preserve">89.06 </w:t>
            </w:r>
          </w:p>
        </w:tc>
        <w:tc>
          <w:tcPr>
            <w:tcW w:w="1324" w:type="dxa"/>
            <w:tcBorders>
              <w:top w:val="nil"/>
              <w:left w:val="nil"/>
              <w:bottom w:val="nil"/>
              <w:right w:val="nil"/>
            </w:tcBorders>
            <w:vAlign w:val="center"/>
          </w:tcPr>
          <w:p w14:paraId="10F1D225" w14:textId="77777777" w:rsidR="00EB5387" w:rsidRPr="00902FBB" w:rsidRDefault="00EB5387" w:rsidP="00B11E0C">
            <w:pPr>
              <w:jc w:val="center"/>
              <w:rPr>
                <w:rFonts w:ascii="Arial" w:hAnsi="Arial" w:cs="Arial"/>
                <w:color w:val="000000"/>
              </w:rPr>
            </w:pPr>
            <w:r w:rsidRPr="00902FBB">
              <w:rPr>
                <w:rFonts w:ascii="Arial" w:hAnsi="Arial" w:cs="Arial"/>
                <w:color w:val="000000"/>
              </w:rPr>
              <w:t>55.31</w:t>
            </w:r>
            <w:r w:rsidRPr="00902FBB">
              <w:rPr>
                <w:rFonts w:ascii="Arial" w:hAnsi="Arial" w:cs="Arial"/>
                <w:color w:val="000000"/>
                <w:vertAlign w:val="superscript"/>
              </w:rPr>
              <w:t>a</w:t>
            </w:r>
            <w:r w:rsidRPr="00902FBB">
              <w:rPr>
                <w:rFonts w:ascii="Arial" w:hAnsi="Arial" w:cs="Arial"/>
                <w:color w:val="000000"/>
              </w:rPr>
              <w:t xml:space="preserve"> </w:t>
            </w:r>
          </w:p>
        </w:tc>
        <w:tc>
          <w:tcPr>
            <w:tcW w:w="1159" w:type="dxa"/>
            <w:tcBorders>
              <w:top w:val="nil"/>
              <w:left w:val="nil"/>
              <w:bottom w:val="nil"/>
              <w:right w:val="nil"/>
            </w:tcBorders>
            <w:vAlign w:val="center"/>
          </w:tcPr>
          <w:p w14:paraId="28179967" w14:textId="77777777" w:rsidR="00EB5387" w:rsidRPr="00902FBB" w:rsidRDefault="00EB5387" w:rsidP="00B11E0C">
            <w:pPr>
              <w:jc w:val="center"/>
              <w:rPr>
                <w:rFonts w:ascii="Arial" w:hAnsi="Arial" w:cs="Arial"/>
                <w:color w:val="000000"/>
              </w:rPr>
            </w:pPr>
            <w:r w:rsidRPr="00902FBB">
              <w:rPr>
                <w:rFonts w:ascii="Arial" w:hAnsi="Arial" w:cs="Arial"/>
                <w:color w:val="000000"/>
              </w:rPr>
              <w:t>5.38</w:t>
            </w:r>
            <w:r w:rsidRPr="00902FBB">
              <w:rPr>
                <w:rFonts w:ascii="Arial" w:hAnsi="Arial" w:cs="Arial"/>
                <w:color w:val="000000"/>
                <w:vertAlign w:val="superscript"/>
              </w:rPr>
              <w:t>a</w:t>
            </w:r>
          </w:p>
        </w:tc>
        <w:tc>
          <w:tcPr>
            <w:tcW w:w="1403" w:type="dxa"/>
            <w:tcBorders>
              <w:top w:val="nil"/>
              <w:left w:val="nil"/>
              <w:bottom w:val="nil"/>
              <w:right w:val="nil"/>
            </w:tcBorders>
            <w:vAlign w:val="center"/>
          </w:tcPr>
          <w:p w14:paraId="2C64D498" w14:textId="77777777" w:rsidR="00EB5387" w:rsidRPr="00902FBB" w:rsidRDefault="00EB5387" w:rsidP="00B11E0C">
            <w:pPr>
              <w:jc w:val="center"/>
              <w:rPr>
                <w:rFonts w:ascii="Arial" w:hAnsi="Arial" w:cs="Arial"/>
                <w:color w:val="000000"/>
              </w:rPr>
            </w:pPr>
            <w:r w:rsidRPr="00902FBB">
              <w:rPr>
                <w:rFonts w:ascii="Arial" w:hAnsi="Arial" w:cs="Arial"/>
                <w:color w:val="000000"/>
              </w:rPr>
              <w:t>9.02</w:t>
            </w:r>
            <w:r w:rsidRPr="00902FBB">
              <w:rPr>
                <w:rFonts w:ascii="Arial" w:hAnsi="Arial" w:cs="Arial"/>
                <w:color w:val="000000"/>
                <w:vertAlign w:val="superscript"/>
              </w:rPr>
              <w:t>b</w:t>
            </w:r>
          </w:p>
        </w:tc>
        <w:tc>
          <w:tcPr>
            <w:tcW w:w="1303" w:type="dxa"/>
            <w:tcBorders>
              <w:top w:val="nil"/>
              <w:left w:val="nil"/>
              <w:bottom w:val="nil"/>
              <w:right w:val="nil"/>
            </w:tcBorders>
            <w:vAlign w:val="center"/>
          </w:tcPr>
          <w:p w14:paraId="333C8C55" w14:textId="77777777" w:rsidR="00EB5387" w:rsidRPr="00902FBB" w:rsidRDefault="00EB5387" w:rsidP="00B11E0C">
            <w:pPr>
              <w:jc w:val="center"/>
              <w:rPr>
                <w:rFonts w:ascii="Arial" w:hAnsi="Arial" w:cs="Arial"/>
                <w:color w:val="000000"/>
              </w:rPr>
            </w:pPr>
            <w:r w:rsidRPr="00902FBB">
              <w:rPr>
                <w:rFonts w:ascii="Arial" w:hAnsi="Arial" w:cs="Arial"/>
                <w:color w:val="000000"/>
              </w:rPr>
              <w:t>6.79</w:t>
            </w:r>
            <w:r w:rsidRPr="00902FBB">
              <w:rPr>
                <w:rFonts w:ascii="Arial" w:hAnsi="Arial" w:cs="Arial"/>
                <w:color w:val="000000"/>
                <w:vertAlign w:val="superscript"/>
              </w:rPr>
              <w:t>a</w:t>
            </w:r>
            <w:r w:rsidRPr="00902FBB">
              <w:rPr>
                <w:rFonts w:ascii="Arial" w:hAnsi="Arial" w:cs="Arial"/>
                <w:color w:val="000000"/>
              </w:rPr>
              <w:t xml:space="preserve"> </w:t>
            </w:r>
          </w:p>
        </w:tc>
      </w:tr>
      <w:tr w:rsidR="00EB5387" w:rsidRPr="00902FBB" w14:paraId="3705EC46" w14:textId="77777777" w:rsidTr="00B11E0C">
        <w:tc>
          <w:tcPr>
            <w:tcW w:w="2807" w:type="dxa"/>
            <w:tcBorders>
              <w:top w:val="nil"/>
              <w:left w:val="nil"/>
              <w:bottom w:val="nil"/>
              <w:right w:val="nil"/>
            </w:tcBorders>
          </w:tcPr>
          <w:p w14:paraId="20BAB8BC" w14:textId="77777777" w:rsidR="00EB5387" w:rsidRPr="00902FBB" w:rsidRDefault="00EB5387" w:rsidP="00B11E0C">
            <w:pPr>
              <w:rPr>
                <w:rFonts w:ascii="Arial" w:hAnsi="Arial" w:cs="Arial"/>
              </w:rPr>
            </w:pPr>
            <w:r w:rsidRPr="00902FBB">
              <w:rPr>
                <w:rFonts w:ascii="Arial" w:hAnsi="Arial" w:cs="Arial"/>
              </w:rPr>
              <w:t>Sowing date 24 November (SD3)</w:t>
            </w:r>
          </w:p>
        </w:tc>
        <w:tc>
          <w:tcPr>
            <w:tcW w:w="1280" w:type="dxa"/>
            <w:tcBorders>
              <w:top w:val="nil"/>
              <w:left w:val="nil"/>
              <w:bottom w:val="nil"/>
              <w:right w:val="nil"/>
            </w:tcBorders>
          </w:tcPr>
          <w:p w14:paraId="364DC9FB" w14:textId="77777777" w:rsidR="00EB5387" w:rsidRPr="00902FBB" w:rsidRDefault="00EB5387" w:rsidP="00B11E0C">
            <w:pPr>
              <w:jc w:val="center"/>
              <w:rPr>
                <w:rFonts w:ascii="Arial" w:hAnsi="Arial" w:cs="Arial"/>
                <w:b/>
                <w:bCs/>
              </w:rPr>
            </w:pPr>
            <w:r w:rsidRPr="00902FBB">
              <w:rPr>
                <w:rFonts w:ascii="Arial" w:hAnsi="Arial" w:cs="Arial"/>
              </w:rPr>
              <w:t>3.06</w:t>
            </w:r>
            <w:r w:rsidRPr="00902FBB">
              <w:rPr>
                <w:rFonts w:ascii="Arial" w:hAnsi="Arial" w:cs="Arial"/>
                <w:vertAlign w:val="superscript"/>
              </w:rPr>
              <w:t>b</w:t>
            </w:r>
          </w:p>
        </w:tc>
        <w:tc>
          <w:tcPr>
            <w:tcW w:w="1159" w:type="dxa"/>
            <w:tcBorders>
              <w:top w:val="nil"/>
              <w:left w:val="nil"/>
              <w:bottom w:val="nil"/>
              <w:right w:val="nil"/>
            </w:tcBorders>
            <w:vAlign w:val="center"/>
          </w:tcPr>
          <w:p w14:paraId="614A792C" w14:textId="77777777" w:rsidR="00EB5387" w:rsidRPr="00902FBB" w:rsidRDefault="00EB5387" w:rsidP="00B11E0C">
            <w:pPr>
              <w:jc w:val="center"/>
              <w:rPr>
                <w:rFonts w:ascii="Arial" w:hAnsi="Arial" w:cs="Arial"/>
                <w:color w:val="000000"/>
              </w:rPr>
            </w:pPr>
            <w:r w:rsidRPr="00902FBB">
              <w:rPr>
                <w:rFonts w:ascii="Arial" w:hAnsi="Arial" w:cs="Arial"/>
                <w:color w:val="000000"/>
              </w:rPr>
              <w:t>74.88</w:t>
            </w:r>
          </w:p>
        </w:tc>
        <w:tc>
          <w:tcPr>
            <w:tcW w:w="1324" w:type="dxa"/>
            <w:tcBorders>
              <w:top w:val="nil"/>
              <w:left w:val="nil"/>
              <w:bottom w:val="nil"/>
              <w:right w:val="nil"/>
            </w:tcBorders>
            <w:vAlign w:val="center"/>
          </w:tcPr>
          <w:p w14:paraId="011788C5" w14:textId="77777777" w:rsidR="00EB5387" w:rsidRPr="00902FBB" w:rsidRDefault="00EB5387" w:rsidP="00B11E0C">
            <w:pPr>
              <w:jc w:val="center"/>
              <w:rPr>
                <w:rFonts w:ascii="Arial" w:hAnsi="Arial" w:cs="Arial"/>
                <w:color w:val="000000"/>
              </w:rPr>
            </w:pPr>
            <w:r w:rsidRPr="00902FBB">
              <w:rPr>
                <w:rFonts w:ascii="Arial" w:hAnsi="Arial" w:cs="Arial"/>
                <w:color w:val="000000"/>
              </w:rPr>
              <w:t>44.19</w:t>
            </w:r>
            <w:r w:rsidRPr="00902FBB">
              <w:rPr>
                <w:rFonts w:ascii="Arial" w:hAnsi="Arial" w:cs="Arial"/>
                <w:color w:val="000000"/>
                <w:vertAlign w:val="superscript"/>
              </w:rPr>
              <w:t>b</w:t>
            </w:r>
          </w:p>
        </w:tc>
        <w:tc>
          <w:tcPr>
            <w:tcW w:w="1159" w:type="dxa"/>
            <w:tcBorders>
              <w:top w:val="nil"/>
              <w:left w:val="nil"/>
              <w:bottom w:val="nil"/>
              <w:right w:val="nil"/>
            </w:tcBorders>
            <w:vAlign w:val="center"/>
          </w:tcPr>
          <w:p w14:paraId="7EE6A3BC" w14:textId="77777777" w:rsidR="00EB5387" w:rsidRPr="00902FBB" w:rsidRDefault="00EB5387" w:rsidP="00B11E0C">
            <w:pPr>
              <w:jc w:val="center"/>
              <w:rPr>
                <w:rFonts w:ascii="Arial" w:hAnsi="Arial" w:cs="Arial"/>
                <w:color w:val="000000"/>
              </w:rPr>
            </w:pPr>
            <w:r w:rsidRPr="00902FBB">
              <w:rPr>
                <w:rFonts w:ascii="Arial" w:hAnsi="Arial" w:cs="Arial"/>
                <w:color w:val="000000"/>
              </w:rPr>
              <w:t>3.19</w:t>
            </w:r>
            <w:r w:rsidRPr="00902FBB">
              <w:rPr>
                <w:rFonts w:ascii="Arial" w:hAnsi="Arial" w:cs="Arial"/>
                <w:color w:val="000000"/>
                <w:vertAlign w:val="superscript"/>
              </w:rPr>
              <w:t>b</w:t>
            </w:r>
          </w:p>
        </w:tc>
        <w:tc>
          <w:tcPr>
            <w:tcW w:w="1403" w:type="dxa"/>
            <w:tcBorders>
              <w:top w:val="nil"/>
              <w:left w:val="nil"/>
              <w:bottom w:val="nil"/>
              <w:right w:val="nil"/>
            </w:tcBorders>
            <w:vAlign w:val="center"/>
          </w:tcPr>
          <w:p w14:paraId="71247003" w14:textId="77777777" w:rsidR="00EB5387" w:rsidRPr="00902FBB" w:rsidRDefault="00EB5387" w:rsidP="00B11E0C">
            <w:pPr>
              <w:jc w:val="center"/>
              <w:rPr>
                <w:rFonts w:ascii="Arial" w:hAnsi="Arial" w:cs="Arial"/>
                <w:color w:val="000000"/>
              </w:rPr>
            </w:pPr>
            <w:r w:rsidRPr="00902FBB">
              <w:rPr>
                <w:rFonts w:ascii="Arial" w:hAnsi="Arial" w:cs="Arial"/>
                <w:color w:val="000000"/>
              </w:rPr>
              <w:t>7.30</w:t>
            </w:r>
            <w:r w:rsidRPr="00902FBB">
              <w:rPr>
                <w:rFonts w:ascii="Arial" w:hAnsi="Arial" w:cs="Arial"/>
                <w:color w:val="000000"/>
                <w:vertAlign w:val="superscript"/>
              </w:rPr>
              <w:t>b</w:t>
            </w:r>
          </w:p>
        </w:tc>
        <w:tc>
          <w:tcPr>
            <w:tcW w:w="1303" w:type="dxa"/>
            <w:tcBorders>
              <w:top w:val="nil"/>
              <w:left w:val="nil"/>
              <w:bottom w:val="nil"/>
              <w:right w:val="nil"/>
            </w:tcBorders>
            <w:vAlign w:val="center"/>
          </w:tcPr>
          <w:p w14:paraId="1DEA0D1E" w14:textId="77777777" w:rsidR="00EB5387" w:rsidRPr="00902FBB" w:rsidRDefault="00EB5387" w:rsidP="00B11E0C">
            <w:pPr>
              <w:jc w:val="center"/>
              <w:rPr>
                <w:rFonts w:ascii="Arial" w:hAnsi="Arial" w:cs="Arial"/>
                <w:color w:val="000000"/>
              </w:rPr>
            </w:pPr>
            <w:r w:rsidRPr="00902FBB">
              <w:rPr>
                <w:rFonts w:ascii="Arial" w:hAnsi="Arial" w:cs="Arial"/>
                <w:color w:val="000000"/>
              </w:rPr>
              <w:t>3.97</w:t>
            </w:r>
            <w:r w:rsidRPr="00902FBB">
              <w:rPr>
                <w:rFonts w:ascii="Arial" w:hAnsi="Arial" w:cs="Arial"/>
                <w:color w:val="000000"/>
                <w:vertAlign w:val="superscript"/>
              </w:rPr>
              <w:t xml:space="preserve">b </w:t>
            </w:r>
          </w:p>
        </w:tc>
      </w:tr>
      <w:tr w:rsidR="00EB5387" w:rsidRPr="00902FBB" w14:paraId="687DD45A" w14:textId="77777777" w:rsidTr="00B11E0C">
        <w:tc>
          <w:tcPr>
            <w:tcW w:w="2807" w:type="dxa"/>
            <w:tcBorders>
              <w:top w:val="nil"/>
              <w:left w:val="nil"/>
              <w:bottom w:val="single" w:sz="4" w:space="0" w:color="auto"/>
              <w:right w:val="nil"/>
            </w:tcBorders>
          </w:tcPr>
          <w:p w14:paraId="794611FE" w14:textId="77777777" w:rsidR="00EB5387" w:rsidRPr="00902FBB" w:rsidRDefault="00EB5387" w:rsidP="00B11E0C">
            <w:pPr>
              <w:rPr>
                <w:rFonts w:ascii="Arial" w:hAnsi="Arial" w:cs="Arial"/>
              </w:rPr>
            </w:pPr>
            <w:r w:rsidRPr="00902FBB">
              <w:rPr>
                <w:rFonts w:ascii="Arial" w:hAnsi="Arial" w:cs="Arial"/>
              </w:rPr>
              <w:t>LSD at p &lt; 0.05</w:t>
            </w:r>
          </w:p>
        </w:tc>
        <w:tc>
          <w:tcPr>
            <w:tcW w:w="1280" w:type="dxa"/>
            <w:tcBorders>
              <w:top w:val="nil"/>
              <w:left w:val="nil"/>
              <w:bottom w:val="single" w:sz="4" w:space="0" w:color="auto"/>
              <w:right w:val="nil"/>
            </w:tcBorders>
          </w:tcPr>
          <w:p w14:paraId="102D31F1" w14:textId="77777777" w:rsidR="00EB5387" w:rsidRPr="00902FBB" w:rsidRDefault="00EB5387" w:rsidP="00B11E0C">
            <w:pPr>
              <w:jc w:val="center"/>
              <w:rPr>
                <w:rFonts w:ascii="Arial" w:hAnsi="Arial" w:cs="Arial"/>
                <w:b/>
                <w:bCs/>
              </w:rPr>
            </w:pPr>
            <w:r w:rsidRPr="00902FBB">
              <w:rPr>
                <w:rFonts w:ascii="Arial" w:hAnsi="Arial" w:cs="Arial"/>
                <w:b/>
                <w:bCs/>
              </w:rPr>
              <w:t>0.396</w:t>
            </w:r>
          </w:p>
        </w:tc>
        <w:tc>
          <w:tcPr>
            <w:tcW w:w="1159" w:type="dxa"/>
            <w:tcBorders>
              <w:top w:val="nil"/>
              <w:left w:val="nil"/>
              <w:bottom w:val="single" w:sz="4" w:space="0" w:color="auto"/>
              <w:right w:val="nil"/>
            </w:tcBorders>
          </w:tcPr>
          <w:p w14:paraId="30E196FC" w14:textId="77777777" w:rsidR="00EB5387" w:rsidRPr="00902FBB" w:rsidRDefault="00EB5387" w:rsidP="00B11E0C">
            <w:pPr>
              <w:jc w:val="center"/>
              <w:rPr>
                <w:rFonts w:ascii="Arial" w:hAnsi="Arial" w:cs="Arial"/>
                <w:b/>
                <w:bCs/>
              </w:rPr>
            </w:pPr>
            <w:r w:rsidRPr="00902FBB">
              <w:rPr>
                <w:rFonts w:ascii="Arial" w:hAnsi="Arial" w:cs="Arial"/>
                <w:b/>
                <w:bCs/>
              </w:rPr>
              <w:t>NS</w:t>
            </w:r>
          </w:p>
        </w:tc>
        <w:tc>
          <w:tcPr>
            <w:tcW w:w="1324" w:type="dxa"/>
            <w:tcBorders>
              <w:top w:val="nil"/>
              <w:left w:val="nil"/>
              <w:bottom w:val="single" w:sz="4" w:space="0" w:color="auto"/>
              <w:right w:val="nil"/>
            </w:tcBorders>
          </w:tcPr>
          <w:p w14:paraId="596A105F" w14:textId="77777777" w:rsidR="00EB5387" w:rsidRPr="00902FBB" w:rsidRDefault="00EB5387" w:rsidP="00B11E0C">
            <w:pPr>
              <w:jc w:val="center"/>
              <w:rPr>
                <w:rFonts w:ascii="Arial" w:hAnsi="Arial" w:cs="Arial"/>
                <w:b/>
                <w:bCs/>
              </w:rPr>
            </w:pPr>
            <w:r w:rsidRPr="00902FBB">
              <w:rPr>
                <w:rFonts w:ascii="Arial" w:hAnsi="Arial" w:cs="Arial"/>
                <w:b/>
                <w:bCs/>
              </w:rPr>
              <w:t>9.135</w:t>
            </w:r>
          </w:p>
        </w:tc>
        <w:tc>
          <w:tcPr>
            <w:tcW w:w="1159" w:type="dxa"/>
            <w:tcBorders>
              <w:top w:val="nil"/>
              <w:left w:val="nil"/>
              <w:bottom w:val="single" w:sz="4" w:space="0" w:color="auto"/>
              <w:right w:val="nil"/>
            </w:tcBorders>
          </w:tcPr>
          <w:p w14:paraId="5502E9A6" w14:textId="77777777" w:rsidR="00EB5387" w:rsidRPr="00902FBB" w:rsidRDefault="00EB5387" w:rsidP="00B11E0C">
            <w:pPr>
              <w:jc w:val="center"/>
              <w:rPr>
                <w:rFonts w:ascii="Arial" w:hAnsi="Arial" w:cs="Arial"/>
                <w:b/>
                <w:bCs/>
              </w:rPr>
            </w:pPr>
            <w:r w:rsidRPr="00902FBB">
              <w:rPr>
                <w:rFonts w:ascii="Arial" w:hAnsi="Arial" w:cs="Arial"/>
                <w:b/>
                <w:bCs/>
              </w:rPr>
              <w:t>1.559</w:t>
            </w:r>
          </w:p>
        </w:tc>
        <w:tc>
          <w:tcPr>
            <w:tcW w:w="1403" w:type="dxa"/>
            <w:tcBorders>
              <w:top w:val="nil"/>
              <w:left w:val="nil"/>
              <w:bottom w:val="single" w:sz="4" w:space="0" w:color="auto"/>
              <w:right w:val="nil"/>
            </w:tcBorders>
          </w:tcPr>
          <w:p w14:paraId="6BCA56AD" w14:textId="77777777" w:rsidR="00EB5387" w:rsidRPr="00902FBB" w:rsidRDefault="00EB5387" w:rsidP="00B11E0C">
            <w:pPr>
              <w:jc w:val="center"/>
              <w:rPr>
                <w:rFonts w:ascii="Arial" w:hAnsi="Arial" w:cs="Arial"/>
                <w:b/>
                <w:bCs/>
              </w:rPr>
            </w:pPr>
            <w:r w:rsidRPr="00902FBB">
              <w:rPr>
                <w:rFonts w:ascii="Arial" w:hAnsi="Arial" w:cs="Arial"/>
                <w:b/>
                <w:bCs/>
              </w:rPr>
              <w:t>3.013</w:t>
            </w:r>
          </w:p>
        </w:tc>
        <w:tc>
          <w:tcPr>
            <w:tcW w:w="1303" w:type="dxa"/>
            <w:tcBorders>
              <w:top w:val="nil"/>
              <w:left w:val="nil"/>
              <w:bottom w:val="single" w:sz="4" w:space="0" w:color="auto"/>
              <w:right w:val="nil"/>
            </w:tcBorders>
          </w:tcPr>
          <w:p w14:paraId="4C6C0EBA" w14:textId="77777777" w:rsidR="00EB5387" w:rsidRPr="00902FBB" w:rsidRDefault="00EB5387" w:rsidP="00B11E0C">
            <w:pPr>
              <w:jc w:val="center"/>
              <w:rPr>
                <w:rFonts w:ascii="Arial" w:hAnsi="Arial" w:cs="Arial"/>
                <w:b/>
                <w:bCs/>
              </w:rPr>
            </w:pPr>
            <w:r w:rsidRPr="00902FBB">
              <w:rPr>
                <w:rFonts w:ascii="Arial" w:hAnsi="Arial" w:cs="Arial"/>
                <w:b/>
                <w:bCs/>
              </w:rPr>
              <w:t>1.954</w:t>
            </w:r>
          </w:p>
        </w:tc>
      </w:tr>
    </w:tbl>
    <w:p w14:paraId="3E487848" w14:textId="77777777" w:rsidR="00EB5387" w:rsidRPr="00902FBB" w:rsidRDefault="00EB5387" w:rsidP="00EB5387">
      <w:pPr>
        <w:jc w:val="center"/>
        <w:rPr>
          <w:rFonts w:ascii="Arial" w:hAnsi="Arial" w:cs="Arial"/>
          <w:i/>
          <w:iCs/>
        </w:rPr>
      </w:pPr>
    </w:p>
    <w:p w14:paraId="7D3B3818" w14:textId="77777777" w:rsidR="00EB5387" w:rsidRPr="00902FBB" w:rsidRDefault="00EB5387" w:rsidP="00EB5387">
      <w:pPr>
        <w:rPr>
          <w:rFonts w:ascii="Arial" w:hAnsi="Arial" w:cs="Arial"/>
          <w:i/>
          <w:iCs/>
        </w:rPr>
      </w:pPr>
      <w:r w:rsidRPr="00902FBB">
        <w:rPr>
          <w:rFonts w:ascii="Arial" w:hAnsi="Arial" w:cs="Arial"/>
          <w:i/>
          <w:iCs/>
        </w:rPr>
        <w:t xml:space="preserve">Values followed by different letters within a column are significantly different at </w:t>
      </w:r>
      <w:r w:rsidRPr="00902FBB">
        <w:rPr>
          <w:rStyle w:val="Emphasis"/>
          <w:rFonts w:ascii="Arial" w:hAnsi="Arial" w:cs="Arial"/>
        </w:rPr>
        <w:t>P</w:t>
      </w:r>
      <w:r w:rsidRPr="00902FBB">
        <w:rPr>
          <w:rFonts w:ascii="Arial" w:hAnsi="Arial" w:cs="Arial"/>
          <w:i/>
          <w:iCs/>
        </w:rPr>
        <w:t xml:space="preserve"> = 0.05; 'NS' indicates a non-significant difference.</w:t>
      </w:r>
    </w:p>
    <w:p w14:paraId="63E3FE08" w14:textId="77777777" w:rsidR="00EB5387" w:rsidRPr="00902FBB" w:rsidRDefault="00EB5387" w:rsidP="00EB5387">
      <w:pPr>
        <w:jc w:val="both"/>
        <w:rPr>
          <w:rFonts w:ascii="Arial" w:hAnsi="Arial" w:cs="Arial"/>
          <w:color w:val="0E101A"/>
          <w:sz w:val="22"/>
          <w:szCs w:val="22"/>
        </w:rPr>
      </w:pPr>
    </w:p>
    <w:p w14:paraId="3C9568ED" w14:textId="77777777" w:rsidR="00EB5387" w:rsidRPr="00902FBB" w:rsidRDefault="00EB5387" w:rsidP="00EB5387">
      <w:pPr>
        <w:pStyle w:val="ListParagraph"/>
        <w:ind w:left="0"/>
        <w:rPr>
          <w:rFonts w:ascii="Arial" w:hAnsi="Arial" w:cs="Arial"/>
          <w:b/>
          <w:bCs/>
          <w:color w:val="0E101A"/>
        </w:rPr>
      </w:pPr>
      <w:r w:rsidRPr="00902FBB">
        <w:rPr>
          <w:rFonts w:ascii="Arial" w:hAnsi="Arial" w:cs="Arial"/>
          <w:b/>
          <w:bCs/>
          <w:color w:val="0E101A"/>
        </w:rPr>
        <w:t>4. CONCLUSION</w:t>
      </w:r>
    </w:p>
    <w:p w14:paraId="4AE714C7" w14:textId="77777777" w:rsidR="00EB5387" w:rsidRPr="00902FBB" w:rsidRDefault="00EB5387" w:rsidP="00EB5387">
      <w:pPr>
        <w:jc w:val="both"/>
        <w:rPr>
          <w:rFonts w:ascii="Arial" w:hAnsi="Arial" w:cs="Arial"/>
          <w:sz w:val="22"/>
          <w:szCs w:val="22"/>
        </w:rPr>
      </w:pPr>
      <w:r w:rsidRPr="00902FBB">
        <w:rPr>
          <w:rFonts w:ascii="Arial" w:hAnsi="Arial" w:cs="Arial"/>
          <w:sz w:val="22"/>
          <w:szCs w:val="22"/>
        </w:rPr>
        <w:t>This study demonstrates that seasonal variability, sowing methods, and planting dates significantly influence the growth and yield of pumpkin (</w:t>
      </w:r>
      <w:r w:rsidRPr="00902FBB">
        <w:rPr>
          <w:rFonts w:ascii="Arial" w:hAnsi="Arial" w:cs="Arial"/>
          <w:i/>
          <w:iCs/>
          <w:sz w:val="22"/>
          <w:szCs w:val="22"/>
        </w:rPr>
        <w:t>Cucurbita moschata</w:t>
      </w:r>
      <w:r w:rsidRPr="00902FBB">
        <w:rPr>
          <w:rFonts w:ascii="Arial" w:hAnsi="Arial" w:cs="Arial"/>
          <w:sz w:val="22"/>
          <w:szCs w:val="22"/>
        </w:rPr>
        <w:t>) under Sudanese conditions. The 2020–2021 growing season outperformed 2019–2020 in key traits such as lateral branches, leaves, flowers, fruit number, and yield, highlighting the impact of climatic factors on productivity. However, the lower fruit set percentage in 2020–2021 suggests that excessive flower production does not always translate to higher yields, possibly due to environmental stressors or resource competition.</w:t>
      </w:r>
    </w:p>
    <w:p w14:paraId="1E14F77A" w14:textId="77777777" w:rsidR="00EB5387" w:rsidRPr="00902FBB" w:rsidRDefault="00EB5387" w:rsidP="00EB5387">
      <w:pPr>
        <w:jc w:val="both"/>
        <w:rPr>
          <w:rFonts w:ascii="Arial" w:hAnsi="Arial" w:cs="Arial"/>
          <w:sz w:val="22"/>
          <w:szCs w:val="22"/>
        </w:rPr>
      </w:pPr>
      <w:r w:rsidRPr="00902FBB">
        <w:rPr>
          <w:rFonts w:ascii="Arial" w:hAnsi="Arial" w:cs="Arial"/>
          <w:sz w:val="22"/>
          <w:szCs w:val="22"/>
        </w:rPr>
        <w:t>To optimize pumpkin yields, farmers should adopt the one-side sowing method (SM1) and target a sowing date of November 14. This combination (</w:t>
      </w:r>
      <w:commentRangeStart w:id="20"/>
      <w:r w:rsidRPr="00902FBB">
        <w:rPr>
          <w:rFonts w:ascii="Arial" w:hAnsi="Arial" w:cs="Arial"/>
          <w:sz w:val="22"/>
          <w:szCs w:val="22"/>
        </w:rPr>
        <w:t>Y2 × SM1 × SD2</w:t>
      </w:r>
      <w:commentRangeEnd w:id="20"/>
      <w:r w:rsidRPr="00902FBB">
        <w:rPr>
          <w:rStyle w:val="CommentReference"/>
          <w:rFonts w:ascii="Arial" w:hAnsi="Arial" w:cs="Arial"/>
          <w:lang w:val="nb-NO" w:eastAsia="nb-NO"/>
        </w:rPr>
        <w:commentReference w:id="20"/>
      </w:r>
      <w:r w:rsidRPr="00902FBB">
        <w:rPr>
          <w:rFonts w:ascii="Arial" w:hAnsi="Arial" w:cs="Arial"/>
          <w:sz w:val="22"/>
          <w:szCs w:val="22"/>
        </w:rPr>
        <w:t>) consistently produced the highest number of leaves, fruits per plant, and overall yield. While early sowing (November 4) may enhance fruit set, mid-November (November 14) sowing showed better overall yield and aligns better with favorable environmental conditions for balanced vegetative and reproductive growth.</w:t>
      </w:r>
    </w:p>
    <w:p w14:paraId="2566CD5A" w14:textId="77777777" w:rsidR="00EB5387" w:rsidRPr="00902FBB" w:rsidRDefault="00EB5387" w:rsidP="00EB5387">
      <w:pPr>
        <w:jc w:val="both"/>
        <w:rPr>
          <w:rFonts w:ascii="Arial" w:hAnsi="Arial" w:cs="Arial"/>
          <w:sz w:val="22"/>
          <w:szCs w:val="22"/>
        </w:rPr>
      </w:pPr>
      <w:r w:rsidRPr="00902FBB">
        <w:rPr>
          <w:rFonts w:ascii="Arial" w:hAnsi="Arial" w:cs="Arial"/>
          <w:sz w:val="22"/>
          <w:szCs w:val="22"/>
        </w:rPr>
        <w:t>Future research should explore the interactions between irrigation regimes, nutrient management, and sowing dates to refine cultivation strategies. Evaluating the performance of diverse local pumpkin genotypes under these optimized practices could unlock higher yield stability and climate resilience. By integrating these findings with targeted agronomic interventions, Sudan’s pumpkin production can achieve greater sustainability and profitability.This study underscores the importance of the G × E × M (Genotype × Environment × Management) framework in tailoring practices to local conditions, offering a roadmap for both farmers and researchers to enhance pumpkin productivity in similar agro-climatic regions. The findings provide actionable insights for immediate application while highlighting critical areas for further investigation to support long-term agricultural resilience.</w:t>
      </w:r>
    </w:p>
    <w:p w14:paraId="73E0BADA" w14:textId="77777777" w:rsidR="00EB5387" w:rsidRPr="00902FBB" w:rsidRDefault="00EB5387" w:rsidP="00EB5387">
      <w:pPr>
        <w:jc w:val="both"/>
        <w:rPr>
          <w:rFonts w:ascii="Arial" w:hAnsi="Arial" w:cs="Arial"/>
          <w:sz w:val="22"/>
          <w:szCs w:val="22"/>
        </w:rPr>
      </w:pPr>
    </w:p>
    <w:p w14:paraId="0F6D3023" w14:textId="77777777" w:rsidR="00EB5387" w:rsidRPr="00902FBB" w:rsidRDefault="00EB5387" w:rsidP="00EB5387">
      <w:pPr>
        <w:pStyle w:val="ReferHead"/>
        <w:spacing w:after="0"/>
        <w:jc w:val="both"/>
        <w:rPr>
          <w:rFonts w:ascii="Arial" w:hAnsi="Arial" w:cs="Arial"/>
          <w:b w:val="0"/>
          <w:caps w:val="0"/>
          <w:sz w:val="20"/>
        </w:rPr>
      </w:pPr>
    </w:p>
    <w:p w14:paraId="6ADC7AC4" w14:textId="77777777" w:rsidR="00EB5387" w:rsidRPr="00902FBB" w:rsidRDefault="00EB5387" w:rsidP="00EB5387">
      <w:pPr>
        <w:pStyle w:val="ReferHead"/>
        <w:spacing w:after="0"/>
        <w:jc w:val="both"/>
        <w:rPr>
          <w:rFonts w:ascii="Arial" w:hAnsi="Arial" w:cs="Arial"/>
          <w:b w:val="0"/>
          <w:caps w:val="0"/>
          <w:sz w:val="20"/>
        </w:rPr>
      </w:pPr>
    </w:p>
    <w:p w14:paraId="275E990E" w14:textId="77777777" w:rsidR="00EB5387" w:rsidRPr="00902FBB" w:rsidRDefault="00EB5387" w:rsidP="00EB5387">
      <w:pPr>
        <w:pStyle w:val="ReferHead"/>
        <w:spacing w:after="0"/>
        <w:jc w:val="both"/>
        <w:rPr>
          <w:rFonts w:ascii="Arial" w:hAnsi="Arial" w:cs="Arial"/>
          <w:bCs/>
        </w:rPr>
      </w:pPr>
      <w:r w:rsidRPr="00902FBB">
        <w:rPr>
          <w:rFonts w:ascii="Arial" w:hAnsi="Arial" w:cs="Arial"/>
          <w:bCs/>
        </w:rPr>
        <w:t xml:space="preserve">Ethical approval  </w:t>
      </w:r>
    </w:p>
    <w:p w14:paraId="73227EA2" w14:textId="77777777" w:rsidR="00EB5387" w:rsidRPr="00902FBB" w:rsidRDefault="00EB5387" w:rsidP="00EB5387">
      <w:pPr>
        <w:pStyle w:val="ReferHead"/>
        <w:spacing w:after="0"/>
        <w:jc w:val="both"/>
        <w:rPr>
          <w:rFonts w:ascii="Arial" w:hAnsi="Arial" w:cs="Arial"/>
          <w:bCs/>
        </w:rPr>
      </w:pPr>
    </w:p>
    <w:p w14:paraId="0D60F0CF" w14:textId="77777777" w:rsidR="00EB5387" w:rsidRPr="00902FBB" w:rsidRDefault="00EB5387" w:rsidP="00EB5387">
      <w:pPr>
        <w:pStyle w:val="ReferHead"/>
        <w:spacing w:after="0"/>
        <w:jc w:val="both"/>
        <w:rPr>
          <w:rFonts w:ascii="Arial" w:hAnsi="Arial" w:cs="Arial"/>
          <w:b w:val="0"/>
          <w:caps w:val="0"/>
          <w:sz w:val="20"/>
          <w:u w:val="single"/>
        </w:rPr>
      </w:pPr>
      <w:r w:rsidRPr="00902FBB">
        <w:rPr>
          <w:rFonts w:ascii="Arial" w:hAnsi="Arial" w:cs="Arial"/>
          <w:b w:val="0"/>
          <w:caps w:val="0"/>
          <w:sz w:val="20"/>
          <w:u w:val="single"/>
        </w:rPr>
        <w:t>All authors declare that no human participants or animals were involved in this study. The research was conducted solely on plant material under field conditions.</w:t>
      </w:r>
    </w:p>
    <w:p w14:paraId="5B02F4AA" w14:textId="77777777" w:rsidR="00EB5387" w:rsidRPr="00902FBB" w:rsidRDefault="00EB5387" w:rsidP="00EB5387">
      <w:pPr>
        <w:pStyle w:val="ReferHead"/>
        <w:spacing w:after="0"/>
        <w:jc w:val="both"/>
        <w:rPr>
          <w:rFonts w:ascii="Arial" w:hAnsi="Arial" w:cs="Arial"/>
          <w:b w:val="0"/>
          <w:caps w:val="0"/>
          <w:sz w:val="20"/>
          <w:u w:val="single"/>
        </w:rPr>
      </w:pPr>
    </w:p>
    <w:p w14:paraId="1B70F1D4" w14:textId="77777777" w:rsidR="00EB5387" w:rsidRPr="00902FBB" w:rsidRDefault="00EB5387" w:rsidP="00EB5387">
      <w:pPr>
        <w:pStyle w:val="ReferHead"/>
        <w:jc w:val="both"/>
        <w:rPr>
          <w:rFonts w:ascii="Arial" w:hAnsi="Arial" w:cs="Arial"/>
          <w:b w:val="0"/>
          <w:caps w:val="0"/>
          <w:sz w:val="20"/>
        </w:rPr>
      </w:pPr>
      <w:r w:rsidRPr="00902FBB">
        <w:rPr>
          <w:rFonts w:ascii="Arial" w:hAnsi="Arial" w:cs="Arial"/>
          <w:b w:val="0"/>
          <w:caps w:val="0"/>
          <w:sz w:val="20"/>
        </w:rPr>
        <w:t>COMPETING INTERESTS DISCLAIMER:</w:t>
      </w:r>
    </w:p>
    <w:p w14:paraId="56FA2436" w14:textId="77777777" w:rsidR="00EB5387" w:rsidRPr="00902FBB" w:rsidRDefault="00EB5387" w:rsidP="00EB5387">
      <w:pPr>
        <w:pStyle w:val="ReferHead"/>
        <w:spacing w:after="0"/>
        <w:jc w:val="both"/>
        <w:rPr>
          <w:rFonts w:ascii="Arial" w:hAnsi="Arial" w:cs="Arial"/>
          <w:b w:val="0"/>
          <w:caps w:val="0"/>
          <w:sz w:val="20"/>
        </w:rPr>
      </w:pPr>
      <w:r w:rsidRPr="00902FBB">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554C0F6C" w14:textId="77777777" w:rsidR="00EB5387" w:rsidRPr="00902FBB" w:rsidRDefault="00EB5387" w:rsidP="00EB5387">
      <w:pPr>
        <w:pStyle w:val="ReferHead"/>
        <w:spacing w:after="0"/>
        <w:jc w:val="both"/>
        <w:rPr>
          <w:rFonts w:ascii="Arial" w:hAnsi="Arial" w:cs="Arial"/>
        </w:rPr>
      </w:pPr>
    </w:p>
    <w:p w14:paraId="61F879F9" w14:textId="77777777" w:rsidR="00EB5387" w:rsidRPr="00902FBB" w:rsidRDefault="00EB5387" w:rsidP="00EB5387">
      <w:pPr>
        <w:pStyle w:val="ReferHead"/>
        <w:spacing w:after="0"/>
        <w:jc w:val="both"/>
        <w:rPr>
          <w:rFonts w:ascii="Arial" w:hAnsi="Arial" w:cs="Arial"/>
        </w:rPr>
      </w:pPr>
      <w:r w:rsidRPr="00902FBB">
        <w:rPr>
          <w:rFonts w:ascii="Arial" w:hAnsi="Arial" w:cs="Arial"/>
        </w:rPr>
        <w:t>References</w:t>
      </w:r>
    </w:p>
    <w:p w14:paraId="146C3A33" w14:textId="77777777" w:rsidR="00EB5387" w:rsidRPr="00902FBB" w:rsidRDefault="00EB5387" w:rsidP="00EB5387">
      <w:pPr>
        <w:pStyle w:val="ReferHead"/>
        <w:spacing w:after="0"/>
        <w:jc w:val="both"/>
        <w:rPr>
          <w:rFonts w:ascii="Arial" w:hAnsi="Arial" w:cs="Arial"/>
        </w:rPr>
      </w:pPr>
    </w:p>
    <w:p w14:paraId="170169DB" w14:textId="77777777" w:rsidR="00EB5387" w:rsidRPr="00902FBB" w:rsidRDefault="00EB5387" w:rsidP="00EB5387">
      <w:pPr>
        <w:pStyle w:val="ListParagraph"/>
        <w:numPr>
          <w:ilvl w:val="0"/>
          <w:numId w:val="2"/>
        </w:numPr>
        <w:spacing w:after="160"/>
        <w:jc w:val="both"/>
        <w:rPr>
          <w:rFonts w:ascii="Arial" w:hAnsi="Arial" w:cs="Arial"/>
        </w:rPr>
      </w:pPr>
      <w:r w:rsidRPr="00902FBB">
        <w:rPr>
          <w:rFonts w:ascii="Arial" w:hAnsi="Arial" w:cs="Arial"/>
          <w:b/>
        </w:rPr>
        <w:t xml:space="preserve"> </w:t>
      </w:r>
      <w:r w:rsidRPr="00902FBB">
        <w:rPr>
          <w:rFonts w:ascii="Arial" w:hAnsi="Arial" w:cs="Arial"/>
        </w:rPr>
        <w:t>Abdel-Rahman, M. S., El-Dkeshy, M. H., &amp; Attallah, S. Y. (2012). Plant spacing with seed chilling or plant girdling affect of Pumpkin (</w:t>
      </w:r>
      <w:r w:rsidRPr="00902FBB">
        <w:rPr>
          <w:rFonts w:ascii="Arial" w:hAnsi="Arial" w:cs="Arial"/>
          <w:i/>
          <w:iCs/>
        </w:rPr>
        <w:t>C. moschata</w:t>
      </w:r>
      <w:r w:rsidRPr="00902FBB">
        <w:rPr>
          <w:rFonts w:ascii="Arial" w:hAnsi="Arial" w:cs="Arial"/>
        </w:rPr>
        <w:t xml:space="preserve">) growth and yield components. </w:t>
      </w:r>
      <w:r w:rsidRPr="00902FBB">
        <w:rPr>
          <w:rFonts w:ascii="Arial" w:hAnsi="Arial" w:cs="Arial"/>
          <w:i/>
          <w:iCs/>
        </w:rPr>
        <w:t>Research Journal of Agriculture and Biological Sciences</w:t>
      </w:r>
      <w:r w:rsidRPr="00902FBB">
        <w:rPr>
          <w:rFonts w:ascii="Arial" w:hAnsi="Arial" w:cs="Arial"/>
        </w:rPr>
        <w:t xml:space="preserve">, </w:t>
      </w:r>
      <w:r w:rsidRPr="00902FBB">
        <w:rPr>
          <w:rFonts w:ascii="Arial" w:hAnsi="Arial" w:cs="Arial"/>
          <w:i/>
          <w:iCs/>
        </w:rPr>
        <w:t>8</w:t>
      </w:r>
      <w:r w:rsidRPr="00902FBB">
        <w:rPr>
          <w:rFonts w:ascii="Arial" w:hAnsi="Arial" w:cs="Arial"/>
        </w:rPr>
        <w:t>(1), 6-10.</w:t>
      </w:r>
    </w:p>
    <w:p w14:paraId="2C46BA4C" w14:textId="77777777" w:rsidR="00EB5387" w:rsidRPr="00902FBB" w:rsidRDefault="00EB5387" w:rsidP="00EB5387">
      <w:pPr>
        <w:pStyle w:val="ListParagraph"/>
        <w:widowControl w:val="0"/>
        <w:numPr>
          <w:ilvl w:val="0"/>
          <w:numId w:val="2"/>
        </w:numPr>
        <w:autoSpaceDE w:val="0"/>
        <w:autoSpaceDN w:val="0"/>
        <w:adjustRightInd w:val="0"/>
        <w:jc w:val="both"/>
        <w:rPr>
          <w:rFonts w:ascii="Arial" w:hAnsi="Arial" w:cs="Arial"/>
        </w:rPr>
      </w:pPr>
      <w:r w:rsidRPr="00902FBB">
        <w:rPr>
          <w:rFonts w:ascii="Arial" w:hAnsi="Arial" w:cs="Arial"/>
        </w:rPr>
        <w:t>Ali, S. A. M., Muddathir, A. M., &amp; Hassan, A. B. (2022). The physical and chemical characteristics of seeds oil of local Sudanese pumpkin (</w:t>
      </w:r>
      <w:r w:rsidRPr="00902FBB">
        <w:rPr>
          <w:rFonts w:ascii="Arial" w:hAnsi="Arial" w:cs="Arial"/>
          <w:i/>
          <w:iCs/>
        </w:rPr>
        <w:t xml:space="preserve">Cucurbita moschata </w:t>
      </w:r>
      <w:r w:rsidRPr="00902FBB">
        <w:rPr>
          <w:rFonts w:ascii="Arial" w:hAnsi="Arial" w:cs="Arial"/>
        </w:rPr>
        <w:t xml:space="preserve">Duchesne). </w:t>
      </w:r>
      <w:r w:rsidRPr="00902FBB">
        <w:rPr>
          <w:rFonts w:ascii="Arial" w:hAnsi="Arial" w:cs="Arial"/>
          <w:i/>
          <w:iCs/>
        </w:rPr>
        <w:t>Journal of Oleo Science</w:t>
      </w:r>
      <w:r w:rsidRPr="00902FBB">
        <w:rPr>
          <w:rFonts w:ascii="Arial" w:hAnsi="Arial" w:cs="Arial"/>
        </w:rPr>
        <w:t xml:space="preserve">, 71(11), 1605-1612. </w:t>
      </w:r>
      <w:r w:rsidRPr="00902FBB">
        <w:rPr>
          <w:rStyle w:val="Hyperlink"/>
          <w:rFonts w:ascii="Arial" w:hAnsi="Arial" w:cs="Arial"/>
        </w:rPr>
        <w:t>https://doi.org/10.5650/jos.ess22007</w:t>
      </w:r>
      <w:r w:rsidRPr="00902FBB">
        <w:rPr>
          <w:rFonts w:ascii="Arial" w:hAnsi="Arial" w:cs="Arial"/>
        </w:rPr>
        <w:t xml:space="preserve"> .</w:t>
      </w:r>
    </w:p>
    <w:p w14:paraId="3065B0E1" w14:textId="77777777" w:rsidR="00EB5387" w:rsidRPr="00902FBB" w:rsidRDefault="00EB5387" w:rsidP="00EB5387">
      <w:pPr>
        <w:pStyle w:val="ListParagraph"/>
        <w:numPr>
          <w:ilvl w:val="0"/>
          <w:numId w:val="2"/>
        </w:numPr>
        <w:jc w:val="both"/>
        <w:rPr>
          <w:rFonts w:ascii="Arial" w:hAnsi="Arial" w:cs="Arial"/>
        </w:rPr>
      </w:pPr>
      <w:r w:rsidRPr="00902FBB">
        <w:rPr>
          <w:rFonts w:ascii="Arial" w:hAnsi="Arial" w:cs="Arial"/>
        </w:rPr>
        <w:t xml:space="preserve">Cooper, M., Messina, C. D., Tang, T., Gho, C., Powell, O. M., Podlich, D. W., Technow, F., &amp; Hammer, G. L. (2022). Predicting Genotype× Environment× Management (G× E× M) interactions for the design of crop improvement strategies: integrating breeder, agronomist, and farmer perspectives. </w:t>
      </w:r>
      <w:r w:rsidRPr="00902FBB">
        <w:rPr>
          <w:rFonts w:ascii="Arial" w:hAnsi="Arial" w:cs="Arial"/>
          <w:i/>
          <w:iCs/>
        </w:rPr>
        <w:t>Plant breeding reviews</w:t>
      </w:r>
      <w:r w:rsidRPr="00902FBB">
        <w:rPr>
          <w:rFonts w:ascii="Arial" w:hAnsi="Arial" w:cs="Arial"/>
        </w:rPr>
        <w:t xml:space="preserve">, 46, 467-585. </w:t>
      </w:r>
      <w:r w:rsidRPr="00902FBB">
        <w:rPr>
          <w:rStyle w:val="Hyperlink"/>
          <w:rFonts w:ascii="Arial" w:hAnsi="Arial" w:cs="Arial"/>
        </w:rPr>
        <w:t>https://doi.org/10.1002/9781119874157.ch9</w:t>
      </w:r>
    </w:p>
    <w:p w14:paraId="483F7537" w14:textId="77777777" w:rsidR="00EB5387" w:rsidRPr="00902FBB" w:rsidRDefault="00EB5387" w:rsidP="00EB5387">
      <w:pPr>
        <w:pStyle w:val="ListParagraph"/>
        <w:numPr>
          <w:ilvl w:val="0"/>
          <w:numId w:val="2"/>
        </w:numPr>
        <w:jc w:val="both"/>
        <w:rPr>
          <w:rFonts w:ascii="Arial" w:hAnsi="Arial" w:cs="Arial"/>
        </w:rPr>
      </w:pPr>
      <w:r w:rsidRPr="00902FBB">
        <w:rPr>
          <w:rFonts w:ascii="Arial" w:hAnsi="Arial" w:cs="Arial"/>
        </w:rPr>
        <w:t xml:space="preserve">Gopinath, K. A., Reddy, A. G. K., Divya, M., &amp; Venkatesh, P. (2021). grapesAgri1: Collection of Shiny Apps for Data Analysis in Agriculture. </w:t>
      </w:r>
      <w:r w:rsidRPr="00902FBB">
        <w:rPr>
          <w:rFonts w:ascii="Arial" w:hAnsi="Arial" w:cs="Arial"/>
          <w:i/>
          <w:iCs/>
        </w:rPr>
        <w:t>Journal of Open Source Software</w:t>
      </w:r>
      <w:r w:rsidRPr="00902FBB">
        <w:rPr>
          <w:rFonts w:ascii="Arial" w:hAnsi="Arial" w:cs="Arial"/>
        </w:rPr>
        <w:t xml:space="preserve">, 6 (63), 3437. </w:t>
      </w:r>
      <w:r w:rsidRPr="00902FBB">
        <w:rPr>
          <w:rStyle w:val="Hyperlink"/>
          <w:rFonts w:ascii="Arial" w:hAnsi="Arial" w:cs="Arial"/>
        </w:rPr>
        <w:t>https://doi.org/10.21105/joss.03437</w:t>
      </w:r>
    </w:p>
    <w:p w14:paraId="458091C7" w14:textId="77777777" w:rsidR="00EB5387" w:rsidRPr="00902FBB" w:rsidRDefault="00EB5387" w:rsidP="00EB5387">
      <w:pPr>
        <w:pStyle w:val="ListParagraph"/>
        <w:numPr>
          <w:ilvl w:val="0"/>
          <w:numId w:val="2"/>
        </w:numPr>
        <w:spacing w:after="160"/>
        <w:jc w:val="both"/>
        <w:rPr>
          <w:rFonts w:ascii="Arial" w:hAnsi="Arial" w:cs="Arial"/>
        </w:rPr>
      </w:pPr>
      <w:r w:rsidRPr="00902FBB">
        <w:rPr>
          <w:rFonts w:ascii="Arial" w:hAnsi="Arial" w:cs="Arial"/>
        </w:rPr>
        <w:t xml:space="preserve">Harrelson, E. R., Hoyt, G. D., Havlin, J. L., &amp; Monks, D. W. (2008). Effect of planting date and nitrogen fertilization rates on no-till pumpkins. </w:t>
      </w:r>
      <w:r w:rsidRPr="00902FBB">
        <w:rPr>
          <w:rFonts w:ascii="Arial" w:hAnsi="Arial" w:cs="Arial"/>
          <w:i/>
          <w:iCs/>
        </w:rPr>
        <w:t>HortScience</w:t>
      </w:r>
      <w:r w:rsidRPr="00902FBB">
        <w:rPr>
          <w:rFonts w:ascii="Arial" w:hAnsi="Arial" w:cs="Arial"/>
        </w:rPr>
        <w:t xml:space="preserve">, </w:t>
      </w:r>
      <w:r w:rsidRPr="00902FBB">
        <w:rPr>
          <w:rFonts w:ascii="Arial" w:hAnsi="Arial" w:cs="Arial"/>
          <w:i/>
          <w:iCs/>
        </w:rPr>
        <w:t>43</w:t>
      </w:r>
      <w:r w:rsidRPr="00902FBB">
        <w:rPr>
          <w:rFonts w:ascii="Arial" w:hAnsi="Arial" w:cs="Arial"/>
        </w:rPr>
        <w:t>(3), 857-861.</w:t>
      </w:r>
    </w:p>
    <w:p w14:paraId="70654E1D" w14:textId="77777777" w:rsidR="00EB5387" w:rsidRPr="00902FBB" w:rsidRDefault="00EB5387" w:rsidP="00EB5387">
      <w:pPr>
        <w:pStyle w:val="ListParagraph"/>
        <w:widowControl w:val="0"/>
        <w:numPr>
          <w:ilvl w:val="0"/>
          <w:numId w:val="2"/>
        </w:numPr>
        <w:autoSpaceDE w:val="0"/>
        <w:autoSpaceDN w:val="0"/>
        <w:adjustRightInd w:val="0"/>
        <w:jc w:val="both"/>
        <w:rPr>
          <w:rFonts w:ascii="Arial" w:hAnsi="Arial" w:cs="Arial"/>
        </w:rPr>
      </w:pPr>
      <w:r w:rsidRPr="00902FBB">
        <w:rPr>
          <w:rFonts w:ascii="Arial" w:hAnsi="Arial" w:cs="Arial"/>
        </w:rPr>
        <w:t xml:space="preserve">Hassan, S. A., Shakak, M., Mariod, A., &amp; Mustafa, S. E. (2024). Seed composition, physical characteristics and mineral content of Sudanese landraces of pumpkin. </w:t>
      </w:r>
      <w:r w:rsidRPr="00902FBB">
        <w:rPr>
          <w:rFonts w:ascii="Arial" w:hAnsi="Arial" w:cs="Arial"/>
          <w:i/>
          <w:iCs/>
        </w:rPr>
        <w:t>Acta Agriculturae Slovenica</w:t>
      </w:r>
      <w:r w:rsidRPr="00902FBB">
        <w:rPr>
          <w:rFonts w:ascii="Arial" w:hAnsi="Arial" w:cs="Arial"/>
        </w:rPr>
        <w:t xml:space="preserve">, </w:t>
      </w:r>
      <w:r w:rsidRPr="00902FBB">
        <w:rPr>
          <w:rFonts w:ascii="Arial" w:hAnsi="Arial" w:cs="Arial"/>
          <w:i/>
          <w:iCs/>
        </w:rPr>
        <w:t>120</w:t>
      </w:r>
      <w:r w:rsidRPr="00902FBB">
        <w:rPr>
          <w:rFonts w:ascii="Arial" w:hAnsi="Arial" w:cs="Arial"/>
        </w:rPr>
        <w:t xml:space="preserve">(1), 1–12. </w:t>
      </w:r>
      <w:hyperlink r:id="rId16" w:history="1">
        <w:r w:rsidRPr="00902FBB">
          <w:rPr>
            <w:rStyle w:val="Hyperlink"/>
            <w:rFonts w:ascii="Arial" w:hAnsi="Arial" w:cs="Arial"/>
          </w:rPr>
          <w:t>https://doi.org/10.14720/aas.2024.120.1.16382</w:t>
        </w:r>
      </w:hyperlink>
    </w:p>
    <w:p w14:paraId="7972B208" w14:textId="77777777" w:rsidR="00EB5387" w:rsidRPr="00902FBB" w:rsidRDefault="00EB5387" w:rsidP="00EB5387">
      <w:pPr>
        <w:pStyle w:val="ListParagraph"/>
        <w:numPr>
          <w:ilvl w:val="0"/>
          <w:numId w:val="2"/>
        </w:numPr>
        <w:jc w:val="both"/>
        <w:rPr>
          <w:rStyle w:val="Hyperlink"/>
          <w:rFonts w:ascii="Arial" w:hAnsi="Arial" w:cs="Arial"/>
        </w:rPr>
      </w:pPr>
      <w:r w:rsidRPr="00902FBB">
        <w:rPr>
          <w:rFonts w:ascii="Arial" w:hAnsi="Arial" w:cs="Arial"/>
        </w:rPr>
        <w:t xml:space="preserve">Jaenisch, B. R., Munaro, L. B., Jagadish, S. K., &amp; Lollato, R. P. (2022). Modulation of wheat yield components in response to management intensification to reduce yield gaps. </w:t>
      </w:r>
      <w:r w:rsidRPr="00902FBB">
        <w:rPr>
          <w:rFonts w:ascii="Arial" w:hAnsi="Arial" w:cs="Arial"/>
          <w:i/>
          <w:iCs/>
        </w:rPr>
        <w:t>Frontiers in Plant Science</w:t>
      </w:r>
      <w:r w:rsidRPr="00902FBB">
        <w:rPr>
          <w:rFonts w:ascii="Arial" w:hAnsi="Arial" w:cs="Arial"/>
        </w:rPr>
        <w:t xml:space="preserve">, </w:t>
      </w:r>
      <w:r w:rsidRPr="00902FBB">
        <w:rPr>
          <w:rFonts w:ascii="Arial" w:hAnsi="Arial" w:cs="Arial"/>
          <w:i/>
          <w:iCs/>
        </w:rPr>
        <w:t>13</w:t>
      </w:r>
      <w:r w:rsidRPr="00902FBB">
        <w:rPr>
          <w:rFonts w:ascii="Arial" w:hAnsi="Arial" w:cs="Arial"/>
        </w:rPr>
        <w:t xml:space="preserve">, 772232. </w:t>
      </w:r>
      <w:r w:rsidRPr="00902FBB">
        <w:rPr>
          <w:rStyle w:val="Hyperlink"/>
          <w:rFonts w:ascii="Arial" w:hAnsi="Arial" w:cs="Arial"/>
        </w:rPr>
        <w:t>https://doi.org/10.3389/fpls.2022.772232</w:t>
      </w:r>
    </w:p>
    <w:p w14:paraId="4024D4B8" w14:textId="77777777" w:rsidR="00EB5387" w:rsidRPr="00902FBB" w:rsidRDefault="00EB5387" w:rsidP="00EB5387">
      <w:pPr>
        <w:pStyle w:val="ListParagraph"/>
        <w:numPr>
          <w:ilvl w:val="0"/>
          <w:numId w:val="2"/>
        </w:numPr>
        <w:spacing w:after="160"/>
        <w:jc w:val="both"/>
        <w:rPr>
          <w:rFonts w:ascii="Arial" w:hAnsi="Arial" w:cs="Arial"/>
        </w:rPr>
      </w:pPr>
      <w:r w:rsidRPr="00902FBB">
        <w:rPr>
          <w:rFonts w:ascii="Arial" w:hAnsi="Arial" w:cs="Arial"/>
        </w:rPr>
        <w:t>Kakoli, I. J., Mostarin, T., Khatun, K., Mathin, T. T., Moon, R. T., Karishma, K. C., Islam, U.S.B., Labonno, S.A., Rahaman, M.J.U., Mahmud, M.R. and Farjana, M., &amp; Samad, M. A. (2025). Optimizing Butternut Squash (</w:t>
      </w:r>
      <w:r w:rsidRPr="00902FBB">
        <w:rPr>
          <w:rFonts w:ascii="Arial" w:hAnsi="Arial" w:cs="Arial"/>
          <w:i/>
          <w:iCs/>
        </w:rPr>
        <w:t>Cucurbita moschata</w:t>
      </w:r>
      <w:r w:rsidRPr="00902FBB">
        <w:rPr>
          <w:rFonts w:ascii="Arial" w:hAnsi="Arial" w:cs="Arial"/>
        </w:rPr>
        <w:t xml:space="preserve">) Growth and Yield: The Role of Sowing Time and Nutrients. </w:t>
      </w:r>
      <w:r w:rsidRPr="00902FBB">
        <w:rPr>
          <w:rFonts w:ascii="Arial" w:hAnsi="Arial" w:cs="Arial"/>
          <w:i/>
          <w:iCs/>
        </w:rPr>
        <w:t>European Journal of Nutrition and Food Safety</w:t>
      </w:r>
      <w:r w:rsidRPr="00902FBB">
        <w:rPr>
          <w:rFonts w:ascii="Arial" w:hAnsi="Arial" w:cs="Arial"/>
        </w:rPr>
        <w:t xml:space="preserve">, </w:t>
      </w:r>
      <w:r w:rsidRPr="00902FBB">
        <w:rPr>
          <w:rFonts w:ascii="Arial" w:hAnsi="Arial" w:cs="Arial"/>
          <w:i/>
          <w:iCs/>
        </w:rPr>
        <w:t>17</w:t>
      </w:r>
      <w:r w:rsidRPr="00902FBB">
        <w:rPr>
          <w:rFonts w:ascii="Arial" w:hAnsi="Arial" w:cs="Arial"/>
        </w:rPr>
        <w:t>(6), 188-197.</w:t>
      </w:r>
    </w:p>
    <w:p w14:paraId="60015B67" w14:textId="77777777" w:rsidR="00EB5387" w:rsidRPr="00902FBB" w:rsidRDefault="00EB5387" w:rsidP="00EB5387">
      <w:pPr>
        <w:pStyle w:val="ListParagraph"/>
        <w:numPr>
          <w:ilvl w:val="0"/>
          <w:numId w:val="2"/>
        </w:numPr>
        <w:spacing w:after="160"/>
        <w:jc w:val="both"/>
        <w:rPr>
          <w:rStyle w:val="ng-star-inserted"/>
          <w:rFonts w:ascii="Arial" w:hAnsi="Arial" w:cs="Arial"/>
        </w:rPr>
      </w:pPr>
      <w:r w:rsidRPr="00902FBB">
        <w:rPr>
          <w:rFonts w:ascii="Arial" w:hAnsi="Arial" w:cs="Arial"/>
        </w:rPr>
        <w:t xml:space="preserve">Latifi, M., Barimavandi, A., Sedaghathoor, S., &amp; Lipayi, S. R. (2012). Sowing date and plant population effects on seed yield of </w:t>
      </w:r>
      <w:r w:rsidRPr="00902FBB">
        <w:rPr>
          <w:rFonts w:ascii="Arial" w:hAnsi="Arial" w:cs="Arial"/>
          <w:i/>
          <w:iCs/>
        </w:rPr>
        <w:t>Cucurbita pepo</w:t>
      </w:r>
      <w:r w:rsidRPr="00902FBB">
        <w:rPr>
          <w:rFonts w:ascii="Arial" w:hAnsi="Arial" w:cs="Arial"/>
        </w:rPr>
        <w:t>.</w:t>
      </w:r>
      <w:r w:rsidRPr="00902FBB">
        <w:rPr>
          <w:rStyle w:val="fontstyle01"/>
          <w:rFonts w:ascii="Arial" w:hAnsi="Arial" w:cs="Arial"/>
          <w:sz w:val="22"/>
          <w:szCs w:val="22"/>
        </w:rPr>
        <w:t xml:space="preserve"> </w:t>
      </w:r>
      <w:r w:rsidRPr="00902FBB">
        <w:rPr>
          <w:rStyle w:val="ng-star-inserted"/>
          <w:rFonts w:ascii="Arial" w:hAnsi="Arial" w:cs="Arial"/>
          <w:i/>
          <w:iCs/>
        </w:rPr>
        <w:t>International journal of agriculture &amp; biology,</w:t>
      </w:r>
      <w:r w:rsidRPr="00902FBB">
        <w:rPr>
          <w:rStyle w:val="fontstyle01"/>
          <w:rFonts w:ascii="Arial" w:hAnsi="Arial" w:cs="Arial"/>
          <w:sz w:val="22"/>
          <w:szCs w:val="22"/>
        </w:rPr>
        <w:t xml:space="preserve"> </w:t>
      </w:r>
      <w:r w:rsidRPr="00902FBB">
        <w:rPr>
          <w:rStyle w:val="ng-star-inserted"/>
          <w:rFonts w:ascii="Arial" w:hAnsi="Arial" w:cs="Arial"/>
          <w:i/>
          <w:iCs/>
        </w:rPr>
        <w:t>14</w:t>
      </w:r>
      <w:r w:rsidRPr="00902FBB">
        <w:rPr>
          <w:rStyle w:val="ng-star-inserted"/>
          <w:rFonts w:ascii="Arial" w:hAnsi="Arial" w:cs="Arial"/>
        </w:rPr>
        <w:t>(4), 641–644.</w:t>
      </w:r>
    </w:p>
    <w:p w14:paraId="2F1C5FFA" w14:textId="77777777" w:rsidR="00EB5387" w:rsidRPr="00902FBB" w:rsidRDefault="00EB5387" w:rsidP="00EB5387">
      <w:pPr>
        <w:pStyle w:val="ListParagraph"/>
        <w:numPr>
          <w:ilvl w:val="0"/>
          <w:numId w:val="2"/>
        </w:numPr>
        <w:spacing w:after="160"/>
        <w:jc w:val="both"/>
        <w:rPr>
          <w:rFonts w:ascii="Arial" w:hAnsi="Arial" w:cs="Arial"/>
        </w:rPr>
      </w:pPr>
      <w:r w:rsidRPr="00902FBB">
        <w:rPr>
          <w:rFonts w:ascii="Arial" w:hAnsi="Arial" w:cs="Arial"/>
        </w:rPr>
        <w:t xml:space="preserve">Mohamed, M. A. (2011). Effect of planting dates on infestations with certain pests and yield parameters of squash plants. </w:t>
      </w:r>
      <w:r w:rsidRPr="00902FBB">
        <w:rPr>
          <w:rFonts w:ascii="Arial" w:hAnsi="Arial" w:cs="Arial"/>
          <w:i/>
          <w:iCs/>
        </w:rPr>
        <w:t>Egyptian Journal of Agricultural Research</w:t>
      </w:r>
      <w:r w:rsidRPr="00902FBB">
        <w:rPr>
          <w:rFonts w:ascii="Arial" w:hAnsi="Arial" w:cs="Arial"/>
        </w:rPr>
        <w:t xml:space="preserve">, </w:t>
      </w:r>
      <w:r w:rsidRPr="00902FBB">
        <w:rPr>
          <w:rFonts w:ascii="Arial" w:hAnsi="Arial" w:cs="Arial"/>
          <w:i/>
          <w:iCs/>
        </w:rPr>
        <w:t>89</w:t>
      </w:r>
      <w:r w:rsidRPr="00902FBB">
        <w:rPr>
          <w:rFonts w:ascii="Arial" w:hAnsi="Arial" w:cs="Arial"/>
        </w:rPr>
        <w:t>(4), 1335-1362.</w:t>
      </w:r>
    </w:p>
    <w:p w14:paraId="6E9AC053" w14:textId="77777777" w:rsidR="00EB5387" w:rsidRPr="00902FBB" w:rsidRDefault="00EB5387" w:rsidP="00EB5387">
      <w:pPr>
        <w:pStyle w:val="ListParagraph"/>
        <w:numPr>
          <w:ilvl w:val="0"/>
          <w:numId w:val="2"/>
        </w:numPr>
        <w:spacing w:after="160"/>
        <w:jc w:val="both"/>
        <w:rPr>
          <w:rFonts w:ascii="Arial" w:hAnsi="Arial" w:cs="Arial"/>
        </w:rPr>
      </w:pPr>
      <w:r w:rsidRPr="00902FBB">
        <w:rPr>
          <w:rFonts w:ascii="Arial" w:hAnsi="Arial" w:cs="Arial"/>
        </w:rPr>
        <w:t>Obiadalla-Ali, H. A., El-Sawah, N. A., &amp; Helaly, A. A. (2009). Screening some local and introduced pumpkin (</w:t>
      </w:r>
      <w:r w:rsidRPr="00902FBB">
        <w:rPr>
          <w:rFonts w:ascii="Arial" w:hAnsi="Arial" w:cs="Arial"/>
          <w:i/>
          <w:iCs/>
        </w:rPr>
        <w:t>Cucurbita moschata</w:t>
      </w:r>
      <w:r w:rsidRPr="00902FBB">
        <w:rPr>
          <w:rFonts w:ascii="Arial" w:hAnsi="Arial" w:cs="Arial"/>
        </w:rPr>
        <w:t xml:space="preserve">) genotypes for earliness and fruit yield traits. </w:t>
      </w:r>
      <w:r w:rsidRPr="00902FBB">
        <w:rPr>
          <w:rFonts w:ascii="Arial" w:hAnsi="Arial" w:cs="Arial"/>
          <w:i/>
          <w:iCs/>
        </w:rPr>
        <w:t>Journal of Plant Production</w:t>
      </w:r>
      <w:r w:rsidRPr="00902FBB">
        <w:rPr>
          <w:rFonts w:ascii="Arial" w:hAnsi="Arial" w:cs="Arial"/>
        </w:rPr>
        <w:t xml:space="preserve">, </w:t>
      </w:r>
      <w:r w:rsidRPr="00902FBB">
        <w:rPr>
          <w:rFonts w:ascii="Arial" w:hAnsi="Arial" w:cs="Arial"/>
          <w:i/>
          <w:iCs/>
        </w:rPr>
        <w:t>34</w:t>
      </w:r>
      <w:r w:rsidRPr="00902FBB">
        <w:rPr>
          <w:rFonts w:ascii="Arial" w:hAnsi="Arial" w:cs="Arial"/>
        </w:rPr>
        <w:t>(6), 6639-6652.</w:t>
      </w:r>
    </w:p>
    <w:p w14:paraId="41D12D6F" w14:textId="77777777" w:rsidR="00EB5387" w:rsidRPr="00902FBB" w:rsidRDefault="00EB5387" w:rsidP="00EB5387">
      <w:pPr>
        <w:pStyle w:val="ListParagraph"/>
        <w:numPr>
          <w:ilvl w:val="0"/>
          <w:numId w:val="2"/>
        </w:numPr>
        <w:spacing w:after="160"/>
        <w:jc w:val="both"/>
        <w:rPr>
          <w:rFonts w:ascii="Arial" w:hAnsi="Arial" w:cs="Arial"/>
        </w:rPr>
      </w:pPr>
      <w:r w:rsidRPr="00902FBB">
        <w:rPr>
          <w:rFonts w:ascii="Arial" w:hAnsi="Arial" w:cs="Arial"/>
        </w:rPr>
        <w:t>Oloyede, F. M., &amp; Adebooye, O. C. (2013). Effect of Planting Date on the Yield and Proximate Composition of Pumpkin (</w:t>
      </w:r>
      <w:r w:rsidRPr="00902FBB">
        <w:rPr>
          <w:rFonts w:ascii="Arial" w:hAnsi="Arial" w:cs="Arial"/>
          <w:i/>
          <w:iCs/>
        </w:rPr>
        <w:t>Cucurbita pepo</w:t>
      </w:r>
      <w:r w:rsidRPr="00902FBB">
        <w:rPr>
          <w:rFonts w:ascii="Arial" w:hAnsi="Arial" w:cs="Arial"/>
        </w:rPr>
        <w:t xml:space="preserve"> Linn.) Fruit. </w:t>
      </w:r>
      <w:r w:rsidRPr="00902FBB">
        <w:rPr>
          <w:rFonts w:ascii="Arial" w:hAnsi="Arial" w:cs="Arial"/>
          <w:i/>
          <w:iCs/>
        </w:rPr>
        <w:t xml:space="preserve">British Journal of </w:t>
      </w:r>
      <w:r w:rsidRPr="00902FBB">
        <w:rPr>
          <w:rFonts w:ascii="Arial" w:hAnsi="Arial" w:cs="Arial"/>
          <w:i/>
          <w:iCs/>
        </w:rPr>
        <w:lastRenderedPageBreak/>
        <w:t>Applied Science &amp; Technology</w:t>
      </w:r>
      <w:r w:rsidRPr="00902FBB">
        <w:rPr>
          <w:rFonts w:ascii="Arial" w:hAnsi="Arial" w:cs="Arial"/>
        </w:rPr>
        <w:t xml:space="preserve">, </w:t>
      </w:r>
      <w:r w:rsidRPr="00902FBB">
        <w:rPr>
          <w:rFonts w:ascii="Arial" w:hAnsi="Arial" w:cs="Arial"/>
          <w:i/>
          <w:iCs/>
        </w:rPr>
        <w:t>3</w:t>
      </w:r>
      <w:r w:rsidRPr="00902FBB">
        <w:rPr>
          <w:rFonts w:ascii="Arial" w:hAnsi="Arial" w:cs="Arial"/>
        </w:rPr>
        <w:t xml:space="preserve">(1), 174–181. </w:t>
      </w:r>
      <w:hyperlink r:id="rId17" w:history="1">
        <w:r w:rsidRPr="00902FBB">
          <w:rPr>
            <w:rStyle w:val="Hyperlink"/>
            <w:rFonts w:ascii="Arial" w:hAnsi="Arial" w:cs="Arial"/>
          </w:rPr>
          <w:t>https://doi.org/10.9734/BJAST/2014/2201</w:t>
        </w:r>
      </w:hyperlink>
    </w:p>
    <w:p w14:paraId="10C8C9C7" w14:textId="77777777" w:rsidR="00EB5387" w:rsidRPr="00902FBB" w:rsidRDefault="00EB5387" w:rsidP="00EB5387">
      <w:pPr>
        <w:pStyle w:val="ListParagraph"/>
        <w:numPr>
          <w:ilvl w:val="0"/>
          <w:numId w:val="2"/>
        </w:numPr>
        <w:spacing w:after="160"/>
        <w:jc w:val="both"/>
        <w:rPr>
          <w:rStyle w:val="Hyperlink"/>
          <w:rFonts w:ascii="Arial" w:hAnsi="Arial" w:cs="Arial"/>
        </w:rPr>
      </w:pPr>
      <w:r w:rsidRPr="00902FBB">
        <w:rPr>
          <w:rFonts w:ascii="Arial" w:hAnsi="Arial" w:cs="Arial"/>
        </w:rPr>
        <w:t xml:space="preserve">Sadia, S., Hossain, M. B. and Begum, F. (2023). Effect of sowing time on disease incidence and severity of Cucumber mosaic virus (CMV) on pumpkin. </w:t>
      </w:r>
      <w:r w:rsidRPr="00902FBB">
        <w:rPr>
          <w:rFonts w:ascii="Arial" w:hAnsi="Arial" w:cs="Arial"/>
          <w:i/>
          <w:iCs/>
        </w:rPr>
        <w:t>Asian Journal of Crop, Soil Science and Plant Nutrition</w:t>
      </w:r>
      <w:r w:rsidRPr="00902FBB">
        <w:rPr>
          <w:rFonts w:ascii="Arial" w:hAnsi="Arial" w:cs="Arial"/>
        </w:rPr>
        <w:t xml:space="preserve">, </w:t>
      </w:r>
      <w:r w:rsidRPr="00902FBB">
        <w:rPr>
          <w:rFonts w:ascii="Arial" w:hAnsi="Arial" w:cs="Arial"/>
          <w:i/>
          <w:iCs/>
        </w:rPr>
        <w:t>8</w:t>
      </w:r>
      <w:r w:rsidRPr="00902FBB">
        <w:rPr>
          <w:rFonts w:ascii="Arial" w:hAnsi="Arial" w:cs="Arial"/>
        </w:rPr>
        <w:t>( 1), 308-315.</w:t>
      </w:r>
      <w:hyperlink r:id="rId18" w:history="1">
        <w:r w:rsidRPr="00902FBB">
          <w:rPr>
            <w:rStyle w:val="Hyperlink"/>
            <w:rFonts w:ascii="Arial" w:hAnsi="Arial" w:cs="Arial"/>
          </w:rPr>
          <w:t>https://doi.org/10.18801 /ajcsp.080123.38</w:t>
        </w:r>
      </w:hyperlink>
      <w:r w:rsidRPr="00902FBB">
        <w:rPr>
          <w:rStyle w:val="Hyperlink"/>
          <w:rFonts w:ascii="Arial" w:hAnsi="Arial" w:cs="Arial"/>
        </w:rPr>
        <w:t>.</w:t>
      </w:r>
    </w:p>
    <w:p w14:paraId="01F19197" w14:textId="77777777" w:rsidR="00EB5387" w:rsidRPr="00902FBB" w:rsidRDefault="00EB5387" w:rsidP="00EB5387">
      <w:pPr>
        <w:pStyle w:val="ListParagraph"/>
        <w:numPr>
          <w:ilvl w:val="0"/>
          <w:numId w:val="2"/>
        </w:numPr>
        <w:spacing w:after="160"/>
        <w:jc w:val="both"/>
        <w:rPr>
          <w:rFonts w:ascii="Arial" w:hAnsi="Arial" w:cs="Arial"/>
        </w:rPr>
      </w:pPr>
      <w:r w:rsidRPr="00902FBB">
        <w:rPr>
          <w:rFonts w:ascii="Arial" w:hAnsi="Arial" w:cs="Arial"/>
        </w:rPr>
        <w:t>Sawale, R. D., Bhanderi, D. R., Tank, R. V., Parmar, V. K., Desai, K. D., &amp; Garde, Y. A. (2022). Effect of sowing time and spacing on growth parameters and yield of winter squash (</w:t>
      </w:r>
      <w:r w:rsidRPr="00902FBB">
        <w:rPr>
          <w:rFonts w:ascii="Arial" w:hAnsi="Arial" w:cs="Arial"/>
          <w:i/>
          <w:iCs/>
        </w:rPr>
        <w:t>Cucurbita maxima</w:t>
      </w:r>
      <w:r w:rsidRPr="00902FBB">
        <w:rPr>
          <w:rFonts w:ascii="Arial" w:hAnsi="Arial" w:cs="Arial"/>
        </w:rPr>
        <w:t xml:space="preserve"> D.) cv. Arka Suryamukhi under south Gujarat condition. </w:t>
      </w:r>
      <w:r w:rsidRPr="00902FBB">
        <w:rPr>
          <w:rFonts w:ascii="Arial" w:hAnsi="Arial" w:cs="Arial"/>
          <w:i/>
          <w:iCs/>
        </w:rPr>
        <w:t>Pharm. Innov. Int. J</w:t>
      </w:r>
      <w:r w:rsidRPr="00902FBB">
        <w:rPr>
          <w:rFonts w:ascii="Arial" w:hAnsi="Arial" w:cs="Arial"/>
        </w:rPr>
        <w:t xml:space="preserve">, </w:t>
      </w:r>
      <w:r w:rsidRPr="00902FBB">
        <w:rPr>
          <w:rFonts w:ascii="Arial" w:hAnsi="Arial" w:cs="Arial"/>
          <w:i/>
          <w:iCs/>
        </w:rPr>
        <w:t>11</w:t>
      </w:r>
      <w:r w:rsidRPr="00902FBB">
        <w:rPr>
          <w:rFonts w:ascii="Arial" w:hAnsi="Arial" w:cs="Arial"/>
        </w:rPr>
        <w:t>, 2959-62.</w:t>
      </w:r>
    </w:p>
    <w:p w14:paraId="2B6B0D79" w14:textId="77777777" w:rsidR="00EB5387" w:rsidRPr="00902FBB" w:rsidRDefault="00EB5387" w:rsidP="00EB5387">
      <w:pPr>
        <w:pStyle w:val="ListParagraph"/>
        <w:numPr>
          <w:ilvl w:val="0"/>
          <w:numId w:val="2"/>
        </w:numPr>
        <w:jc w:val="both"/>
        <w:rPr>
          <w:rFonts w:ascii="Arial" w:hAnsi="Arial" w:cs="Arial"/>
        </w:rPr>
      </w:pPr>
      <w:r w:rsidRPr="00902FBB">
        <w:rPr>
          <w:rFonts w:ascii="Arial" w:hAnsi="Arial" w:cs="Arial"/>
        </w:rPr>
        <w:t xml:space="preserve">Singh, R. K., &amp; Chaudhary, B. D. (1987). </w:t>
      </w:r>
      <w:r w:rsidRPr="00902FBB">
        <w:rPr>
          <w:rFonts w:ascii="Arial" w:hAnsi="Arial" w:cs="Arial"/>
          <w:i/>
          <w:iCs/>
        </w:rPr>
        <w:t>Biometrical Methods in Quantitative Genetic Analysis</w:t>
      </w:r>
      <w:r w:rsidRPr="00902FBB">
        <w:rPr>
          <w:rFonts w:ascii="Arial" w:hAnsi="Arial" w:cs="Arial"/>
        </w:rPr>
        <w:t>. Kalyani Publishers, New Delhi, India.</w:t>
      </w:r>
    </w:p>
    <w:p w14:paraId="44F0969A" w14:textId="77777777" w:rsidR="00EB5387" w:rsidRPr="00902FBB" w:rsidRDefault="00EB5387" w:rsidP="00EB5387">
      <w:pPr>
        <w:pStyle w:val="ListParagraph"/>
        <w:numPr>
          <w:ilvl w:val="0"/>
          <w:numId w:val="2"/>
        </w:numPr>
        <w:jc w:val="both"/>
        <w:rPr>
          <w:rStyle w:val="Hyperlink"/>
          <w:rFonts w:ascii="Arial" w:hAnsi="Arial" w:cs="Arial"/>
        </w:rPr>
      </w:pPr>
      <w:r w:rsidRPr="00902FBB">
        <w:rPr>
          <w:rFonts w:ascii="Arial" w:hAnsi="Arial" w:cs="Arial"/>
        </w:rPr>
        <w:t xml:space="preserve">Slafer, G. A., Savin, R., &amp; Sadras, V. O. (2014). Coarse and fine regulation of wheat yield components in response to genotype and environment. </w:t>
      </w:r>
      <w:r w:rsidRPr="00902FBB">
        <w:rPr>
          <w:rFonts w:ascii="Arial" w:hAnsi="Arial" w:cs="Arial"/>
          <w:i/>
          <w:iCs/>
        </w:rPr>
        <w:t>Field Crops Research</w:t>
      </w:r>
      <w:r w:rsidRPr="00902FBB">
        <w:rPr>
          <w:rFonts w:ascii="Arial" w:hAnsi="Arial" w:cs="Arial"/>
        </w:rPr>
        <w:t xml:space="preserve">, </w:t>
      </w:r>
      <w:r w:rsidRPr="00902FBB">
        <w:rPr>
          <w:rFonts w:ascii="Arial" w:hAnsi="Arial" w:cs="Arial"/>
          <w:i/>
          <w:iCs/>
        </w:rPr>
        <w:t>157</w:t>
      </w:r>
      <w:r w:rsidRPr="00902FBB">
        <w:rPr>
          <w:rFonts w:ascii="Arial" w:hAnsi="Arial" w:cs="Arial"/>
        </w:rPr>
        <w:t xml:space="preserve">, 71–83. </w:t>
      </w:r>
      <w:r w:rsidRPr="00902FBB">
        <w:rPr>
          <w:rStyle w:val="Hyperlink"/>
          <w:rFonts w:ascii="Arial" w:hAnsi="Arial" w:cs="Arial"/>
        </w:rPr>
        <w:t>https://doi.org/10.1016/j.fcr.2013.12.004</w:t>
      </w:r>
    </w:p>
    <w:p w14:paraId="5CCE72E7" w14:textId="77777777" w:rsidR="00EB5387" w:rsidRPr="00902FBB" w:rsidRDefault="00EB5387" w:rsidP="00EB5387">
      <w:pPr>
        <w:pStyle w:val="ListParagraph"/>
        <w:numPr>
          <w:ilvl w:val="0"/>
          <w:numId w:val="2"/>
        </w:numPr>
        <w:spacing w:after="160"/>
        <w:jc w:val="both"/>
        <w:rPr>
          <w:rFonts w:ascii="Arial" w:hAnsi="Arial" w:cs="Arial"/>
        </w:rPr>
      </w:pPr>
      <w:r w:rsidRPr="00902FBB">
        <w:rPr>
          <w:rFonts w:ascii="Arial" w:hAnsi="Arial" w:cs="Arial"/>
        </w:rPr>
        <w:t>Sumathi, S., &amp; Srimathi, P. (2013). Influence of Time of Sowing on Productivity and Seed Quality in Babchi (</w:t>
      </w:r>
      <w:r w:rsidRPr="00902FBB">
        <w:rPr>
          <w:rFonts w:ascii="Arial" w:hAnsi="Arial" w:cs="Arial"/>
          <w:i/>
          <w:iCs/>
        </w:rPr>
        <w:t>Psoralea corylifolia</w:t>
      </w:r>
      <w:r w:rsidRPr="00902FBB">
        <w:rPr>
          <w:rFonts w:ascii="Arial" w:hAnsi="Arial" w:cs="Arial"/>
        </w:rPr>
        <w:t xml:space="preserve"> L.). </w:t>
      </w:r>
      <w:r w:rsidRPr="00902FBB">
        <w:rPr>
          <w:rFonts w:ascii="Arial" w:hAnsi="Arial" w:cs="Arial"/>
          <w:i/>
          <w:iCs/>
        </w:rPr>
        <w:t>International Journal of Scientific and Research Publications</w:t>
      </w:r>
      <w:r w:rsidRPr="00902FBB">
        <w:rPr>
          <w:rFonts w:ascii="Arial" w:hAnsi="Arial" w:cs="Arial"/>
        </w:rPr>
        <w:t>, 504.</w:t>
      </w:r>
    </w:p>
    <w:p w14:paraId="771AE367" w14:textId="77777777" w:rsidR="00EB5387" w:rsidRPr="00902FBB" w:rsidRDefault="00EB5387" w:rsidP="00EB5387">
      <w:pPr>
        <w:pStyle w:val="ListParagraph"/>
        <w:numPr>
          <w:ilvl w:val="0"/>
          <w:numId w:val="2"/>
        </w:numPr>
        <w:spacing w:after="160"/>
        <w:jc w:val="both"/>
        <w:rPr>
          <w:rFonts w:ascii="Arial" w:hAnsi="Arial" w:cs="Arial"/>
        </w:rPr>
      </w:pPr>
      <w:r w:rsidRPr="00902FBB">
        <w:rPr>
          <w:rFonts w:ascii="Arial" w:hAnsi="Arial" w:cs="Arial"/>
        </w:rPr>
        <w:t>Sure, S., Arooie, H., &amp; Azizi, M. (2012). Influence of Plant Growth Regulators (PGRs) and Planting Method on Growth and Yield in Oil Pumpkin (</w:t>
      </w:r>
      <w:r w:rsidRPr="00902FBB">
        <w:rPr>
          <w:rFonts w:ascii="Arial" w:hAnsi="Arial" w:cs="Arial"/>
          <w:i/>
          <w:iCs/>
        </w:rPr>
        <w:t>Cucurbita pepo</w:t>
      </w:r>
      <w:r w:rsidRPr="00902FBB">
        <w:rPr>
          <w:rFonts w:ascii="Arial" w:hAnsi="Arial" w:cs="Arial"/>
        </w:rPr>
        <w:t xml:space="preserve"> var. Styriaca). </w:t>
      </w:r>
      <w:r w:rsidRPr="00902FBB">
        <w:rPr>
          <w:rFonts w:ascii="Arial" w:hAnsi="Arial" w:cs="Arial"/>
          <w:i/>
          <w:iCs/>
        </w:rPr>
        <w:t>Notulae Scientia Biologicae</w:t>
      </w:r>
      <w:r w:rsidRPr="00902FBB">
        <w:rPr>
          <w:rFonts w:ascii="Arial" w:hAnsi="Arial" w:cs="Arial"/>
        </w:rPr>
        <w:t xml:space="preserve">, </w:t>
      </w:r>
      <w:r w:rsidRPr="00902FBB">
        <w:rPr>
          <w:rFonts w:ascii="Arial" w:hAnsi="Arial" w:cs="Arial"/>
          <w:i/>
          <w:iCs/>
        </w:rPr>
        <w:t>4</w:t>
      </w:r>
      <w:r w:rsidRPr="00902FBB">
        <w:rPr>
          <w:rFonts w:ascii="Arial" w:hAnsi="Arial" w:cs="Arial"/>
        </w:rPr>
        <w:t xml:space="preserve">(2), 101–107. </w:t>
      </w:r>
      <w:hyperlink r:id="rId19" w:history="1">
        <w:r w:rsidRPr="00902FBB">
          <w:rPr>
            <w:rStyle w:val="Hyperlink"/>
            <w:rFonts w:ascii="Arial" w:hAnsi="Arial" w:cs="Arial"/>
          </w:rPr>
          <w:t>https://doi.org/10.15835/nsb427566</w:t>
        </w:r>
      </w:hyperlink>
    </w:p>
    <w:p w14:paraId="5D92DE4D" w14:textId="77777777" w:rsidR="00EB5387" w:rsidRPr="00902FBB" w:rsidRDefault="00EB5387" w:rsidP="00EB5387">
      <w:pPr>
        <w:pStyle w:val="ListParagraph"/>
        <w:numPr>
          <w:ilvl w:val="0"/>
          <w:numId w:val="2"/>
        </w:numPr>
        <w:spacing w:after="160"/>
        <w:jc w:val="both"/>
        <w:rPr>
          <w:rFonts w:ascii="Arial" w:hAnsi="Arial" w:cs="Arial"/>
        </w:rPr>
      </w:pPr>
      <w:r w:rsidRPr="00902FBB">
        <w:rPr>
          <w:rFonts w:ascii="Arial" w:hAnsi="Arial" w:cs="Arial"/>
        </w:rPr>
        <w:t xml:space="preserve">Ulrich, H. G., Vincent, E., &amp; Adam, A. (2022). Current State of knowledge on the potential and production of Cucurbita moschata (pumpkin) in Africa: A review. </w:t>
      </w:r>
      <w:r w:rsidRPr="00902FBB">
        <w:rPr>
          <w:rFonts w:ascii="Arial" w:hAnsi="Arial" w:cs="Arial"/>
          <w:i/>
          <w:iCs/>
        </w:rPr>
        <w:t>African Journal of Plant Science</w:t>
      </w:r>
      <w:r w:rsidRPr="00902FBB">
        <w:rPr>
          <w:rFonts w:ascii="Arial" w:hAnsi="Arial" w:cs="Arial"/>
        </w:rPr>
        <w:t xml:space="preserve">, </w:t>
      </w:r>
      <w:r w:rsidRPr="00902FBB">
        <w:rPr>
          <w:rFonts w:ascii="Arial" w:hAnsi="Arial" w:cs="Arial"/>
          <w:i/>
          <w:iCs/>
        </w:rPr>
        <w:t>16</w:t>
      </w:r>
      <w:r w:rsidRPr="00902FBB">
        <w:rPr>
          <w:rFonts w:ascii="Arial" w:hAnsi="Arial" w:cs="Arial"/>
        </w:rPr>
        <w:t xml:space="preserve">(1), 8–21. </w:t>
      </w:r>
      <w:hyperlink r:id="rId20" w:history="1">
        <w:r w:rsidRPr="00902FBB">
          <w:rPr>
            <w:rStyle w:val="Hyperlink"/>
            <w:rFonts w:ascii="Arial" w:hAnsi="Arial" w:cs="Arial"/>
          </w:rPr>
          <w:t>https://doi.org/10.5897/AJPS2021.2202</w:t>
        </w:r>
      </w:hyperlink>
      <w:r w:rsidRPr="00902FBB">
        <w:rPr>
          <w:rFonts w:ascii="Arial" w:hAnsi="Arial" w:cs="Arial"/>
        </w:rPr>
        <w:t>.</w:t>
      </w:r>
    </w:p>
    <w:p w14:paraId="666721C9" w14:textId="77777777" w:rsidR="00EB5387" w:rsidRPr="00902FBB" w:rsidRDefault="00EB5387" w:rsidP="00EB5387">
      <w:pPr>
        <w:pStyle w:val="Appendix"/>
        <w:spacing w:after="0"/>
        <w:jc w:val="both"/>
        <w:rPr>
          <w:rFonts w:ascii="Arial" w:hAnsi="Arial" w:cs="Arial"/>
          <w:b w:val="0"/>
        </w:rPr>
        <w:sectPr w:rsidR="00EB5387" w:rsidRPr="00902FBB" w:rsidSect="00EB5387">
          <w:headerReference w:type="even" r:id="rId21"/>
          <w:headerReference w:type="default" r:id="rId22"/>
          <w:footerReference w:type="default" r:id="rId23"/>
          <w:headerReference w:type="first" r:id="rId24"/>
          <w:type w:val="continuous"/>
          <w:pgSz w:w="12240" w:h="15840"/>
          <w:pgMar w:top="1440" w:right="2016" w:bottom="1620" w:left="2016" w:header="720" w:footer="1123" w:gutter="0"/>
          <w:cols w:space="720"/>
          <w:docGrid w:linePitch="272"/>
        </w:sectPr>
      </w:pPr>
    </w:p>
    <w:p w14:paraId="1D8818DA" w14:textId="77777777" w:rsidR="00EB5387" w:rsidRPr="00902FBB" w:rsidRDefault="00EB5387" w:rsidP="00EB5387">
      <w:pPr>
        <w:pStyle w:val="Appendix"/>
        <w:spacing w:after="0"/>
        <w:jc w:val="both"/>
        <w:rPr>
          <w:rFonts w:ascii="Arial" w:hAnsi="Arial" w:cs="Arial"/>
          <w:b w:val="0"/>
        </w:rPr>
      </w:pPr>
    </w:p>
    <w:p w14:paraId="1FB923E7" w14:textId="77777777" w:rsidR="00E2611B" w:rsidRPr="00902FBB" w:rsidRDefault="00E2611B">
      <w:pPr>
        <w:rPr>
          <w:rFonts w:ascii="Arial" w:hAnsi="Arial" w:cs="Arial"/>
        </w:rPr>
      </w:pPr>
    </w:p>
    <w:sectPr w:rsidR="00E2611B" w:rsidRPr="00902FBB" w:rsidSect="00EB5387">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angadhar K" w:date="2025-07-08T16:47:00Z" w:initials="GK">
    <w:p w14:paraId="16DC2EFD" w14:textId="77777777" w:rsidR="00EB5387" w:rsidRDefault="00EB5387" w:rsidP="00EB5387">
      <w:pPr>
        <w:pStyle w:val="CommentText"/>
      </w:pPr>
      <w:r>
        <w:rPr>
          <w:rStyle w:val="CommentReference"/>
        </w:rPr>
        <w:annotationRef/>
      </w:r>
      <w:r>
        <w:t xml:space="preserve">Make number as subscrit </w:t>
      </w:r>
    </w:p>
  </w:comment>
  <w:comment w:id="1" w:author="Gangadhar K" w:date="2025-07-08T16:49:00Z" w:initials="GK">
    <w:p w14:paraId="180352DD" w14:textId="77777777" w:rsidR="00EB5387" w:rsidRDefault="00EB5387" w:rsidP="00EB5387">
      <w:pPr>
        <w:pStyle w:val="CommentText"/>
      </w:pPr>
      <w:r>
        <w:rPr>
          <w:rStyle w:val="CommentReference"/>
        </w:rPr>
        <w:annotationRef/>
      </w:r>
      <w:r>
        <w:t xml:space="preserve">No word found in abstract </w:t>
      </w:r>
    </w:p>
  </w:comment>
  <w:comment w:id="2" w:author="Gangadhar K" w:date="2025-07-08T16:51:00Z" w:initials="GK">
    <w:p w14:paraId="528EAF8B" w14:textId="77777777" w:rsidR="00EB5387" w:rsidRDefault="00EB5387" w:rsidP="00EB5387">
      <w:pPr>
        <w:pStyle w:val="CommentText"/>
      </w:pPr>
      <w:r>
        <w:rPr>
          <w:rStyle w:val="CommentReference"/>
        </w:rPr>
        <w:annotationRef/>
      </w:r>
      <w:r>
        <w:t>italics</w:t>
      </w:r>
    </w:p>
  </w:comment>
  <w:comment w:id="3" w:author="Gangadhar K" w:date="2025-07-08T16:51:00Z" w:initials="GK">
    <w:p w14:paraId="46F1375F" w14:textId="77777777" w:rsidR="00EB5387" w:rsidRDefault="00EB5387" w:rsidP="00EB5387">
      <w:pPr>
        <w:pStyle w:val="CommentText"/>
      </w:pPr>
      <w:r>
        <w:rPr>
          <w:rStyle w:val="CommentReference"/>
        </w:rPr>
        <w:annotationRef/>
      </w:r>
      <w:r>
        <w:t xml:space="preserve">italics </w:t>
      </w:r>
    </w:p>
  </w:comment>
  <w:comment w:id="4" w:author="Gangadhar K" w:date="2025-07-08T16:52:00Z" w:initials="GK">
    <w:p w14:paraId="2EE6031E" w14:textId="77777777" w:rsidR="00EB5387" w:rsidRDefault="00EB5387" w:rsidP="00EB5387">
      <w:pPr>
        <w:pStyle w:val="CommentText"/>
      </w:pPr>
      <w:r>
        <w:rPr>
          <w:rStyle w:val="CommentReference"/>
        </w:rPr>
        <w:annotationRef/>
      </w:r>
      <w:r>
        <w:t>italics</w:t>
      </w:r>
    </w:p>
  </w:comment>
  <w:comment w:id="5" w:author="Gangadhar K" w:date="2025-07-08T16:53:00Z" w:initials="GK">
    <w:p w14:paraId="491253F0" w14:textId="77777777" w:rsidR="00EB5387" w:rsidRDefault="00EB5387" w:rsidP="00EB5387">
      <w:pPr>
        <w:pStyle w:val="CommentText"/>
      </w:pPr>
      <w:r>
        <w:rPr>
          <w:rStyle w:val="CommentReference"/>
        </w:rPr>
        <w:annotationRef/>
      </w:r>
      <w:r>
        <w:t>italics</w:t>
      </w:r>
    </w:p>
  </w:comment>
  <w:comment w:id="6" w:author="Gangadhar K" w:date="2025-07-08T16:53:00Z" w:initials="GK">
    <w:p w14:paraId="5F2B074F" w14:textId="77777777" w:rsidR="00EB5387" w:rsidRDefault="00EB5387" w:rsidP="00EB5387">
      <w:pPr>
        <w:pStyle w:val="CommentText"/>
      </w:pPr>
      <w:r>
        <w:rPr>
          <w:rStyle w:val="CommentReference"/>
        </w:rPr>
        <w:annotationRef/>
      </w:r>
      <w:r>
        <w:t>italics</w:t>
      </w:r>
    </w:p>
  </w:comment>
  <w:comment w:id="7" w:author="Gangadhar K" w:date="2025-07-08T16:54:00Z" w:initials="GK">
    <w:p w14:paraId="10C45BD6" w14:textId="77777777" w:rsidR="00EB5387" w:rsidRDefault="00EB5387" w:rsidP="00EB5387">
      <w:pPr>
        <w:pStyle w:val="CommentText"/>
      </w:pPr>
      <w:r>
        <w:rPr>
          <w:rStyle w:val="CommentReference"/>
        </w:rPr>
        <w:annotationRef/>
      </w:r>
      <w:r>
        <w:t>italics</w:t>
      </w:r>
    </w:p>
  </w:comment>
  <w:comment w:id="8" w:author="Gangadhar K" w:date="2025-07-08T16:55:00Z" w:initials="GK">
    <w:p w14:paraId="5803D710" w14:textId="77777777" w:rsidR="00EB5387" w:rsidRDefault="00EB5387" w:rsidP="00EB5387">
      <w:pPr>
        <w:pStyle w:val="CommentText"/>
      </w:pPr>
      <w:r>
        <w:rPr>
          <w:rStyle w:val="CommentReference"/>
        </w:rPr>
        <w:annotationRef/>
      </w:r>
      <w:r>
        <w:t>mean</w:t>
      </w:r>
    </w:p>
  </w:comment>
  <w:comment w:id="9" w:author="Gangadhar K" w:date="2025-07-08T16:57:00Z" w:initials="GK">
    <w:p w14:paraId="265E751A" w14:textId="77777777" w:rsidR="00EB5387" w:rsidRDefault="00EB5387" w:rsidP="00EB5387">
      <w:pPr>
        <w:pStyle w:val="CommentText"/>
      </w:pPr>
      <w:r>
        <w:rPr>
          <w:rStyle w:val="CommentReference"/>
        </w:rPr>
        <w:annotationRef/>
      </w:r>
      <w:r>
        <w:t>rewrite</w:t>
      </w:r>
    </w:p>
  </w:comment>
  <w:comment w:id="10" w:author="Gangadhar K" w:date="2025-07-08T16:58:00Z" w:initials="GK">
    <w:p w14:paraId="10BF3CB1" w14:textId="77777777" w:rsidR="00EB5387" w:rsidRDefault="00EB5387" w:rsidP="00EB5387">
      <w:pPr>
        <w:pStyle w:val="CommentText"/>
      </w:pPr>
      <w:r>
        <w:rPr>
          <w:rStyle w:val="CommentReference"/>
        </w:rPr>
        <w:annotationRef/>
      </w:r>
      <w:r>
        <w:t>wrong value</w:t>
      </w:r>
    </w:p>
  </w:comment>
  <w:comment w:id="11" w:author="Gangadhar K" w:date="2025-07-08T17:02:00Z" w:initials="GK">
    <w:p w14:paraId="13880867" w14:textId="77777777" w:rsidR="00EB5387" w:rsidRDefault="00EB5387" w:rsidP="00EB5387">
      <w:pPr>
        <w:pStyle w:val="CommentText"/>
      </w:pPr>
      <w:r>
        <w:rPr>
          <w:rStyle w:val="CommentReference"/>
        </w:rPr>
        <w:annotationRef/>
      </w:r>
      <w:r>
        <w:t>check table no</w:t>
      </w:r>
    </w:p>
  </w:comment>
  <w:comment w:id="12" w:author="Gangadhar K" w:date="2025-07-08T17:03:00Z" w:initials="GK">
    <w:p w14:paraId="64B71070" w14:textId="77777777" w:rsidR="00EB5387" w:rsidRDefault="00EB5387" w:rsidP="00EB5387">
      <w:pPr>
        <w:pStyle w:val="CommentText"/>
      </w:pPr>
      <w:r>
        <w:rPr>
          <w:rStyle w:val="CommentReference"/>
        </w:rPr>
        <w:annotationRef/>
      </w:r>
      <w:r>
        <w:t>4 authors add et al</w:t>
      </w:r>
    </w:p>
  </w:comment>
  <w:comment w:id="13" w:author="Gangadhar K" w:date="2025-07-08T17:02:00Z" w:initials="GK">
    <w:p w14:paraId="5DFE7B4B" w14:textId="77777777" w:rsidR="00EB5387" w:rsidRDefault="00EB5387" w:rsidP="00EB5387">
      <w:pPr>
        <w:pStyle w:val="CommentText"/>
      </w:pPr>
      <w:r>
        <w:rPr>
          <w:rStyle w:val="CommentReference"/>
        </w:rPr>
        <w:annotationRef/>
      </w:r>
      <w:r>
        <w:t>italics</w:t>
      </w:r>
    </w:p>
  </w:comment>
  <w:comment w:id="14" w:author="Gangadhar K" w:date="2025-07-08T17:09:00Z" w:initials="GK">
    <w:p w14:paraId="06CCC796" w14:textId="77777777" w:rsidR="00EB5387" w:rsidRDefault="00EB5387" w:rsidP="00EB5387">
      <w:pPr>
        <w:pStyle w:val="CommentText"/>
      </w:pPr>
      <w:r>
        <w:rPr>
          <w:rStyle w:val="CommentReference"/>
        </w:rPr>
        <w:annotationRef/>
      </w:r>
      <w:r>
        <w:t>italics</w:t>
      </w:r>
    </w:p>
  </w:comment>
  <w:comment w:id="15" w:author="Gangadhar K" w:date="2025-07-08T17:09:00Z" w:initials="GK">
    <w:p w14:paraId="79118913" w14:textId="77777777" w:rsidR="00EB5387" w:rsidRDefault="00EB5387" w:rsidP="00EB5387">
      <w:pPr>
        <w:pStyle w:val="CommentText"/>
      </w:pPr>
      <w:r>
        <w:rPr>
          <w:rStyle w:val="CommentReference"/>
        </w:rPr>
        <w:annotationRef/>
      </w:r>
      <w:r>
        <w:t>italics</w:t>
      </w:r>
    </w:p>
  </w:comment>
  <w:comment w:id="16" w:author="Gangadhar K" w:date="2025-07-08T17:09:00Z" w:initials="GK">
    <w:p w14:paraId="30C497F6" w14:textId="77777777" w:rsidR="00EB5387" w:rsidRDefault="00EB5387" w:rsidP="00EB5387">
      <w:pPr>
        <w:pStyle w:val="CommentText"/>
      </w:pPr>
      <w:r>
        <w:rPr>
          <w:rStyle w:val="CommentReference"/>
        </w:rPr>
        <w:annotationRef/>
      </w:r>
      <w:r>
        <w:t>italics</w:t>
      </w:r>
    </w:p>
  </w:comment>
  <w:comment w:id="17" w:author="Gangadhar K" w:date="2025-07-08T17:10:00Z" w:initials="GK">
    <w:p w14:paraId="01068E2A" w14:textId="77777777" w:rsidR="00EB5387" w:rsidRDefault="00EB5387" w:rsidP="00EB5387">
      <w:pPr>
        <w:pStyle w:val="CommentText"/>
      </w:pPr>
      <w:r>
        <w:rPr>
          <w:rStyle w:val="CommentReference"/>
        </w:rPr>
        <w:annotationRef/>
      </w:r>
      <w:r>
        <w:t>italics</w:t>
      </w:r>
    </w:p>
  </w:comment>
  <w:comment w:id="18" w:author="Gangadhar K" w:date="2025-07-08T17:10:00Z" w:initials="GK">
    <w:p w14:paraId="738893E8" w14:textId="77777777" w:rsidR="00EB5387" w:rsidRDefault="00EB5387" w:rsidP="00EB5387">
      <w:pPr>
        <w:pStyle w:val="CommentText"/>
      </w:pPr>
      <w:r>
        <w:rPr>
          <w:rStyle w:val="CommentReference"/>
        </w:rPr>
        <w:annotationRef/>
      </w:r>
      <w:r>
        <w:t>italics</w:t>
      </w:r>
    </w:p>
  </w:comment>
  <w:comment w:id="19" w:author="Gangadhar K" w:date="2025-07-08T17:12:00Z" w:initials="GK">
    <w:p w14:paraId="599F2364" w14:textId="77777777" w:rsidR="00EB5387" w:rsidRDefault="00EB5387" w:rsidP="00EB5387">
      <w:pPr>
        <w:pStyle w:val="CommentText"/>
      </w:pPr>
      <w:r>
        <w:rPr>
          <w:rStyle w:val="CommentReference"/>
        </w:rPr>
        <w:annotationRef/>
      </w:r>
      <w:r>
        <w:t>i didnt found any diffrence between table 3a and 3b</w:t>
      </w:r>
    </w:p>
  </w:comment>
  <w:comment w:id="20" w:author="Gangadhar K" w:date="2025-07-08T17:13:00Z" w:initials="GK">
    <w:p w14:paraId="491D9F4D" w14:textId="77777777" w:rsidR="00EB5387" w:rsidRDefault="00EB5387" w:rsidP="00EB5387">
      <w:pPr>
        <w:pStyle w:val="CommentText"/>
      </w:pPr>
      <w:r>
        <w:rPr>
          <w:rStyle w:val="CommentReference"/>
        </w:rPr>
        <w:annotationRef/>
      </w:r>
      <w:r>
        <w:t>subscri</w:t>
      </w:r>
      <w:r w:rsidRPr="005B4942">
        <w:rPr>
          <w:rFonts w:asciiTheme="minorBidi" w:hAnsiTheme="minorBidi" w:cstheme="minorBidi"/>
          <w:sz w:val="22"/>
          <w:szCs w:val="22"/>
        </w:rPr>
        <w:t>p</w:t>
      </w:r>
      <w:r>
        <w:t>t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DC2EFD" w15:done="0"/>
  <w15:commentEx w15:paraId="180352DD" w15:done="0"/>
  <w15:commentEx w15:paraId="528EAF8B" w15:done="0"/>
  <w15:commentEx w15:paraId="46F1375F" w15:done="0"/>
  <w15:commentEx w15:paraId="2EE6031E" w15:done="0"/>
  <w15:commentEx w15:paraId="491253F0" w15:done="0"/>
  <w15:commentEx w15:paraId="5F2B074F" w15:done="0"/>
  <w15:commentEx w15:paraId="10C45BD6" w15:done="0"/>
  <w15:commentEx w15:paraId="5803D710" w15:done="0"/>
  <w15:commentEx w15:paraId="265E751A" w15:done="0"/>
  <w15:commentEx w15:paraId="10BF3CB1" w15:done="0"/>
  <w15:commentEx w15:paraId="13880867" w15:done="0"/>
  <w15:commentEx w15:paraId="64B71070" w15:done="0"/>
  <w15:commentEx w15:paraId="5DFE7B4B" w15:done="0"/>
  <w15:commentEx w15:paraId="06CCC796" w15:done="0"/>
  <w15:commentEx w15:paraId="79118913" w15:done="0"/>
  <w15:commentEx w15:paraId="30C497F6" w15:done="0"/>
  <w15:commentEx w15:paraId="01068E2A" w15:done="0"/>
  <w15:commentEx w15:paraId="738893E8" w15:done="0"/>
  <w15:commentEx w15:paraId="599F2364" w15:done="0"/>
  <w15:commentEx w15:paraId="491D9F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3C9DB9" w16cex:dateUtc="2025-07-08T11:17:00Z"/>
  <w16cex:commentExtensible w16cex:durableId="3D56EA7E" w16cex:dateUtc="2025-07-08T11:19:00Z"/>
  <w16cex:commentExtensible w16cex:durableId="24DE5F4D" w16cex:dateUtc="2025-07-08T11:21:00Z"/>
  <w16cex:commentExtensible w16cex:durableId="01CBDAD6" w16cex:dateUtc="2025-07-08T11:21:00Z"/>
  <w16cex:commentExtensible w16cex:durableId="5BA9F31A" w16cex:dateUtc="2025-07-08T11:22:00Z"/>
  <w16cex:commentExtensible w16cex:durableId="2EF7D876" w16cex:dateUtc="2025-07-08T11:23:00Z"/>
  <w16cex:commentExtensible w16cex:durableId="539FCFEB" w16cex:dateUtc="2025-07-08T11:23:00Z"/>
  <w16cex:commentExtensible w16cex:durableId="14C348DB" w16cex:dateUtc="2025-07-08T11:24:00Z"/>
  <w16cex:commentExtensible w16cex:durableId="0018D37B" w16cex:dateUtc="2025-07-08T11:25:00Z"/>
  <w16cex:commentExtensible w16cex:durableId="7095F810" w16cex:dateUtc="2025-07-08T11:27:00Z"/>
  <w16cex:commentExtensible w16cex:durableId="5EE07CEC" w16cex:dateUtc="2025-07-08T11:28:00Z"/>
  <w16cex:commentExtensible w16cex:durableId="7CC23DB7" w16cex:dateUtc="2025-07-08T11:32:00Z"/>
  <w16cex:commentExtensible w16cex:durableId="51CF0F42" w16cex:dateUtc="2025-07-08T11:33:00Z"/>
  <w16cex:commentExtensible w16cex:durableId="636A3E9E" w16cex:dateUtc="2025-07-08T11:32:00Z"/>
  <w16cex:commentExtensible w16cex:durableId="1D444BB7" w16cex:dateUtc="2025-07-08T11:39:00Z"/>
  <w16cex:commentExtensible w16cex:durableId="24DA49DB" w16cex:dateUtc="2025-07-08T11:39:00Z"/>
  <w16cex:commentExtensible w16cex:durableId="5E4E47E4" w16cex:dateUtc="2025-07-08T11:39:00Z"/>
  <w16cex:commentExtensible w16cex:durableId="54F8096E" w16cex:dateUtc="2025-07-08T11:40:00Z"/>
  <w16cex:commentExtensible w16cex:durableId="6018E6AB" w16cex:dateUtc="2025-07-08T11:40:00Z"/>
  <w16cex:commentExtensible w16cex:durableId="5AAC73A4" w16cex:dateUtc="2025-07-08T11:42:00Z"/>
  <w16cex:commentExtensible w16cex:durableId="65DC1AEA" w16cex:dateUtc="2025-07-08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DC2EFD" w16cid:durableId="193C9DB9"/>
  <w16cid:commentId w16cid:paraId="180352DD" w16cid:durableId="3D56EA7E"/>
  <w16cid:commentId w16cid:paraId="528EAF8B" w16cid:durableId="24DE5F4D"/>
  <w16cid:commentId w16cid:paraId="46F1375F" w16cid:durableId="01CBDAD6"/>
  <w16cid:commentId w16cid:paraId="2EE6031E" w16cid:durableId="5BA9F31A"/>
  <w16cid:commentId w16cid:paraId="491253F0" w16cid:durableId="2EF7D876"/>
  <w16cid:commentId w16cid:paraId="5F2B074F" w16cid:durableId="539FCFEB"/>
  <w16cid:commentId w16cid:paraId="10C45BD6" w16cid:durableId="14C348DB"/>
  <w16cid:commentId w16cid:paraId="5803D710" w16cid:durableId="0018D37B"/>
  <w16cid:commentId w16cid:paraId="265E751A" w16cid:durableId="7095F810"/>
  <w16cid:commentId w16cid:paraId="10BF3CB1" w16cid:durableId="5EE07CEC"/>
  <w16cid:commentId w16cid:paraId="13880867" w16cid:durableId="7CC23DB7"/>
  <w16cid:commentId w16cid:paraId="64B71070" w16cid:durableId="51CF0F42"/>
  <w16cid:commentId w16cid:paraId="5DFE7B4B" w16cid:durableId="636A3E9E"/>
  <w16cid:commentId w16cid:paraId="06CCC796" w16cid:durableId="1D444BB7"/>
  <w16cid:commentId w16cid:paraId="79118913" w16cid:durableId="24DA49DB"/>
  <w16cid:commentId w16cid:paraId="30C497F6" w16cid:durableId="5E4E47E4"/>
  <w16cid:commentId w16cid:paraId="01068E2A" w16cid:durableId="54F8096E"/>
  <w16cid:commentId w16cid:paraId="738893E8" w16cid:durableId="6018E6AB"/>
  <w16cid:commentId w16cid:paraId="599F2364" w16cid:durableId="5AAC73A4"/>
  <w16cid:commentId w16cid:paraId="491D9F4D" w16cid:durableId="65DC1A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hdbclAdvP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71EBA" w14:textId="77777777" w:rsidR="00902FBB" w:rsidRDefault="00902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9B9B" w14:textId="77777777" w:rsidR="00902FBB" w:rsidRDefault="00902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8FA16" w14:textId="77777777" w:rsidR="00902FBB" w:rsidRPr="00FF40F5" w:rsidRDefault="00902FBB" w:rsidP="00FF4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C6181" w14:textId="77777777" w:rsidR="00902FBB" w:rsidRPr="00C37E61" w:rsidRDefault="00902FBB" w:rsidP="00C37E6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3C2C" w14:textId="77777777" w:rsidR="00902FBB" w:rsidRDefault="00902FBB">
    <w:pPr>
      <w:pStyle w:val="Header"/>
    </w:pPr>
    <w:r>
      <w:rPr>
        <w:noProof/>
      </w:rPr>
      <w:pict w14:anchorId="10751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3"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38EB" w14:textId="77777777" w:rsidR="00902FBB" w:rsidRDefault="00902FBB">
    <w:pPr>
      <w:pStyle w:val="Header"/>
    </w:pPr>
    <w:r>
      <w:rPr>
        <w:noProof/>
      </w:rPr>
      <w:pict w14:anchorId="3C2C7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4" o:spid="_x0000_s1026"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29EB9" w14:textId="77777777" w:rsidR="00902FBB" w:rsidRPr="00296529" w:rsidRDefault="00902FBB" w:rsidP="00296529">
    <w:pPr>
      <w:ind w:left="2160"/>
      <w:jc w:val="center"/>
      <w:rPr>
        <w:rFonts w:ascii="Times New Roman" w:eastAsia="Calibri" w:hAnsi="Times New Roman"/>
        <w:i/>
        <w:sz w:val="18"/>
        <w:szCs w:val="22"/>
      </w:rPr>
    </w:pPr>
    <w:r>
      <w:rPr>
        <w:noProof/>
      </w:rPr>
      <w:pict w14:anchorId="0126D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2" o:spid="_x0000_s1027" type="#_x0000_t136" style="position:absolute;left:0;text-align:left;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A3009E9" w14:textId="77777777" w:rsidR="00902FBB" w:rsidRPr="00296529" w:rsidRDefault="00902FB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FF8E165" w14:textId="77777777" w:rsidR="00902FBB" w:rsidRPr="00296529" w:rsidRDefault="00902FB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EBD0E9" w14:textId="77777777" w:rsidR="00902FBB" w:rsidRPr="00296529" w:rsidRDefault="00902FB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BA3FCE" w14:textId="77777777" w:rsidR="00902FBB" w:rsidRDefault="00902FB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22E8E69" w14:textId="77777777" w:rsidR="00902FBB" w:rsidRDefault="00902FB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F1A4469" w14:textId="77777777" w:rsidR="00902FBB" w:rsidRDefault="00902FB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AB08B" w14:textId="77777777" w:rsidR="00902FBB" w:rsidRDefault="00902FBB">
    <w:pPr>
      <w:pStyle w:val="Header"/>
    </w:pPr>
    <w:r>
      <w:rPr>
        <w:noProof/>
      </w:rPr>
      <w:pict w14:anchorId="5AB6D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6" o:spid="_x0000_s1028"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75EBD" w14:textId="77777777" w:rsidR="00902FBB" w:rsidRDefault="00902FBB">
    <w:pPr>
      <w:pStyle w:val="Header"/>
    </w:pPr>
    <w:r>
      <w:rPr>
        <w:noProof/>
      </w:rPr>
      <w:pict w14:anchorId="31376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7" o:spid="_x0000_s102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86EC" w14:textId="77777777" w:rsidR="00902FBB" w:rsidRDefault="00902FBB">
    <w:pPr>
      <w:pStyle w:val="Header"/>
    </w:pPr>
    <w:r>
      <w:rPr>
        <w:noProof/>
      </w:rPr>
      <w:pict w14:anchorId="20CDD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5" o:spid="_x0000_s1030"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3B83"/>
    <w:multiLevelType w:val="hybridMultilevel"/>
    <w:tmpl w:val="6388E0A4"/>
    <w:lvl w:ilvl="0" w:tplc="7B26F80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B554E"/>
    <w:multiLevelType w:val="multilevel"/>
    <w:tmpl w:val="FDB0E89A"/>
    <w:lvl w:ilvl="0">
      <w:start w:val="1"/>
      <w:numFmt w:val="decimal"/>
      <w:lvlText w:val="%1."/>
      <w:lvlJc w:val="left"/>
      <w:pPr>
        <w:ind w:left="720" w:hanging="360"/>
      </w:pPr>
      <w:rPr>
        <w:rFonts w:hint="default"/>
        <w:b/>
        <w:bCs/>
      </w:rPr>
    </w:lvl>
    <w:lvl w:ilvl="1">
      <w:start w:val="4"/>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32074991">
    <w:abstractNumId w:val="1"/>
  </w:num>
  <w:num w:numId="2" w16cid:durableId="19111929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ngadhar K">
    <w15:presenceInfo w15:providerId="Windows Live" w15:userId="2c2feffdd8c67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53"/>
    <w:rsid w:val="000840E5"/>
    <w:rsid w:val="004C516F"/>
    <w:rsid w:val="00896A7D"/>
    <w:rsid w:val="00902FBB"/>
    <w:rsid w:val="009F2FA5"/>
    <w:rsid w:val="00A23953"/>
    <w:rsid w:val="00B0502E"/>
    <w:rsid w:val="00E2611B"/>
    <w:rsid w:val="00EB5387"/>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AC85D"/>
  <w15:chartTrackingRefBased/>
  <w15:docId w15:val="{5B3FBB1D-B600-4B9C-BDD0-C5D2A9A9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387"/>
    <w:pPr>
      <w:spacing w:after="0" w:line="240" w:lineRule="auto"/>
    </w:pPr>
    <w:rPr>
      <w:rFonts w:ascii="Helvetica" w:eastAsia="Times New Roman" w:hAnsi="Helvetica" w:cs="Times New Roman"/>
      <w:kern w:val="0"/>
      <w:sz w:val="20"/>
      <w:szCs w:val="20"/>
      <w14:ligatures w14:val="none"/>
    </w:rPr>
  </w:style>
  <w:style w:type="paragraph" w:styleId="Heading1">
    <w:name w:val="heading 1"/>
    <w:basedOn w:val="Normal"/>
    <w:next w:val="Normal"/>
    <w:link w:val="Heading1Char"/>
    <w:uiPriority w:val="9"/>
    <w:qFormat/>
    <w:rsid w:val="00A239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39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A239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39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39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39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9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9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9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9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39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A239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39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39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3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953"/>
    <w:rPr>
      <w:rFonts w:eastAsiaTheme="majorEastAsia" w:cstheme="majorBidi"/>
      <w:color w:val="272727" w:themeColor="text1" w:themeTint="D8"/>
    </w:rPr>
  </w:style>
  <w:style w:type="paragraph" w:styleId="Title">
    <w:name w:val="Title"/>
    <w:basedOn w:val="Normal"/>
    <w:next w:val="Normal"/>
    <w:link w:val="TitleChar"/>
    <w:qFormat/>
    <w:rsid w:val="00A239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953"/>
    <w:pPr>
      <w:spacing w:before="160"/>
      <w:jc w:val="center"/>
    </w:pPr>
    <w:rPr>
      <w:i/>
      <w:iCs/>
      <w:color w:val="404040" w:themeColor="text1" w:themeTint="BF"/>
    </w:rPr>
  </w:style>
  <w:style w:type="character" w:customStyle="1" w:styleId="QuoteChar">
    <w:name w:val="Quote Char"/>
    <w:basedOn w:val="DefaultParagraphFont"/>
    <w:link w:val="Quote"/>
    <w:uiPriority w:val="29"/>
    <w:rsid w:val="00A23953"/>
    <w:rPr>
      <w:i/>
      <w:iCs/>
      <w:color w:val="404040" w:themeColor="text1" w:themeTint="BF"/>
    </w:rPr>
  </w:style>
  <w:style w:type="paragraph" w:styleId="ListParagraph">
    <w:name w:val="List Paragraph"/>
    <w:basedOn w:val="Normal"/>
    <w:uiPriority w:val="34"/>
    <w:qFormat/>
    <w:rsid w:val="00A23953"/>
    <w:pPr>
      <w:ind w:left="720"/>
      <w:contextualSpacing/>
    </w:pPr>
  </w:style>
  <w:style w:type="character" w:styleId="IntenseEmphasis">
    <w:name w:val="Intense Emphasis"/>
    <w:basedOn w:val="DefaultParagraphFont"/>
    <w:uiPriority w:val="21"/>
    <w:qFormat/>
    <w:rsid w:val="00A23953"/>
    <w:rPr>
      <w:i/>
      <w:iCs/>
      <w:color w:val="2F5496" w:themeColor="accent1" w:themeShade="BF"/>
    </w:rPr>
  </w:style>
  <w:style w:type="paragraph" w:styleId="IntenseQuote">
    <w:name w:val="Intense Quote"/>
    <w:basedOn w:val="Normal"/>
    <w:next w:val="Normal"/>
    <w:link w:val="IntenseQuoteChar"/>
    <w:uiPriority w:val="30"/>
    <w:qFormat/>
    <w:rsid w:val="00A23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3953"/>
    <w:rPr>
      <w:i/>
      <w:iCs/>
      <w:color w:val="2F5496" w:themeColor="accent1" w:themeShade="BF"/>
    </w:rPr>
  </w:style>
  <w:style w:type="character" w:styleId="IntenseReference">
    <w:name w:val="Intense Reference"/>
    <w:basedOn w:val="DefaultParagraphFont"/>
    <w:uiPriority w:val="32"/>
    <w:qFormat/>
    <w:rsid w:val="00A23953"/>
    <w:rPr>
      <w:b/>
      <w:bCs/>
      <w:smallCaps/>
      <w:color w:val="2F5496" w:themeColor="accent1" w:themeShade="BF"/>
      <w:spacing w:val="5"/>
    </w:rPr>
  </w:style>
  <w:style w:type="paragraph" w:customStyle="1" w:styleId="Author">
    <w:name w:val="Author"/>
    <w:basedOn w:val="Normal"/>
    <w:rsid w:val="00EB5387"/>
    <w:pPr>
      <w:spacing w:line="280" w:lineRule="exact"/>
      <w:jc w:val="right"/>
    </w:pPr>
    <w:rPr>
      <w:b/>
      <w:sz w:val="24"/>
    </w:rPr>
  </w:style>
  <w:style w:type="paragraph" w:customStyle="1" w:styleId="Affiliation">
    <w:name w:val="Affiliation"/>
    <w:basedOn w:val="Normal"/>
    <w:rsid w:val="00EB5387"/>
    <w:pPr>
      <w:spacing w:after="240" w:line="240" w:lineRule="exact"/>
      <w:jc w:val="right"/>
    </w:pPr>
  </w:style>
  <w:style w:type="paragraph" w:customStyle="1" w:styleId="Body">
    <w:name w:val="Body"/>
    <w:basedOn w:val="Normal"/>
    <w:rsid w:val="00EB5387"/>
    <w:pPr>
      <w:spacing w:after="240"/>
      <w:jc w:val="both"/>
    </w:pPr>
  </w:style>
  <w:style w:type="paragraph" w:customStyle="1" w:styleId="AbstHead">
    <w:name w:val="Abst Head"/>
    <w:basedOn w:val="Normal"/>
    <w:rsid w:val="00EB5387"/>
    <w:pPr>
      <w:keepNext/>
      <w:spacing w:after="240"/>
    </w:pPr>
    <w:rPr>
      <w:b/>
      <w:caps/>
      <w:sz w:val="22"/>
    </w:rPr>
  </w:style>
  <w:style w:type="paragraph" w:customStyle="1" w:styleId="ReferHead">
    <w:name w:val="Refer Head"/>
    <w:basedOn w:val="Normal"/>
    <w:rsid w:val="00EB5387"/>
    <w:pPr>
      <w:keepNext/>
      <w:spacing w:after="240"/>
    </w:pPr>
    <w:rPr>
      <w:b/>
      <w:caps/>
      <w:sz w:val="22"/>
    </w:rPr>
  </w:style>
  <w:style w:type="paragraph" w:customStyle="1" w:styleId="Copyright">
    <w:name w:val="Copyright"/>
    <w:basedOn w:val="Normal"/>
    <w:rsid w:val="00EB5387"/>
    <w:pPr>
      <w:spacing w:after="960" w:line="200" w:lineRule="exact"/>
    </w:pPr>
    <w:rPr>
      <w:sz w:val="16"/>
    </w:rPr>
  </w:style>
  <w:style w:type="paragraph" w:customStyle="1" w:styleId="Appendix">
    <w:name w:val="Appendix"/>
    <w:basedOn w:val="Normal"/>
    <w:rsid w:val="00EB5387"/>
    <w:pPr>
      <w:keepNext/>
      <w:spacing w:after="240"/>
    </w:pPr>
    <w:rPr>
      <w:b/>
      <w:caps/>
      <w:sz w:val="22"/>
    </w:rPr>
  </w:style>
  <w:style w:type="paragraph" w:styleId="Footer">
    <w:name w:val="footer"/>
    <w:basedOn w:val="Normal"/>
    <w:link w:val="FooterChar"/>
    <w:rsid w:val="00EB5387"/>
    <w:pPr>
      <w:tabs>
        <w:tab w:val="center" w:pos="4320"/>
        <w:tab w:val="right" w:pos="8640"/>
      </w:tabs>
    </w:pPr>
  </w:style>
  <w:style w:type="character" w:customStyle="1" w:styleId="FooterChar">
    <w:name w:val="Footer Char"/>
    <w:basedOn w:val="DefaultParagraphFont"/>
    <w:link w:val="Footer"/>
    <w:rsid w:val="00EB5387"/>
    <w:rPr>
      <w:rFonts w:ascii="Helvetica" w:eastAsia="Times New Roman" w:hAnsi="Helvetica" w:cs="Times New Roman"/>
      <w:kern w:val="0"/>
      <w:sz w:val="20"/>
      <w:szCs w:val="20"/>
      <w14:ligatures w14:val="none"/>
    </w:rPr>
  </w:style>
  <w:style w:type="paragraph" w:styleId="Header">
    <w:name w:val="header"/>
    <w:basedOn w:val="Normal"/>
    <w:link w:val="HeaderChar"/>
    <w:rsid w:val="00EB5387"/>
    <w:pPr>
      <w:tabs>
        <w:tab w:val="center" w:pos="4320"/>
        <w:tab w:val="right" w:pos="8640"/>
      </w:tabs>
    </w:pPr>
  </w:style>
  <w:style w:type="character" w:customStyle="1" w:styleId="HeaderChar">
    <w:name w:val="Header Char"/>
    <w:basedOn w:val="DefaultParagraphFont"/>
    <w:link w:val="Header"/>
    <w:rsid w:val="00EB5387"/>
    <w:rPr>
      <w:rFonts w:ascii="Helvetica" w:eastAsia="Times New Roman" w:hAnsi="Helvetica" w:cs="Times New Roman"/>
      <w:kern w:val="0"/>
      <w:sz w:val="20"/>
      <w:szCs w:val="20"/>
      <w14:ligatures w14:val="none"/>
    </w:rPr>
  </w:style>
  <w:style w:type="character" w:styleId="Hyperlink">
    <w:name w:val="Hyperlink"/>
    <w:basedOn w:val="DefaultParagraphFont"/>
    <w:rsid w:val="00EB5387"/>
    <w:rPr>
      <w:color w:val="FF0080"/>
      <w:u w:val="single"/>
    </w:rPr>
  </w:style>
  <w:style w:type="table" w:styleId="TableGrid">
    <w:name w:val="Table Grid"/>
    <w:basedOn w:val="TableNormal"/>
    <w:uiPriority w:val="39"/>
    <w:rsid w:val="00EB5387"/>
    <w:pPr>
      <w:spacing w:after="0" w:line="240" w:lineRule="auto"/>
    </w:pPr>
    <w:rPr>
      <w:rFonts w:ascii="Calibri" w:eastAsia="Calibri" w:hAnsi="Calibri" w:cs="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unhideWhenUsed/>
    <w:rsid w:val="00EB5387"/>
    <w:rPr>
      <w:sz w:val="16"/>
      <w:szCs w:val="16"/>
    </w:rPr>
  </w:style>
  <w:style w:type="paragraph" w:styleId="CommentText">
    <w:name w:val="annotation text"/>
    <w:basedOn w:val="Normal"/>
    <w:link w:val="CommentTextChar"/>
    <w:uiPriority w:val="99"/>
    <w:unhideWhenUsed/>
    <w:rsid w:val="00EB5387"/>
    <w:rPr>
      <w:rFonts w:ascii="Times New Roman" w:hAnsi="Times New Roman"/>
      <w:lang w:val="nb-NO" w:eastAsia="nb-NO"/>
    </w:rPr>
  </w:style>
  <w:style w:type="character" w:customStyle="1" w:styleId="CommentTextChar">
    <w:name w:val="Comment Text Char"/>
    <w:basedOn w:val="DefaultParagraphFont"/>
    <w:link w:val="CommentText"/>
    <w:uiPriority w:val="99"/>
    <w:rsid w:val="00EB5387"/>
    <w:rPr>
      <w:rFonts w:ascii="Times New Roman" w:eastAsia="Times New Roman" w:hAnsi="Times New Roman" w:cs="Times New Roman"/>
      <w:kern w:val="0"/>
      <w:sz w:val="20"/>
      <w:szCs w:val="20"/>
      <w:lang w:val="nb-NO" w:eastAsia="nb-NO"/>
      <w14:ligatures w14:val="none"/>
    </w:rPr>
  </w:style>
  <w:style w:type="character" w:styleId="Emphasis">
    <w:name w:val="Emphasis"/>
    <w:basedOn w:val="DefaultParagraphFont"/>
    <w:uiPriority w:val="20"/>
    <w:qFormat/>
    <w:rsid w:val="00EB5387"/>
    <w:rPr>
      <w:i/>
      <w:iCs/>
    </w:rPr>
  </w:style>
  <w:style w:type="character" w:customStyle="1" w:styleId="fontstyle01">
    <w:name w:val="fontstyle01"/>
    <w:basedOn w:val="DefaultParagraphFont"/>
    <w:rsid w:val="00EB5387"/>
    <w:rPr>
      <w:rFonts w:ascii="PhdbclAdvPTimes" w:hAnsi="PhdbclAdvPTimes" w:hint="default"/>
      <w:b w:val="0"/>
      <w:bCs w:val="0"/>
      <w:i w:val="0"/>
      <w:iCs w:val="0"/>
      <w:color w:val="000000"/>
      <w:sz w:val="20"/>
      <w:szCs w:val="20"/>
    </w:rPr>
  </w:style>
  <w:style w:type="character" w:customStyle="1" w:styleId="bold">
    <w:name w:val="bold"/>
    <w:basedOn w:val="DefaultParagraphFont"/>
    <w:rsid w:val="00EB5387"/>
  </w:style>
  <w:style w:type="character" w:styleId="Strong">
    <w:name w:val="Strong"/>
    <w:basedOn w:val="DefaultParagraphFont"/>
    <w:uiPriority w:val="22"/>
    <w:qFormat/>
    <w:rsid w:val="00EB5387"/>
    <w:rPr>
      <w:b/>
      <w:bCs/>
    </w:rPr>
  </w:style>
  <w:style w:type="character" w:customStyle="1" w:styleId="ng-star-inserted">
    <w:name w:val="ng-star-inserted"/>
    <w:basedOn w:val="DefaultParagraphFont"/>
    <w:rsid w:val="00EB5387"/>
  </w:style>
  <w:style w:type="paragraph" w:customStyle="1" w:styleId="Compact">
    <w:name w:val="Compact"/>
    <w:basedOn w:val="BodyText"/>
    <w:qFormat/>
    <w:rsid w:val="00EB5387"/>
    <w:pPr>
      <w:spacing w:before="36" w:after="36"/>
    </w:pPr>
    <w:rPr>
      <w:rFonts w:asciiTheme="minorHAnsi" w:eastAsiaTheme="minorHAnsi" w:hAnsiTheme="minorHAnsi" w:cstheme="minorBidi"/>
      <w:sz w:val="24"/>
      <w:szCs w:val="24"/>
    </w:rPr>
  </w:style>
  <w:style w:type="paragraph" w:styleId="BodyText">
    <w:name w:val="Body Text"/>
    <w:basedOn w:val="Normal"/>
    <w:link w:val="BodyTextChar"/>
    <w:uiPriority w:val="99"/>
    <w:semiHidden/>
    <w:unhideWhenUsed/>
    <w:rsid w:val="00EB5387"/>
    <w:pPr>
      <w:spacing w:after="120"/>
    </w:pPr>
  </w:style>
  <w:style w:type="character" w:customStyle="1" w:styleId="BodyTextChar">
    <w:name w:val="Body Text Char"/>
    <w:basedOn w:val="DefaultParagraphFont"/>
    <w:link w:val="BodyText"/>
    <w:uiPriority w:val="99"/>
    <w:semiHidden/>
    <w:rsid w:val="00EB5387"/>
    <w:rPr>
      <w:rFonts w:ascii="Helvetica" w:eastAsia="Times New Roman" w:hAnsi="Helvetic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6/09/relationships/commentsIds" Target="commentsIds.xml"/><Relationship Id="rId18" Type="http://schemas.openxmlformats.org/officeDocument/2006/relationships/hyperlink" Target="https://doi.org/10.18801%20/ajcsp.080123.38"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footer" Target="footer1.xml"/><Relationship Id="rId12" Type="http://schemas.microsoft.com/office/2011/relationships/commentsExtended" Target="commentsExtended.xml"/><Relationship Id="rId17" Type="http://schemas.openxmlformats.org/officeDocument/2006/relationships/hyperlink" Target="https://doi.org/10.9734/BJAST/2014/220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4720/aas.2024.120.1.16382" TargetMode="External"/><Relationship Id="rId20" Type="http://schemas.openxmlformats.org/officeDocument/2006/relationships/hyperlink" Target="https://doi.org/10.5897/AJPS2021.2202" TargetMode="Externa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comments" Target="comments.xml"/><Relationship Id="rId24" Type="http://schemas.openxmlformats.org/officeDocument/2006/relationships/header" Target="header6.xml"/><Relationship Id="rId5" Type="http://schemas.openxmlformats.org/officeDocument/2006/relationships/header" Target="header1.xml"/><Relationship Id="rId15" Type="http://schemas.openxmlformats.org/officeDocument/2006/relationships/chart" Target="charts/chart1.xml"/><Relationship Id="rId23"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s://doi.org/10.15835/nsb427566" TargetMode="External"/><Relationship Id="rId4" Type="http://schemas.openxmlformats.org/officeDocument/2006/relationships/webSettings" Target="webSettings.xml"/><Relationship Id="rId9" Type="http://schemas.openxmlformats.org/officeDocument/2006/relationships/header" Target="header3.xml"/><Relationship Id="rId14" Type="http://schemas.microsoft.com/office/2018/08/relationships/commentsExtensible" Target="commentsExtensible.xml"/><Relationship Id="rId22" Type="http://schemas.openxmlformats.org/officeDocument/2006/relationships/header" Target="header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hraf%20Shegedi\Desktop\Pumpkin%20analysis%20sheet%20(Autosaved).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cap="none">
                <a:latin typeface="Times New Roman" panose="02020603050405020304" pitchFamily="18" charset="0"/>
                <a:cs typeface="Times New Roman" panose="02020603050405020304" pitchFamily="18" charset="0"/>
              </a:rPr>
              <a:t>Figure 1. Deviations in climate variables (2020–2021 vs. 2019–2020)</a:t>
            </a:r>
          </a:p>
        </c:rich>
      </c:tx>
      <c:layout>
        <c:manualLayout>
          <c:xMode val="edge"/>
          <c:yMode val="edge"/>
          <c:x val="0.10983505154639175"/>
          <c:y val="2.7236824186299878E-2"/>
        </c:manualLayout>
      </c:layout>
      <c:overlay val="0"/>
      <c:spPr>
        <a:noFill/>
        <a:ln>
          <a:noFill/>
        </a:ln>
        <a:effectLst/>
      </c:spPr>
      <c:txPr>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0017847769028853E-2"/>
          <c:y val="9.554404401769874E-2"/>
          <c:w val="0.88047170160068022"/>
          <c:h val="0.81298059080194596"/>
        </c:manualLayout>
      </c:layout>
      <c:lineChart>
        <c:grouping val="stacked"/>
        <c:varyColors val="0"/>
        <c:ser>
          <c:idx val="0"/>
          <c:order val="0"/>
          <c:tx>
            <c:strRef>
              <c:f>Sheet2!$F$8</c:f>
              <c:strCache>
                <c:ptCount val="1"/>
                <c:pt idx="0">
                  <c:v>Mean Temp (°C)</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Sheet2!$E$9:$E$14</c:f>
              <c:strCache>
                <c:ptCount val="6"/>
                <c:pt idx="0">
                  <c:v>Nov</c:v>
                </c:pt>
                <c:pt idx="1">
                  <c:v>Dec</c:v>
                </c:pt>
                <c:pt idx="2">
                  <c:v>Jan</c:v>
                </c:pt>
                <c:pt idx="3">
                  <c:v>Feb</c:v>
                </c:pt>
                <c:pt idx="4">
                  <c:v>Mar</c:v>
                </c:pt>
                <c:pt idx="5">
                  <c:v>Apr</c:v>
                </c:pt>
              </c:strCache>
            </c:strRef>
          </c:cat>
          <c:val>
            <c:numRef>
              <c:f>Sheet2!$M$9:$M$14</c:f>
              <c:numCache>
                <c:formatCode>0.0</c:formatCode>
                <c:ptCount val="6"/>
                <c:pt idx="0">
                  <c:v>5.1000000000000014</c:v>
                </c:pt>
                <c:pt idx="1">
                  <c:v>2.5</c:v>
                </c:pt>
                <c:pt idx="2">
                  <c:v>2.1999999999999993</c:v>
                </c:pt>
                <c:pt idx="3">
                  <c:v>2</c:v>
                </c:pt>
                <c:pt idx="4">
                  <c:v>3.6999999999999993</c:v>
                </c:pt>
                <c:pt idx="5">
                  <c:v>3.8999999999999986</c:v>
                </c:pt>
              </c:numCache>
            </c:numRef>
          </c:val>
          <c:smooth val="0"/>
          <c:extLst>
            <c:ext xmlns:c16="http://schemas.microsoft.com/office/drawing/2014/chart" uri="{C3380CC4-5D6E-409C-BE32-E72D297353CC}">
              <c16:uniqueId val="{00000000-BC8F-42CD-A655-2BDF6D686442}"/>
            </c:ext>
          </c:extLst>
        </c:ser>
        <c:ser>
          <c:idx val="1"/>
          <c:order val="1"/>
          <c:tx>
            <c:strRef>
              <c:f>Sheet2!$G$8</c:f>
              <c:strCache>
                <c:ptCount val="1"/>
                <c:pt idx="0">
                  <c:v>Min Temp (°C)</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Sheet2!$E$9:$E$14</c:f>
              <c:strCache>
                <c:ptCount val="6"/>
                <c:pt idx="0">
                  <c:v>Nov</c:v>
                </c:pt>
                <c:pt idx="1">
                  <c:v>Dec</c:v>
                </c:pt>
                <c:pt idx="2">
                  <c:v>Jan</c:v>
                </c:pt>
                <c:pt idx="3">
                  <c:v>Feb</c:v>
                </c:pt>
                <c:pt idx="4">
                  <c:v>Mar</c:v>
                </c:pt>
                <c:pt idx="5">
                  <c:v>Apr</c:v>
                </c:pt>
              </c:strCache>
            </c:strRef>
          </c:cat>
          <c:val>
            <c:numRef>
              <c:f>Sheet2!$N$9:$N$14</c:f>
              <c:numCache>
                <c:formatCode>0.0</c:formatCode>
                <c:ptCount val="6"/>
                <c:pt idx="0">
                  <c:v>0.89999999999999858</c:v>
                </c:pt>
                <c:pt idx="1">
                  <c:v>0.89999999999999858</c:v>
                </c:pt>
                <c:pt idx="2">
                  <c:v>0.90000000000000036</c:v>
                </c:pt>
                <c:pt idx="3">
                  <c:v>1.7000000000000011</c:v>
                </c:pt>
                <c:pt idx="4">
                  <c:v>2.3000000000000007</c:v>
                </c:pt>
                <c:pt idx="5">
                  <c:v>2.4000000000000021</c:v>
                </c:pt>
              </c:numCache>
            </c:numRef>
          </c:val>
          <c:smooth val="0"/>
          <c:extLst>
            <c:ext xmlns:c16="http://schemas.microsoft.com/office/drawing/2014/chart" uri="{C3380CC4-5D6E-409C-BE32-E72D297353CC}">
              <c16:uniqueId val="{00000001-BC8F-42CD-A655-2BDF6D686442}"/>
            </c:ext>
          </c:extLst>
        </c:ser>
        <c:ser>
          <c:idx val="2"/>
          <c:order val="2"/>
          <c:tx>
            <c:strRef>
              <c:f>Sheet2!$H$8</c:f>
              <c:strCache>
                <c:ptCount val="1"/>
                <c:pt idx="0">
                  <c:v>Max Temp (°C)</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Sheet2!$E$9:$E$14</c:f>
              <c:strCache>
                <c:ptCount val="6"/>
                <c:pt idx="0">
                  <c:v>Nov</c:v>
                </c:pt>
                <c:pt idx="1">
                  <c:v>Dec</c:v>
                </c:pt>
                <c:pt idx="2">
                  <c:v>Jan</c:v>
                </c:pt>
                <c:pt idx="3">
                  <c:v>Feb</c:v>
                </c:pt>
                <c:pt idx="4">
                  <c:v>Mar</c:v>
                </c:pt>
                <c:pt idx="5">
                  <c:v>Apr</c:v>
                </c:pt>
              </c:strCache>
            </c:strRef>
          </c:cat>
          <c:val>
            <c:numRef>
              <c:f>Sheet2!$O$9:$O$14</c:f>
              <c:numCache>
                <c:formatCode>0.0</c:formatCode>
                <c:ptCount val="6"/>
                <c:pt idx="0">
                  <c:v>0.20000000000000284</c:v>
                </c:pt>
                <c:pt idx="1">
                  <c:v>-0.19999999999999929</c:v>
                </c:pt>
                <c:pt idx="2">
                  <c:v>0.19999999999999929</c:v>
                </c:pt>
                <c:pt idx="3">
                  <c:v>0.70000000000000284</c:v>
                </c:pt>
                <c:pt idx="4">
                  <c:v>1</c:v>
                </c:pt>
                <c:pt idx="5">
                  <c:v>0.69999999999999574</c:v>
                </c:pt>
              </c:numCache>
            </c:numRef>
          </c:val>
          <c:smooth val="0"/>
          <c:extLst>
            <c:ext xmlns:c16="http://schemas.microsoft.com/office/drawing/2014/chart" uri="{C3380CC4-5D6E-409C-BE32-E72D297353CC}">
              <c16:uniqueId val="{00000002-BC8F-42CD-A655-2BDF6D686442}"/>
            </c:ext>
          </c:extLst>
        </c:ser>
        <c:ser>
          <c:idx val="3"/>
          <c:order val="3"/>
          <c:tx>
            <c:strRef>
              <c:f>Sheet2!$I$8</c:f>
              <c:strCache>
                <c:ptCount val="1"/>
                <c:pt idx="0">
                  <c:v>Rainfall (mm)</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Sheet2!$E$9:$E$14</c:f>
              <c:strCache>
                <c:ptCount val="6"/>
                <c:pt idx="0">
                  <c:v>Nov</c:v>
                </c:pt>
                <c:pt idx="1">
                  <c:v>Dec</c:v>
                </c:pt>
                <c:pt idx="2">
                  <c:v>Jan</c:v>
                </c:pt>
                <c:pt idx="3">
                  <c:v>Feb</c:v>
                </c:pt>
                <c:pt idx="4">
                  <c:v>Mar</c:v>
                </c:pt>
                <c:pt idx="5">
                  <c:v>Apr</c:v>
                </c:pt>
              </c:strCache>
            </c:strRef>
          </c:cat>
          <c:val>
            <c:numRef>
              <c:f>Sheet2!$P$9:$P$14</c:f>
              <c:numCache>
                <c:formatCode>0.0</c:formatCode>
                <c:ptCount val="6"/>
                <c:pt idx="0">
                  <c:v>0.7</c:v>
                </c:pt>
                <c:pt idx="1">
                  <c:v>0</c:v>
                </c:pt>
                <c:pt idx="2">
                  <c:v>0</c:v>
                </c:pt>
                <c:pt idx="3">
                  <c:v>0</c:v>
                </c:pt>
                <c:pt idx="4">
                  <c:v>0.1</c:v>
                </c:pt>
                <c:pt idx="5">
                  <c:v>-1</c:v>
                </c:pt>
              </c:numCache>
            </c:numRef>
          </c:val>
          <c:smooth val="0"/>
          <c:extLst>
            <c:ext xmlns:c16="http://schemas.microsoft.com/office/drawing/2014/chart" uri="{C3380CC4-5D6E-409C-BE32-E72D297353CC}">
              <c16:uniqueId val="{00000003-BC8F-42CD-A655-2BDF6D686442}"/>
            </c:ext>
          </c:extLst>
        </c:ser>
        <c:ser>
          <c:idx val="4"/>
          <c:order val="4"/>
          <c:tx>
            <c:strRef>
              <c:f>Sheet2!$J$8</c:f>
              <c:strCache>
                <c:ptCount val="1"/>
                <c:pt idx="0">
                  <c:v>RH (%)</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Sheet2!$E$9:$E$14</c:f>
              <c:strCache>
                <c:ptCount val="6"/>
                <c:pt idx="0">
                  <c:v>Nov</c:v>
                </c:pt>
                <c:pt idx="1">
                  <c:v>Dec</c:v>
                </c:pt>
                <c:pt idx="2">
                  <c:v>Jan</c:v>
                </c:pt>
                <c:pt idx="3">
                  <c:v>Feb</c:v>
                </c:pt>
                <c:pt idx="4">
                  <c:v>Mar</c:v>
                </c:pt>
                <c:pt idx="5">
                  <c:v>Apr</c:v>
                </c:pt>
              </c:strCache>
            </c:strRef>
          </c:cat>
          <c:val>
            <c:numRef>
              <c:f>Sheet2!$Q$9:$Q$14</c:f>
              <c:numCache>
                <c:formatCode>0.0</c:formatCode>
                <c:ptCount val="6"/>
                <c:pt idx="0">
                  <c:v>2</c:v>
                </c:pt>
                <c:pt idx="1">
                  <c:v>1</c:v>
                </c:pt>
                <c:pt idx="2">
                  <c:v>-5</c:v>
                </c:pt>
                <c:pt idx="3">
                  <c:v>-1</c:v>
                </c:pt>
                <c:pt idx="4">
                  <c:v>15</c:v>
                </c:pt>
                <c:pt idx="5">
                  <c:v>-5</c:v>
                </c:pt>
              </c:numCache>
            </c:numRef>
          </c:val>
          <c:smooth val="0"/>
          <c:extLst>
            <c:ext xmlns:c16="http://schemas.microsoft.com/office/drawing/2014/chart" uri="{C3380CC4-5D6E-409C-BE32-E72D297353CC}">
              <c16:uniqueId val="{00000004-BC8F-42CD-A655-2BDF6D686442}"/>
            </c:ext>
          </c:extLst>
        </c:ser>
        <c:dLbls>
          <c:showLegendKey val="0"/>
          <c:showVal val="0"/>
          <c:showCatName val="0"/>
          <c:showSerName val="0"/>
          <c:showPercent val="0"/>
          <c:showBubbleSize val="0"/>
        </c:dLbls>
        <c:marker val="1"/>
        <c:smooth val="0"/>
        <c:axId val="29549008"/>
        <c:axId val="29549552"/>
      </c:lineChart>
      <c:catAx>
        <c:axId val="29549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mn-lt"/>
                <a:ea typeface="+mn-ea"/>
                <a:cs typeface="+mn-cs"/>
              </a:defRPr>
            </a:pPr>
            <a:endParaRPr lang="en-US"/>
          </a:p>
        </c:txPr>
        <c:crossAx val="29549552"/>
        <c:crossesAt val="0"/>
        <c:auto val="1"/>
        <c:lblAlgn val="ctr"/>
        <c:lblOffset val="100"/>
        <c:noMultiLvlLbl val="0"/>
      </c:catAx>
      <c:valAx>
        <c:axId val="29549552"/>
        <c:scaling>
          <c:orientation val="minMax"/>
        </c:scaling>
        <c:delete val="0"/>
        <c:axPos val="l"/>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29549008"/>
        <c:crosses val="autoZero"/>
        <c:crossBetween val="between"/>
        <c:majorUnit val="2"/>
      </c:valAx>
      <c:spPr>
        <a:noFill/>
        <a:ln>
          <a:noFill/>
        </a:ln>
        <a:effectLst/>
      </c:spPr>
    </c:plotArea>
    <c:legend>
      <c:legendPos val="t"/>
      <c:layout>
        <c:manualLayout>
          <c:xMode val="edge"/>
          <c:yMode val="edge"/>
          <c:x val="9.4871794871794868E-2"/>
          <c:y val="0.92893912569794357"/>
          <c:w val="0.9"/>
          <c:h val="5.0910342594211004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4422</Words>
  <Characters>25208</Characters>
  <Application>Microsoft Office Word</Application>
  <DocSecurity>0</DocSecurity>
  <Lines>210</Lines>
  <Paragraphs>59</Paragraphs>
  <ScaleCrop>false</ScaleCrop>
  <Company/>
  <LinksUpToDate>false</LinksUpToDate>
  <CharactersWithSpaces>29571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Gangadhar K</dc:creator>
  <cp:keywords/>
  <dc:description/>
  <cp:lastModifiedBy>Gangadhar K</cp:lastModifiedBy>
  <cp:revision>3</cp:revision>
  <dcterms:created xsi:type="dcterms:W3CDTF">2025-07-08T11:46:00Z</dcterms:created>
  <dcterms:modified xsi:type="dcterms:W3CDTF">2025-07-08T11:47:00Z</dcterms:modified>
</cp:coreProperties>
</file>