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16" w:rsidRDefault="00081D92" w:rsidP="00264B6F">
      <w:pPr>
        <w:ind w:right="970"/>
        <w:jc w:val="center"/>
        <w:rPr>
          <w:rFonts w:ascii="Times New Roman" w:hAnsi="Times New Roman" w:cs="Times New Roman"/>
          <w:b/>
          <w:bCs/>
          <w:color w:val="000000" w:themeColor="text1"/>
          <w:sz w:val="28"/>
          <w:szCs w:val="28"/>
        </w:rPr>
      </w:pPr>
      <w:r w:rsidRPr="00DB2FFB">
        <w:rPr>
          <w:rFonts w:ascii="Times New Roman" w:hAnsi="Times New Roman" w:cs="Times New Roman"/>
          <w:b/>
          <w:bCs/>
          <w:color w:val="000000" w:themeColor="text1"/>
          <w:sz w:val="28"/>
          <w:szCs w:val="28"/>
        </w:rPr>
        <w:t>Influence</w:t>
      </w:r>
      <w:r w:rsidR="00264B6F" w:rsidRPr="00DB2FFB">
        <w:rPr>
          <w:rFonts w:ascii="Times New Roman" w:hAnsi="Times New Roman" w:cs="Times New Roman"/>
          <w:b/>
          <w:bCs/>
          <w:color w:val="000000" w:themeColor="text1"/>
          <w:sz w:val="28"/>
          <w:szCs w:val="28"/>
        </w:rPr>
        <w:t xml:space="preserve"> of </w:t>
      </w:r>
      <w:r w:rsidRPr="00DB2FFB">
        <w:rPr>
          <w:rFonts w:ascii="Times New Roman" w:hAnsi="Times New Roman" w:cs="Times New Roman"/>
          <w:b/>
          <w:bCs/>
          <w:color w:val="000000" w:themeColor="text1"/>
          <w:sz w:val="28"/>
          <w:szCs w:val="28"/>
        </w:rPr>
        <w:t xml:space="preserve">integrated nutrient management </w:t>
      </w:r>
      <w:r w:rsidR="00264B6F" w:rsidRPr="00DB2FFB">
        <w:rPr>
          <w:rFonts w:ascii="Times New Roman" w:hAnsi="Times New Roman" w:cs="Times New Roman"/>
          <w:b/>
          <w:bCs/>
          <w:color w:val="000000" w:themeColor="text1"/>
          <w:sz w:val="28"/>
          <w:szCs w:val="28"/>
        </w:rPr>
        <w:t xml:space="preserve">on </w:t>
      </w:r>
      <w:r w:rsidR="00370437" w:rsidRPr="00DB2FFB">
        <w:rPr>
          <w:rFonts w:ascii="Times New Roman" w:hAnsi="Times New Roman" w:cs="Times New Roman"/>
          <w:b/>
          <w:color w:val="000000" w:themeColor="text1"/>
          <w:sz w:val="28"/>
          <w:szCs w:val="28"/>
        </w:rPr>
        <w:t>growth, yield and quality</w:t>
      </w:r>
      <w:r w:rsidR="00482A15">
        <w:rPr>
          <w:rFonts w:ascii="Times New Roman" w:hAnsi="Times New Roman" w:cs="Times New Roman"/>
          <w:b/>
          <w:color w:val="000000" w:themeColor="text1"/>
          <w:sz w:val="28"/>
          <w:szCs w:val="28"/>
        </w:rPr>
        <w:t xml:space="preserve"> </w:t>
      </w:r>
      <w:r w:rsidR="00264B6F" w:rsidRPr="00DB2FFB">
        <w:rPr>
          <w:rFonts w:ascii="Times New Roman" w:hAnsi="Times New Roman" w:cs="Times New Roman"/>
          <w:b/>
          <w:bCs/>
          <w:color w:val="000000" w:themeColor="text1"/>
          <w:sz w:val="28"/>
          <w:szCs w:val="28"/>
        </w:rPr>
        <w:t>of</w:t>
      </w:r>
      <w:r w:rsidR="00482A15">
        <w:rPr>
          <w:rFonts w:ascii="Times New Roman" w:hAnsi="Times New Roman" w:cs="Times New Roman"/>
          <w:b/>
          <w:bCs/>
          <w:color w:val="000000" w:themeColor="text1"/>
          <w:sz w:val="28"/>
          <w:szCs w:val="28"/>
        </w:rPr>
        <w:t xml:space="preserve"> </w:t>
      </w:r>
      <w:r w:rsidRPr="00DB2FFB">
        <w:rPr>
          <w:rFonts w:ascii="Times New Roman" w:hAnsi="Times New Roman" w:cs="Times New Roman"/>
          <w:b/>
          <w:bCs/>
          <w:color w:val="000000" w:themeColor="text1"/>
          <w:sz w:val="28"/>
          <w:szCs w:val="28"/>
        </w:rPr>
        <w:t>Wheat</w:t>
      </w:r>
      <w:r w:rsidR="00264B6F" w:rsidRPr="00DB2FFB">
        <w:rPr>
          <w:rFonts w:ascii="Times New Roman" w:hAnsi="Times New Roman" w:cs="Times New Roman"/>
          <w:b/>
          <w:bCs/>
          <w:color w:val="000000" w:themeColor="text1"/>
          <w:sz w:val="28"/>
          <w:szCs w:val="28"/>
        </w:rPr>
        <w:t xml:space="preserve"> (</w:t>
      </w:r>
      <w:r w:rsidRPr="00DB2FFB">
        <w:rPr>
          <w:rFonts w:ascii="Times New Roman" w:hAnsi="Times New Roman"/>
          <w:b/>
          <w:bCs/>
          <w:i/>
          <w:iCs/>
          <w:color w:val="000000" w:themeColor="text1"/>
          <w:sz w:val="28"/>
          <w:szCs w:val="28"/>
        </w:rPr>
        <w:t>Triticum</w:t>
      </w:r>
      <w:r w:rsidR="00482A15">
        <w:rPr>
          <w:rFonts w:ascii="Times New Roman" w:hAnsi="Times New Roman"/>
          <w:b/>
          <w:bCs/>
          <w:i/>
          <w:iCs/>
          <w:color w:val="000000" w:themeColor="text1"/>
          <w:sz w:val="28"/>
          <w:szCs w:val="28"/>
        </w:rPr>
        <w:t xml:space="preserve"> </w:t>
      </w:r>
      <w:r w:rsidRPr="00DB2FFB">
        <w:rPr>
          <w:rFonts w:ascii="Times New Roman" w:hAnsi="Times New Roman"/>
          <w:b/>
          <w:bCs/>
          <w:i/>
          <w:iCs/>
          <w:color w:val="000000" w:themeColor="text1"/>
          <w:sz w:val="28"/>
          <w:szCs w:val="28"/>
        </w:rPr>
        <w:t>aestivum</w:t>
      </w:r>
      <w:r w:rsidR="00482A15">
        <w:rPr>
          <w:rFonts w:ascii="Times New Roman" w:hAnsi="Times New Roman"/>
          <w:b/>
          <w:bCs/>
          <w:i/>
          <w:iCs/>
          <w:color w:val="000000" w:themeColor="text1"/>
          <w:sz w:val="28"/>
          <w:szCs w:val="28"/>
        </w:rPr>
        <w:t xml:space="preserve"> </w:t>
      </w:r>
      <w:r w:rsidR="00264B6F" w:rsidRPr="00DB2FFB">
        <w:rPr>
          <w:rFonts w:ascii="Times New Roman" w:hAnsi="Times New Roman" w:cs="Times New Roman"/>
          <w:b/>
          <w:bCs/>
          <w:color w:val="000000" w:themeColor="text1"/>
          <w:sz w:val="28"/>
          <w:szCs w:val="28"/>
        </w:rPr>
        <w:t>L.)</w:t>
      </w:r>
    </w:p>
    <w:p w:rsidR="00987721" w:rsidRPr="00DB2FFB" w:rsidRDefault="00987721" w:rsidP="00264B6F">
      <w:pPr>
        <w:ind w:right="970"/>
        <w:jc w:val="center"/>
        <w:rPr>
          <w:rFonts w:ascii="Times New Roman" w:hAnsi="Times New Roman" w:cs="Times New Roman"/>
          <w:b/>
          <w:bCs/>
          <w:color w:val="000000" w:themeColor="text1"/>
          <w:sz w:val="28"/>
          <w:szCs w:val="28"/>
        </w:rPr>
      </w:pPr>
    </w:p>
    <w:p w:rsidR="004C519F" w:rsidRPr="00DB2FFB" w:rsidRDefault="00A774B5" w:rsidP="00A774B5">
      <w:pPr>
        <w:ind w:right="97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ABSTRACT</w:t>
      </w:r>
    </w:p>
    <w:p w:rsidR="00925240" w:rsidRPr="00DB2FFB" w:rsidRDefault="00925240" w:rsidP="00BA2515">
      <w:pPr>
        <w:spacing w:line="360" w:lineRule="auto"/>
        <w:ind w:right="403" w:firstLine="720"/>
        <w:jc w:val="both"/>
        <w:rPr>
          <w:rFonts w:ascii="Times New Roman" w:hAnsi="Times New Roman" w:cs="Times New Roman"/>
          <w:color w:val="000000" w:themeColor="text1"/>
          <w:sz w:val="28"/>
          <w:szCs w:val="28"/>
          <w:vertAlign w:val="subscript"/>
        </w:rPr>
      </w:pPr>
      <w:r w:rsidRPr="00DB2FFB">
        <w:rPr>
          <w:rFonts w:ascii="Times New Roman" w:hAnsi="Times New Roman" w:cs="Times New Roman"/>
          <w:color w:val="000000" w:themeColor="text1"/>
          <w:sz w:val="24"/>
          <w:szCs w:val="24"/>
        </w:rPr>
        <w:t xml:space="preserve">Integrated Nutrient Management (INM) has emerged as a sustainable approach to enhance crop productivity </w:t>
      </w:r>
      <w:r w:rsidR="00B4355A" w:rsidRPr="00B4355A">
        <w:rPr>
          <w:rFonts w:ascii="Times New Roman" w:hAnsi="Times New Roman" w:cs="Times New Roman"/>
          <w:color w:val="FF0000"/>
          <w:sz w:val="24"/>
          <w:szCs w:val="24"/>
        </w:rPr>
        <w:t>as well</w:t>
      </w:r>
      <w:r w:rsidR="00B4355A">
        <w:rPr>
          <w:rFonts w:ascii="Times New Roman" w:hAnsi="Times New Roman" w:cs="Times New Roman"/>
          <w:color w:val="000000" w:themeColor="text1"/>
          <w:sz w:val="24"/>
          <w:szCs w:val="24"/>
        </w:rPr>
        <w:t xml:space="preserve"> </w:t>
      </w:r>
      <w:r w:rsidRPr="00DB2FFB">
        <w:rPr>
          <w:rFonts w:ascii="Times New Roman" w:hAnsi="Times New Roman" w:cs="Times New Roman"/>
          <w:color w:val="000000" w:themeColor="text1"/>
          <w:sz w:val="24"/>
          <w:szCs w:val="24"/>
        </w:rPr>
        <w:t>maintaining soil health. This study investigates the effect of various INM practices on the growth parameters, yield components, and quality attributes of wheat (</w:t>
      </w:r>
      <w:r w:rsidRPr="00DB2FFB">
        <w:rPr>
          <w:rStyle w:val="Emphasis"/>
          <w:rFonts w:ascii="Times New Roman" w:hAnsi="Times New Roman" w:cs="Times New Roman"/>
          <w:color w:val="000000" w:themeColor="text1"/>
          <w:sz w:val="24"/>
          <w:szCs w:val="24"/>
        </w:rPr>
        <w:t>Triticum aestivum</w:t>
      </w:r>
      <w:r w:rsidRPr="00DB2FFB">
        <w:rPr>
          <w:rFonts w:ascii="Times New Roman" w:hAnsi="Times New Roman" w:cs="Times New Roman"/>
          <w:color w:val="000000" w:themeColor="text1"/>
          <w:sz w:val="24"/>
          <w:szCs w:val="24"/>
        </w:rPr>
        <w:t xml:space="preserve"> L.) during the 2022–23 and 2023–24 cropping seasons. The experimental treatments comprised different combinations of chemical fertilizers, organic manures, and biofertilizers. Results revealed that</w:t>
      </w:r>
      <w:r w:rsidR="000E6873">
        <w:rPr>
          <w:rFonts w:ascii="Times New Roman" w:hAnsi="Times New Roman" w:cs="Times New Roman"/>
          <w:color w:val="000000" w:themeColor="text1"/>
          <w:sz w:val="24"/>
          <w:szCs w:val="24"/>
        </w:rPr>
        <w:t xml:space="preserve"> </w:t>
      </w:r>
      <w:r w:rsidR="000E6873" w:rsidRPr="000E6873">
        <w:rPr>
          <w:rFonts w:ascii="Times New Roman" w:hAnsi="Times New Roman" w:cs="Times New Roman"/>
          <w:color w:val="FF0000"/>
          <w:sz w:val="24"/>
          <w:szCs w:val="24"/>
        </w:rPr>
        <w:t>the</w:t>
      </w:r>
      <w:r w:rsidRPr="000E6873">
        <w:rPr>
          <w:rFonts w:ascii="Times New Roman" w:hAnsi="Times New Roman" w:cs="Times New Roman"/>
          <w:color w:val="FF0000"/>
          <w:sz w:val="24"/>
          <w:szCs w:val="24"/>
        </w:rPr>
        <w:t xml:space="preserve"> </w:t>
      </w:r>
      <w:r w:rsidRPr="00DB2FFB">
        <w:rPr>
          <w:rFonts w:ascii="Times New Roman" w:hAnsi="Times New Roman" w:cs="Times New Roman"/>
          <w:color w:val="000000" w:themeColor="text1"/>
          <w:sz w:val="24"/>
          <w:szCs w:val="24"/>
        </w:rPr>
        <w:t xml:space="preserve">integrated nutrient application significantly improved plant height, number of tillers per meter row length, and dry matter accumulation (DMA) at harvest. Furthermore, INM treatments recorded higher grain yield and improved grain quality in terms of protein content and 1000-grain weight, compared </w:t>
      </w:r>
      <w:r w:rsidRPr="000E6873">
        <w:rPr>
          <w:rFonts w:ascii="Times New Roman" w:hAnsi="Times New Roman" w:cs="Times New Roman"/>
          <w:color w:val="FF0000"/>
          <w:sz w:val="24"/>
          <w:szCs w:val="24"/>
        </w:rPr>
        <w:t>to control</w:t>
      </w:r>
      <w:r w:rsidRPr="00DB2FFB">
        <w:rPr>
          <w:rFonts w:ascii="Times New Roman" w:hAnsi="Times New Roman" w:cs="Times New Roman"/>
          <w:color w:val="000000" w:themeColor="text1"/>
          <w:sz w:val="24"/>
          <w:szCs w:val="24"/>
        </w:rPr>
        <w:t xml:space="preserve"> and sole fertilizer applications. </w:t>
      </w:r>
      <w:r w:rsidRPr="000E6873">
        <w:rPr>
          <w:rFonts w:ascii="Times New Roman" w:hAnsi="Times New Roman" w:cs="Times New Roman"/>
          <w:color w:val="FF0000"/>
          <w:sz w:val="24"/>
          <w:szCs w:val="24"/>
        </w:rPr>
        <w:t>The</w:t>
      </w:r>
      <w:r w:rsidR="000E6873" w:rsidRPr="000E6873">
        <w:rPr>
          <w:rFonts w:ascii="Times New Roman" w:hAnsi="Times New Roman" w:cs="Times New Roman"/>
          <w:color w:val="FF0000"/>
          <w:sz w:val="24"/>
          <w:szCs w:val="24"/>
        </w:rPr>
        <w:t>se</w:t>
      </w:r>
      <w:r w:rsidRPr="00DB2FFB">
        <w:rPr>
          <w:rFonts w:ascii="Times New Roman" w:hAnsi="Times New Roman" w:cs="Times New Roman"/>
          <w:color w:val="000000" w:themeColor="text1"/>
          <w:sz w:val="24"/>
          <w:szCs w:val="24"/>
        </w:rPr>
        <w:t xml:space="preserve"> findings underscore the importance of adopting INM strategies for sustainable wheat production, ensuring long-term fertility and productivi</w:t>
      </w:r>
      <w:bookmarkStart w:id="0" w:name="_GoBack"/>
      <w:bookmarkEnd w:id="0"/>
      <w:r w:rsidRPr="00DB2FFB">
        <w:rPr>
          <w:rFonts w:ascii="Times New Roman" w:hAnsi="Times New Roman" w:cs="Times New Roman"/>
          <w:color w:val="000000" w:themeColor="text1"/>
          <w:sz w:val="24"/>
          <w:szCs w:val="24"/>
        </w:rPr>
        <w:t>ty of soils.</w:t>
      </w:r>
    </w:p>
    <w:p w:rsidR="00925240" w:rsidRPr="00DB2FFB" w:rsidRDefault="00925240" w:rsidP="00925240">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7"/>
          <w:szCs w:val="27"/>
          <w:lang w:eastAsia="en-IN" w:bidi="hi-IN"/>
        </w:rPr>
      </w:pPr>
      <w:r w:rsidRPr="00DB2FFB">
        <w:rPr>
          <w:rFonts w:ascii="Times New Roman" w:eastAsia="Times New Roman" w:hAnsi="Times New Roman" w:cs="Times New Roman"/>
          <w:b/>
          <w:bCs/>
          <w:color w:val="000000" w:themeColor="text1"/>
          <w:kern w:val="0"/>
          <w:sz w:val="27"/>
          <w:szCs w:val="27"/>
          <w:lang w:eastAsia="en-IN" w:bidi="hi-IN"/>
        </w:rPr>
        <w:t>Keywords</w:t>
      </w:r>
    </w:p>
    <w:p w:rsidR="00925240" w:rsidRPr="00DB2FFB" w:rsidRDefault="00925240" w:rsidP="0092524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b/>
          <w:bCs/>
          <w:color w:val="000000" w:themeColor="text1"/>
          <w:kern w:val="0"/>
          <w:sz w:val="24"/>
          <w:szCs w:val="24"/>
          <w:lang w:eastAsia="en-IN" w:bidi="hi-IN"/>
        </w:rPr>
        <w:t>Wheat (</w:t>
      </w:r>
      <w:r w:rsidRPr="00DB2FFB">
        <w:rPr>
          <w:rFonts w:ascii="Times New Roman" w:eastAsia="Times New Roman" w:hAnsi="Times New Roman" w:cs="Times New Roman"/>
          <w:b/>
          <w:bCs/>
          <w:i/>
          <w:iCs/>
          <w:color w:val="000000" w:themeColor="text1"/>
          <w:kern w:val="0"/>
          <w:sz w:val="24"/>
          <w:szCs w:val="24"/>
          <w:lang w:eastAsia="en-IN" w:bidi="hi-IN"/>
        </w:rPr>
        <w:t>Triticum aestivum</w:t>
      </w:r>
      <w:r w:rsidRPr="00DB2FFB">
        <w:rPr>
          <w:rFonts w:ascii="Times New Roman" w:eastAsia="Times New Roman" w:hAnsi="Times New Roman" w:cs="Times New Roman"/>
          <w:b/>
          <w:bCs/>
          <w:color w:val="000000" w:themeColor="text1"/>
          <w:kern w:val="0"/>
          <w:sz w:val="24"/>
          <w:szCs w:val="24"/>
          <w:lang w:eastAsia="en-IN" w:bidi="hi-IN"/>
        </w:rPr>
        <w:t xml:space="preserve"> L.), Integrated Nutrient Management (INM), Growth Parameters, Yield, Grain Quality, Soil Fertility, Sustainable Agriculture</w:t>
      </w:r>
      <w:r w:rsidRPr="00DB2FFB">
        <w:rPr>
          <w:rFonts w:ascii="Times New Roman" w:eastAsia="Times New Roman" w:hAnsi="Times New Roman" w:cs="Times New Roman"/>
          <w:color w:val="000000" w:themeColor="text1"/>
          <w:kern w:val="0"/>
          <w:sz w:val="24"/>
          <w:szCs w:val="24"/>
          <w:lang w:eastAsia="en-IN" w:bidi="hi-IN"/>
        </w:rPr>
        <w:t>.</w:t>
      </w:r>
    </w:p>
    <w:p w:rsidR="00DE02AF" w:rsidRPr="00DB2FFB" w:rsidRDefault="00DE02AF" w:rsidP="00DE02AF">
      <w:pPr>
        <w:ind w:right="732"/>
        <w:jc w:val="both"/>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Introduction</w:t>
      </w:r>
    </w:p>
    <w:p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Wheat (Triticum aestivum L.) is one of the most widely cultivated cereal crops globally, serving as a principal source of calories and proteins for a substantial proportion of the world population. In India, it ranks second in terms of area and production after rice, playing a vital role in food security and agricultural sustainability. To address the increasing food demands due to population growth, enhancing wheat productivity in a sustainable manner has become imperative.</w:t>
      </w:r>
    </w:p>
    <w:p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 xml:space="preserve">Conventional agricultural practices often rely heavily on chemical fertilizers to achieve high yields. However, continuous and imbalanced use of these inputs has led to the deterioration of soil health, reduced nutrient use efficiency, and environmental concerns such as groundwater pollution and greenhouse gas emissions </w:t>
      </w:r>
      <w:r w:rsidRPr="002A0EB9">
        <w:rPr>
          <w:rFonts w:ascii="Times New Roman" w:eastAsia="Arial+FPEF" w:hAnsi="Times New Roman" w:cs="Times New Roman"/>
          <w:color w:val="FF0000"/>
          <w:sz w:val="24"/>
          <w:szCs w:val="24"/>
        </w:rPr>
        <w:t>(Tandon, 2001)</w:t>
      </w:r>
      <w:r w:rsidR="002A0EB9">
        <w:rPr>
          <w:rFonts w:ascii="Times New Roman" w:eastAsia="Arial+FPEF" w:hAnsi="Times New Roman" w:cs="Times New Roman"/>
          <w:color w:val="FF0000"/>
          <w:sz w:val="24"/>
          <w:szCs w:val="24"/>
        </w:rPr>
        <w:t xml:space="preserve"> – missing in the reference part</w:t>
      </w:r>
      <w:r w:rsidRPr="002A0EB9">
        <w:rPr>
          <w:rFonts w:ascii="Times New Roman" w:eastAsia="Arial+FPEF" w:hAnsi="Times New Roman" w:cs="Times New Roman"/>
          <w:color w:val="FF0000"/>
          <w:sz w:val="24"/>
          <w:szCs w:val="24"/>
        </w:rPr>
        <w:t>.</w:t>
      </w:r>
      <w:r w:rsidRPr="00DB2FFB">
        <w:rPr>
          <w:rFonts w:ascii="Times New Roman" w:eastAsia="Arial+FPEF" w:hAnsi="Times New Roman" w:cs="Times New Roman"/>
          <w:color w:val="000000" w:themeColor="text1"/>
          <w:sz w:val="24"/>
          <w:szCs w:val="24"/>
        </w:rPr>
        <w:t xml:space="preserve"> These issues necessitate the adoption of alternative nutrient management strategies that can ensure both productivity and environmental sustainability.</w:t>
      </w:r>
    </w:p>
    <w:p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 xml:space="preserve">Integrated Nutrient Management (INM) is a holistic approach that aims to optimize the use of chemical fertilizers in conjunction with organic manures (e.g., farmyard manure, vermicompost) and biofertilizers (e.g., Azotobacter). This strategy not only supplies essential nutrients but also improves soil physicochemical and biological properties, thereby enhancing </w:t>
      </w:r>
      <w:r w:rsidRPr="00DB2FFB">
        <w:rPr>
          <w:rFonts w:ascii="Times New Roman" w:eastAsia="Arial+FPEF" w:hAnsi="Times New Roman" w:cs="Times New Roman"/>
          <w:color w:val="000000" w:themeColor="text1"/>
          <w:sz w:val="24"/>
          <w:szCs w:val="24"/>
        </w:rPr>
        <w:lastRenderedPageBreak/>
        <w:t xml:space="preserve">nutrient availability and uptake, crop productivity, and soil microbial activity (Mishra </w:t>
      </w:r>
      <w:r w:rsidRPr="002A0EB9">
        <w:rPr>
          <w:rFonts w:ascii="Times New Roman" w:eastAsia="Arial+FPEF" w:hAnsi="Times New Roman" w:cs="Times New Roman"/>
          <w:i/>
          <w:color w:val="000000" w:themeColor="text1"/>
          <w:sz w:val="24"/>
          <w:szCs w:val="24"/>
        </w:rPr>
        <w:t>et al.,</w:t>
      </w:r>
      <w:r w:rsidRPr="00DB2FFB">
        <w:rPr>
          <w:rFonts w:ascii="Times New Roman" w:eastAsia="Arial+FPEF" w:hAnsi="Times New Roman" w:cs="Times New Roman"/>
          <w:color w:val="000000" w:themeColor="text1"/>
          <w:sz w:val="24"/>
          <w:szCs w:val="24"/>
        </w:rPr>
        <w:t xml:space="preserve"> 2013; Kumar </w:t>
      </w:r>
      <w:r w:rsidRPr="002A0EB9">
        <w:rPr>
          <w:rFonts w:ascii="Times New Roman" w:eastAsia="Arial+FPEF" w:hAnsi="Times New Roman" w:cs="Times New Roman"/>
          <w:i/>
          <w:color w:val="000000" w:themeColor="text1"/>
          <w:sz w:val="24"/>
          <w:szCs w:val="24"/>
        </w:rPr>
        <w:t>et al</w:t>
      </w:r>
      <w:r w:rsidRPr="00DB2FFB">
        <w:rPr>
          <w:rFonts w:ascii="Times New Roman" w:eastAsia="Arial+FPEF" w:hAnsi="Times New Roman" w:cs="Times New Roman"/>
          <w:color w:val="000000" w:themeColor="text1"/>
          <w:sz w:val="24"/>
          <w:szCs w:val="24"/>
        </w:rPr>
        <w:t>., 2019).</w:t>
      </w:r>
    </w:p>
    <w:p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 xml:space="preserve">Empirical studies have demonstrated that INM significantly improves growth parameters such as plant height, number of tillers, and dry matter accumulation, as well as yield and quality attributes in wheat (Jat et al., 2020; Verma et al., 2021). The synergistic interaction of chemical and organic sources enhances nitrogen fixation, auxin production, and nutrient synchrony, leading to improved biomass production and grain yield (Yadav et al., 2018). Furthermore, INM contributes to improved protein content and protein yield in wheat grain, likely due to better nitrogen assimilation and micronutrient availability (Mandal </w:t>
      </w:r>
      <w:r w:rsidRPr="002A0EB9">
        <w:rPr>
          <w:rFonts w:ascii="Times New Roman" w:eastAsia="Arial+FPEF" w:hAnsi="Times New Roman" w:cs="Times New Roman"/>
          <w:i/>
          <w:color w:val="000000" w:themeColor="text1"/>
          <w:sz w:val="24"/>
          <w:szCs w:val="24"/>
        </w:rPr>
        <w:t>et al.,</w:t>
      </w:r>
      <w:r w:rsidRPr="00DB2FFB">
        <w:rPr>
          <w:rFonts w:ascii="Times New Roman" w:eastAsia="Arial+FPEF" w:hAnsi="Times New Roman" w:cs="Times New Roman"/>
          <w:color w:val="000000" w:themeColor="text1"/>
          <w:sz w:val="24"/>
          <w:szCs w:val="24"/>
        </w:rPr>
        <w:t xml:space="preserve"> 2020; Singh et al., 2017).</w:t>
      </w:r>
    </w:p>
    <w:p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In this context, the present investigation was undertaken to evaluate the impact of various INM strategies on the growth, yield components, and grain quality of wheat over two consecutive cropping seasons. The study aims to provide insights into the optimal integration of nutrient sources for achieving sustainable wheat production under field conditions.</w:t>
      </w:r>
    </w:p>
    <w:p w:rsidR="00A57FFE" w:rsidRPr="00DB2FFB" w:rsidRDefault="00A57FFE" w:rsidP="00A57FFE">
      <w:pPr>
        <w:spacing w:line="360" w:lineRule="auto"/>
        <w:jc w:val="both"/>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Material and Methods</w:t>
      </w:r>
    </w:p>
    <w:p w:rsidR="00AF0C98" w:rsidRPr="00DB2FFB" w:rsidRDefault="00035FC9" w:rsidP="00591A2D">
      <w:pPr>
        <w:tabs>
          <w:tab w:val="left" w:pos="142"/>
          <w:tab w:val="left" w:pos="709"/>
        </w:tabs>
        <w:autoSpaceDE w:val="0"/>
        <w:autoSpaceDN w:val="0"/>
        <w:adjustRightInd w:val="0"/>
        <w:spacing w:after="0" w:line="360" w:lineRule="auto"/>
        <w:ind w:right="687"/>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ab/>
      </w:r>
      <w:r w:rsidRPr="00DB2FFB">
        <w:rPr>
          <w:rFonts w:ascii="Times New Roman" w:hAnsi="Times New Roman" w:cs="Times New Roman"/>
          <w:color w:val="000000" w:themeColor="text1"/>
          <w:sz w:val="24"/>
          <w:szCs w:val="24"/>
        </w:rPr>
        <w:tab/>
      </w:r>
      <w:r w:rsidR="00AF0C98" w:rsidRPr="00DB2FFB">
        <w:rPr>
          <w:rFonts w:ascii="Times New Roman" w:hAnsi="Times New Roman" w:cs="Times New Roman"/>
          <w:color w:val="000000" w:themeColor="text1"/>
          <w:sz w:val="24"/>
          <w:szCs w:val="24"/>
        </w:rPr>
        <w:t>The field experiment was conducted at Agriculture Research Farm of J.V. College, Baraut (Baghpat) Uttar Pradesh, located at latitude of 29</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 xml:space="preserve"> 40′ N and longitude of 77</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 xml:space="preserve"> 42′ E at an elevation of 237 meters above the mean sea level. Meerut enjoys semi-arid and sub-tropical climate with extremely hot summer and cold winter, minimum and maximum temperature both exhibit a gradual decrease starting from first week of October and reach their minimum in December and January. An increase in the temperature is recorded with effect from first week of February and peak value is noticed in 4</w:t>
      </w:r>
      <w:r w:rsidR="00AF0C98" w:rsidRPr="00DB2FFB">
        <w:rPr>
          <w:rFonts w:ascii="Times New Roman" w:hAnsi="Times New Roman" w:cs="Times New Roman"/>
          <w:color w:val="000000" w:themeColor="text1"/>
          <w:sz w:val="24"/>
          <w:szCs w:val="24"/>
          <w:vertAlign w:val="superscript"/>
        </w:rPr>
        <w:t xml:space="preserve">th </w:t>
      </w:r>
      <w:r w:rsidR="00AF0C98" w:rsidRPr="00DB2FFB">
        <w:rPr>
          <w:rFonts w:ascii="Times New Roman" w:hAnsi="Times New Roman" w:cs="Times New Roman"/>
          <w:color w:val="000000" w:themeColor="text1"/>
          <w:sz w:val="24"/>
          <w:szCs w:val="24"/>
        </w:rPr>
        <w:t>week of May. Occasional frost is also experienced during second fort</w:t>
      </w:r>
      <w:r w:rsidR="006234DF" w:rsidRPr="00DB2FFB">
        <w:rPr>
          <w:rFonts w:ascii="Times New Roman" w:hAnsi="Times New Roman" w:cs="Times New Roman"/>
          <w:color w:val="000000" w:themeColor="text1"/>
          <w:sz w:val="24"/>
          <w:szCs w:val="24"/>
        </w:rPr>
        <w:t xml:space="preserve">h </w:t>
      </w:r>
      <w:r w:rsidR="00AF0C98" w:rsidRPr="00DB2FFB">
        <w:rPr>
          <w:rFonts w:ascii="Times New Roman" w:hAnsi="Times New Roman" w:cs="Times New Roman"/>
          <w:color w:val="000000" w:themeColor="text1"/>
          <w:sz w:val="24"/>
          <w:szCs w:val="24"/>
        </w:rPr>
        <w:t>night of December and January. The mean weekly minimum temperature reaches as low as 4.3</w:t>
      </w:r>
      <w:r w:rsidR="00AF0C98" w:rsidRPr="00DB2FFB">
        <w:rPr>
          <w:rFonts w:ascii="Times New Roman" w:hAnsi="Times New Roman" w:cs="Times New Roman"/>
          <w:color w:val="000000" w:themeColor="text1"/>
          <w:sz w:val="24"/>
          <w:szCs w:val="24"/>
          <w:vertAlign w:val="superscript"/>
        </w:rPr>
        <w:t xml:space="preserve">0 </w:t>
      </w:r>
      <w:r w:rsidR="00AF0C98" w:rsidRPr="00DB2FFB">
        <w:rPr>
          <w:rFonts w:ascii="Times New Roman" w:hAnsi="Times New Roman" w:cs="Times New Roman"/>
          <w:color w:val="000000" w:themeColor="text1"/>
          <w:sz w:val="24"/>
          <w:szCs w:val="24"/>
        </w:rPr>
        <w:t>C in 2</w:t>
      </w:r>
      <w:r w:rsidR="00AF0C98" w:rsidRPr="00DB2FFB">
        <w:rPr>
          <w:rFonts w:ascii="Times New Roman" w:hAnsi="Times New Roman" w:cs="Times New Roman"/>
          <w:color w:val="000000" w:themeColor="text1"/>
          <w:sz w:val="24"/>
          <w:szCs w:val="24"/>
          <w:vertAlign w:val="superscript"/>
        </w:rPr>
        <w:t>nd</w:t>
      </w:r>
      <w:r w:rsidR="00AF0C98" w:rsidRPr="00DB2FFB">
        <w:rPr>
          <w:rFonts w:ascii="Times New Roman" w:hAnsi="Times New Roman" w:cs="Times New Roman"/>
          <w:color w:val="000000" w:themeColor="text1"/>
          <w:sz w:val="24"/>
          <w:szCs w:val="24"/>
        </w:rPr>
        <w:t xml:space="preserve"> week of January. Whereas, mean weekly maximum temperature reaches as high as 36.9</w:t>
      </w:r>
      <w:r w:rsidR="00AF0C98" w:rsidRPr="00DB2FFB">
        <w:rPr>
          <w:rFonts w:ascii="Times New Roman" w:hAnsi="Times New Roman" w:cs="Times New Roman"/>
          <w:color w:val="000000" w:themeColor="text1"/>
          <w:sz w:val="24"/>
          <w:szCs w:val="24"/>
          <w:vertAlign w:val="superscript"/>
        </w:rPr>
        <w:t xml:space="preserve">0 </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th</w:t>
      </w:r>
      <w:r w:rsidR="00AF0C98" w:rsidRPr="00DB2FFB">
        <w:rPr>
          <w:rFonts w:ascii="Times New Roman" w:hAnsi="Times New Roman" w:cs="Times New Roman"/>
          <w:color w:val="000000" w:themeColor="text1"/>
          <w:sz w:val="24"/>
          <w:szCs w:val="24"/>
        </w:rPr>
        <w:t xml:space="preserve"> Week of April. The area receives mean annual rainfall of 800 mm of which more than 80% during July- September through south-west monsoon. A few winter showers are also received. April and May are the driest months with mean relative humidity as low as 50 to 55 %, whereas high humidity (92%) is recorded in the month of August. Daily observation on temperature, humidity, sunshine hours, rainfall, pan evaporation, wind velocity recorded at meteorological observatory of Agriculture Research Farm of J.V. College, Baraut (Baghpat) Uttar Pradesh were collected to workout weekly means as presented in Appendix I &amp; II. Mean weekly minimum temperature varied from 4.7</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3</w:t>
      </w:r>
      <w:r w:rsidR="00AF0C98" w:rsidRPr="00DB2FFB">
        <w:rPr>
          <w:rFonts w:ascii="Times New Roman" w:hAnsi="Times New Roman" w:cs="Times New Roman"/>
          <w:color w:val="000000" w:themeColor="text1"/>
          <w:sz w:val="24"/>
          <w:szCs w:val="24"/>
          <w:vertAlign w:val="superscript"/>
        </w:rPr>
        <w:t>rd</w:t>
      </w:r>
      <w:r w:rsidR="00AF0C98" w:rsidRPr="00DB2FFB">
        <w:rPr>
          <w:rFonts w:ascii="Times New Roman" w:hAnsi="Times New Roman" w:cs="Times New Roman"/>
          <w:color w:val="000000" w:themeColor="text1"/>
          <w:sz w:val="24"/>
          <w:szCs w:val="24"/>
        </w:rPr>
        <w:t xml:space="preserve"> week of January to 23.5</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th</w:t>
      </w:r>
      <w:r w:rsidR="00AF0C98" w:rsidRPr="00DB2FFB">
        <w:rPr>
          <w:rFonts w:ascii="Times New Roman" w:hAnsi="Times New Roman" w:cs="Times New Roman"/>
          <w:color w:val="000000" w:themeColor="text1"/>
          <w:sz w:val="24"/>
          <w:szCs w:val="24"/>
        </w:rPr>
        <w:t xml:space="preserve"> week of April during 2022-23. The crop experienced lowest (4.7</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of mean weekly minimum temperature in 3</w:t>
      </w:r>
      <w:r w:rsidR="00AF0C98" w:rsidRPr="00DB2FFB">
        <w:rPr>
          <w:rFonts w:ascii="Times New Roman" w:hAnsi="Times New Roman" w:cs="Times New Roman"/>
          <w:color w:val="000000" w:themeColor="text1"/>
          <w:sz w:val="24"/>
          <w:szCs w:val="24"/>
          <w:vertAlign w:val="superscript"/>
        </w:rPr>
        <w:t xml:space="preserve">rd </w:t>
      </w:r>
      <w:r w:rsidR="00AF0C98" w:rsidRPr="00DB2FFB">
        <w:rPr>
          <w:rFonts w:ascii="Times New Roman" w:hAnsi="Times New Roman" w:cs="Times New Roman"/>
          <w:color w:val="000000" w:themeColor="text1"/>
          <w:sz w:val="24"/>
          <w:szCs w:val="24"/>
        </w:rPr>
        <w:t>week of January and highest (23.5</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 xml:space="preserve">rd </w:t>
      </w:r>
      <w:r w:rsidR="00AF0C98" w:rsidRPr="00DB2FFB">
        <w:rPr>
          <w:rFonts w:ascii="Times New Roman" w:hAnsi="Times New Roman" w:cs="Times New Roman"/>
          <w:color w:val="000000" w:themeColor="text1"/>
          <w:sz w:val="24"/>
          <w:szCs w:val="24"/>
        </w:rPr>
        <w:t>week of April during 2022-23. The mean weekly maximum temperature was recorded to be highest (41.6</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 xml:space="preserve">th </w:t>
      </w:r>
      <w:r w:rsidR="00AF0C98" w:rsidRPr="00DB2FFB">
        <w:rPr>
          <w:rFonts w:ascii="Times New Roman" w:hAnsi="Times New Roman" w:cs="Times New Roman"/>
          <w:color w:val="000000" w:themeColor="text1"/>
          <w:sz w:val="24"/>
          <w:szCs w:val="24"/>
        </w:rPr>
        <w:t xml:space="preserve">week of April and </w:t>
      </w:r>
      <w:r w:rsidR="00AF0C98" w:rsidRPr="00DB2FFB">
        <w:rPr>
          <w:rFonts w:ascii="Times New Roman" w:hAnsi="Times New Roman" w:cs="Times New Roman"/>
          <w:color w:val="000000" w:themeColor="text1"/>
          <w:sz w:val="24"/>
          <w:szCs w:val="24"/>
        </w:rPr>
        <w:lastRenderedPageBreak/>
        <w:t>lowest (16.2</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3</w:t>
      </w:r>
      <w:r w:rsidR="00AF0C98" w:rsidRPr="00DB2FFB">
        <w:rPr>
          <w:rFonts w:ascii="Times New Roman" w:hAnsi="Times New Roman" w:cs="Times New Roman"/>
          <w:color w:val="000000" w:themeColor="text1"/>
          <w:sz w:val="24"/>
          <w:szCs w:val="24"/>
          <w:vertAlign w:val="superscript"/>
        </w:rPr>
        <w:t>rd</w:t>
      </w:r>
      <w:r w:rsidR="00AF0C98" w:rsidRPr="00DB2FFB">
        <w:rPr>
          <w:rFonts w:ascii="Times New Roman" w:hAnsi="Times New Roman" w:cs="Times New Roman"/>
          <w:color w:val="000000" w:themeColor="text1"/>
          <w:sz w:val="24"/>
          <w:szCs w:val="24"/>
        </w:rPr>
        <w:t xml:space="preserve"> week of January during 2022-23. 3</w:t>
      </w:r>
      <w:r w:rsidR="00AF0C98" w:rsidRPr="00DB2FFB">
        <w:rPr>
          <w:rFonts w:ascii="Times New Roman" w:hAnsi="Times New Roman" w:cs="Times New Roman"/>
          <w:color w:val="000000" w:themeColor="text1"/>
          <w:sz w:val="24"/>
          <w:szCs w:val="24"/>
          <w:vertAlign w:val="superscript"/>
        </w:rPr>
        <w:t>rd</w:t>
      </w:r>
      <w:r w:rsidR="00AF0C98" w:rsidRPr="00DB2FFB">
        <w:rPr>
          <w:rFonts w:ascii="Times New Roman" w:hAnsi="Times New Roman" w:cs="Times New Roman"/>
          <w:color w:val="000000" w:themeColor="text1"/>
          <w:sz w:val="24"/>
          <w:szCs w:val="24"/>
        </w:rPr>
        <w:t xml:space="preserve"> week of January &amp; 1</w:t>
      </w:r>
      <w:r w:rsidR="00AF0C98" w:rsidRPr="00DB2FFB">
        <w:rPr>
          <w:rFonts w:ascii="Times New Roman" w:hAnsi="Times New Roman" w:cs="Times New Roman"/>
          <w:color w:val="000000" w:themeColor="text1"/>
          <w:sz w:val="24"/>
          <w:szCs w:val="24"/>
          <w:vertAlign w:val="superscript"/>
        </w:rPr>
        <w:t xml:space="preserve">st </w:t>
      </w:r>
      <w:r w:rsidR="00AF0C98" w:rsidRPr="00DB2FFB">
        <w:rPr>
          <w:rFonts w:ascii="Times New Roman" w:hAnsi="Times New Roman" w:cs="Times New Roman"/>
          <w:color w:val="000000" w:themeColor="text1"/>
          <w:sz w:val="24"/>
          <w:szCs w:val="24"/>
        </w:rPr>
        <w:t>week January of were most humid (92.6 and 97.9 %) during 2022-23 &amp; 2023-24, respectively, however the driest (16.7 &amp; 25.0 %) crop season was the 4</w:t>
      </w:r>
      <w:r w:rsidR="00AF0C98" w:rsidRPr="00DB2FFB">
        <w:rPr>
          <w:rFonts w:ascii="Times New Roman" w:hAnsi="Times New Roman" w:cs="Times New Roman"/>
          <w:color w:val="000000" w:themeColor="text1"/>
          <w:sz w:val="24"/>
          <w:szCs w:val="24"/>
          <w:vertAlign w:val="superscript"/>
        </w:rPr>
        <w:t>th</w:t>
      </w:r>
      <w:r w:rsidR="00AF0C98" w:rsidRPr="00DB2FFB">
        <w:rPr>
          <w:rFonts w:ascii="Times New Roman" w:hAnsi="Times New Roman" w:cs="Times New Roman"/>
          <w:color w:val="000000" w:themeColor="text1"/>
          <w:sz w:val="24"/>
          <w:szCs w:val="24"/>
        </w:rPr>
        <w:t xml:space="preserve"> and 3</w:t>
      </w:r>
      <w:r w:rsidR="00AF0C98" w:rsidRPr="00DB2FFB">
        <w:rPr>
          <w:rFonts w:ascii="Times New Roman" w:hAnsi="Times New Roman" w:cs="Times New Roman"/>
          <w:color w:val="000000" w:themeColor="text1"/>
          <w:sz w:val="24"/>
          <w:szCs w:val="24"/>
          <w:vertAlign w:val="superscript"/>
        </w:rPr>
        <w:t xml:space="preserve">rd </w:t>
      </w:r>
      <w:r w:rsidR="00AF0C98" w:rsidRPr="00DB2FFB">
        <w:rPr>
          <w:rFonts w:ascii="Times New Roman" w:hAnsi="Times New Roman" w:cs="Times New Roman"/>
          <w:color w:val="000000" w:themeColor="text1"/>
          <w:sz w:val="24"/>
          <w:szCs w:val="24"/>
        </w:rPr>
        <w:t>week of April during both the years. Accordingly, the evaporation demand of the atmosphere during 2023-24 was maximum (86.50 mm) during last week of April month and minimum (1.3 mm) during 1</w:t>
      </w:r>
      <w:r w:rsidR="00AF0C98" w:rsidRPr="00DB2FFB">
        <w:rPr>
          <w:rFonts w:ascii="Times New Roman" w:hAnsi="Times New Roman" w:cs="Times New Roman"/>
          <w:color w:val="000000" w:themeColor="text1"/>
          <w:sz w:val="24"/>
          <w:szCs w:val="24"/>
          <w:vertAlign w:val="superscript"/>
        </w:rPr>
        <w:t>st</w:t>
      </w:r>
      <w:r w:rsidR="00AF0C98" w:rsidRPr="00DB2FFB">
        <w:rPr>
          <w:rFonts w:ascii="Times New Roman" w:hAnsi="Times New Roman" w:cs="Times New Roman"/>
          <w:color w:val="000000" w:themeColor="text1"/>
          <w:sz w:val="24"/>
          <w:szCs w:val="24"/>
        </w:rPr>
        <w:t xml:space="preserve"> week of January month, while during 2022-23 the respective value was 81 mm &amp; 6.9 mm. The crop received 173.6 mm of rain during 2022-23 and 160.7 mm during 2023-24.</w:t>
      </w:r>
    </w:p>
    <w:p w:rsidR="009D1AE0" w:rsidRPr="00DB2FFB" w:rsidRDefault="009D1AE0" w:rsidP="009D1AE0">
      <w:pPr>
        <w:pStyle w:val="BodyText"/>
        <w:spacing w:before="78" w:line="360" w:lineRule="auto"/>
        <w:ind w:right="-46"/>
        <w:jc w:val="both"/>
        <w:rPr>
          <w:b/>
          <w:color w:val="000000" w:themeColor="text1"/>
        </w:rPr>
      </w:pPr>
      <w:r w:rsidRPr="00DB2FFB">
        <w:rPr>
          <w:b/>
          <w:color w:val="000000" w:themeColor="text1"/>
        </w:rPr>
        <w:t>Result and Discussion</w:t>
      </w:r>
    </w:p>
    <w:p w:rsidR="00B463DE" w:rsidRPr="00DB2FFB" w:rsidRDefault="00B463DE" w:rsidP="00B463DE">
      <w:pPr>
        <w:tabs>
          <w:tab w:val="left" w:pos="851"/>
        </w:tabs>
        <w:spacing w:before="120" w:after="120" w:line="360" w:lineRule="auto"/>
        <w:ind w:right="-20"/>
        <w:jc w:val="both"/>
        <w:rPr>
          <w:rFonts w:ascii="Times New Roman" w:hAnsi="Times New Roman" w:cs="Times New Roman"/>
          <w:b/>
          <w:noProof/>
          <w:color w:val="000000" w:themeColor="text1"/>
          <w:sz w:val="24"/>
          <w:szCs w:val="24"/>
        </w:rPr>
      </w:pPr>
      <w:bookmarkStart w:id="1" w:name="_Hlk177903308"/>
      <w:r w:rsidRPr="00DB2FFB">
        <w:rPr>
          <w:rFonts w:ascii="Times New Roman" w:hAnsi="Times New Roman" w:cs="Times New Roman"/>
          <w:b/>
          <w:noProof/>
          <w:color w:val="000000" w:themeColor="text1"/>
          <w:sz w:val="24"/>
          <w:szCs w:val="24"/>
        </w:rPr>
        <w:t>Growth parameters</w:t>
      </w:r>
    </w:p>
    <w:p w:rsidR="00B463DE" w:rsidRPr="00DB2FFB" w:rsidRDefault="00B463DE" w:rsidP="00B13DF0">
      <w:pPr>
        <w:tabs>
          <w:tab w:val="left" w:pos="851"/>
        </w:tabs>
        <w:spacing w:before="120" w:after="120" w:line="360" w:lineRule="auto"/>
        <w:ind w:right="-20"/>
        <w:jc w:val="both"/>
        <w:rPr>
          <w:rFonts w:ascii="Times New Roman" w:hAnsi="Times New Roman" w:cs="Times New Roman"/>
          <w:noProof/>
          <w:color w:val="000000" w:themeColor="text1"/>
          <w:sz w:val="24"/>
          <w:szCs w:val="24"/>
        </w:rPr>
      </w:pPr>
      <w:r w:rsidRPr="00DB2FFB">
        <w:rPr>
          <w:rFonts w:ascii="Times New Roman" w:hAnsi="Times New Roman" w:cs="Times New Roman"/>
          <w:noProof/>
          <w:color w:val="000000" w:themeColor="text1"/>
          <w:sz w:val="24"/>
          <w:szCs w:val="24"/>
        </w:rPr>
        <w:tab/>
        <w:t xml:space="preserve">Data regarding Growth parameters </w:t>
      </w:r>
      <w:r w:rsidRPr="00DB2FFB">
        <w:rPr>
          <w:rFonts w:ascii="Times New Roman" w:hAnsi="Times New Roman" w:cs="Times New Roman"/>
          <w:i/>
          <w:noProof/>
          <w:color w:val="000000" w:themeColor="text1"/>
          <w:sz w:val="24"/>
          <w:szCs w:val="24"/>
        </w:rPr>
        <w:t>viz</w:t>
      </w:r>
      <w:r w:rsidRPr="00DB2FFB">
        <w:rPr>
          <w:rFonts w:ascii="Times New Roman" w:hAnsi="Times New Roman" w:cs="Times New Roman"/>
          <w:noProof/>
          <w:color w:val="000000" w:themeColor="text1"/>
          <w:sz w:val="24"/>
          <w:szCs w:val="24"/>
        </w:rPr>
        <w:t xml:space="preserve">., Plant height (cm), No. of </w:t>
      </w:r>
      <w:r w:rsidR="00577E5C" w:rsidRPr="00DB2FFB">
        <w:rPr>
          <w:rFonts w:ascii="Times New Roman" w:hAnsi="Times New Roman" w:cs="Times New Roman"/>
          <w:noProof/>
          <w:color w:val="000000" w:themeColor="text1"/>
          <w:sz w:val="24"/>
          <w:szCs w:val="24"/>
        </w:rPr>
        <w:t>tillers</w:t>
      </w:r>
      <w:r w:rsidRPr="00DB2FFB">
        <w:rPr>
          <w:rFonts w:ascii="Times New Roman" w:hAnsi="Times New Roman" w:cs="Times New Roman"/>
          <w:noProof/>
          <w:color w:val="000000" w:themeColor="text1"/>
          <w:sz w:val="24"/>
          <w:szCs w:val="24"/>
        </w:rPr>
        <w:t xml:space="preserve"> and </w:t>
      </w:r>
      <w:r w:rsidR="00577E5C" w:rsidRPr="00DB2FFB">
        <w:rPr>
          <w:rFonts w:ascii="Times New Roman" w:hAnsi="Times New Roman" w:cs="Times New Roman"/>
          <w:noProof/>
          <w:color w:val="000000" w:themeColor="text1"/>
          <w:sz w:val="24"/>
          <w:szCs w:val="24"/>
        </w:rPr>
        <w:t>dr</w:t>
      </w:r>
      <w:r w:rsidR="006234DF" w:rsidRPr="00DB2FFB">
        <w:rPr>
          <w:rFonts w:ascii="Times New Roman" w:hAnsi="Times New Roman" w:cs="Times New Roman"/>
          <w:noProof/>
          <w:color w:val="000000" w:themeColor="text1"/>
          <w:sz w:val="24"/>
          <w:szCs w:val="24"/>
        </w:rPr>
        <w:t>y</w:t>
      </w:r>
      <w:r w:rsidR="00577E5C" w:rsidRPr="00DB2FFB">
        <w:rPr>
          <w:rFonts w:ascii="Times New Roman" w:hAnsi="Times New Roman" w:cs="Times New Roman"/>
          <w:noProof/>
          <w:color w:val="000000" w:themeColor="text1"/>
          <w:sz w:val="24"/>
          <w:szCs w:val="24"/>
        </w:rPr>
        <w:t>matter accumulation</w:t>
      </w:r>
      <w:r w:rsidR="00292FD8" w:rsidRPr="00DB2FFB">
        <w:rPr>
          <w:rFonts w:ascii="Times New Roman" w:hAnsi="Times New Roman" w:cs="Times New Roman"/>
          <w:noProof/>
          <w:color w:val="000000" w:themeColor="text1"/>
          <w:sz w:val="24"/>
          <w:szCs w:val="24"/>
        </w:rPr>
        <w:t xml:space="preserve"> (</w:t>
      </w:r>
      <w:r w:rsidRPr="00DB2FFB">
        <w:rPr>
          <w:rFonts w:ascii="Times New Roman" w:hAnsi="Times New Roman" w:cs="Times New Roman"/>
          <w:noProof/>
          <w:color w:val="000000" w:themeColor="text1"/>
          <w:sz w:val="24"/>
          <w:szCs w:val="24"/>
        </w:rPr>
        <w:t xml:space="preserve">g </w:t>
      </w:r>
      <w:r w:rsidR="00577E5C" w:rsidRPr="00DB2FFB">
        <w:rPr>
          <w:rFonts w:ascii="Times New Roman" w:hAnsi="Times New Roman" w:cs="Times New Roman"/>
          <w:noProof/>
          <w:color w:val="000000" w:themeColor="text1"/>
          <w:sz w:val="24"/>
          <w:szCs w:val="24"/>
        </w:rPr>
        <w:t>m</w:t>
      </w:r>
      <w:r w:rsidRPr="00DB2FFB">
        <w:rPr>
          <w:rFonts w:ascii="Times New Roman" w:hAnsi="Times New Roman" w:cs="Times New Roman"/>
          <w:noProof/>
          <w:color w:val="000000" w:themeColor="text1"/>
          <w:sz w:val="24"/>
          <w:szCs w:val="24"/>
          <w:vertAlign w:val="superscript"/>
        </w:rPr>
        <w:t>-</w:t>
      </w:r>
      <w:r w:rsidR="00577E5C" w:rsidRPr="00DB2FFB">
        <w:rPr>
          <w:rFonts w:ascii="Times New Roman" w:hAnsi="Times New Roman" w:cs="Times New Roman"/>
          <w:noProof/>
          <w:color w:val="000000" w:themeColor="text1"/>
          <w:sz w:val="24"/>
          <w:szCs w:val="24"/>
          <w:vertAlign w:val="superscript"/>
        </w:rPr>
        <w:t>2</w:t>
      </w:r>
      <w:r w:rsidRPr="00DB2FFB">
        <w:rPr>
          <w:rFonts w:ascii="Times New Roman" w:hAnsi="Times New Roman" w:cs="Times New Roman"/>
          <w:noProof/>
          <w:color w:val="000000" w:themeColor="text1"/>
          <w:sz w:val="24"/>
          <w:szCs w:val="24"/>
        </w:rPr>
        <w:t xml:space="preserve">) is mentioned in Table 1 and depicted in Figure </w:t>
      </w:r>
      <w:r w:rsidR="00292FD8" w:rsidRPr="00DB2FFB">
        <w:rPr>
          <w:rFonts w:ascii="Times New Roman" w:hAnsi="Times New Roman" w:cs="Times New Roman"/>
          <w:noProof/>
          <w:color w:val="000000" w:themeColor="text1"/>
          <w:sz w:val="24"/>
          <w:szCs w:val="24"/>
        </w:rPr>
        <w:t>1</w:t>
      </w:r>
      <w:r w:rsidRPr="00DB2FFB">
        <w:rPr>
          <w:rFonts w:ascii="Times New Roman" w:hAnsi="Times New Roman" w:cs="Times New Roman"/>
          <w:noProof/>
          <w:color w:val="000000" w:themeColor="text1"/>
          <w:sz w:val="24"/>
          <w:szCs w:val="24"/>
        </w:rPr>
        <w:t>.</w:t>
      </w:r>
    </w:p>
    <w:p w:rsidR="00B463DE" w:rsidRPr="00DB2FFB" w:rsidRDefault="00B463DE" w:rsidP="00B13DF0">
      <w:pPr>
        <w:spacing w:before="120" w:after="120" w:line="360" w:lineRule="auto"/>
        <w:ind w:firstLine="720"/>
        <w:jc w:val="both"/>
        <w:rPr>
          <w:rFonts w:ascii="Times New Roman" w:hAnsi="Times New Roman" w:cs="Times New Roman"/>
          <w:color w:val="000000" w:themeColor="text1"/>
          <w:sz w:val="24"/>
          <w:szCs w:val="24"/>
        </w:rPr>
      </w:pPr>
      <w:r w:rsidRPr="00DB2FFB">
        <w:rPr>
          <w:rFonts w:ascii="Times New Roman" w:hAnsi="Times New Roman" w:cs="Times New Roman"/>
          <w:noProof/>
          <w:color w:val="000000" w:themeColor="text1"/>
          <w:sz w:val="24"/>
          <w:szCs w:val="24"/>
        </w:rPr>
        <w:t xml:space="preserve"> A</w:t>
      </w:r>
      <w:r w:rsidRPr="00DB2FFB">
        <w:rPr>
          <w:rFonts w:ascii="Times New Roman" w:hAnsi="Times New Roman" w:cs="Times New Roman"/>
          <w:color w:val="000000" w:themeColor="text1"/>
          <w:sz w:val="24"/>
          <w:szCs w:val="24"/>
        </w:rPr>
        <w:t>t harvest, application ofT</w:t>
      </w:r>
      <w:r w:rsidR="00292FD8" w:rsidRPr="00DB2FFB">
        <w:rPr>
          <w:rFonts w:ascii="Times New Roman" w:hAnsi="Times New Roman" w:cs="Times New Roman"/>
          <w:color w:val="000000" w:themeColor="text1"/>
          <w:sz w:val="24"/>
          <w:szCs w:val="24"/>
          <w:vertAlign w:val="subscript"/>
        </w:rPr>
        <w:t>9</w:t>
      </w:r>
      <w:r w:rsidRPr="00DB2FFB">
        <w:rPr>
          <w:rFonts w:ascii="Times New Roman" w:hAnsi="Times New Roman" w:cs="Times New Roman"/>
          <w:color w:val="000000" w:themeColor="text1"/>
          <w:sz w:val="24"/>
          <w:szCs w:val="24"/>
        </w:rPr>
        <w:t>(</w:t>
      </w:r>
      <w:r w:rsidR="00292FD8" w:rsidRPr="00DB2FFB">
        <w:rPr>
          <w:rFonts w:ascii="Times New Roman" w:hAnsi="Times New Roman" w:cs="Times New Roman"/>
          <w:bCs/>
          <w:color w:val="000000" w:themeColor="text1"/>
          <w:sz w:val="24"/>
          <w:szCs w:val="24"/>
        </w:rPr>
        <w:t>100%RDF+ 25%Nthroughvermicompost+</w:t>
      </w:r>
      <w:r w:rsidR="00292FD8"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color w:val="000000" w:themeColor="text1"/>
          <w:sz w:val="24"/>
          <w:szCs w:val="24"/>
        </w:rPr>
        <w:t xml:space="preserve">) exhibited significantly taller plant </w:t>
      </w:r>
      <w:r w:rsidR="00292FD8" w:rsidRPr="00DB2FFB">
        <w:rPr>
          <w:rFonts w:ascii="Times New Roman" w:hAnsi="Times New Roman" w:cs="Times New Roman"/>
          <w:color w:val="000000" w:themeColor="text1"/>
          <w:sz w:val="24"/>
          <w:szCs w:val="24"/>
        </w:rPr>
        <w:t xml:space="preserve">93.7 &amp; 95.6 </w:t>
      </w:r>
      <w:r w:rsidRPr="00DB2FFB">
        <w:rPr>
          <w:rFonts w:ascii="Times New Roman" w:hAnsi="Times New Roman" w:cs="Times New Roman"/>
          <w:color w:val="000000" w:themeColor="text1"/>
          <w:sz w:val="24"/>
          <w:szCs w:val="24"/>
        </w:rPr>
        <w:t>cm</w:t>
      </w:r>
      <w:r w:rsidR="00292FD8" w:rsidRPr="00DB2FFB">
        <w:rPr>
          <w:rFonts w:ascii="Times New Roman" w:hAnsi="Times New Roman" w:cs="Times New Roman"/>
          <w:color w:val="000000" w:themeColor="text1"/>
          <w:sz w:val="24"/>
          <w:szCs w:val="24"/>
        </w:rPr>
        <w:t>,</w:t>
      </w:r>
      <w:r w:rsidRPr="00DB2FFB">
        <w:rPr>
          <w:rFonts w:ascii="Times New Roman" w:hAnsi="Times New Roman" w:cs="Times New Roman"/>
          <w:color w:val="000000" w:themeColor="text1"/>
          <w:sz w:val="24"/>
          <w:szCs w:val="24"/>
        </w:rPr>
        <w:t xml:space="preserve"> which was on par with T</w:t>
      </w:r>
      <w:r w:rsidR="00292FD8" w:rsidRPr="00DB2FFB">
        <w:rPr>
          <w:rFonts w:ascii="Times New Roman" w:hAnsi="Times New Roman" w:cs="Times New Roman"/>
          <w:color w:val="000000" w:themeColor="text1"/>
          <w:sz w:val="24"/>
          <w:szCs w:val="24"/>
          <w:vertAlign w:val="subscript"/>
        </w:rPr>
        <w:t>10</w:t>
      </w:r>
      <w:r w:rsidRPr="00DB2FFB">
        <w:rPr>
          <w:rFonts w:ascii="Times New Roman" w:hAnsi="Times New Roman" w:cs="Times New Roman"/>
          <w:color w:val="000000" w:themeColor="text1"/>
          <w:sz w:val="24"/>
          <w:szCs w:val="24"/>
        </w:rPr>
        <w:t xml:space="preserve"> (</w:t>
      </w:r>
      <w:r w:rsidR="00292FD8" w:rsidRPr="00DB2FFB">
        <w:rPr>
          <w:rFonts w:ascii="Times New Roman" w:hAnsi="Times New Roman" w:cs="Times New Roman"/>
          <w:bCs/>
          <w:color w:val="000000" w:themeColor="text1"/>
          <w:sz w:val="24"/>
          <w:szCs w:val="24"/>
        </w:rPr>
        <w:t>100%RDF+ 25%NthroughFYM+</w:t>
      </w:r>
      <w:r w:rsidR="00292FD8"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color w:val="000000" w:themeColor="text1"/>
          <w:sz w:val="24"/>
          <w:szCs w:val="24"/>
        </w:rPr>
        <w:t>)</w:t>
      </w:r>
      <w:r w:rsidRPr="00DB2FFB">
        <w:rPr>
          <w:rFonts w:ascii="Times New Roman" w:hAnsi="Times New Roman" w:cs="Times New Roman"/>
          <w:color w:val="000000" w:themeColor="text1"/>
          <w:sz w:val="24"/>
          <w:szCs w:val="24"/>
          <w:vertAlign w:val="subscript"/>
        </w:rPr>
        <w:t xml:space="preserve">, </w:t>
      </w:r>
      <w:r w:rsidRPr="00DB2FFB">
        <w:rPr>
          <w:rFonts w:ascii="Times New Roman" w:hAnsi="Times New Roman" w:cs="Times New Roman"/>
          <w:color w:val="000000" w:themeColor="text1"/>
          <w:sz w:val="24"/>
          <w:szCs w:val="24"/>
        </w:rPr>
        <w:t>T</w:t>
      </w:r>
      <w:r w:rsidR="00292FD8" w:rsidRPr="00DB2FFB">
        <w:rPr>
          <w:rFonts w:ascii="Times New Roman" w:hAnsi="Times New Roman" w:cs="Times New Roman"/>
          <w:color w:val="000000" w:themeColor="text1"/>
          <w:sz w:val="24"/>
          <w:szCs w:val="24"/>
          <w:vertAlign w:val="subscript"/>
        </w:rPr>
        <w:t>7</w:t>
      </w:r>
      <w:r w:rsidRPr="00DB2FFB">
        <w:rPr>
          <w:rFonts w:ascii="Times New Roman" w:hAnsi="Times New Roman" w:cs="Times New Roman"/>
          <w:color w:val="000000" w:themeColor="text1"/>
          <w:sz w:val="24"/>
          <w:szCs w:val="24"/>
        </w:rPr>
        <w:t>(</w:t>
      </w:r>
      <w:r w:rsidR="00292FD8" w:rsidRPr="00DB2FFB">
        <w:rPr>
          <w:rFonts w:ascii="Times New Roman" w:hAnsi="Times New Roman" w:cs="Times New Roman"/>
          <w:bCs/>
          <w:color w:val="000000" w:themeColor="text1"/>
          <w:sz w:val="24"/>
          <w:szCs w:val="24"/>
        </w:rPr>
        <w:t>75%RDF+25%Nthroughvermicompost+</w:t>
      </w:r>
      <w:r w:rsidR="00292FD8" w:rsidRPr="00DB2FFB">
        <w:rPr>
          <w:rFonts w:ascii="Times New Roman" w:hAnsi="Times New Roman" w:cs="Times New Roman"/>
          <w:bCs/>
          <w:i/>
          <w:color w:val="000000" w:themeColor="text1"/>
          <w:sz w:val="24"/>
          <w:szCs w:val="24"/>
        </w:rPr>
        <w:t>Azotobacter</w:t>
      </w:r>
      <w:r w:rsidR="00292FD8" w:rsidRPr="00DB2FFB">
        <w:rPr>
          <w:rFonts w:ascii="Times New Roman" w:hAnsi="Times New Roman" w:cs="Times New Roman"/>
          <w:bCs/>
          <w:color w:val="000000" w:themeColor="text1"/>
          <w:sz w:val="24"/>
          <w:szCs w:val="24"/>
        </w:rPr>
        <w:t>+ Multi-nutrients</w:t>
      </w:r>
      <w:r w:rsidRPr="00DB2FFB">
        <w:rPr>
          <w:rFonts w:ascii="Times New Roman" w:hAnsi="Times New Roman" w:cs="Times New Roman"/>
          <w:color w:val="000000" w:themeColor="text1"/>
          <w:sz w:val="24"/>
          <w:szCs w:val="24"/>
        </w:rPr>
        <w:t>) and T</w:t>
      </w:r>
      <w:r w:rsidR="00292FD8" w:rsidRPr="00DB2FFB">
        <w:rPr>
          <w:rFonts w:ascii="Times New Roman" w:hAnsi="Times New Roman" w:cs="Times New Roman"/>
          <w:color w:val="000000" w:themeColor="text1"/>
          <w:sz w:val="24"/>
          <w:szCs w:val="24"/>
          <w:vertAlign w:val="subscript"/>
        </w:rPr>
        <w:t>8</w:t>
      </w:r>
      <w:r w:rsidRPr="00DB2FFB">
        <w:rPr>
          <w:rFonts w:ascii="Times New Roman" w:hAnsi="Times New Roman" w:cs="Times New Roman"/>
          <w:color w:val="000000" w:themeColor="text1"/>
          <w:sz w:val="24"/>
          <w:szCs w:val="24"/>
        </w:rPr>
        <w:t xml:space="preserve"> (</w:t>
      </w:r>
      <w:r w:rsidR="00292FD8" w:rsidRPr="00DB2FFB">
        <w:rPr>
          <w:rFonts w:ascii="Times New Roman" w:hAnsi="Times New Roman" w:cs="Times New Roman"/>
          <w:bCs/>
          <w:color w:val="000000" w:themeColor="text1"/>
          <w:sz w:val="24"/>
          <w:szCs w:val="24"/>
        </w:rPr>
        <w:t>75%RDF+25%NthroughFYM+</w:t>
      </w:r>
      <w:r w:rsidR="00292FD8" w:rsidRPr="00DB2FFB">
        <w:rPr>
          <w:rFonts w:ascii="Times New Roman" w:hAnsi="Times New Roman" w:cs="Times New Roman"/>
          <w:bCs/>
          <w:i/>
          <w:color w:val="000000" w:themeColor="text1"/>
          <w:sz w:val="24"/>
          <w:szCs w:val="24"/>
        </w:rPr>
        <w:t>Azotobacter</w:t>
      </w:r>
      <w:r w:rsidR="00292FD8" w:rsidRPr="00DB2FFB">
        <w:rPr>
          <w:rFonts w:ascii="Times New Roman" w:hAnsi="Times New Roman" w:cs="Times New Roman"/>
          <w:bCs/>
          <w:color w:val="000000" w:themeColor="text1"/>
          <w:sz w:val="24"/>
          <w:szCs w:val="24"/>
        </w:rPr>
        <w:t>+Multi-nutrients</w:t>
      </w:r>
      <w:r w:rsidRPr="00DB2FFB">
        <w:rPr>
          <w:rFonts w:ascii="Times New Roman" w:hAnsi="Times New Roman" w:cs="Times New Roman"/>
          <w:color w:val="000000" w:themeColor="text1"/>
          <w:sz w:val="24"/>
          <w:szCs w:val="24"/>
        </w:rPr>
        <w:t>) whereas, the lowest plant height was recorded under control</w:t>
      </w:r>
      <w:r w:rsidR="00A402AC" w:rsidRPr="00DB2FFB">
        <w:rPr>
          <w:rFonts w:ascii="Times New Roman" w:hAnsi="Times New Roman" w:cs="Times New Roman"/>
          <w:color w:val="000000" w:themeColor="text1"/>
          <w:sz w:val="24"/>
          <w:szCs w:val="24"/>
        </w:rPr>
        <w:t xml:space="preserve"> during 2022-23 and 2023-24</w:t>
      </w:r>
      <w:r w:rsidRPr="00DB2FFB">
        <w:rPr>
          <w:rFonts w:ascii="Times New Roman" w:hAnsi="Times New Roman" w:cs="Times New Roman"/>
          <w:color w:val="000000" w:themeColor="text1"/>
          <w:sz w:val="24"/>
          <w:szCs w:val="24"/>
        </w:rPr>
        <w:t xml:space="preserve">. On an average an increase in height of </w:t>
      </w:r>
      <w:r w:rsidR="00292FD8" w:rsidRPr="00DB2FFB">
        <w:rPr>
          <w:rFonts w:ascii="Times New Roman" w:hAnsi="Times New Roman" w:cs="Times New Roman"/>
          <w:color w:val="000000" w:themeColor="text1"/>
          <w:sz w:val="24"/>
          <w:szCs w:val="24"/>
        </w:rPr>
        <w:t>63.8</w:t>
      </w:r>
      <w:r w:rsidRPr="00DB2FFB">
        <w:rPr>
          <w:rFonts w:ascii="Times New Roman" w:hAnsi="Times New Roman" w:cs="Times New Roman"/>
          <w:color w:val="000000" w:themeColor="text1"/>
          <w:sz w:val="24"/>
          <w:szCs w:val="24"/>
        </w:rPr>
        <w:t xml:space="preserve">% and </w:t>
      </w:r>
      <w:r w:rsidR="00292FD8" w:rsidRPr="00DB2FFB">
        <w:rPr>
          <w:rFonts w:ascii="Times New Roman" w:hAnsi="Times New Roman" w:cs="Times New Roman"/>
          <w:color w:val="000000" w:themeColor="text1"/>
          <w:sz w:val="24"/>
          <w:szCs w:val="24"/>
        </w:rPr>
        <w:t>61.5</w:t>
      </w:r>
      <w:r w:rsidRPr="00DB2FFB">
        <w:rPr>
          <w:rFonts w:ascii="Times New Roman" w:hAnsi="Times New Roman" w:cs="Times New Roman"/>
          <w:color w:val="000000" w:themeColor="text1"/>
          <w:sz w:val="24"/>
          <w:szCs w:val="24"/>
        </w:rPr>
        <w:t xml:space="preserve"> % was obtained in T</w:t>
      </w:r>
      <w:r w:rsidR="00292FD8" w:rsidRPr="00DB2FFB">
        <w:rPr>
          <w:rFonts w:ascii="Times New Roman" w:hAnsi="Times New Roman" w:cs="Times New Roman"/>
          <w:color w:val="000000" w:themeColor="text1"/>
          <w:sz w:val="24"/>
          <w:szCs w:val="24"/>
          <w:vertAlign w:val="subscript"/>
        </w:rPr>
        <w:t>9</w:t>
      </w:r>
      <w:r w:rsidRPr="00DB2FFB">
        <w:rPr>
          <w:rFonts w:ascii="Times New Roman" w:hAnsi="Times New Roman" w:cs="Times New Roman"/>
          <w:color w:val="000000" w:themeColor="text1"/>
          <w:sz w:val="24"/>
          <w:szCs w:val="24"/>
        </w:rPr>
        <w:t xml:space="preserve"> (</w:t>
      </w:r>
      <w:r w:rsidR="00292FD8" w:rsidRPr="00DB2FFB">
        <w:rPr>
          <w:rFonts w:ascii="Times New Roman" w:hAnsi="Times New Roman" w:cs="Times New Roman"/>
          <w:bCs/>
          <w:color w:val="000000" w:themeColor="text1"/>
          <w:sz w:val="24"/>
          <w:szCs w:val="24"/>
        </w:rPr>
        <w:t>100%RDF+ 25%Nthroughvermicompost+</w:t>
      </w:r>
      <w:r w:rsidR="00292FD8"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color w:val="000000" w:themeColor="text1"/>
          <w:sz w:val="24"/>
          <w:szCs w:val="24"/>
        </w:rPr>
        <w:t>) over T</w:t>
      </w:r>
      <w:r w:rsidRPr="00DB2FFB">
        <w:rPr>
          <w:rFonts w:ascii="Times New Roman" w:hAnsi="Times New Roman" w:cs="Times New Roman"/>
          <w:color w:val="000000" w:themeColor="text1"/>
          <w:sz w:val="24"/>
          <w:szCs w:val="24"/>
          <w:vertAlign w:val="subscript"/>
        </w:rPr>
        <w:t xml:space="preserve">1 </w:t>
      </w:r>
      <w:r w:rsidRPr="00DB2FFB">
        <w:rPr>
          <w:rFonts w:ascii="Times New Roman" w:hAnsi="Times New Roman" w:cs="Times New Roman"/>
          <w:color w:val="000000" w:themeColor="text1"/>
          <w:sz w:val="24"/>
          <w:szCs w:val="24"/>
        </w:rPr>
        <w:t xml:space="preserve">(Control) respectively. </w:t>
      </w:r>
    </w:p>
    <w:p w:rsidR="00577E5C" w:rsidRPr="00DB2FFB" w:rsidRDefault="00577E5C" w:rsidP="00B13DF0">
      <w:pPr>
        <w:jc w:val="both"/>
        <w:rPr>
          <w:rFonts w:ascii="Times New Roman" w:hAnsi="Times New Roman" w:cs="Times New Roman"/>
          <w:color w:val="000000" w:themeColor="text1"/>
          <w:sz w:val="24"/>
          <w:szCs w:val="24"/>
        </w:rPr>
      </w:pPr>
      <w:r w:rsidRPr="00DB2FFB">
        <w:rPr>
          <w:rFonts w:ascii="Times New Roman" w:hAnsi="Times New Roman" w:cs="Times New Roman"/>
          <w:b/>
          <w:color w:val="000000" w:themeColor="text1"/>
          <w:sz w:val="24"/>
          <w:szCs w:val="24"/>
        </w:rPr>
        <w:t xml:space="preserve">Table </w:t>
      </w:r>
      <w:r w:rsidR="00616027" w:rsidRPr="00DB2FFB">
        <w:rPr>
          <w:rFonts w:ascii="Times New Roman" w:hAnsi="Times New Roman" w:cs="Times New Roman"/>
          <w:b/>
          <w:color w:val="000000" w:themeColor="text1"/>
          <w:sz w:val="24"/>
          <w:szCs w:val="24"/>
        </w:rPr>
        <w:t>1</w:t>
      </w:r>
      <w:r w:rsidR="00A51BCC" w:rsidRPr="00DB2FFB">
        <w:rPr>
          <w:rFonts w:ascii="Times New Roman" w:hAnsi="Times New Roman" w:cs="Times New Roman"/>
          <w:b/>
          <w:color w:val="000000" w:themeColor="text1"/>
          <w:sz w:val="24"/>
          <w:szCs w:val="24"/>
        </w:rPr>
        <w:t>.</w:t>
      </w:r>
      <w:r w:rsidRPr="00DB2FFB">
        <w:rPr>
          <w:rFonts w:ascii="Times New Roman" w:hAnsi="Times New Roman" w:cs="Times New Roman"/>
          <w:b/>
          <w:color w:val="000000" w:themeColor="text1"/>
          <w:sz w:val="24"/>
          <w:szCs w:val="24"/>
        </w:rPr>
        <w:t>Effect of integrated nutrient management on plant height (cm)</w:t>
      </w:r>
      <w:r w:rsidR="00A2599C" w:rsidRPr="00DB2FFB">
        <w:rPr>
          <w:rFonts w:ascii="Times New Roman" w:hAnsi="Times New Roman" w:cs="Times New Roman"/>
          <w:b/>
          <w:color w:val="000000" w:themeColor="text1"/>
          <w:sz w:val="24"/>
          <w:szCs w:val="24"/>
        </w:rPr>
        <w:t>, number of tillers and dry matter accumulation (g m</w:t>
      </w:r>
      <w:r w:rsidR="00A2599C" w:rsidRPr="00DB2FFB">
        <w:rPr>
          <w:rFonts w:ascii="Times New Roman" w:hAnsi="Times New Roman" w:cs="Times New Roman"/>
          <w:b/>
          <w:color w:val="000000" w:themeColor="text1"/>
          <w:sz w:val="24"/>
          <w:szCs w:val="24"/>
          <w:vertAlign w:val="superscript"/>
        </w:rPr>
        <w:t>-2</w:t>
      </w:r>
      <w:r w:rsidR="00A2599C" w:rsidRPr="00DB2FFB">
        <w:rPr>
          <w:rFonts w:ascii="Times New Roman" w:hAnsi="Times New Roman" w:cs="Times New Roman"/>
          <w:b/>
          <w:color w:val="000000" w:themeColor="text1"/>
          <w:sz w:val="24"/>
          <w:szCs w:val="24"/>
        </w:rPr>
        <w:t>)</w:t>
      </w:r>
      <w:r w:rsidRPr="00DB2FFB">
        <w:rPr>
          <w:rFonts w:ascii="Times New Roman" w:hAnsi="Times New Roman" w:cs="Times New Roman"/>
          <w:b/>
          <w:color w:val="000000" w:themeColor="text1"/>
          <w:sz w:val="24"/>
          <w:szCs w:val="24"/>
        </w:rPr>
        <w:t xml:space="preserve"> at </w:t>
      </w:r>
      <w:r w:rsidR="00A2599C" w:rsidRPr="00DB2FFB">
        <w:rPr>
          <w:rFonts w:ascii="Times New Roman" w:hAnsi="Times New Roman" w:cs="Times New Roman"/>
          <w:b/>
          <w:color w:val="000000" w:themeColor="text1"/>
          <w:sz w:val="24"/>
          <w:szCs w:val="24"/>
        </w:rPr>
        <w:t>harvest</w:t>
      </w:r>
      <w:r w:rsidRPr="00DB2FFB">
        <w:rPr>
          <w:rFonts w:ascii="Times New Roman" w:hAnsi="Times New Roman" w:cs="Times New Roman"/>
          <w:b/>
          <w:color w:val="000000" w:themeColor="text1"/>
          <w:sz w:val="24"/>
          <w:szCs w:val="24"/>
        </w:rPr>
        <w:t xml:space="preserve"> stages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03"/>
        <w:gridCol w:w="4996"/>
        <w:gridCol w:w="716"/>
        <w:gridCol w:w="716"/>
        <w:gridCol w:w="716"/>
        <w:gridCol w:w="716"/>
        <w:gridCol w:w="806"/>
        <w:gridCol w:w="806"/>
      </w:tblGrid>
      <w:tr w:rsidR="00DB2FFB" w:rsidRPr="00DB2FFB" w:rsidTr="00C424EB">
        <w:trPr>
          <w:trHeight w:val="330"/>
        </w:trPr>
        <w:tc>
          <w:tcPr>
            <w:tcW w:w="2159" w:type="pct"/>
            <w:gridSpan w:val="2"/>
            <w:vMerge w:val="restart"/>
            <w:shd w:val="clear" w:color="auto" w:fill="FFFFFF"/>
          </w:tcPr>
          <w:p w:rsidR="00C424EB" w:rsidRPr="00DB2FFB" w:rsidRDefault="00C424EB" w:rsidP="00C424EB">
            <w:pPr>
              <w:spacing w:after="0" w:line="240" w:lineRule="auto"/>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Treatments </w:t>
            </w:r>
          </w:p>
        </w:tc>
        <w:tc>
          <w:tcPr>
            <w:tcW w:w="947" w:type="pct"/>
            <w:gridSpan w:val="2"/>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Plant height (cm)</w:t>
            </w:r>
          </w:p>
        </w:tc>
        <w:tc>
          <w:tcPr>
            <w:tcW w:w="947" w:type="pct"/>
            <w:gridSpan w:val="2"/>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No. of tillers per meter row length</w:t>
            </w:r>
          </w:p>
        </w:tc>
        <w:tc>
          <w:tcPr>
            <w:tcW w:w="947" w:type="pct"/>
            <w:gridSpan w:val="2"/>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DMA (g m</w:t>
            </w:r>
            <w:r w:rsidRPr="00DB2FFB">
              <w:rPr>
                <w:rFonts w:ascii="Times New Roman" w:eastAsia="Calibri" w:hAnsi="Times New Roman" w:cs="Times New Roman"/>
                <w:b/>
                <w:bCs/>
                <w:color w:val="000000" w:themeColor="text1"/>
                <w:sz w:val="24"/>
                <w:szCs w:val="24"/>
                <w:vertAlign w:val="superscript"/>
              </w:rPr>
              <w:t>-2</w:t>
            </w:r>
            <w:r w:rsidRPr="00DB2FFB">
              <w:rPr>
                <w:rFonts w:ascii="Times New Roman" w:eastAsia="Calibri" w:hAnsi="Times New Roman" w:cs="Times New Roman"/>
                <w:b/>
                <w:bCs/>
                <w:color w:val="000000" w:themeColor="text1"/>
                <w:sz w:val="24"/>
                <w:szCs w:val="24"/>
              </w:rPr>
              <w:t>)</w:t>
            </w:r>
          </w:p>
        </w:tc>
      </w:tr>
      <w:tr w:rsidR="00DB2FFB" w:rsidRPr="00DB2FFB" w:rsidTr="00C424EB">
        <w:trPr>
          <w:trHeight w:val="66"/>
        </w:trPr>
        <w:tc>
          <w:tcPr>
            <w:tcW w:w="2159" w:type="pct"/>
            <w:gridSpan w:val="2"/>
            <w:vMerge/>
            <w:shd w:val="clear" w:color="auto" w:fill="FFFFFF"/>
          </w:tcPr>
          <w:p w:rsidR="00C424EB" w:rsidRPr="00DB2FFB" w:rsidRDefault="00C424EB" w:rsidP="00C424EB">
            <w:pPr>
              <w:spacing w:after="0" w:line="240" w:lineRule="auto"/>
              <w:rPr>
                <w:rFonts w:ascii="Times New Roman" w:eastAsia="Calibri" w:hAnsi="Times New Roman" w:cs="Times New Roman"/>
                <w:b/>
                <w:bCs/>
                <w:color w:val="000000" w:themeColor="text1"/>
                <w:sz w:val="24"/>
                <w:szCs w:val="24"/>
              </w:rPr>
            </w:pP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r>
      <w:tr w:rsidR="00DB2FFB" w:rsidRPr="00DB2FFB" w:rsidTr="00C424EB">
        <w:trPr>
          <w:trHeight w:val="148"/>
        </w:trPr>
        <w:tc>
          <w:tcPr>
            <w:tcW w:w="328" w:type="pct"/>
            <w:shd w:val="clear" w:color="auto" w:fill="FFFFFF"/>
          </w:tcPr>
          <w:p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1</w:t>
            </w:r>
          </w:p>
        </w:tc>
        <w:tc>
          <w:tcPr>
            <w:tcW w:w="1831" w:type="pct"/>
            <w:shd w:val="clear" w:color="auto" w:fill="FFFFFF"/>
          </w:tcPr>
          <w:p w:rsidR="00C424EB" w:rsidRPr="00DB2FFB" w:rsidRDefault="00C424EB" w:rsidP="00C424EB">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Control </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57.2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38.5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42.0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845.2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856.3</w:t>
            </w:r>
          </w:p>
        </w:tc>
      </w:tr>
      <w:tr w:rsidR="00DB2FFB" w:rsidRPr="00DB2FFB" w:rsidTr="00C424EB">
        <w:trPr>
          <w:trHeight w:val="148"/>
        </w:trPr>
        <w:tc>
          <w:tcPr>
            <w:tcW w:w="328" w:type="pct"/>
            <w:shd w:val="clear" w:color="auto" w:fill="FFFFFF"/>
          </w:tcPr>
          <w:p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2</w:t>
            </w:r>
          </w:p>
        </w:tc>
        <w:tc>
          <w:tcPr>
            <w:tcW w:w="1831" w:type="pct"/>
            <w:shd w:val="clear" w:color="auto" w:fill="FFFFFF"/>
          </w:tcPr>
          <w:p w:rsidR="00C424EB" w:rsidRPr="00DB2FFB" w:rsidRDefault="00C424EB" w:rsidP="00C424EB">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82.2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73.5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75.0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905.3</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918.2</w:t>
            </w:r>
          </w:p>
        </w:tc>
      </w:tr>
      <w:tr w:rsidR="00DB2FFB" w:rsidRPr="00DB2FFB" w:rsidTr="00C424EB">
        <w:trPr>
          <w:trHeight w:val="140"/>
        </w:trPr>
        <w:tc>
          <w:tcPr>
            <w:tcW w:w="328" w:type="pct"/>
            <w:shd w:val="clear" w:color="auto" w:fill="FFFFFF"/>
          </w:tcPr>
          <w:p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3</w:t>
            </w:r>
          </w:p>
        </w:tc>
        <w:tc>
          <w:tcPr>
            <w:tcW w:w="1831" w:type="pct"/>
            <w:shd w:val="clear" w:color="auto" w:fill="FFFFFF"/>
          </w:tcPr>
          <w:p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100%RDF+ </w:t>
            </w:r>
            <w:r w:rsidRPr="00DB2FFB">
              <w:rPr>
                <w:rFonts w:ascii="Times New Roman" w:hAnsi="Times New Roman" w:cs="Times New Roman"/>
                <w:bCs/>
                <w:i/>
                <w:color w:val="000000" w:themeColor="text1"/>
                <w:sz w:val="24"/>
                <w:szCs w:val="24"/>
              </w:rPr>
              <w:t>Azotobacter</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83.7</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75.5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77.0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970.2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982.4</w:t>
            </w:r>
          </w:p>
        </w:tc>
      </w:tr>
      <w:tr w:rsidR="00DB2FFB" w:rsidRPr="00DB2FFB" w:rsidTr="00C424EB">
        <w:trPr>
          <w:trHeight w:val="36"/>
        </w:trPr>
        <w:tc>
          <w:tcPr>
            <w:tcW w:w="328" w:type="pct"/>
            <w:shd w:val="clear" w:color="auto" w:fill="FFFFFF"/>
          </w:tcPr>
          <w:p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4</w:t>
            </w:r>
          </w:p>
        </w:tc>
        <w:tc>
          <w:tcPr>
            <w:tcW w:w="1831" w:type="pct"/>
            <w:shd w:val="clear" w:color="auto" w:fill="FFFFFF"/>
          </w:tcPr>
          <w:p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+Multi-nutrients</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85.8</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76.0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78.5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988.6</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997.3</w:t>
            </w:r>
          </w:p>
        </w:tc>
      </w:tr>
      <w:tr w:rsidR="00DB2FFB" w:rsidRPr="00DB2FFB" w:rsidTr="00C424EB">
        <w:trPr>
          <w:trHeight w:val="294"/>
        </w:trPr>
        <w:tc>
          <w:tcPr>
            <w:tcW w:w="328"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5</w:t>
            </w:r>
          </w:p>
        </w:tc>
        <w:tc>
          <w:tcPr>
            <w:tcW w:w="1831" w:type="pct"/>
            <w:shd w:val="clear" w:color="auto" w:fill="FFFFFF"/>
          </w:tcPr>
          <w:p w:rsidR="00C424EB" w:rsidRPr="00DB2FFB" w:rsidRDefault="00C424EB" w:rsidP="00C424EB">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50%RDF+ 50%NthroughSSNM(SPAD)+</w:t>
            </w:r>
            <w:r w:rsidRPr="00DB2FFB">
              <w:rPr>
                <w:rFonts w:ascii="Times New Roman" w:hAnsi="Times New Roman" w:cs="Times New Roman"/>
                <w:bCs/>
                <w:i/>
                <w:color w:val="000000" w:themeColor="text1"/>
                <w:sz w:val="24"/>
                <w:szCs w:val="24"/>
              </w:rPr>
              <w:t>Azotobacter</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83.3</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84.6</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74.0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75.5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942.5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956.3</w:t>
            </w:r>
          </w:p>
        </w:tc>
      </w:tr>
      <w:tr w:rsidR="00DB2FFB" w:rsidRPr="00DB2FFB" w:rsidTr="00C424EB">
        <w:trPr>
          <w:trHeight w:val="612"/>
        </w:trPr>
        <w:tc>
          <w:tcPr>
            <w:tcW w:w="328"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6</w:t>
            </w:r>
          </w:p>
        </w:tc>
        <w:tc>
          <w:tcPr>
            <w:tcW w:w="1831" w:type="pct"/>
            <w:shd w:val="clear" w:color="auto" w:fill="FFFFFF"/>
          </w:tcPr>
          <w:p w:rsidR="00C424EB" w:rsidRPr="00DB2FFB" w:rsidRDefault="00C424EB" w:rsidP="00C424EB">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75%RDF+25%NthroughSSNM(SPAD)+</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 Multi-nutrients</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86.1</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77.0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79.0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1014.6</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1028.4</w:t>
            </w:r>
          </w:p>
        </w:tc>
      </w:tr>
      <w:tr w:rsidR="00DB2FFB" w:rsidRPr="00DB2FFB" w:rsidTr="00C424EB">
        <w:trPr>
          <w:trHeight w:val="148"/>
        </w:trPr>
        <w:tc>
          <w:tcPr>
            <w:tcW w:w="328" w:type="pct"/>
            <w:shd w:val="clear" w:color="auto" w:fill="FFFFFF"/>
          </w:tcPr>
          <w:p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7</w:t>
            </w:r>
          </w:p>
        </w:tc>
        <w:tc>
          <w:tcPr>
            <w:tcW w:w="1831" w:type="pct"/>
            <w:shd w:val="clear" w:color="auto" w:fill="FFFFFF"/>
          </w:tcPr>
          <w:p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75%RDF+25%Nthroughvermicompost+</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 Multi-nutrients</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85.7</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87.2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80.0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82.5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1095.5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1107.4</w:t>
            </w:r>
          </w:p>
        </w:tc>
      </w:tr>
      <w:tr w:rsidR="00DB2FFB" w:rsidRPr="00DB2FFB" w:rsidTr="00C424EB">
        <w:trPr>
          <w:trHeight w:val="294"/>
        </w:trPr>
        <w:tc>
          <w:tcPr>
            <w:tcW w:w="328" w:type="pct"/>
            <w:shd w:val="clear" w:color="auto" w:fill="FFFFFF"/>
          </w:tcPr>
          <w:p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8</w:t>
            </w:r>
          </w:p>
        </w:tc>
        <w:tc>
          <w:tcPr>
            <w:tcW w:w="1831" w:type="pct"/>
            <w:shd w:val="clear" w:color="auto" w:fill="FFFFFF"/>
          </w:tcPr>
          <w:p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75%RDF+25%NthroughFYM+</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+Multi-nutrients</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86.9</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78.5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80.6</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1072.3</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1082.9</w:t>
            </w:r>
          </w:p>
        </w:tc>
      </w:tr>
      <w:tr w:rsidR="00DB2FFB" w:rsidRPr="00DB2FFB" w:rsidTr="00C424EB">
        <w:trPr>
          <w:trHeight w:val="287"/>
        </w:trPr>
        <w:tc>
          <w:tcPr>
            <w:tcW w:w="328" w:type="pct"/>
            <w:shd w:val="clear" w:color="auto" w:fill="FFFFFF"/>
          </w:tcPr>
          <w:p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lastRenderedPageBreak/>
              <w:t>T</w:t>
            </w:r>
            <w:r w:rsidRPr="00DB2FFB">
              <w:rPr>
                <w:rFonts w:ascii="Times New Roman" w:hAnsi="Times New Roman" w:cs="Times New Roman"/>
                <w:b/>
                <w:color w:val="000000" w:themeColor="text1"/>
                <w:sz w:val="24"/>
                <w:szCs w:val="24"/>
                <w:vertAlign w:val="subscript"/>
              </w:rPr>
              <w:t>9</w:t>
            </w:r>
          </w:p>
        </w:tc>
        <w:tc>
          <w:tcPr>
            <w:tcW w:w="1831" w:type="pct"/>
            <w:shd w:val="clear" w:color="auto" w:fill="FFFFFF"/>
          </w:tcPr>
          <w:p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100%RDF+ 25%Nthroughvermicompost+</w:t>
            </w:r>
            <w:r w:rsidRPr="00DB2FFB">
              <w:rPr>
                <w:rFonts w:ascii="Times New Roman" w:hAnsi="Times New Roman" w:cs="Times New Roman"/>
                <w:bCs/>
                <w:i/>
                <w:color w:val="000000" w:themeColor="text1"/>
                <w:sz w:val="24"/>
                <w:szCs w:val="24"/>
              </w:rPr>
              <w:t>Azotobacter</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93.7</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95.6</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86.0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88.5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1175.3</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1190.8</w:t>
            </w:r>
          </w:p>
        </w:tc>
      </w:tr>
      <w:tr w:rsidR="00DB2FFB" w:rsidRPr="00DB2FFB" w:rsidTr="00C424EB">
        <w:trPr>
          <w:trHeight w:val="294"/>
        </w:trPr>
        <w:tc>
          <w:tcPr>
            <w:tcW w:w="328"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10</w:t>
            </w:r>
          </w:p>
        </w:tc>
        <w:tc>
          <w:tcPr>
            <w:tcW w:w="1831" w:type="pct"/>
            <w:shd w:val="clear" w:color="auto" w:fill="FFFFFF"/>
          </w:tcPr>
          <w:p w:rsidR="00C424EB" w:rsidRPr="00DB2FFB" w:rsidRDefault="00C424EB" w:rsidP="00C424EB">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100%RDF+ 25%NthroughFYM+</w:t>
            </w:r>
            <w:r w:rsidRPr="00DB2FFB">
              <w:rPr>
                <w:rFonts w:ascii="Times New Roman" w:hAnsi="Times New Roman" w:cs="Times New Roman"/>
                <w:bCs/>
                <w:i/>
                <w:color w:val="000000" w:themeColor="text1"/>
                <w:sz w:val="24"/>
                <w:szCs w:val="24"/>
              </w:rPr>
              <w:t>Azotobacter</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88.2</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90.9</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83.0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1120.5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1135.3</w:t>
            </w:r>
          </w:p>
        </w:tc>
      </w:tr>
      <w:tr w:rsidR="00DB2FFB" w:rsidRPr="00DB2FFB" w:rsidTr="00C424EB">
        <w:trPr>
          <w:trHeight w:val="95"/>
        </w:trPr>
        <w:tc>
          <w:tcPr>
            <w:tcW w:w="2159" w:type="pct"/>
            <w:gridSpan w:val="2"/>
            <w:shd w:val="clear" w:color="auto" w:fill="FFFFFF"/>
          </w:tcPr>
          <w:p w:rsidR="00C424EB" w:rsidRPr="00DB2FFB" w:rsidRDefault="00C424EB" w:rsidP="00C424EB">
            <w:pPr>
              <w:spacing w:after="0" w:line="240" w:lineRule="auto"/>
              <w:ind w:left="1735" w:right="112"/>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lang w:val="en-GB" w:eastAsia="en-GB"/>
              </w:rPr>
              <w:t>SEm(±)</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3.0</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3.1</w:t>
            </w: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2.7</w:t>
            </w:r>
          </w:p>
        </w:tc>
        <w:tc>
          <w:tcPr>
            <w:tcW w:w="473" w:type="pct"/>
            <w:shd w:val="clear" w:color="auto" w:fill="FFFFFF"/>
            <w:vAlign w:val="center"/>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2.8</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color w:val="000000" w:themeColor="text1"/>
                <w:sz w:val="24"/>
                <w:szCs w:val="24"/>
              </w:rPr>
              <w:t>37.3</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color w:val="000000" w:themeColor="text1"/>
                <w:sz w:val="24"/>
                <w:szCs w:val="24"/>
              </w:rPr>
              <w:t>37.8</w:t>
            </w:r>
          </w:p>
        </w:tc>
      </w:tr>
      <w:tr w:rsidR="00DB2FFB" w:rsidRPr="00DB2FFB" w:rsidTr="00C424EB">
        <w:trPr>
          <w:trHeight w:val="60"/>
        </w:trPr>
        <w:tc>
          <w:tcPr>
            <w:tcW w:w="2159" w:type="pct"/>
            <w:gridSpan w:val="2"/>
            <w:shd w:val="clear" w:color="auto" w:fill="FFFFFF"/>
          </w:tcPr>
          <w:p w:rsidR="00C424EB" w:rsidRPr="00DB2FFB" w:rsidRDefault="00C424EB" w:rsidP="00C424EB">
            <w:pPr>
              <w:spacing w:after="0" w:line="240" w:lineRule="auto"/>
              <w:ind w:left="1735"/>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 xml:space="preserve"> C.D. (P=0.05)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8.5</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8.7</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7.9</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8.1</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107.9</w:t>
            </w:r>
          </w:p>
        </w:tc>
        <w:tc>
          <w:tcPr>
            <w:tcW w:w="473" w:type="pct"/>
            <w:shd w:val="clear" w:color="auto" w:fill="FFFFFF"/>
          </w:tcPr>
          <w:p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109.5</w:t>
            </w:r>
          </w:p>
        </w:tc>
      </w:tr>
    </w:tbl>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effect of integrated nutrient management (INM) on plant height, number of tillers per meter row length, and dry matter accumulation (DMA) at harvest stages during 2022–23 and 2023–24 is summarized in Table 1. The results clearly show that different nutrient combinations significantly influenced all the growth parameters.</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1. Plant Height (cm)</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plant height was significantly influenced by the nutrient management practices in both years. The maximum plant height was observed in treatment T9 (100% RDF + 25% N through vermicompost + Azotobacter) with values of 93.7 cm in 2022–23 and 95.6 cm in 2023–24, followed by T10 and T7. The lowest plant height was recorded in the control (T1), with values of 57.2 cm and 59.2 cm, respectively.</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increased plant height in T9 may be attributed to the combined and synergistic effect of chemical fertilizers (RDF), organic inputs (vermicompost), and biofertilizers (Azotobacter), which enhanced nutrient availability, improved root development, and stimulated hormonal activity.</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This is supported by earlier studies such as Jat et al. (2020) and Singh et al. (2018), who reported that INM practices significantly improved plant height due to better nutrient synchrony and soil health.</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2. Number of Tillers per Meter Row Length</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number of tillers is a crucial yield-determining trait in cereals. The results revealed that T9 again recorded the highest number of tillers per meter row length (86.0 and 88.5) in both years, followed by T10 (83.0 and 84.0) and T7 (80.0 and 82.5). In contrast, the lowest tiller count was observed in the control (T1) (38.5 and 42.0).</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Improved tillering under INM treatments may be attributed to continuous and adequate nitrogen availability through RDF and vermicompost, and enhanced microbial activity from Azotobacter, which likely increased nitrogen fixation and auxin production.</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lastRenderedPageBreak/>
        <w:t>Similar results were reported by Kumar et al. (2019), who found that integrated use of vermicompost and biofertilizers increased tillering and overall plant vigor due to improved nutrient uptake and soil microbial balance.</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3. Dry Matter Accumulation (DMA)</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Dry matter accumulation followed a similar trend to other growth parameters. The highest DMA was recorded in T9 (1175.3 g m⁻² in 2022–23 and 1190.8 g m⁻² in 2023–24), while the lowest was again in T1 (845.2 and 856.3 g m⁻²). This is likely because better nutrient availability and improved physiological traits like leaf area and chlorophyll content under INM treatments led to increased photosynthesis and biomass production.</w:t>
      </w:r>
    </w:p>
    <w:p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treatments involving partial N substitution through FYM or vermicompost (T7, T8, T10) also resulted in significantly higher DMA compared to the sole RDF application (T2). The slow release of nutrients from organic sources, along with improved soil texture and microbial activity, are key contributors.</w:t>
      </w:r>
    </w:p>
    <w:p w:rsidR="001B187F" w:rsidRPr="00DB2FFB" w:rsidRDefault="00A23BAE" w:rsidP="00A23BAE">
      <w:pPr>
        <w:spacing w:line="360" w:lineRule="auto"/>
        <w:ind w:firstLine="720"/>
        <w:jc w:val="both"/>
        <w:rPr>
          <w:rFonts w:ascii="Times New Roman" w:hAnsi="Times New Roman" w:cs="Times New Roman"/>
          <w:color w:val="000000" w:themeColor="text1"/>
          <w:sz w:val="24"/>
          <w:szCs w:val="24"/>
        </w:rPr>
      </w:pPr>
      <w:r w:rsidRPr="00DB2FFB">
        <w:rPr>
          <w:rFonts w:ascii="Times New Roman" w:eastAsia="Times New Roman" w:hAnsi="Times New Roman" w:cs="Times New Roman"/>
          <w:color w:val="000000" w:themeColor="text1"/>
          <w:kern w:val="0"/>
          <w:sz w:val="24"/>
          <w:szCs w:val="24"/>
          <w:lang w:eastAsia="en-IN" w:bidi="hi-IN"/>
        </w:rPr>
        <w:t>These observations are consistent with Meena et al. (2017) and Verma et al. (2021), who demonstrated that integrated nutrient application leads to improved crop growth attributes due to sustained nutrient supply and better soil physical and biological properties.</w:t>
      </w:r>
    </w:p>
    <w:p w:rsidR="008661D6" w:rsidRPr="00DB2FFB" w:rsidRDefault="008661D6" w:rsidP="00D76EFC">
      <w:pPr>
        <w:spacing w:after="0" w:line="240" w:lineRule="auto"/>
        <w:ind w:left="1170" w:right="-450" w:hanging="1260"/>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 xml:space="preserve">Table </w:t>
      </w:r>
      <w:r w:rsidR="00616027" w:rsidRPr="00DB2FFB">
        <w:rPr>
          <w:rFonts w:ascii="Times New Roman" w:hAnsi="Times New Roman" w:cs="Times New Roman"/>
          <w:b/>
          <w:color w:val="000000" w:themeColor="text1"/>
          <w:sz w:val="24"/>
          <w:szCs w:val="24"/>
        </w:rPr>
        <w:t>2</w:t>
      </w:r>
      <w:r w:rsidR="00CE16BB" w:rsidRPr="00DB2FFB">
        <w:rPr>
          <w:rFonts w:ascii="Times New Roman" w:hAnsi="Times New Roman" w:cs="Times New Roman"/>
          <w:b/>
          <w:color w:val="000000" w:themeColor="text1"/>
          <w:sz w:val="24"/>
          <w:szCs w:val="24"/>
        </w:rPr>
        <w:t xml:space="preserve">. </w:t>
      </w:r>
      <w:r w:rsidRPr="00DB2FFB">
        <w:rPr>
          <w:rFonts w:ascii="Times New Roman" w:hAnsi="Times New Roman" w:cs="Times New Roman"/>
          <w:b/>
          <w:color w:val="000000" w:themeColor="text1"/>
          <w:sz w:val="24"/>
          <w:szCs w:val="24"/>
        </w:rPr>
        <w:t xml:space="preserve"> Effect of </w:t>
      </w:r>
      <w:r w:rsidR="00D76EFC" w:rsidRPr="00DB2FFB">
        <w:rPr>
          <w:rFonts w:ascii="Times New Roman" w:hAnsi="Times New Roman" w:cs="Times New Roman"/>
          <w:b/>
          <w:color w:val="000000" w:themeColor="text1"/>
          <w:sz w:val="24"/>
          <w:szCs w:val="24"/>
        </w:rPr>
        <w:t>integrated nutrient</w:t>
      </w:r>
      <w:r w:rsidRPr="00DB2FFB">
        <w:rPr>
          <w:rFonts w:ascii="Times New Roman" w:hAnsi="Times New Roman" w:cs="Times New Roman"/>
          <w:b/>
          <w:color w:val="000000" w:themeColor="text1"/>
          <w:sz w:val="24"/>
          <w:szCs w:val="24"/>
        </w:rPr>
        <w:t xml:space="preserve"> management on grain, straw, biological yield (q ha</w:t>
      </w:r>
      <w:r w:rsidRPr="00DB2FFB">
        <w:rPr>
          <w:rFonts w:ascii="Times New Roman" w:hAnsi="Times New Roman" w:cs="Times New Roman"/>
          <w:b/>
          <w:color w:val="000000" w:themeColor="text1"/>
          <w:sz w:val="24"/>
          <w:szCs w:val="24"/>
          <w:vertAlign w:val="superscript"/>
        </w:rPr>
        <w:t>-1</w:t>
      </w:r>
      <w:r w:rsidRPr="00DB2FFB">
        <w:rPr>
          <w:rFonts w:ascii="Times New Roman" w:hAnsi="Times New Roman" w:cs="Times New Roman"/>
          <w:b/>
          <w:color w:val="000000" w:themeColor="text1"/>
          <w:sz w:val="24"/>
          <w:szCs w:val="24"/>
        </w:rPr>
        <w:t>) and harvest index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4"/>
        <w:gridCol w:w="4335"/>
        <w:gridCol w:w="647"/>
        <w:gridCol w:w="647"/>
        <w:gridCol w:w="647"/>
        <w:gridCol w:w="647"/>
        <w:gridCol w:w="647"/>
        <w:gridCol w:w="647"/>
        <w:gridCol w:w="647"/>
        <w:gridCol w:w="647"/>
      </w:tblGrid>
      <w:tr w:rsidR="00DB2FFB" w:rsidRPr="00DB2FFB" w:rsidTr="008661D6">
        <w:trPr>
          <w:trHeight w:val="58"/>
        </w:trPr>
        <w:tc>
          <w:tcPr>
            <w:tcW w:w="1510" w:type="pct"/>
            <w:gridSpan w:val="2"/>
            <w:vMerge w:val="restart"/>
            <w:shd w:val="clear" w:color="auto" w:fill="FFFFFF"/>
            <w:hideMark/>
          </w:tcPr>
          <w:p w:rsidR="008661D6" w:rsidRPr="00DB2FFB" w:rsidRDefault="008661D6" w:rsidP="00AA5846">
            <w:pPr>
              <w:spacing w:after="0"/>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Treatment</w:t>
            </w:r>
          </w:p>
        </w:tc>
        <w:tc>
          <w:tcPr>
            <w:tcW w:w="2660" w:type="pct"/>
            <w:gridSpan w:val="6"/>
            <w:shd w:val="clear" w:color="auto" w:fill="FFFFFF"/>
            <w:vAlign w:val="center"/>
            <w:hideMark/>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Yield (q ha</w:t>
            </w:r>
            <w:r w:rsidRPr="00DB2FFB">
              <w:rPr>
                <w:rFonts w:ascii="Times New Roman" w:eastAsia="Calibri" w:hAnsi="Times New Roman" w:cs="Times New Roman"/>
                <w:b/>
                <w:bCs/>
                <w:color w:val="000000" w:themeColor="text1"/>
                <w:sz w:val="24"/>
                <w:szCs w:val="24"/>
                <w:vertAlign w:val="superscript"/>
              </w:rPr>
              <w:t>-1</w:t>
            </w:r>
            <w:r w:rsidRPr="00DB2FFB">
              <w:rPr>
                <w:rFonts w:ascii="Times New Roman" w:eastAsia="Calibri" w:hAnsi="Times New Roman" w:cs="Times New Roman"/>
                <w:b/>
                <w:bCs/>
                <w:color w:val="000000" w:themeColor="text1"/>
                <w:sz w:val="24"/>
                <w:szCs w:val="24"/>
              </w:rPr>
              <w:t>)</w:t>
            </w:r>
          </w:p>
        </w:tc>
        <w:tc>
          <w:tcPr>
            <w:tcW w:w="829" w:type="pct"/>
            <w:gridSpan w:val="2"/>
            <w:vMerge w:val="restart"/>
            <w:shd w:val="clear" w:color="auto" w:fill="FFFFFF"/>
            <w:vAlign w:val="center"/>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Harvest Index (%)</w:t>
            </w:r>
          </w:p>
        </w:tc>
      </w:tr>
      <w:tr w:rsidR="00DB2FFB" w:rsidRPr="00DB2FFB" w:rsidTr="008661D6">
        <w:trPr>
          <w:trHeight w:val="58"/>
        </w:trPr>
        <w:tc>
          <w:tcPr>
            <w:tcW w:w="1510" w:type="pct"/>
            <w:gridSpan w:val="2"/>
            <w:vMerge/>
            <w:shd w:val="clear" w:color="auto" w:fill="FFFFFF"/>
            <w:hideMark/>
          </w:tcPr>
          <w:p w:rsidR="008661D6" w:rsidRPr="00DB2FFB" w:rsidRDefault="008661D6" w:rsidP="00AA5846">
            <w:pPr>
              <w:spacing w:after="0"/>
              <w:rPr>
                <w:rFonts w:ascii="Times New Roman" w:eastAsia="Calibri" w:hAnsi="Times New Roman" w:cs="Times New Roman"/>
                <w:b/>
                <w:bCs/>
                <w:color w:val="000000" w:themeColor="text1"/>
                <w:sz w:val="24"/>
                <w:szCs w:val="24"/>
              </w:rPr>
            </w:pPr>
          </w:p>
        </w:tc>
        <w:tc>
          <w:tcPr>
            <w:tcW w:w="887" w:type="pct"/>
            <w:gridSpan w:val="2"/>
            <w:shd w:val="clear" w:color="auto" w:fill="FFFFFF"/>
            <w:vAlign w:val="center"/>
            <w:hideMark/>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Grain </w:t>
            </w:r>
          </w:p>
        </w:tc>
        <w:tc>
          <w:tcPr>
            <w:tcW w:w="887" w:type="pct"/>
            <w:gridSpan w:val="2"/>
            <w:shd w:val="clear" w:color="auto" w:fill="FFFFFF"/>
            <w:vAlign w:val="center"/>
            <w:hideMark/>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Straw </w:t>
            </w:r>
          </w:p>
        </w:tc>
        <w:tc>
          <w:tcPr>
            <w:tcW w:w="887" w:type="pct"/>
            <w:gridSpan w:val="2"/>
            <w:shd w:val="clear" w:color="auto" w:fill="FFFFFF"/>
            <w:vAlign w:val="center"/>
            <w:hideMark/>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Biological </w:t>
            </w:r>
          </w:p>
        </w:tc>
        <w:tc>
          <w:tcPr>
            <w:tcW w:w="829" w:type="pct"/>
            <w:gridSpan w:val="2"/>
            <w:vMerge/>
            <w:shd w:val="clear" w:color="auto" w:fill="FFFFFF"/>
            <w:vAlign w:val="center"/>
            <w:hideMark/>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p>
        </w:tc>
      </w:tr>
      <w:tr w:rsidR="00DB2FFB" w:rsidRPr="00DB2FFB" w:rsidTr="008661D6">
        <w:trPr>
          <w:trHeight w:val="135"/>
        </w:trPr>
        <w:tc>
          <w:tcPr>
            <w:tcW w:w="1510" w:type="pct"/>
            <w:gridSpan w:val="2"/>
            <w:vMerge/>
            <w:shd w:val="clear" w:color="auto" w:fill="FFFFFF"/>
            <w:vAlign w:val="center"/>
            <w:hideMark/>
          </w:tcPr>
          <w:p w:rsidR="008661D6" w:rsidRPr="00DB2FFB" w:rsidRDefault="008661D6" w:rsidP="00AA5846">
            <w:pPr>
              <w:spacing w:after="0"/>
              <w:rPr>
                <w:rFonts w:ascii="Times New Roman" w:eastAsia="Calibri" w:hAnsi="Times New Roman" w:cs="Times New Roman"/>
                <w:b/>
                <w:bCs/>
                <w:color w:val="000000" w:themeColor="text1"/>
                <w:sz w:val="24"/>
                <w:szCs w:val="24"/>
              </w:rPr>
            </w:pPr>
          </w:p>
        </w:tc>
        <w:tc>
          <w:tcPr>
            <w:tcW w:w="443"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44"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43"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44"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43"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44"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14"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15" w:type="pct"/>
            <w:shd w:val="clear" w:color="auto" w:fill="FFFFFF"/>
            <w:vAlign w:val="center"/>
          </w:tcPr>
          <w:p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r>
      <w:tr w:rsidR="00DB2FFB" w:rsidRPr="00DB2FFB" w:rsidTr="008661D6">
        <w:trPr>
          <w:trHeight w:val="58"/>
        </w:trPr>
        <w:tc>
          <w:tcPr>
            <w:tcW w:w="258" w:type="pct"/>
            <w:shd w:val="clear" w:color="auto" w:fill="FFFFFF"/>
            <w:hideMark/>
          </w:tcPr>
          <w:p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1</w:t>
            </w:r>
          </w:p>
        </w:tc>
        <w:tc>
          <w:tcPr>
            <w:tcW w:w="1252" w:type="pct"/>
            <w:shd w:val="clear" w:color="auto" w:fill="FFFFFF"/>
          </w:tcPr>
          <w:p w:rsidR="008661D6" w:rsidRPr="00DB2FFB" w:rsidRDefault="008661D6" w:rsidP="00AA5846">
            <w:pPr>
              <w:pStyle w:val="Header"/>
              <w:spacing w:line="276" w:lineRule="auto"/>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Control </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27.5</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28.8</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44.7</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46.2</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72.2</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75.0</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38.1</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38.4</w:t>
            </w:r>
          </w:p>
        </w:tc>
      </w:tr>
      <w:tr w:rsidR="00DB2FFB" w:rsidRPr="00DB2FFB" w:rsidTr="008661D6">
        <w:trPr>
          <w:trHeight w:val="302"/>
        </w:trPr>
        <w:tc>
          <w:tcPr>
            <w:tcW w:w="258" w:type="pct"/>
            <w:shd w:val="clear" w:color="auto" w:fill="FFFFFF"/>
            <w:hideMark/>
          </w:tcPr>
          <w:p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2</w:t>
            </w:r>
          </w:p>
        </w:tc>
        <w:tc>
          <w:tcPr>
            <w:tcW w:w="1252" w:type="pct"/>
            <w:shd w:val="clear" w:color="auto" w:fill="FFFFFF"/>
          </w:tcPr>
          <w:p w:rsidR="008661D6" w:rsidRPr="00DB2FFB" w:rsidRDefault="008661D6" w:rsidP="00AA5846">
            <w:pPr>
              <w:pStyle w:val="Header"/>
              <w:spacing w:line="276" w:lineRule="auto"/>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35.6</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36.8</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52.8</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55.7</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88.4</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92.5</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40.3</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39.8</w:t>
            </w:r>
          </w:p>
        </w:tc>
      </w:tr>
      <w:tr w:rsidR="00DB2FFB" w:rsidRPr="00DB2FFB" w:rsidTr="008661D6">
        <w:trPr>
          <w:trHeight w:val="58"/>
        </w:trPr>
        <w:tc>
          <w:tcPr>
            <w:tcW w:w="258" w:type="pct"/>
            <w:shd w:val="clear" w:color="auto" w:fill="FFFFFF"/>
            <w:hideMark/>
          </w:tcPr>
          <w:p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3</w:t>
            </w:r>
          </w:p>
        </w:tc>
        <w:tc>
          <w:tcPr>
            <w:tcW w:w="1252" w:type="pct"/>
            <w:shd w:val="clear" w:color="auto" w:fill="FFFFFF"/>
          </w:tcPr>
          <w:p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100%RDF+ </w:t>
            </w:r>
            <w:r w:rsidRPr="00DB2FFB">
              <w:rPr>
                <w:rFonts w:ascii="Times New Roman" w:hAnsi="Times New Roman" w:cs="Times New Roman"/>
                <w:bCs/>
                <w:i/>
                <w:color w:val="000000" w:themeColor="text1"/>
                <w:sz w:val="24"/>
                <w:szCs w:val="24"/>
              </w:rPr>
              <w:t>Azotobacter</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38.2</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40.4</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55.3</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58.2</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93.5</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98.6</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40.9</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41.0</w:t>
            </w:r>
          </w:p>
        </w:tc>
      </w:tr>
      <w:tr w:rsidR="00DB2FFB" w:rsidRPr="00DB2FFB" w:rsidTr="008661D6">
        <w:trPr>
          <w:trHeight w:val="588"/>
        </w:trPr>
        <w:tc>
          <w:tcPr>
            <w:tcW w:w="258" w:type="pct"/>
            <w:shd w:val="clear" w:color="auto" w:fill="FFFFFF"/>
            <w:hideMark/>
          </w:tcPr>
          <w:p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4</w:t>
            </w:r>
          </w:p>
        </w:tc>
        <w:tc>
          <w:tcPr>
            <w:tcW w:w="1252" w:type="pct"/>
            <w:shd w:val="clear" w:color="auto" w:fill="FFFFFF"/>
          </w:tcPr>
          <w:p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+Multi-nutrients</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40.3</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41.9</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57.6</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59.7</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97.9</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101.6</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41.2</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41.2</w:t>
            </w:r>
          </w:p>
        </w:tc>
      </w:tr>
      <w:tr w:rsidR="00DB2FFB" w:rsidRPr="00DB2FFB" w:rsidTr="008661D6">
        <w:trPr>
          <w:trHeight w:val="602"/>
        </w:trPr>
        <w:tc>
          <w:tcPr>
            <w:tcW w:w="258" w:type="pct"/>
            <w:shd w:val="clear" w:color="auto" w:fill="FFFFFF"/>
            <w:hideMark/>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5</w:t>
            </w:r>
          </w:p>
        </w:tc>
        <w:tc>
          <w:tcPr>
            <w:tcW w:w="1252" w:type="pct"/>
            <w:shd w:val="clear" w:color="auto" w:fill="FFFFFF"/>
          </w:tcPr>
          <w:p w:rsidR="008661D6" w:rsidRPr="00DB2FFB" w:rsidRDefault="008661D6" w:rsidP="00AA5846">
            <w:pPr>
              <w:spacing w:after="0"/>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50%RDF+ 50%NthroughSSNM(SPAD)+</w:t>
            </w:r>
            <w:r w:rsidRPr="00DB2FFB">
              <w:rPr>
                <w:rFonts w:ascii="Times New Roman" w:hAnsi="Times New Roman" w:cs="Times New Roman"/>
                <w:bCs/>
                <w:i/>
                <w:color w:val="000000" w:themeColor="text1"/>
                <w:sz w:val="24"/>
                <w:szCs w:val="24"/>
              </w:rPr>
              <w:t>Azotobacter</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37.2</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39.1</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54.6</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57.8</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91.8</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96.9</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40.5</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40.4</w:t>
            </w:r>
          </w:p>
        </w:tc>
      </w:tr>
      <w:tr w:rsidR="00DB2FFB" w:rsidRPr="00DB2FFB" w:rsidTr="008661D6">
        <w:trPr>
          <w:trHeight w:val="58"/>
        </w:trPr>
        <w:tc>
          <w:tcPr>
            <w:tcW w:w="258" w:type="pct"/>
            <w:shd w:val="clear" w:color="auto" w:fill="FFFFFF"/>
            <w:hideMark/>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6</w:t>
            </w:r>
          </w:p>
        </w:tc>
        <w:tc>
          <w:tcPr>
            <w:tcW w:w="1252" w:type="pct"/>
            <w:shd w:val="clear" w:color="auto" w:fill="FFFFFF"/>
          </w:tcPr>
          <w:p w:rsidR="008661D6" w:rsidRPr="00DB2FFB" w:rsidRDefault="008661D6" w:rsidP="00AA5846">
            <w:pPr>
              <w:spacing w:after="0"/>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75%RDF+25%NthroughSSNM(SPAD)+</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 Multi-nutrients</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41.5</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42.9</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59.3</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61.5</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100.8</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104.4</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41.2</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41.1</w:t>
            </w:r>
          </w:p>
        </w:tc>
      </w:tr>
      <w:tr w:rsidR="00DB2FFB" w:rsidRPr="00DB2FFB" w:rsidTr="008661D6">
        <w:trPr>
          <w:trHeight w:val="113"/>
        </w:trPr>
        <w:tc>
          <w:tcPr>
            <w:tcW w:w="258" w:type="pct"/>
            <w:shd w:val="clear" w:color="auto" w:fill="FFFFFF"/>
            <w:hideMark/>
          </w:tcPr>
          <w:p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7</w:t>
            </w:r>
          </w:p>
        </w:tc>
        <w:tc>
          <w:tcPr>
            <w:tcW w:w="1252" w:type="pct"/>
            <w:shd w:val="clear" w:color="auto" w:fill="FFFFFF"/>
          </w:tcPr>
          <w:p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75%RDF+25%Nthroughvermicompost+</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 Multi-nutrients</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43.4</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45.1</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60.2</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61.9</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103.6</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107.0</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41.9</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42.1</w:t>
            </w:r>
          </w:p>
        </w:tc>
      </w:tr>
      <w:tr w:rsidR="00DB2FFB" w:rsidRPr="00DB2FFB" w:rsidTr="008661D6">
        <w:trPr>
          <w:trHeight w:val="588"/>
        </w:trPr>
        <w:tc>
          <w:tcPr>
            <w:tcW w:w="258" w:type="pct"/>
            <w:shd w:val="clear" w:color="auto" w:fill="FFFFFF"/>
            <w:hideMark/>
          </w:tcPr>
          <w:p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8</w:t>
            </w:r>
          </w:p>
        </w:tc>
        <w:tc>
          <w:tcPr>
            <w:tcW w:w="1252" w:type="pct"/>
            <w:shd w:val="clear" w:color="auto" w:fill="FFFFFF"/>
          </w:tcPr>
          <w:p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75%RDF+25%NthroughFYM+</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+Multi-nutrients</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42.3</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43.8</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59.6</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60.3</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101.9</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104.1</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41.5</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42.1</w:t>
            </w:r>
          </w:p>
        </w:tc>
      </w:tr>
      <w:tr w:rsidR="00DB2FFB" w:rsidRPr="00DB2FFB" w:rsidTr="008661D6">
        <w:trPr>
          <w:trHeight w:val="602"/>
        </w:trPr>
        <w:tc>
          <w:tcPr>
            <w:tcW w:w="258" w:type="pct"/>
            <w:shd w:val="clear" w:color="auto" w:fill="FFFFFF"/>
            <w:hideMark/>
          </w:tcPr>
          <w:p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lastRenderedPageBreak/>
              <w:t>T</w:t>
            </w:r>
            <w:r w:rsidRPr="00DB2FFB">
              <w:rPr>
                <w:rFonts w:ascii="Times New Roman" w:hAnsi="Times New Roman" w:cs="Times New Roman"/>
                <w:b/>
                <w:color w:val="000000" w:themeColor="text1"/>
                <w:sz w:val="24"/>
                <w:szCs w:val="24"/>
                <w:vertAlign w:val="subscript"/>
              </w:rPr>
              <w:t>9</w:t>
            </w:r>
          </w:p>
        </w:tc>
        <w:tc>
          <w:tcPr>
            <w:tcW w:w="1252" w:type="pct"/>
            <w:shd w:val="clear" w:color="auto" w:fill="FFFFFF"/>
          </w:tcPr>
          <w:p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100%RDF+ 25%Nthroughvermicompost+</w:t>
            </w:r>
            <w:r w:rsidRPr="00DB2FFB">
              <w:rPr>
                <w:rFonts w:ascii="Times New Roman" w:hAnsi="Times New Roman" w:cs="Times New Roman"/>
                <w:bCs/>
                <w:i/>
                <w:color w:val="000000" w:themeColor="text1"/>
                <w:sz w:val="24"/>
                <w:szCs w:val="24"/>
              </w:rPr>
              <w:t>Azotobacter</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46.5</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48.2</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62.9</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64.8</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109.4</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113.2</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42.5</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42.6</w:t>
            </w:r>
          </w:p>
        </w:tc>
      </w:tr>
      <w:tr w:rsidR="00DB2FFB" w:rsidRPr="00DB2FFB" w:rsidTr="008661D6">
        <w:trPr>
          <w:trHeight w:val="523"/>
        </w:trPr>
        <w:tc>
          <w:tcPr>
            <w:tcW w:w="258" w:type="pct"/>
            <w:shd w:val="clear" w:color="auto" w:fill="FFFFFF"/>
            <w:hideMark/>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10</w:t>
            </w:r>
          </w:p>
        </w:tc>
        <w:tc>
          <w:tcPr>
            <w:tcW w:w="1252" w:type="pct"/>
            <w:shd w:val="clear" w:color="auto" w:fill="FFFFFF"/>
          </w:tcPr>
          <w:p w:rsidR="008661D6" w:rsidRPr="00DB2FFB" w:rsidRDefault="008661D6" w:rsidP="00AA5846">
            <w:pPr>
              <w:spacing w:after="0"/>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100%RDF+ 25%NthroughFYM+</w:t>
            </w:r>
            <w:r w:rsidRPr="00DB2FFB">
              <w:rPr>
                <w:rFonts w:ascii="Times New Roman" w:hAnsi="Times New Roman" w:cs="Times New Roman"/>
                <w:bCs/>
                <w:i/>
                <w:color w:val="000000" w:themeColor="text1"/>
                <w:sz w:val="24"/>
                <w:szCs w:val="24"/>
              </w:rPr>
              <w:t>Azotobacter</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45.3</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46.4</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61.5</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64.1</w:t>
            </w:r>
          </w:p>
        </w:tc>
        <w:tc>
          <w:tcPr>
            <w:tcW w:w="443"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106.8</w:t>
            </w:r>
          </w:p>
        </w:tc>
        <w:tc>
          <w:tcPr>
            <w:tcW w:w="44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110.5</w:t>
            </w:r>
          </w:p>
        </w:tc>
        <w:tc>
          <w:tcPr>
            <w:tcW w:w="414"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42.4</w:t>
            </w:r>
          </w:p>
        </w:tc>
        <w:tc>
          <w:tcPr>
            <w:tcW w:w="415" w:type="pct"/>
            <w:shd w:val="clear" w:color="auto" w:fill="FFFFFF"/>
          </w:tcPr>
          <w:p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42.0</w:t>
            </w:r>
          </w:p>
        </w:tc>
      </w:tr>
      <w:tr w:rsidR="00DB2FFB" w:rsidRPr="00DB2FFB" w:rsidTr="008661D6">
        <w:trPr>
          <w:trHeight w:val="302"/>
        </w:trPr>
        <w:tc>
          <w:tcPr>
            <w:tcW w:w="1510" w:type="pct"/>
            <w:gridSpan w:val="2"/>
            <w:shd w:val="clear" w:color="auto" w:fill="FFFFFF"/>
            <w:hideMark/>
          </w:tcPr>
          <w:p w:rsidR="008661D6" w:rsidRPr="00DB2FFB" w:rsidRDefault="008661D6" w:rsidP="00C424EB">
            <w:pPr>
              <w:spacing w:after="0"/>
              <w:ind w:left="601" w:right="112"/>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lang w:val="en-GB" w:eastAsia="en-GB"/>
              </w:rPr>
              <w:t>SEm(±)</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1.4</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1.5</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2.1</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3.5</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3.6</w:t>
            </w:r>
          </w:p>
        </w:tc>
        <w:tc>
          <w:tcPr>
            <w:tcW w:w="414"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1.4</w:t>
            </w:r>
          </w:p>
        </w:tc>
        <w:tc>
          <w:tcPr>
            <w:tcW w:w="415" w:type="pct"/>
            <w:shd w:val="clear" w:color="auto" w:fill="FFFFFF"/>
          </w:tcPr>
          <w:p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1.5</w:t>
            </w:r>
          </w:p>
        </w:tc>
      </w:tr>
      <w:tr w:rsidR="00DB2FFB" w:rsidRPr="00DB2FFB" w:rsidTr="008661D6">
        <w:trPr>
          <w:trHeight w:val="317"/>
        </w:trPr>
        <w:tc>
          <w:tcPr>
            <w:tcW w:w="1510" w:type="pct"/>
            <w:gridSpan w:val="2"/>
            <w:shd w:val="clear" w:color="auto" w:fill="FFFFFF"/>
            <w:hideMark/>
          </w:tcPr>
          <w:p w:rsidR="008661D6" w:rsidRPr="00DB2FFB" w:rsidRDefault="008661D6" w:rsidP="00C424EB">
            <w:pPr>
              <w:spacing w:after="0"/>
              <w:ind w:left="601" w:right="112"/>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 xml:space="preserve"> C.D. (P=0.05)</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4.2</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4.4</w:t>
            </w:r>
          </w:p>
        </w:tc>
        <w:tc>
          <w:tcPr>
            <w:tcW w:w="443" w:type="pct"/>
            <w:shd w:val="clear" w:color="auto" w:fill="FFFFFF"/>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5.9</w:t>
            </w:r>
          </w:p>
        </w:tc>
        <w:tc>
          <w:tcPr>
            <w:tcW w:w="444" w:type="pct"/>
            <w:shd w:val="clear" w:color="auto" w:fill="FFFFFF"/>
          </w:tcPr>
          <w:p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6.2</w:t>
            </w:r>
          </w:p>
        </w:tc>
        <w:tc>
          <w:tcPr>
            <w:tcW w:w="443" w:type="pct"/>
            <w:shd w:val="clear" w:color="auto" w:fill="FFFFFF"/>
          </w:tcPr>
          <w:p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10.2</w:t>
            </w:r>
          </w:p>
        </w:tc>
        <w:tc>
          <w:tcPr>
            <w:tcW w:w="444" w:type="pct"/>
            <w:shd w:val="clear" w:color="auto" w:fill="FFFFFF"/>
          </w:tcPr>
          <w:p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10.6</w:t>
            </w:r>
          </w:p>
        </w:tc>
        <w:tc>
          <w:tcPr>
            <w:tcW w:w="414" w:type="pct"/>
            <w:shd w:val="clear" w:color="auto" w:fill="FFFFFF"/>
          </w:tcPr>
          <w:p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NS</w:t>
            </w:r>
          </w:p>
        </w:tc>
        <w:tc>
          <w:tcPr>
            <w:tcW w:w="415" w:type="pct"/>
            <w:shd w:val="clear" w:color="auto" w:fill="FFFFFF"/>
          </w:tcPr>
          <w:p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NS</w:t>
            </w:r>
          </w:p>
        </w:tc>
      </w:tr>
    </w:tbl>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Here is a detailed Result and Discussion section for Table 2, focusing on grain yield, straw yield, biological yield, and harvest index under different Integrated Nutrient Management (INM) treatments for the years 2022–23 and 2023–24.</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data in Table 2 highlights the significant influence of various INM treatments on grain yield, straw yield, biological yield, and harvest index over two consecutive years. All parameters showed a positive response to nutrient integration compared to the control, though harvest index differences were statistically non-significant (NS).</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 Grain Yield (q ha⁻¹)</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Grain yield increased significantly with integrated treatments. The highest grain yield was recorded in T9 (100% RDF + 25% N through vermicompost + Azotobacter) with 46.5 q ha⁻¹ (2022–23) and 48.2 q ha⁻¹ (2023–24). This was followed by T10 (45.3 and 46.4 q ha⁻¹), and T7 (43.4 and 45.1 q ha⁻¹). In contrast, the lowest yield was observed under the control (T1) (27.5 and 28.8 q ha⁻¹).</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yield advantage under T9 is attributed to the synergistic effect of chemical fertilizers (RDF), organic N (vermicompost), and Azotobacter, which likely enhanced nutrient availability, improved soil microbial activity, and resulted in better root development and nutrient uptake. Vermicompost improves soil structure and microbial diversity, while Azotobacter promotes nitrogen fixation and auxin production, leading to robust plant growth and higher grain yield.</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This finding aligns with the work of Sahu et al. (2021) and Yadav et al. (2018), who reported that INM practices significantly increase yield by ensuring continuous and balanced nutrient supply.</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 Straw Yield (q ha⁻¹)</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Straw yield followed a pattern similar to grain yield. T9 produced the maximum straw yield of 62.9 and 64.8 q ha⁻¹, followed by T10 and T7. The control treatment (T1) recorded the lowest straw yield (44.7 and 46.2 q ha⁻¹).</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lastRenderedPageBreak/>
        <w:t>Higher vegetative biomass in INM treatments may be linked to increased tillering and leaf area development, which are further supported by organic matter from vermicompost or FYM. Enhanced photosynthetic efficiency and delayed senescence also contribute to higher straw production.</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These observations are consistent with Kumar et al. (2020), who demonstrated that straw yield improves with INM due to improved soil moisture retention and nutrient cycling.</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 Biological Yield (q ha⁻¹)</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Biological yield, being the sum of grain and straw yield, showed the highest values in T9 (109.4 and 113.2 q ha⁻¹), significantly superior to all other treatments. The next best treatments were T10 (106.8 and 110.5 q ha⁻¹), T7, and T8.</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increased biological yield under these treatments can be attributed to enhanced vegetative growth and reproductive output due to efficient nutrient partitioning and a combination of inorganic and organic nutrient sources. This is in agreement with Tripathi et al. (2019), who found that the combined use of FYM/vermicompost with biofertilizers led to improved physiological efficiency and total biomass.</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 Harvest Index (%)</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Though harvest index (HI) values showed slight improvements across treatments, the differences were statistically non-significant. The highest HI was recorded in T9 (42.5% and 42.6%), followed closely by T10, T7, and T8. The control treatment (T1) had the lowest HI values (38.1% and 38.4%).</w:t>
      </w:r>
    </w:p>
    <w:p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A higher HI reflects a better partitioning of assimilates towards economic yield. While INM treatments improved both grain and straw yields, the proportionate increase in grain over total biomass was only marginal, hence the non-significant change.</w:t>
      </w:r>
    </w:p>
    <w:p w:rsidR="001B187F"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Studies by Ramesh et al. (2017) also indicate that harvest index generally remains stable unless there's a drastic change in source–sink dynamics or stress conditions.</w:t>
      </w:r>
      <w:r w:rsidR="001B187F" w:rsidRPr="00DB2FFB">
        <w:rPr>
          <w:rFonts w:ascii="Times New Roman" w:hAnsi="Times New Roman" w:cs="Times New Roman"/>
          <w:color w:val="000000" w:themeColor="text1"/>
          <w:sz w:val="24"/>
          <w:szCs w:val="24"/>
        </w:rPr>
        <w:t>.</w:t>
      </w:r>
    </w:p>
    <w:p w:rsidR="003F11EF" w:rsidRPr="00DB2FFB" w:rsidRDefault="003F11EF" w:rsidP="00B16126">
      <w:pPr>
        <w:spacing w:after="0" w:line="240" w:lineRule="auto"/>
        <w:ind w:left="993" w:hanging="993"/>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 xml:space="preserve">Table </w:t>
      </w:r>
      <w:r w:rsidR="00616027" w:rsidRPr="00DB2FFB">
        <w:rPr>
          <w:rFonts w:ascii="Times New Roman" w:hAnsi="Times New Roman" w:cs="Times New Roman"/>
          <w:b/>
          <w:color w:val="000000" w:themeColor="text1"/>
          <w:sz w:val="24"/>
          <w:szCs w:val="24"/>
        </w:rPr>
        <w:t>3</w:t>
      </w:r>
      <w:r w:rsidR="00720E59" w:rsidRPr="00DB2FFB">
        <w:rPr>
          <w:rFonts w:ascii="Times New Roman" w:hAnsi="Times New Roman" w:cs="Times New Roman"/>
          <w:b/>
          <w:color w:val="000000" w:themeColor="text1"/>
          <w:sz w:val="24"/>
          <w:szCs w:val="24"/>
        </w:rPr>
        <w:t xml:space="preserve">. </w:t>
      </w:r>
      <w:r w:rsidRPr="00DB2FFB">
        <w:rPr>
          <w:rFonts w:ascii="Times New Roman" w:hAnsi="Times New Roman" w:cs="Times New Roman"/>
          <w:b/>
          <w:color w:val="000000" w:themeColor="text1"/>
          <w:sz w:val="24"/>
          <w:szCs w:val="24"/>
        </w:rPr>
        <w:t xml:space="preserve"> Effect of integrated nutrient management on protein content (%) and protein yield (kg ha</w:t>
      </w:r>
      <w:r w:rsidRPr="00DB2FFB">
        <w:rPr>
          <w:rFonts w:ascii="Times New Roman" w:hAnsi="Times New Roman" w:cs="Times New Roman"/>
          <w:b/>
          <w:color w:val="000000" w:themeColor="text1"/>
          <w:sz w:val="24"/>
          <w:szCs w:val="24"/>
          <w:vertAlign w:val="superscript"/>
        </w:rPr>
        <w:t>-1</w:t>
      </w:r>
      <w:r w:rsidRPr="00DB2FFB">
        <w:rPr>
          <w:rFonts w:ascii="Times New Roman" w:hAnsi="Times New Roman" w:cs="Times New Roman"/>
          <w:b/>
          <w:color w:val="000000" w:themeColor="text1"/>
          <w:sz w:val="24"/>
          <w:szCs w:val="24"/>
        </w:rPr>
        <w:t>) in grain</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5566"/>
        <w:gridCol w:w="776"/>
        <w:gridCol w:w="1071"/>
        <w:gridCol w:w="1247"/>
        <w:gridCol w:w="842"/>
      </w:tblGrid>
      <w:tr w:rsidR="00DB2FFB" w:rsidRPr="00DB2FFB" w:rsidTr="001B187F">
        <w:trPr>
          <w:trHeight w:val="350"/>
        </w:trPr>
        <w:tc>
          <w:tcPr>
            <w:tcW w:w="2167" w:type="pct"/>
            <w:gridSpan w:val="2"/>
            <w:vMerge w:val="restart"/>
          </w:tcPr>
          <w:p w:rsidR="003F11EF" w:rsidRPr="00DB2FFB" w:rsidRDefault="003F11EF" w:rsidP="003F11EF">
            <w:pPr>
              <w:spacing w:after="0" w:line="240" w:lineRule="auto"/>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Treatments</w:t>
            </w:r>
          </w:p>
        </w:tc>
        <w:tc>
          <w:tcPr>
            <w:tcW w:w="1443" w:type="pct"/>
            <w:gridSpan w:val="2"/>
            <w:vAlign w:val="center"/>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hAnsi="Times New Roman" w:cs="Times New Roman"/>
                <w:b/>
                <w:color w:val="000000" w:themeColor="text1"/>
                <w:sz w:val="24"/>
                <w:szCs w:val="24"/>
              </w:rPr>
              <w:t>Protein content (%)</w:t>
            </w:r>
          </w:p>
        </w:tc>
        <w:tc>
          <w:tcPr>
            <w:tcW w:w="1390" w:type="pct"/>
            <w:gridSpan w:val="2"/>
          </w:tcPr>
          <w:p w:rsidR="003F11EF" w:rsidRPr="00DB2FFB" w:rsidRDefault="003F11EF" w:rsidP="003F11EF">
            <w:pPr>
              <w:spacing w:after="0" w:line="240"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Protein yield (kg ha</w:t>
            </w:r>
            <w:r w:rsidRPr="00DB2FFB">
              <w:rPr>
                <w:rFonts w:ascii="Times New Roman" w:hAnsi="Times New Roman" w:cs="Times New Roman"/>
                <w:b/>
                <w:color w:val="000000" w:themeColor="text1"/>
                <w:sz w:val="24"/>
                <w:szCs w:val="24"/>
                <w:vertAlign w:val="superscript"/>
              </w:rPr>
              <w:t>-1</w:t>
            </w:r>
            <w:r w:rsidRPr="00DB2FFB">
              <w:rPr>
                <w:rFonts w:ascii="Times New Roman" w:hAnsi="Times New Roman" w:cs="Times New Roman"/>
                <w:b/>
                <w:color w:val="000000" w:themeColor="text1"/>
                <w:sz w:val="24"/>
                <w:szCs w:val="24"/>
              </w:rPr>
              <w:t>)</w:t>
            </w:r>
          </w:p>
        </w:tc>
      </w:tr>
      <w:tr w:rsidR="00DB2FFB" w:rsidRPr="00DB2FFB" w:rsidTr="001B187F">
        <w:trPr>
          <w:trHeight w:val="80"/>
        </w:trPr>
        <w:tc>
          <w:tcPr>
            <w:tcW w:w="2167" w:type="pct"/>
            <w:gridSpan w:val="2"/>
            <w:vMerge/>
            <w:vAlign w:val="center"/>
          </w:tcPr>
          <w:p w:rsidR="003F11EF" w:rsidRPr="00DB2FFB" w:rsidRDefault="003F11EF" w:rsidP="003F11EF">
            <w:pPr>
              <w:spacing w:after="0" w:line="240" w:lineRule="auto"/>
              <w:rPr>
                <w:rFonts w:ascii="Times New Roman" w:eastAsia="Calibri" w:hAnsi="Times New Roman" w:cs="Times New Roman"/>
                <w:b/>
                <w:color w:val="000000" w:themeColor="text1"/>
                <w:sz w:val="24"/>
                <w:szCs w:val="24"/>
              </w:rPr>
            </w:pPr>
          </w:p>
        </w:tc>
        <w:tc>
          <w:tcPr>
            <w:tcW w:w="650" w:type="pct"/>
            <w:vAlign w:val="center"/>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793" w:type="pct"/>
            <w:vAlign w:val="center"/>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796" w:type="pct"/>
            <w:vAlign w:val="center"/>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594" w:type="pct"/>
            <w:vAlign w:val="center"/>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r>
      <w:tr w:rsidR="00DB2FFB" w:rsidRPr="00DB2FFB" w:rsidTr="003F11EF">
        <w:trPr>
          <w:trHeight w:val="58"/>
        </w:trPr>
        <w:tc>
          <w:tcPr>
            <w:tcW w:w="269" w:type="pct"/>
          </w:tcPr>
          <w:p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1</w:t>
            </w:r>
          </w:p>
        </w:tc>
        <w:tc>
          <w:tcPr>
            <w:tcW w:w="1898" w:type="pct"/>
          </w:tcPr>
          <w:p w:rsidR="003F11EF" w:rsidRPr="00DB2FFB" w:rsidRDefault="003F11EF" w:rsidP="003F11EF">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Control </w:t>
            </w:r>
          </w:p>
        </w:tc>
        <w:tc>
          <w:tcPr>
            <w:tcW w:w="650" w:type="pct"/>
          </w:tcPr>
          <w:p w:rsidR="003F11EF" w:rsidRPr="00DB2FFB" w:rsidRDefault="003F11EF" w:rsidP="003F11EF">
            <w:pPr>
              <w:spacing w:after="0"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7.6</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7.8</w:t>
            </w:r>
          </w:p>
        </w:tc>
        <w:tc>
          <w:tcPr>
            <w:tcW w:w="796" w:type="pct"/>
          </w:tcPr>
          <w:p w:rsidR="003F11EF" w:rsidRPr="00DB2FFB" w:rsidRDefault="003F11EF" w:rsidP="003F11EF">
            <w:pPr>
              <w:spacing w:after="0"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208.0</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224.4</w:t>
            </w:r>
          </w:p>
        </w:tc>
      </w:tr>
      <w:tr w:rsidR="00DB2FFB" w:rsidRPr="00DB2FFB" w:rsidTr="003F11EF">
        <w:trPr>
          <w:trHeight w:val="58"/>
        </w:trPr>
        <w:tc>
          <w:tcPr>
            <w:tcW w:w="269" w:type="pct"/>
          </w:tcPr>
          <w:p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lastRenderedPageBreak/>
              <w:t>T</w:t>
            </w:r>
            <w:r w:rsidRPr="00DB2FFB">
              <w:rPr>
                <w:rFonts w:ascii="Times New Roman" w:hAnsi="Times New Roman" w:cs="Times New Roman"/>
                <w:b/>
                <w:color w:val="000000" w:themeColor="text1"/>
                <w:sz w:val="24"/>
                <w:szCs w:val="24"/>
                <w:vertAlign w:val="subscript"/>
              </w:rPr>
              <w:t>2</w:t>
            </w:r>
          </w:p>
        </w:tc>
        <w:tc>
          <w:tcPr>
            <w:tcW w:w="1898" w:type="pct"/>
          </w:tcPr>
          <w:p w:rsidR="003F11EF" w:rsidRPr="00DB2FFB" w:rsidRDefault="003F11EF" w:rsidP="003F11EF">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8.7</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8.9</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310.1</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328.9</w:t>
            </w:r>
          </w:p>
        </w:tc>
      </w:tr>
      <w:tr w:rsidR="00DB2FFB" w:rsidRPr="00DB2FFB" w:rsidTr="003F11EF">
        <w:trPr>
          <w:trHeight w:val="58"/>
        </w:trPr>
        <w:tc>
          <w:tcPr>
            <w:tcW w:w="269" w:type="pct"/>
          </w:tcPr>
          <w:p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3</w:t>
            </w:r>
          </w:p>
        </w:tc>
        <w:tc>
          <w:tcPr>
            <w:tcW w:w="1898" w:type="pct"/>
          </w:tcPr>
          <w:p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100%RDF+ </w:t>
            </w:r>
            <w:r w:rsidRPr="00DB2FFB">
              <w:rPr>
                <w:rFonts w:ascii="Times New Roman" w:hAnsi="Times New Roman" w:cs="Times New Roman"/>
                <w:bCs/>
                <w:i/>
                <w:color w:val="000000" w:themeColor="text1"/>
                <w:sz w:val="24"/>
                <w:szCs w:val="24"/>
              </w:rPr>
              <w:t>Azotobacter</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9.0</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9.3</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343.7</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375.0</w:t>
            </w:r>
          </w:p>
        </w:tc>
      </w:tr>
      <w:tr w:rsidR="00DB2FFB" w:rsidRPr="00DB2FFB" w:rsidTr="003F11EF">
        <w:trPr>
          <w:trHeight w:val="561"/>
        </w:trPr>
        <w:tc>
          <w:tcPr>
            <w:tcW w:w="269" w:type="pct"/>
          </w:tcPr>
          <w:p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4</w:t>
            </w:r>
          </w:p>
        </w:tc>
        <w:tc>
          <w:tcPr>
            <w:tcW w:w="1898" w:type="pct"/>
          </w:tcPr>
          <w:p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+Multi-nutrients</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9.2</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9.3</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369.5</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391.3</w:t>
            </w:r>
          </w:p>
        </w:tc>
      </w:tr>
      <w:tr w:rsidR="00DB2FFB" w:rsidRPr="00DB2FFB" w:rsidTr="003F11EF">
        <w:trPr>
          <w:trHeight w:val="561"/>
        </w:trPr>
        <w:tc>
          <w:tcPr>
            <w:tcW w:w="269"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5</w:t>
            </w:r>
          </w:p>
        </w:tc>
        <w:tc>
          <w:tcPr>
            <w:tcW w:w="1898" w:type="pct"/>
          </w:tcPr>
          <w:p w:rsidR="003F11EF" w:rsidRPr="00DB2FFB" w:rsidRDefault="003F11EF" w:rsidP="003F11EF">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50%RDF+ 50%NthroughSSNM(SPAD)+</w:t>
            </w:r>
            <w:r w:rsidRPr="00DB2FFB">
              <w:rPr>
                <w:rFonts w:ascii="Times New Roman" w:hAnsi="Times New Roman" w:cs="Times New Roman"/>
                <w:bCs/>
                <w:i/>
                <w:color w:val="000000" w:themeColor="text1"/>
                <w:sz w:val="24"/>
                <w:szCs w:val="24"/>
              </w:rPr>
              <w:t>Azotobacter</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8.6</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8.8</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319.7</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342.8</w:t>
            </w:r>
          </w:p>
        </w:tc>
      </w:tr>
      <w:tr w:rsidR="00DB2FFB" w:rsidRPr="00DB2FFB" w:rsidTr="003F11EF">
        <w:trPr>
          <w:trHeight w:val="402"/>
        </w:trPr>
        <w:tc>
          <w:tcPr>
            <w:tcW w:w="269"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6</w:t>
            </w:r>
          </w:p>
        </w:tc>
        <w:tc>
          <w:tcPr>
            <w:tcW w:w="1898" w:type="pct"/>
          </w:tcPr>
          <w:p w:rsidR="003F11EF" w:rsidRPr="00DB2FFB" w:rsidRDefault="003F11EF" w:rsidP="003F11EF">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75%RDF+25%NthroughSSNM(SPAD)+</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 Multi-nutrients</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9.5</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9.6</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392.4</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413.0</w:t>
            </w:r>
          </w:p>
        </w:tc>
      </w:tr>
      <w:tr w:rsidR="00DB2FFB" w:rsidRPr="00DB2FFB" w:rsidTr="003F11EF">
        <w:trPr>
          <w:trHeight w:val="561"/>
        </w:trPr>
        <w:tc>
          <w:tcPr>
            <w:tcW w:w="269" w:type="pct"/>
          </w:tcPr>
          <w:p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7</w:t>
            </w:r>
          </w:p>
        </w:tc>
        <w:tc>
          <w:tcPr>
            <w:tcW w:w="1898" w:type="pct"/>
          </w:tcPr>
          <w:p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75%RDF+25%Nthroughvermicompost+</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 Multi-nutrients</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9.7</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10.1</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426.8</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454.8</w:t>
            </w:r>
          </w:p>
        </w:tc>
      </w:tr>
      <w:tr w:rsidR="00DB2FFB" w:rsidRPr="00DB2FFB" w:rsidTr="003F11EF">
        <w:trPr>
          <w:trHeight w:val="496"/>
        </w:trPr>
        <w:tc>
          <w:tcPr>
            <w:tcW w:w="269" w:type="pct"/>
          </w:tcPr>
          <w:p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8</w:t>
            </w:r>
          </w:p>
        </w:tc>
        <w:tc>
          <w:tcPr>
            <w:tcW w:w="1898" w:type="pct"/>
          </w:tcPr>
          <w:p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75%RDF+25%NthroughFYM+</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+Multi-nutrients</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9.7</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10.0</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409.6</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436.7</w:t>
            </w:r>
          </w:p>
        </w:tc>
      </w:tr>
      <w:tr w:rsidR="00DB2FFB" w:rsidRPr="00DB2FFB" w:rsidTr="003F11EF">
        <w:trPr>
          <w:trHeight w:val="484"/>
        </w:trPr>
        <w:tc>
          <w:tcPr>
            <w:tcW w:w="269" w:type="pct"/>
          </w:tcPr>
          <w:p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9</w:t>
            </w:r>
          </w:p>
        </w:tc>
        <w:tc>
          <w:tcPr>
            <w:tcW w:w="1898" w:type="pct"/>
          </w:tcPr>
          <w:p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100%RDF+ 25%Nthroughvermicompost+</w:t>
            </w:r>
            <w:r w:rsidRPr="00DB2FFB">
              <w:rPr>
                <w:rFonts w:ascii="Times New Roman" w:hAnsi="Times New Roman" w:cs="Times New Roman"/>
                <w:bCs/>
                <w:i/>
                <w:color w:val="000000" w:themeColor="text1"/>
                <w:sz w:val="24"/>
                <w:szCs w:val="24"/>
              </w:rPr>
              <w:t>Azotobacter</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10.0</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10.3</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466.3</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497.1</w:t>
            </w:r>
          </w:p>
        </w:tc>
      </w:tr>
      <w:tr w:rsidR="00DB2FFB" w:rsidRPr="00DB2FFB" w:rsidTr="003F11EF">
        <w:trPr>
          <w:trHeight w:val="638"/>
        </w:trPr>
        <w:tc>
          <w:tcPr>
            <w:tcW w:w="269"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10</w:t>
            </w:r>
          </w:p>
        </w:tc>
        <w:tc>
          <w:tcPr>
            <w:tcW w:w="1898" w:type="pct"/>
          </w:tcPr>
          <w:p w:rsidR="003F11EF" w:rsidRPr="00DB2FFB" w:rsidRDefault="003F11EF" w:rsidP="003F11EF">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100%RDF+ 25%NthroughFYM+</w:t>
            </w:r>
            <w:r w:rsidRPr="00DB2FFB">
              <w:rPr>
                <w:rFonts w:ascii="Times New Roman" w:hAnsi="Times New Roman" w:cs="Times New Roman"/>
                <w:bCs/>
                <w:i/>
                <w:color w:val="000000" w:themeColor="text1"/>
                <w:sz w:val="24"/>
                <w:szCs w:val="24"/>
              </w:rPr>
              <w:t>Azotobacter</w:t>
            </w:r>
          </w:p>
        </w:tc>
        <w:tc>
          <w:tcPr>
            <w:tcW w:w="650"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9.9</w:t>
            </w:r>
          </w:p>
        </w:tc>
        <w:tc>
          <w:tcPr>
            <w:tcW w:w="793"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10.2</w:t>
            </w:r>
          </w:p>
        </w:tc>
        <w:tc>
          <w:tcPr>
            <w:tcW w:w="796"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446.5</w:t>
            </w:r>
          </w:p>
        </w:tc>
        <w:tc>
          <w:tcPr>
            <w:tcW w:w="594" w:type="pct"/>
          </w:tcPr>
          <w:p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473.3</w:t>
            </w:r>
          </w:p>
        </w:tc>
      </w:tr>
      <w:tr w:rsidR="00DB2FFB" w:rsidRPr="00DB2FFB" w:rsidTr="001B187F">
        <w:trPr>
          <w:trHeight w:val="379"/>
        </w:trPr>
        <w:tc>
          <w:tcPr>
            <w:tcW w:w="2167" w:type="pct"/>
            <w:gridSpan w:val="2"/>
          </w:tcPr>
          <w:p w:rsidR="003F11EF" w:rsidRPr="00DB2FFB" w:rsidRDefault="003F11EF" w:rsidP="003F11EF">
            <w:pPr>
              <w:spacing w:after="0" w:line="240" w:lineRule="auto"/>
              <w:ind w:left="1242" w:right="112"/>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lang w:val="en-GB" w:eastAsia="en-GB"/>
              </w:rPr>
              <w:t>SEm(±)</w:t>
            </w:r>
          </w:p>
        </w:tc>
        <w:tc>
          <w:tcPr>
            <w:tcW w:w="650"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0.33</w:t>
            </w:r>
          </w:p>
        </w:tc>
        <w:tc>
          <w:tcPr>
            <w:tcW w:w="793"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0.34</w:t>
            </w:r>
          </w:p>
        </w:tc>
        <w:tc>
          <w:tcPr>
            <w:tcW w:w="796"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13.9</w:t>
            </w:r>
          </w:p>
        </w:tc>
        <w:tc>
          <w:tcPr>
            <w:tcW w:w="594"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14.9</w:t>
            </w:r>
          </w:p>
        </w:tc>
      </w:tr>
      <w:tr w:rsidR="00DB2FFB" w:rsidRPr="00DB2FFB" w:rsidTr="001B187F">
        <w:trPr>
          <w:trHeight w:val="58"/>
        </w:trPr>
        <w:tc>
          <w:tcPr>
            <w:tcW w:w="2167" w:type="pct"/>
            <w:gridSpan w:val="2"/>
          </w:tcPr>
          <w:p w:rsidR="003F11EF" w:rsidRPr="00DB2FFB" w:rsidRDefault="003F11EF" w:rsidP="003F11EF">
            <w:pPr>
              <w:spacing w:after="0" w:line="240" w:lineRule="auto"/>
              <w:ind w:left="1242" w:right="112"/>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 xml:space="preserve"> C.D. (P=0.05)</w:t>
            </w:r>
          </w:p>
        </w:tc>
        <w:tc>
          <w:tcPr>
            <w:tcW w:w="650"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0.96</w:t>
            </w:r>
          </w:p>
        </w:tc>
        <w:tc>
          <w:tcPr>
            <w:tcW w:w="793"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0.99</w:t>
            </w:r>
          </w:p>
        </w:tc>
        <w:tc>
          <w:tcPr>
            <w:tcW w:w="796"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40.4</w:t>
            </w:r>
          </w:p>
        </w:tc>
        <w:tc>
          <w:tcPr>
            <w:tcW w:w="594" w:type="pct"/>
          </w:tcPr>
          <w:p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43.1</w:t>
            </w:r>
          </w:p>
        </w:tc>
      </w:tr>
    </w:tbl>
    <w:bookmarkEnd w:id="1"/>
    <w:p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results presented in Table 3 indicate that protein content (%) and protein yield (kg ha⁻¹) in grain were significantly influenced by different integrated nutrient management (INM) treatments. Both protein content and protein yield increased markedly with the application of organic manures, biofertilizers, and balanced chemical fertilization.</w:t>
      </w:r>
    </w:p>
    <w:p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 Protein Content (%)</w:t>
      </w:r>
    </w:p>
    <w:p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A consistent increase in protein content was observed with nutrient-enriched treatments across both years.</w:t>
      </w:r>
    </w:p>
    <w:p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highest protein content was recorded in T9 (100% RDF + 25% N through vermicompost + Azotobacter), with values of 10.0% (2022–23) and 10.3% (2023–24).</w:t>
      </w:r>
    </w:p>
    <w:p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This was closely followed by T10 and T7, all of which included organic nutrient supplementation and Azotobacter, suggesting a synergistic effect of organic sources and nitrogen-fixing bio-inoculants.</w:t>
      </w:r>
    </w:p>
    <w:p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lowest protein content was noted in the control (T1), with 7.6% and 7.8% in respective years.</w:t>
      </w:r>
    </w:p>
    <w:p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increase in protein content under INM treatments can be attributed to:</w:t>
      </w:r>
    </w:p>
    <w:p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Enhanced nitrogen availability through both chemical and organic sources.</w:t>
      </w:r>
    </w:p>
    <w:p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lastRenderedPageBreak/>
        <w:t>Improved biological nitrogen fixation by Azotobacter.</w:t>
      </w:r>
    </w:p>
    <w:p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Better micronutrient balance due to multi-nutrient application.</w:t>
      </w:r>
    </w:p>
    <w:p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These results are in agreement with Mandal et al. (2020) and Sharma et al. (2019), who reported improved grain protein with the inclusion of vermicompost and biofertilizers in cereals due to better nutrient synchrony and uptake.</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 Protein Yield (kg ha⁻¹)</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Protein yield showed significant variations across treatments, with values corresponding closely to grain yield and protein percentage.</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T9 once again recorded the highest protein yield, with 466.3 kg ha⁻¹ (2022–23) and 497.1 kg ha⁻¹ (2023–24).</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T10 (446.5 and 473.3 kg ha⁻¹) and T7 (426.8 and 454.8 kg ha⁻¹) also produced substantial protein yields.</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lowest protein yield was observed in the control plot, with only 208.0 and 224.4 kg ha⁻¹.</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This increase in protein yield is largely a combined effect of:</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Higher grain yield and</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Higher protein concentration.</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integrated use of RDF with vermicompost or FYM and biofertilizers increases soil enzymatic activity, organic matter content, and nutrient use efficiency, all of which contribute to improved grain quality and quantity.</w:t>
      </w: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p>
    <w:p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Similar findings were reported by Singh et al. (2017) and Dubey et al. (2021), highlighting the positive influence of INM on protein accumulation and nitrogen assimilation in grain crops like wheat and rice.</w:t>
      </w:r>
    </w:p>
    <w:p w:rsidR="003078A1" w:rsidRPr="00DB2FFB" w:rsidRDefault="003078A1" w:rsidP="00AA5846">
      <w:pPr>
        <w:spacing w:before="240" w:line="360" w:lineRule="auto"/>
        <w:ind w:right="403"/>
        <w:jc w:val="both"/>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Conclusion</w:t>
      </w:r>
    </w:p>
    <w:p w:rsidR="00C70C77" w:rsidRPr="00DB2FFB" w:rsidRDefault="003078A1"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b/>
          <w:bCs/>
          <w:color w:val="000000" w:themeColor="text1"/>
          <w:sz w:val="24"/>
          <w:szCs w:val="24"/>
        </w:rPr>
        <w:tab/>
      </w:r>
      <w:r w:rsidR="00C70C77" w:rsidRPr="00DB2FFB">
        <w:rPr>
          <w:rFonts w:ascii="Times New Roman" w:hAnsi="Times New Roman" w:cs="Times New Roman"/>
          <w:color w:val="000000" w:themeColor="text1"/>
          <w:sz w:val="24"/>
          <w:szCs w:val="24"/>
        </w:rPr>
        <w:t>The findings of the present study clearly demonstrate the beneficial effects of Integrated Nutrient Management (INM) on enhancing crop growth, yield attributes, and grain quality. Across two consecutive years (2022–23 and 2023–24), treatments involving a synergistic combination of inorganic fertilizers (RDF), organic nutrient sources (vermicompost/FYM), and biofertilizers (Azotobacter) consistently outperformed the control and sole RDF application.</w:t>
      </w:r>
    </w:p>
    <w:p w:rsidR="00C70C77" w:rsidRPr="00DB2FFB" w:rsidRDefault="00C70C77"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Among all treatments, T9 (100% RDF + 25% N through vermicompost + Azotobacter) emerged as the most effective, recording the maximum plant height, tiller number, dry matter </w:t>
      </w:r>
      <w:r w:rsidRPr="00DB2FFB">
        <w:rPr>
          <w:rFonts w:ascii="Times New Roman" w:hAnsi="Times New Roman" w:cs="Times New Roman"/>
          <w:color w:val="000000" w:themeColor="text1"/>
          <w:sz w:val="24"/>
          <w:szCs w:val="24"/>
        </w:rPr>
        <w:lastRenderedPageBreak/>
        <w:t>accumulation, and significantly higher grain and straw yields, which in turn led to the highest biological yield and protein content. This highlights the superior role of INM in sustaining soil health, enhancing nutrient use efficiency, and improving overall crop productivity and nutritional quality.</w:t>
      </w:r>
    </w:p>
    <w:p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observed improvements can be attributed to:</w:t>
      </w:r>
    </w:p>
    <w:p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Enhanced nutrient availability and uptake,</w:t>
      </w:r>
    </w:p>
    <w:p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Better root and vegetative growth,</w:t>
      </w:r>
    </w:p>
    <w:p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Improved soil microbial activity and structure,</w:t>
      </w:r>
    </w:p>
    <w:p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Sustained nutrient release from organic sources.</w:t>
      </w:r>
    </w:p>
    <w:p w:rsidR="00A23BAE" w:rsidRPr="00DB2FFB" w:rsidRDefault="00C70C77"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These findings affirm that integrating organic and inorganic nutrient sources along with biofertilizers provides a sustainable and effective strategy for increasing crop yield and quality. Therefore, adoption of INM practices can be recommended for improving agricultural productivity while maintaining soil fertility and long-term sustainability.</w:t>
      </w:r>
    </w:p>
    <w:p w:rsidR="00A2599C" w:rsidRPr="00DB2FFB" w:rsidRDefault="00A2599C" w:rsidP="003078A1">
      <w:pPr>
        <w:spacing w:line="360" w:lineRule="auto"/>
        <w:ind w:right="403"/>
        <w:jc w:val="both"/>
        <w:rPr>
          <w:rFonts w:ascii="Times New Roman" w:hAnsi="Times New Roman" w:cs="Times New Roman"/>
          <w:color w:val="000000" w:themeColor="text1"/>
          <w:sz w:val="24"/>
          <w:szCs w:val="24"/>
        </w:rPr>
      </w:pPr>
      <w:r w:rsidRPr="00DB2FFB">
        <w:rPr>
          <w:noProof/>
          <w:color w:val="000000" w:themeColor="text1"/>
          <w:lang w:val="en-US"/>
        </w:rPr>
        <w:drawing>
          <wp:inline distT="0" distB="0" distL="0" distR="0">
            <wp:extent cx="6196965" cy="2141220"/>
            <wp:effectExtent l="0" t="0" r="1333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b/>
          <w:bCs/>
          <w:color w:val="000000" w:themeColor="text1"/>
          <w:sz w:val="24"/>
          <w:szCs w:val="24"/>
        </w:rPr>
        <w:t>Figure 1</w:t>
      </w:r>
      <w:r w:rsidR="00AA1D40" w:rsidRPr="00DB2FFB">
        <w:rPr>
          <w:rFonts w:ascii="Times New Roman" w:hAnsi="Times New Roman" w:cs="Times New Roman"/>
          <w:b/>
          <w:bCs/>
          <w:color w:val="000000" w:themeColor="text1"/>
          <w:sz w:val="24"/>
          <w:szCs w:val="24"/>
        </w:rPr>
        <w:t xml:space="preserve">. </w:t>
      </w:r>
      <w:r w:rsidRPr="00DB2FFB">
        <w:rPr>
          <w:rFonts w:ascii="Times New Roman" w:hAnsi="Times New Roman" w:cs="Times New Roman"/>
          <w:b/>
          <w:color w:val="000000" w:themeColor="text1"/>
          <w:sz w:val="24"/>
          <w:szCs w:val="24"/>
        </w:rPr>
        <w:t>Effect of integrated nutrient management on plant height (cm)</w:t>
      </w:r>
      <w:r w:rsidR="00AA1D40" w:rsidRPr="00DB2FFB">
        <w:rPr>
          <w:rFonts w:ascii="Times New Roman" w:hAnsi="Times New Roman" w:cs="Times New Roman"/>
          <w:b/>
          <w:color w:val="000000" w:themeColor="text1"/>
          <w:sz w:val="24"/>
          <w:szCs w:val="24"/>
        </w:rPr>
        <w:t xml:space="preserve">, number of tillersand  </w:t>
      </w:r>
      <w:r w:rsidRPr="00DB2FFB">
        <w:rPr>
          <w:rFonts w:ascii="Times New Roman" w:hAnsi="Times New Roman" w:cs="Times New Roman"/>
          <w:b/>
          <w:color w:val="000000" w:themeColor="text1"/>
          <w:sz w:val="24"/>
          <w:szCs w:val="24"/>
        </w:rPr>
        <w:t>dry matter accumulation (g m</w:t>
      </w:r>
      <w:r w:rsidRPr="00DB2FFB">
        <w:rPr>
          <w:rFonts w:ascii="Times New Roman" w:hAnsi="Times New Roman" w:cs="Times New Roman"/>
          <w:b/>
          <w:color w:val="000000" w:themeColor="text1"/>
          <w:sz w:val="24"/>
          <w:szCs w:val="24"/>
          <w:vertAlign w:val="superscript"/>
        </w:rPr>
        <w:t>-2</w:t>
      </w:r>
      <w:r w:rsidRPr="00DB2FFB">
        <w:rPr>
          <w:rFonts w:ascii="Times New Roman" w:hAnsi="Times New Roman" w:cs="Times New Roman"/>
          <w:b/>
          <w:color w:val="000000" w:themeColor="text1"/>
          <w:sz w:val="24"/>
          <w:szCs w:val="24"/>
        </w:rPr>
        <w:t>) at harvest stages</w:t>
      </w: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r w:rsidRPr="00DB2FFB">
        <w:rPr>
          <w:noProof/>
          <w:color w:val="000000" w:themeColor="text1"/>
          <w:lang w:val="en-US"/>
        </w:rPr>
        <w:lastRenderedPageBreak/>
        <w:drawing>
          <wp:inline distT="0" distB="0" distL="0" distR="0">
            <wp:extent cx="6196965" cy="2313940"/>
            <wp:effectExtent l="0" t="0" r="1333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A1D40" w:rsidP="00A2599C">
      <w:pPr>
        <w:spacing w:after="0" w:line="24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b/>
          <w:bCs/>
          <w:color w:val="000000" w:themeColor="text1"/>
          <w:sz w:val="24"/>
          <w:szCs w:val="24"/>
        </w:rPr>
        <w:t xml:space="preserve">Figure 2. </w:t>
      </w:r>
      <w:r w:rsidR="00A2599C" w:rsidRPr="00DB2FFB">
        <w:rPr>
          <w:rFonts w:ascii="Times New Roman" w:hAnsi="Times New Roman" w:cs="Times New Roman"/>
          <w:b/>
          <w:color w:val="000000" w:themeColor="text1"/>
          <w:sz w:val="24"/>
          <w:szCs w:val="24"/>
        </w:rPr>
        <w:t>Effect of integrated nutrient management on grain, straw, biological yield (q ha</w:t>
      </w:r>
      <w:r w:rsidR="00A2599C" w:rsidRPr="00DB2FFB">
        <w:rPr>
          <w:rFonts w:ascii="Times New Roman" w:hAnsi="Times New Roman" w:cs="Times New Roman"/>
          <w:b/>
          <w:color w:val="000000" w:themeColor="text1"/>
          <w:sz w:val="24"/>
          <w:szCs w:val="24"/>
          <w:vertAlign w:val="superscript"/>
        </w:rPr>
        <w:t>-1</w:t>
      </w:r>
      <w:r w:rsidR="00A2599C" w:rsidRPr="00DB2FFB">
        <w:rPr>
          <w:rFonts w:ascii="Times New Roman" w:hAnsi="Times New Roman" w:cs="Times New Roman"/>
          <w:b/>
          <w:color w:val="000000" w:themeColor="text1"/>
          <w:sz w:val="24"/>
          <w:szCs w:val="24"/>
        </w:rPr>
        <w:t>) and harvest index (%).</w:t>
      </w: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r w:rsidRPr="00DB2FFB">
        <w:rPr>
          <w:noProof/>
          <w:color w:val="000000" w:themeColor="text1"/>
          <w:lang w:val="en-US"/>
        </w:rPr>
        <w:drawing>
          <wp:inline distT="0" distB="0" distL="0" distR="0">
            <wp:extent cx="5989320" cy="2743200"/>
            <wp:effectExtent l="0" t="0" r="1143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A2599C" w:rsidRPr="00DB2FFB" w:rsidRDefault="00A2599C" w:rsidP="00A2599C">
      <w:pPr>
        <w:spacing w:after="0" w:line="240" w:lineRule="auto"/>
        <w:ind w:right="403"/>
        <w:jc w:val="both"/>
        <w:rPr>
          <w:rFonts w:ascii="Times New Roman" w:hAnsi="Times New Roman" w:cs="Times New Roman"/>
          <w:b/>
          <w:color w:val="000000" w:themeColor="text1"/>
          <w:sz w:val="24"/>
          <w:szCs w:val="24"/>
        </w:rPr>
      </w:pPr>
      <w:r w:rsidRPr="00DB2FFB">
        <w:rPr>
          <w:rFonts w:ascii="Times New Roman" w:hAnsi="Times New Roman" w:cs="Times New Roman"/>
          <w:b/>
          <w:bCs/>
          <w:color w:val="000000" w:themeColor="text1"/>
          <w:sz w:val="24"/>
          <w:szCs w:val="24"/>
        </w:rPr>
        <w:t>Figure 3</w:t>
      </w:r>
      <w:r w:rsidR="005F15C2" w:rsidRPr="00DB2FFB">
        <w:rPr>
          <w:rFonts w:ascii="Times New Roman" w:hAnsi="Times New Roman" w:cs="Times New Roman"/>
          <w:b/>
          <w:bCs/>
          <w:color w:val="000000" w:themeColor="text1"/>
          <w:sz w:val="24"/>
          <w:szCs w:val="24"/>
        </w:rPr>
        <w:t xml:space="preserve">. </w:t>
      </w:r>
      <w:r w:rsidRPr="00DB2FFB">
        <w:rPr>
          <w:rFonts w:ascii="Times New Roman" w:hAnsi="Times New Roman" w:cs="Times New Roman"/>
          <w:b/>
          <w:color w:val="000000" w:themeColor="text1"/>
          <w:sz w:val="24"/>
          <w:szCs w:val="24"/>
        </w:rPr>
        <w:t>Effect of integrated nutrient management on protein content (%) and protein yield (kg ha</w:t>
      </w:r>
      <w:r w:rsidRPr="00DB2FFB">
        <w:rPr>
          <w:rFonts w:ascii="Times New Roman" w:hAnsi="Times New Roman" w:cs="Times New Roman"/>
          <w:b/>
          <w:color w:val="000000" w:themeColor="text1"/>
          <w:sz w:val="24"/>
          <w:szCs w:val="24"/>
          <w:vertAlign w:val="superscript"/>
        </w:rPr>
        <w:t>-1</w:t>
      </w:r>
      <w:r w:rsidRPr="00DB2FFB">
        <w:rPr>
          <w:rFonts w:ascii="Times New Roman" w:hAnsi="Times New Roman" w:cs="Times New Roman"/>
          <w:b/>
          <w:color w:val="000000" w:themeColor="text1"/>
          <w:sz w:val="24"/>
          <w:szCs w:val="24"/>
        </w:rPr>
        <w:t>) in grain</w:t>
      </w:r>
    </w:p>
    <w:p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rsidR="006E3138" w:rsidRPr="00DB2FFB" w:rsidRDefault="006E3138" w:rsidP="000F58B9">
      <w:pPr>
        <w:spacing w:after="0" w:line="360" w:lineRule="auto"/>
        <w:ind w:right="403"/>
        <w:jc w:val="both"/>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References</w:t>
      </w:r>
    </w:p>
    <w:p w:rsidR="00DB2FFB" w:rsidRPr="00DB2FFB" w:rsidRDefault="00DB2FFB" w:rsidP="000F58B9">
      <w:pPr>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Amin, GAM, Geweifel, HG, Gomaa MA, El-kholy, MA and Mohamed, MH, (2011) Effect of sowing methods and fertilization on yield analysis and grain quality of wheat under new reclaimed sandy soil, </w:t>
      </w:r>
      <w:r w:rsidRPr="00DB2FFB">
        <w:rPr>
          <w:rFonts w:ascii="Times New Roman" w:hAnsi="Times New Roman" w:cs="Times New Roman"/>
          <w:i/>
          <w:iCs/>
          <w:color w:val="000000" w:themeColor="text1"/>
          <w:sz w:val="24"/>
          <w:szCs w:val="24"/>
        </w:rPr>
        <w:t>Journal of applied science research</w:t>
      </w:r>
      <w:r w:rsidRPr="00DB2FFB">
        <w:rPr>
          <w:rFonts w:ascii="Times New Roman" w:hAnsi="Times New Roman" w:cs="Times New Roman"/>
          <w:b/>
          <w:bCs/>
          <w:color w:val="000000" w:themeColor="text1"/>
          <w:sz w:val="24"/>
          <w:szCs w:val="24"/>
        </w:rPr>
        <w:t>7</w:t>
      </w:r>
      <w:r w:rsidRPr="00DB2FFB">
        <w:rPr>
          <w:rFonts w:ascii="Times New Roman" w:hAnsi="Times New Roman" w:cs="Times New Roman"/>
          <w:color w:val="000000" w:themeColor="text1"/>
          <w:sz w:val="24"/>
          <w:szCs w:val="24"/>
        </w:rPr>
        <w:t>(12),1760-67.</w:t>
      </w:r>
    </w:p>
    <w:p w:rsidR="00DB2FFB" w:rsidRPr="00DB2FFB" w:rsidRDefault="00DB2FFB" w:rsidP="00A2599C">
      <w:pPr>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Asghar, Muhammad, Mirza, Muhammad, (2010). Evaluation of difenoconazole along with macronutrients spray for the control of brown leaf spot disease in wheat crop.</w:t>
      </w:r>
      <w:r w:rsidRPr="00DB2FFB">
        <w:rPr>
          <w:rFonts w:ascii="Times New Roman" w:eastAsia="Arial Unicode MS" w:hAnsi="Times New Roman" w:cs="Times New Roman"/>
          <w:b/>
          <w:bCs/>
          <w:color w:val="000000" w:themeColor="text1"/>
          <w:sz w:val="24"/>
          <w:szCs w:val="24"/>
        </w:rPr>
        <w:t>35</w:t>
      </w:r>
      <w:r w:rsidRPr="00DB2FFB">
        <w:rPr>
          <w:rFonts w:ascii="Times New Roman" w:eastAsia="Arial Unicode MS" w:hAnsi="Times New Roman" w:cs="Times New Roman"/>
          <w:color w:val="000000" w:themeColor="text1"/>
          <w:sz w:val="24"/>
          <w:szCs w:val="24"/>
        </w:rPr>
        <w:t>(1),1-6.</w:t>
      </w:r>
    </w:p>
    <w:p w:rsidR="00DB2FFB" w:rsidRPr="00DB2FFB" w:rsidRDefault="00DB2FFB" w:rsidP="00A2599C">
      <w:pPr>
        <w:tabs>
          <w:tab w:val="left" w:pos="720"/>
        </w:tabs>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Bali, SV, Mudgal, SC, and Gupta, RD, (1986) Effect of recycling of organic waste on rice –wheat rotation under alfisol soil condition of North –western H imalayas</w:t>
      </w:r>
      <w:r w:rsidRPr="00DB2FFB">
        <w:rPr>
          <w:rFonts w:ascii="Times New Roman" w:hAnsi="Times New Roman" w:cs="Times New Roman"/>
          <w:i/>
          <w:iCs/>
          <w:color w:val="000000" w:themeColor="text1"/>
          <w:sz w:val="24"/>
          <w:szCs w:val="24"/>
        </w:rPr>
        <w:t>, Himachal Journal of Agriculture Research</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12</w:t>
      </w:r>
      <w:r w:rsidRPr="00DB2FFB">
        <w:rPr>
          <w:rFonts w:ascii="Times New Roman" w:hAnsi="Times New Roman" w:cs="Times New Roman"/>
          <w:color w:val="000000" w:themeColor="text1"/>
          <w:sz w:val="24"/>
          <w:szCs w:val="24"/>
        </w:rPr>
        <w:t>(2), 98-107.</w:t>
      </w:r>
    </w:p>
    <w:p w:rsidR="00DB2FFB" w:rsidRPr="00DB2FFB" w:rsidRDefault="00DB2FFB" w:rsidP="00A2599C">
      <w:pPr>
        <w:tabs>
          <w:tab w:val="left" w:pos="720"/>
        </w:tabs>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Baloch, MS, Shah, ITH, Nadim, MA, Khan, MI and khakwani, AA, (2009) Effect of seeding density and planting time on growth and yield attributes of wheat, </w:t>
      </w:r>
      <w:r w:rsidRPr="00DB2FFB">
        <w:rPr>
          <w:rFonts w:ascii="Times New Roman" w:hAnsi="Times New Roman" w:cs="Times New Roman"/>
          <w:i/>
          <w:iCs/>
          <w:color w:val="000000" w:themeColor="text1"/>
          <w:sz w:val="24"/>
          <w:szCs w:val="24"/>
        </w:rPr>
        <w:t>Journal of Animal and Plant Science</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20</w:t>
      </w:r>
      <w:r w:rsidRPr="00DB2FFB">
        <w:rPr>
          <w:rFonts w:ascii="Times New Roman" w:hAnsi="Times New Roman" w:cs="Times New Roman"/>
          <w:color w:val="000000" w:themeColor="text1"/>
          <w:sz w:val="24"/>
          <w:szCs w:val="24"/>
        </w:rPr>
        <w:t>(4), 239-40.</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lastRenderedPageBreak/>
        <w:t>Bhaduri, D. and Gautam, P. (2012). Balanced use of fertilizers and FYM to enhance nutrient recovery and productivity of wheat (</w:t>
      </w:r>
      <w:r w:rsidRPr="00DB2FFB">
        <w:rPr>
          <w:rFonts w:ascii="Times New Roman" w:hAnsi="Times New Roman" w:cs="Times New Roman"/>
          <w:i/>
          <w:color w:val="000000" w:themeColor="text1"/>
          <w:sz w:val="24"/>
          <w:szCs w:val="24"/>
        </w:rPr>
        <w:t>Tritiucmaestivum</w:t>
      </w:r>
      <w:r w:rsidRPr="00DB2FFB">
        <w:rPr>
          <w:rFonts w:ascii="Times New Roman" w:hAnsi="Times New Roman" w:cs="Times New Roman"/>
          <w:color w:val="000000" w:themeColor="text1"/>
          <w:sz w:val="24"/>
          <w:szCs w:val="24"/>
        </w:rPr>
        <w:t xml:space="preserve">  UP-2382) in a mollisol of Uttrakhand. </w:t>
      </w:r>
      <w:r w:rsidRPr="00DB2FFB">
        <w:rPr>
          <w:rFonts w:ascii="Times New Roman" w:hAnsi="Times New Roman" w:cs="Times New Roman"/>
          <w:i/>
          <w:iCs/>
          <w:color w:val="000000" w:themeColor="text1"/>
          <w:sz w:val="24"/>
          <w:szCs w:val="24"/>
        </w:rPr>
        <w:t>International Journal of Agriculture and Biotechnology</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5</w:t>
      </w:r>
      <w:r w:rsidRPr="00DB2FFB">
        <w:rPr>
          <w:rFonts w:ascii="Times New Roman" w:hAnsi="Times New Roman" w:cs="Times New Roman"/>
          <w:color w:val="000000" w:themeColor="text1"/>
          <w:sz w:val="24"/>
          <w:szCs w:val="24"/>
        </w:rPr>
        <w:t>(4): 435-439.</w:t>
      </w:r>
    </w:p>
    <w:p w:rsidR="00DB2FFB" w:rsidRPr="00DB2FFB" w:rsidRDefault="00DB2FFB" w:rsidP="00DB2FFB">
      <w:pPr>
        <w:pStyle w:val="NormalWeb"/>
        <w:ind w:left="360"/>
        <w:jc w:val="both"/>
        <w:rPr>
          <w:color w:val="000000" w:themeColor="text1"/>
        </w:rPr>
      </w:pPr>
      <w:r w:rsidRPr="00DB2FFB">
        <w:rPr>
          <w:color w:val="000000" w:themeColor="text1"/>
        </w:rPr>
        <w:t xml:space="preserve">Dubey, R. et al. (2021). </w:t>
      </w:r>
      <w:r w:rsidRPr="00DB2FFB">
        <w:rPr>
          <w:rStyle w:val="Emphasis"/>
          <w:color w:val="000000" w:themeColor="text1"/>
        </w:rPr>
        <w:t>Integrated nutrient management in cereals: Enhancing quality and yield</w:t>
      </w:r>
      <w:r w:rsidRPr="00DB2FFB">
        <w:rPr>
          <w:color w:val="000000" w:themeColor="text1"/>
        </w:rPr>
        <w:t xml:space="preserve">. </w:t>
      </w:r>
      <w:r w:rsidRPr="00DB2FFB">
        <w:rPr>
          <w:rStyle w:val="Strong"/>
          <w:color w:val="000000" w:themeColor="text1"/>
        </w:rPr>
        <w:t>Journal of Plant Nutrition</w:t>
      </w:r>
      <w:r w:rsidRPr="00DB2FFB">
        <w:rPr>
          <w:color w:val="000000" w:themeColor="text1"/>
        </w:rPr>
        <w:t>, 44(9), 1321–1333.</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Gupta, V. and Sharma (2007). Effect of integrated nutrient management on productivity and balance of rice- wheat cropping system. </w:t>
      </w:r>
      <w:r w:rsidRPr="00DB2FFB">
        <w:rPr>
          <w:rFonts w:ascii="Times New Roman" w:hAnsi="Times New Roman" w:cs="Times New Roman"/>
          <w:i/>
          <w:color w:val="000000" w:themeColor="text1"/>
          <w:sz w:val="24"/>
          <w:szCs w:val="24"/>
        </w:rPr>
        <w:t>Annual Plant and soil Research</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8</w:t>
      </w:r>
      <w:r w:rsidRPr="00DB2FFB">
        <w:rPr>
          <w:rFonts w:ascii="Times New Roman" w:hAnsi="Times New Roman" w:cs="Times New Roman"/>
          <w:color w:val="000000" w:themeColor="text1"/>
          <w:sz w:val="24"/>
          <w:szCs w:val="24"/>
        </w:rPr>
        <w:t>(2): 148-151.</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Hussain, M. I., Shah, S. H., Sajjad Hussain and Khalid Iqbal (2002). Growth, yield and quality response of three wheats (</w:t>
      </w:r>
      <w:r w:rsidRPr="00DB2FFB">
        <w:rPr>
          <w:rFonts w:ascii="Times New Roman" w:eastAsia="Arial Unicode MS" w:hAnsi="Times New Roman" w:cs="Times New Roman"/>
          <w:i/>
          <w:iCs/>
          <w:color w:val="000000" w:themeColor="text1"/>
          <w:sz w:val="24"/>
          <w:szCs w:val="24"/>
        </w:rPr>
        <w:t>Triticum aestivum</w:t>
      </w:r>
      <w:r w:rsidRPr="00DB2FFB">
        <w:rPr>
          <w:rFonts w:ascii="Times New Roman" w:eastAsia="Arial Unicode MS" w:hAnsi="Times New Roman" w:cs="Times New Roman"/>
          <w:color w:val="000000" w:themeColor="text1"/>
          <w:sz w:val="24"/>
          <w:szCs w:val="24"/>
        </w:rPr>
        <w:t xml:space="preserve"> L.) varieties to different levels of N, P and K. </w:t>
      </w:r>
      <w:r w:rsidRPr="00DB2FFB">
        <w:rPr>
          <w:rFonts w:ascii="Times New Roman" w:eastAsia="Arial Unicode MS" w:hAnsi="Times New Roman" w:cs="Times New Roman"/>
          <w:i/>
          <w:color w:val="000000" w:themeColor="text1"/>
          <w:sz w:val="24"/>
          <w:szCs w:val="24"/>
        </w:rPr>
        <w:t>International Journal of Agriculture and Biology</w:t>
      </w:r>
      <w:r w:rsidRPr="00DB2FFB">
        <w:rPr>
          <w:rFonts w:ascii="Times New Roman" w:eastAsia="Arial Unicode MS" w:hAnsi="Times New Roman" w:cs="Times New Roman"/>
          <w:color w:val="000000" w:themeColor="text1"/>
          <w:sz w:val="24"/>
          <w:szCs w:val="24"/>
        </w:rPr>
        <w:t xml:space="preserve">. 2002. </w:t>
      </w:r>
      <w:r w:rsidRPr="00DB2FFB">
        <w:rPr>
          <w:rFonts w:ascii="Times New Roman" w:eastAsia="Arial Unicode MS" w:hAnsi="Times New Roman" w:cs="Times New Roman"/>
          <w:b/>
          <w:bCs/>
          <w:color w:val="000000" w:themeColor="text1"/>
          <w:sz w:val="24"/>
          <w:szCs w:val="24"/>
        </w:rPr>
        <w:t xml:space="preserve">4 </w:t>
      </w:r>
      <w:r w:rsidRPr="00DB2FFB">
        <w:rPr>
          <w:rFonts w:ascii="Times New Roman" w:eastAsia="Arial Unicode MS" w:hAnsi="Times New Roman" w:cs="Times New Roman"/>
          <w:color w:val="000000" w:themeColor="text1"/>
          <w:sz w:val="24"/>
          <w:szCs w:val="24"/>
        </w:rPr>
        <w:t>(3), 362-364.</w:t>
      </w:r>
    </w:p>
    <w:p w:rsidR="00DB2FFB" w:rsidRPr="00DB2FFB" w:rsidRDefault="00DB2FFB" w:rsidP="00AA5846">
      <w:pPr>
        <w:spacing w:after="0"/>
        <w:ind w:left="851" w:hanging="851"/>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Jat M L, Satyanarayana T, Majumdar K, Parihar C M, Jat S L, Majumdar K, Satyanarayana T, Pampolino M, Dutta S, Jat M L, Sulewski G and Johnston A M. 2013. Nutrient Expert for hybrid maize (version 1.1). A decision support tool for providing field specific fertilizer recommendations for tropical hybrid maize. International Plant Nutrition Institute, Gurgaon, India.</w:t>
      </w:r>
    </w:p>
    <w:p w:rsidR="00DB2FFB" w:rsidRPr="00DB2FFB" w:rsidRDefault="00DB2FFB" w:rsidP="00DB2FFB">
      <w:pPr>
        <w:pStyle w:val="NormalWeb"/>
        <w:ind w:left="360"/>
        <w:jc w:val="both"/>
        <w:rPr>
          <w:color w:val="000000" w:themeColor="text1"/>
        </w:rPr>
      </w:pPr>
      <w:r w:rsidRPr="00DB2FFB">
        <w:rPr>
          <w:color w:val="000000" w:themeColor="text1"/>
        </w:rPr>
        <w:t xml:space="preserve">Jat, R. A., et al. (2020). </w:t>
      </w:r>
      <w:r w:rsidRPr="00DB2FFB">
        <w:rPr>
          <w:rStyle w:val="Emphasis"/>
          <w:color w:val="000000" w:themeColor="text1"/>
        </w:rPr>
        <w:t>Effect of integrated nutrient management on growth and yield attributes of wheat</w:t>
      </w:r>
      <w:r w:rsidRPr="00DB2FFB">
        <w:rPr>
          <w:color w:val="000000" w:themeColor="text1"/>
        </w:rPr>
        <w:t xml:space="preserve">. </w:t>
      </w:r>
      <w:r w:rsidRPr="00DB2FFB">
        <w:rPr>
          <w:rStyle w:val="Strong"/>
          <w:color w:val="000000" w:themeColor="text1"/>
        </w:rPr>
        <w:t>Journal of Plant Nutrition</w:t>
      </w:r>
      <w:r w:rsidRPr="00DB2FFB">
        <w:rPr>
          <w:color w:val="000000" w:themeColor="text1"/>
        </w:rPr>
        <w:t>, 43(12), 1780–1792.</w:t>
      </w:r>
    </w:p>
    <w:p w:rsidR="00DB2FFB" w:rsidRPr="00DB2FFB" w:rsidRDefault="00DB2FFB" w:rsidP="00D10D81">
      <w:pPr>
        <w:spacing w:after="0" w:line="276" w:lineRule="auto"/>
        <w:ind w:left="851" w:hanging="851"/>
        <w:jc w:val="both"/>
        <w:rPr>
          <w:color w:val="000000" w:themeColor="text1"/>
        </w:rPr>
      </w:pPr>
      <w:r w:rsidRPr="00DB2FFB">
        <w:rPr>
          <w:rFonts w:ascii="Times New Roman" w:eastAsia="Arial Unicode MS" w:hAnsi="Times New Roman"/>
          <w:bCs/>
          <w:color w:val="000000" w:themeColor="text1"/>
          <w:sz w:val="24"/>
          <w:szCs w:val="24"/>
        </w:rPr>
        <w:t>Kanavjia, K., Paliyal, S.S., Bedi, M.K. (2016)</w:t>
      </w:r>
      <w:r w:rsidRPr="00DB2FFB">
        <w:rPr>
          <w:rFonts w:ascii="Times New Roman" w:eastAsia="Arial Unicode MS" w:hAnsi="Times New Roman"/>
          <w:b/>
          <w:color w:val="000000" w:themeColor="text1"/>
          <w:sz w:val="24"/>
          <w:szCs w:val="24"/>
        </w:rPr>
        <w:t>.</w:t>
      </w:r>
      <w:r w:rsidRPr="00DB2FFB">
        <w:rPr>
          <w:rFonts w:ascii="Times New Roman" w:eastAsia="Arial Unicode MS" w:hAnsi="Times New Roman"/>
          <w:color w:val="000000" w:themeColor="text1"/>
          <w:sz w:val="24"/>
          <w:szCs w:val="24"/>
        </w:rPr>
        <w:t xml:space="preserve"> Integrated management of green manure, compost and nitrogen fertilizer in a rice-wheat cropping sequence. </w:t>
      </w:r>
      <w:r w:rsidRPr="00DB2FFB">
        <w:rPr>
          <w:rFonts w:ascii="Times New Roman" w:eastAsia="Arial Unicode MS" w:hAnsi="Times New Roman"/>
          <w:i/>
          <w:color w:val="000000" w:themeColor="text1"/>
          <w:sz w:val="24"/>
          <w:szCs w:val="24"/>
        </w:rPr>
        <w:t xml:space="preserve">Crop Research (Hisar) </w:t>
      </w:r>
      <w:r w:rsidRPr="00DB2FFB">
        <w:rPr>
          <w:rFonts w:ascii="Times New Roman" w:eastAsia="Arial Unicode MS" w:hAnsi="Times New Roman"/>
          <w:b/>
          <w:color w:val="000000" w:themeColor="text1"/>
          <w:sz w:val="24"/>
          <w:szCs w:val="24"/>
        </w:rPr>
        <w:t>31</w:t>
      </w:r>
      <w:r w:rsidRPr="00DB2FFB">
        <w:rPr>
          <w:rFonts w:ascii="Times New Roman" w:eastAsia="Arial Unicode MS" w:hAnsi="Times New Roman"/>
          <w:color w:val="000000" w:themeColor="text1"/>
          <w:sz w:val="24"/>
          <w:szCs w:val="24"/>
        </w:rPr>
        <w:t>(3): 334-338.</w:t>
      </w:r>
    </w:p>
    <w:p w:rsidR="00DB2FFB" w:rsidRPr="00DB2FFB" w:rsidRDefault="00DB2FFB" w:rsidP="009C038C">
      <w:pPr>
        <w:spacing w:line="360" w:lineRule="auto"/>
        <w:ind w:left="851" w:hanging="851"/>
        <w:jc w:val="both"/>
        <w:rPr>
          <w:rFonts w:ascii="Times New Roman" w:eastAsia="Arial Unicode MS" w:hAnsi="Times New Roman" w:cs="Times New Roman"/>
          <w:bCs/>
          <w:color w:val="000000" w:themeColor="text1"/>
          <w:sz w:val="24"/>
          <w:szCs w:val="24"/>
        </w:rPr>
      </w:pPr>
      <w:r w:rsidRPr="00DB2FFB">
        <w:rPr>
          <w:rFonts w:ascii="Times New Roman" w:eastAsia="Arial Unicode MS" w:hAnsi="Times New Roman" w:cs="Times New Roman"/>
          <w:bCs/>
          <w:color w:val="000000" w:themeColor="text1"/>
          <w:sz w:val="24"/>
          <w:szCs w:val="24"/>
        </w:rPr>
        <w:t>Kanchroo, D. and Razdan, R. (2006). Growth nutrient uptake and yield of wheat (</w:t>
      </w:r>
      <w:r w:rsidRPr="00DB2FFB">
        <w:rPr>
          <w:rFonts w:ascii="Times New Roman" w:eastAsia="Arial Unicode MS" w:hAnsi="Times New Roman" w:cs="Times New Roman"/>
          <w:bCs/>
          <w:i/>
          <w:color w:val="000000" w:themeColor="text1"/>
          <w:sz w:val="24"/>
          <w:szCs w:val="24"/>
        </w:rPr>
        <w:t>Triticum aestivum</w:t>
      </w:r>
      <w:r w:rsidRPr="00DB2FFB">
        <w:rPr>
          <w:rFonts w:ascii="Times New Roman" w:eastAsia="Arial Unicode MS" w:hAnsi="Times New Roman" w:cs="Times New Roman"/>
          <w:bCs/>
          <w:color w:val="000000" w:themeColor="text1"/>
          <w:sz w:val="24"/>
          <w:szCs w:val="24"/>
        </w:rPr>
        <w:t xml:space="preserve">) as influenced by biofertilizers and nitrogen. </w:t>
      </w:r>
      <w:r w:rsidRPr="00DB2FFB">
        <w:rPr>
          <w:rFonts w:ascii="Times New Roman" w:eastAsia="Arial Unicode MS" w:hAnsi="Times New Roman" w:cs="Times New Roman"/>
          <w:bCs/>
          <w:i/>
          <w:color w:val="000000" w:themeColor="text1"/>
          <w:sz w:val="24"/>
          <w:szCs w:val="24"/>
        </w:rPr>
        <w:t>Indian Journal of Agronomy</w:t>
      </w:r>
      <w:r w:rsidRPr="00DB2FFB">
        <w:rPr>
          <w:rFonts w:ascii="Times New Roman" w:eastAsia="Arial Unicode MS" w:hAnsi="Times New Roman" w:cs="Times New Roman"/>
          <w:bCs/>
          <w:color w:val="000000" w:themeColor="text1"/>
          <w:sz w:val="24"/>
          <w:szCs w:val="24"/>
        </w:rPr>
        <w:t xml:space="preserve">, </w:t>
      </w:r>
      <w:r w:rsidRPr="00DB2FFB">
        <w:rPr>
          <w:rFonts w:ascii="Times New Roman" w:eastAsia="Arial Unicode MS" w:hAnsi="Times New Roman" w:cs="Times New Roman"/>
          <w:b/>
          <w:color w:val="000000" w:themeColor="text1"/>
          <w:sz w:val="24"/>
          <w:szCs w:val="24"/>
        </w:rPr>
        <w:t>15</w:t>
      </w:r>
      <w:r w:rsidRPr="00DB2FFB">
        <w:rPr>
          <w:rFonts w:ascii="Times New Roman" w:eastAsia="Arial Unicode MS" w:hAnsi="Times New Roman" w:cs="Times New Roman"/>
          <w:bCs/>
          <w:color w:val="000000" w:themeColor="text1"/>
          <w:sz w:val="24"/>
          <w:szCs w:val="24"/>
        </w:rPr>
        <w:t>(1): 37-39.</w:t>
      </w:r>
    </w:p>
    <w:p w:rsidR="00DB2FFB" w:rsidRPr="00DB2FFB" w:rsidRDefault="00DB2FFB" w:rsidP="00265D20">
      <w:pPr>
        <w:spacing w:after="0" w:line="276" w:lineRule="auto"/>
        <w:ind w:left="851" w:hanging="851"/>
        <w:jc w:val="both"/>
        <w:rPr>
          <w:rFonts w:ascii="Times New Roman" w:hAnsi="Times New Roman" w:cs="Times New Roman"/>
          <w:color w:val="000000" w:themeColor="text1"/>
          <w:sz w:val="24"/>
          <w:lang w:val="en-US"/>
        </w:rPr>
      </w:pPr>
      <w:r w:rsidRPr="00DB2FFB">
        <w:rPr>
          <w:rFonts w:ascii="Times New Roman" w:hAnsi="Times New Roman" w:cs="Times New Roman"/>
          <w:color w:val="000000" w:themeColor="text1"/>
          <w:sz w:val="24"/>
          <w:lang w:val="en-US"/>
        </w:rPr>
        <w:t>Kaur, C., Kumar, S., &amp; Singh, K. (2023). Effect of integrated nutrient management on growth and yield of wheat (Triticum aestivum L.) under system of wheat intensification. </w:t>
      </w:r>
      <w:r w:rsidRPr="00DB2FFB">
        <w:rPr>
          <w:rFonts w:ascii="Times New Roman" w:hAnsi="Times New Roman" w:cs="Times New Roman"/>
          <w:i/>
          <w:iCs/>
          <w:color w:val="000000" w:themeColor="text1"/>
          <w:sz w:val="24"/>
          <w:lang w:val="en-US"/>
        </w:rPr>
        <w:t>Journal of Cereal Research 15 (2): 273-276. http://doi. org/10.25174/2582-2675/2023</w:t>
      </w:r>
      <w:r w:rsidRPr="00DB2FFB">
        <w:rPr>
          <w:rFonts w:ascii="Times New Roman" w:hAnsi="Times New Roman" w:cs="Times New Roman"/>
          <w:color w:val="000000" w:themeColor="text1"/>
          <w:sz w:val="24"/>
          <w:lang w:val="en-US"/>
        </w:rPr>
        <w:t>, </w:t>
      </w:r>
      <w:r w:rsidRPr="00DB2FFB">
        <w:rPr>
          <w:rFonts w:ascii="Times New Roman" w:hAnsi="Times New Roman" w:cs="Times New Roman"/>
          <w:i/>
          <w:iCs/>
          <w:color w:val="000000" w:themeColor="text1"/>
          <w:sz w:val="24"/>
          <w:lang w:val="en-US"/>
        </w:rPr>
        <w:t>120083</w:t>
      </w:r>
      <w:r w:rsidRPr="00DB2FFB">
        <w:rPr>
          <w:rFonts w:ascii="Times New Roman" w:hAnsi="Times New Roman" w:cs="Times New Roman"/>
          <w:color w:val="000000" w:themeColor="text1"/>
          <w:sz w:val="24"/>
          <w:lang w:val="en-US"/>
        </w:rPr>
        <w:t>.</w:t>
      </w:r>
    </w:p>
    <w:p w:rsidR="00DB2FFB" w:rsidRPr="00DB2FFB" w:rsidRDefault="00DB2FFB" w:rsidP="00AA5846">
      <w:pPr>
        <w:spacing w:after="0" w:line="360" w:lineRule="auto"/>
        <w:ind w:left="851" w:hanging="851"/>
        <w:jc w:val="both"/>
        <w:rPr>
          <w:rFonts w:ascii="Times New Roman" w:hAnsi="Times New Roman" w:cs="Times New Roman"/>
          <w:iCs/>
          <w:color w:val="000000" w:themeColor="text1"/>
          <w:sz w:val="24"/>
          <w:szCs w:val="24"/>
        </w:rPr>
      </w:pPr>
      <w:r w:rsidRPr="00DB2FFB">
        <w:rPr>
          <w:rFonts w:ascii="Times New Roman" w:eastAsia="Arial Unicode MS" w:hAnsi="Times New Roman" w:cs="Times New Roman"/>
          <w:color w:val="000000" w:themeColor="text1"/>
          <w:sz w:val="24"/>
          <w:szCs w:val="24"/>
        </w:rPr>
        <w:t xml:space="preserve">Kumar, Alok, Tripathi, H.P. and Yadav, D.S. (2007) Correcting nutrient for sustainable crop production. </w:t>
      </w:r>
      <w:r w:rsidRPr="00DB2FFB">
        <w:rPr>
          <w:rFonts w:ascii="Times New Roman" w:eastAsia="Arial Unicode MS" w:hAnsi="Times New Roman" w:cs="Times New Roman"/>
          <w:i/>
          <w:color w:val="000000" w:themeColor="text1"/>
          <w:sz w:val="24"/>
          <w:szCs w:val="24"/>
        </w:rPr>
        <w:t xml:space="preserve">Indian Journal of fertilizer.  </w:t>
      </w:r>
      <w:r w:rsidRPr="00DB2FFB">
        <w:rPr>
          <w:rFonts w:ascii="Times New Roman" w:eastAsia="Arial Unicode MS" w:hAnsi="Times New Roman" w:cs="Times New Roman"/>
          <w:b/>
          <w:bCs/>
          <w:iCs/>
          <w:color w:val="000000" w:themeColor="text1"/>
          <w:sz w:val="24"/>
          <w:szCs w:val="24"/>
        </w:rPr>
        <w:t>2</w:t>
      </w:r>
      <w:r w:rsidRPr="00DB2FFB">
        <w:rPr>
          <w:rFonts w:ascii="Times New Roman" w:eastAsia="Arial Unicode MS" w:hAnsi="Times New Roman" w:cs="Times New Roman"/>
          <w:iCs/>
          <w:color w:val="000000" w:themeColor="text1"/>
          <w:sz w:val="24"/>
          <w:szCs w:val="24"/>
        </w:rPr>
        <w:t xml:space="preserve"> (11); 37-44.</w:t>
      </w:r>
    </w:p>
    <w:p w:rsidR="00DB2FFB" w:rsidRPr="00DB2FFB" w:rsidRDefault="00DB2FFB" w:rsidP="00DB2FFB">
      <w:pPr>
        <w:pStyle w:val="NormalWeb"/>
        <w:ind w:left="360"/>
        <w:jc w:val="both"/>
        <w:rPr>
          <w:color w:val="000000" w:themeColor="text1"/>
        </w:rPr>
      </w:pPr>
      <w:r w:rsidRPr="00DB2FFB">
        <w:rPr>
          <w:color w:val="000000" w:themeColor="text1"/>
        </w:rPr>
        <w:t xml:space="preserve">Kumar, S., et al. (2019). </w:t>
      </w:r>
      <w:r w:rsidRPr="00DB2FFB">
        <w:rPr>
          <w:rStyle w:val="Emphasis"/>
          <w:color w:val="000000" w:themeColor="text1"/>
        </w:rPr>
        <w:t>Site-specific nutrient management in wheat for sustainable productivity</w:t>
      </w:r>
      <w:r w:rsidRPr="00DB2FFB">
        <w:rPr>
          <w:color w:val="000000" w:themeColor="text1"/>
        </w:rPr>
        <w:t xml:space="preserve">. </w:t>
      </w:r>
      <w:r w:rsidRPr="00DB2FFB">
        <w:rPr>
          <w:rStyle w:val="Strong"/>
          <w:color w:val="000000" w:themeColor="text1"/>
        </w:rPr>
        <w:t>Indian Journal of Agronomy</w:t>
      </w:r>
      <w:r w:rsidRPr="00DB2FFB">
        <w:rPr>
          <w:color w:val="000000" w:themeColor="text1"/>
        </w:rPr>
        <w:t>, 64(1), 35–41.</w:t>
      </w:r>
    </w:p>
    <w:p w:rsidR="00DB2FFB" w:rsidRPr="00DB2FFB" w:rsidRDefault="00DB2FFB" w:rsidP="00AA5846">
      <w:pPr>
        <w:spacing w:after="0" w:line="360" w:lineRule="auto"/>
        <w:ind w:left="851" w:hanging="851"/>
        <w:jc w:val="both"/>
        <w:rPr>
          <w:rFonts w:ascii="Times New Roman" w:eastAsia="Arial Unicode MS"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 xml:space="preserve">Kumar, V and Ahlawat, IPS, (2004) Carry-over effect of biofertilizer and nitrogen applied to wheat (Triticum aestivum) and direct applied N in maize (Zea mays) in wheat maize cropping systems, Indian Journal of Agronomy, </w:t>
      </w:r>
      <w:r w:rsidRPr="00DB2FFB">
        <w:rPr>
          <w:rFonts w:ascii="Times New Roman" w:eastAsia="Arial Unicode MS" w:hAnsi="Times New Roman" w:cs="Times New Roman"/>
          <w:b/>
          <w:bCs/>
          <w:color w:val="000000" w:themeColor="text1"/>
          <w:sz w:val="24"/>
          <w:szCs w:val="24"/>
        </w:rPr>
        <w:t>49</w:t>
      </w:r>
      <w:r w:rsidRPr="00DB2FFB">
        <w:rPr>
          <w:rFonts w:ascii="Times New Roman" w:eastAsia="Arial Unicode MS" w:hAnsi="Times New Roman" w:cs="Times New Roman"/>
          <w:color w:val="000000" w:themeColor="text1"/>
          <w:sz w:val="24"/>
          <w:szCs w:val="24"/>
        </w:rPr>
        <w:t>(4), 233-236.</w:t>
      </w:r>
    </w:p>
    <w:p w:rsidR="00DB2FFB" w:rsidRPr="00DB2FFB" w:rsidRDefault="00DB2FFB" w:rsidP="00DB2FFB">
      <w:pPr>
        <w:pStyle w:val="NormalWeb"/>
        <w:ind w:left="360"/>
        <w:jc w:val="both"/>
        <w:rPr>
          <w:color w:val="000000" w:themeColor="text1"/>
        </w:rPr>
      </w:pPr>
      <w:r w:rsidRPr="00DB2FFB">
        <w:rPr>
          <w:color w:val="000000" w:themeColor="text1"/>
        </w:rPr>
        <w:t xml:space="preserve">Kumar, V., et al. (2020). </w:t>
      </w:r>
      <w:r w:rsidRPr="00DB2FFB">
        <w:rPr>
          <w:rStyle w:val="Emphasis"/>
          <w:color w:val="000000" w:themeColor="text1"/>
        </w:rPr>
        <w:t>Response of wheat to INM and organic sources under semi-arid conditions</w:t>
      </w:r>
      <w:r w:rsidRPr="00DB2FFB">
        <w:rPr>
          <w:color w:val="000000" w:themeColor="text1"/>
        </w:rPr>
        <w:t xml:space="preserve">. </w:t>
      </w:r>
      <w:r w:rsidRPr="00DB2FFB">
        <w:rPr>
          <w:rStyle w:val="Strong"/>
          <w:color w:val="000000" w:themeColor="text1"/>
        </w:rPr>
        <w:t>Archives of Agronomy and Soil Science</w:t>
      </w:r>
      <w:r w:rsidRPr="00DB2FFB">
        <w:rPr>
          <w:color w:val="000000" w:themeColor="text1"/>
        </w:rPr>
        <w:t>, 66(7), 982–993.</w:t>
      </w:r>
    </w:p>
    <w:p w:rsidR="00DB2FFB" w:rsidRPr="00DB2FFB" w:rsidRDefault="00DB2FFB" w:rsidP="00DB2FFB">
      <w:pPr>
        <w:pStyle w:val="NormalWeb"/>
        <w:ind w:left="360"/>
        <w:jc w:val="both"/>
        <w:rPr>
          <w:color w:val="000000" w:themeColor="text1"/>
        </w:rPr>
      </w:pPr>
      <w:r w:rsidRPr="00DB2FFB">
        <w:rPr>
          <w:color w:val="000000" w:themeColor="text1"/>
        </w:rPr>
        <w:t xml:space="preserve">Mandal, A. et al. (2020). </w:t>
      </w:r>
      <w:r w:rsidRPr="00DB2FFB">
        <w:rPr>
          <w:rStyle w:val="Emphasis"/>
          <w:color w:val="000000" w:themeColor="text1"/>
        </w:rPr>
        <w:t>Effect of integrated nutrient management on protein content and yield of wheat</w:t>
      </w:r>
      <w:r w:rsidRPr="00DB2FFB">
        <w:rPr>
          <w:color w:val="000000" w:themeColor="text1"/>
        </w:rPr>
        <w:t xml:space="preserve">. </w:t>
      </w:r>
      <w:r w:rsidRPr="00DB2FFB">
        <w:rPr>
          <w:rStyle w:val="Strong"/>
          <w:color w:val="000000" w:themeColor="text1"/>
        </w:rPr>
        <w:t>Indian Journal of Agronomy</w:t>
      </w:r>
      <w:r w:rsidRPr="00DB2FFB">
        <w:rPr>
          <w:color w:val="000000" w:themeColor="text1"/>
        </w:rPr>
        <w:t>, 65(4), 450–456.</w:t>
      </w:r>
    </w:p>
    <w:p w:rsidR="00DB2FFB" w:rsidRPr="00DB2FFB" w:rsidRDefault="00DB2FFB" w:rsidP="00DB2FFB">
      <w:pPr>
        <w:pStyle w:val="NormalWeb"/>
        <w:ind w:left="360"/>
        <w:jc w:val="both"/>
        <w:rPr>
          <w:color w:val="000000" w:themeColor="text1"/>
        </w:rPr>
      </w:pPr>
      <w:r w:rsidRPr="00DB2FFB">
        <w:rPr>
          <w:color w:val="000000" w:themeColor="text1"/>
        </w:rPr>
        <w:lastRenderedPageBreak/>
        <w:t xml:space="preserve">Meena, R. K., et al. (2017). </w:t>
      </w:r>
      <w:r w:rsidRPr="00DB2FFB">
        <w:rPr>
          <w:rStyle w:val="Emphasis"/>
          <w:color w:val="000000" w:themeColor="text1"/>
        </w:rPr>
        <w:t>Role of FYM and Azotobacter on growth and yield of cereals</w:t>
      </w:r>
      <w:r w:rsidRPr="00DB2FFB">
        <w:rPr>
          <w:color w:val="000000" w:themeColor="text1"/>
        </w:rPr>
        <w:t xml:space="preserve">. </w:t>
      </w:r>
      <w:r w:rsidRPr="00DB2FFB">
        <w:rPr>
          <w:rStyle w:val="Strong"/>
          <w:color w:val="000000" w:themeColor="text1"/>
        </w:rPr>
        <w:t>International Journal of Agriculture Sciences</w:t>
      </w:r>
      <w:r w:rsidRPr="00DB2FFB">
        <w:rPr>
          <w:color w:val="000000" w:themeColor="text1"/>
        </w:rPr>
        <w:t>, 9(16), 4207–4210.</w:t>
      </w:r>
    </w:p>
    <w:p w:rsidR="00DB2FFB" w:rsidRPr="00DB2FFB" w:rsidRDefault="00DB2FFB" w:rsidP="00B66667">
      <w:pPr>
        <w:spacing w:after="0" w:line="276" w:lineRule="auto"/>
        <w:ind w:left="851" w:hanging="851"/>
        <w:jc w:val="both"/>
        <w:rPr>
          <w:rFonts w:ascii="Times New Roman" w:hAnsi="Times New Roman" w:cs="Times New Roman"/>
          <w:color w:val="000000" w:themeColor="text1"/>
          <w:sz w:val="24"/>
          <w:lang w:val="en-US"/>
        </w:rPr>
      </w:pPr>
      <w:r w:rsidRPr="00DB2FFB">
        <w:rPr>
          <w:rFonts w:ascii="Times New Roman" w:hAnsi="Times New Roman" w:cs="Times New Roman"/>
          <w:color w:val="000000" w:themeColor="text1"/>
          <w:sz w:val="24"/>
          <w:lang w:val="en-US"/>
        </w:rPr>
        <w:t>Mishra, S., Chaturvedi, P. K., Kumar, R. and Pandey, A. (2024). Effect of integrated nutrient management on growth and yield of wheat (</w:t>
      </w:r>
      <w:r w:rsidRPr="00DB2FFB">
        <w:rPr>
          <w:rFonts w:ascii="Times New Roman" w:hAnsi="Times New Roman" w:cs="Times New Roman"/>
          <w:i/>
          <w:iCs/>
          <w:color w:val="000000" w:themeColor="text1"/>
          <w:sz w:val="24"/>
          <w:lang w:val="en-US"/>
        </w:rPr>
        <w:t>Triticum aestivum</w:t>
      </w:r>
      <w:r w:rsidRPr="00DB2FFB">
        <w:rPr>
          <w:rFonts w:ascii="Times New Roman" w:hAnsi="Times New Roman" w:cs="Times New Roman"/>
          <w:color w:val="000000" w:themeColor="text1"/>
          <w:sz w:val="24"/>
          <w:lang w:val="en-US"/>
        </w:rPr>
        <w:t>L.). International Journal of Research in Agronomy 2024; 7(2): 485-488.</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lang w:eastAsia="en-IN"/>
        </w:rPr>
        <w:t xml:space="preserve">Patil, PV, Chalwade, PB, Solanke, AS and Kulkarni, VK,  (2003) Effect of fly </w:t>
      </w:r>
      <w:r w:rsidRPr="00DB2FFB">
        <w:rPr>
          <w:rFonts w:ascii="Times New Roman" w:hAnsi="Times New Roman" w:cs="Times New Roman"/>
          <w:i/>
          <w:color w:val="000000" w:themeColor="text1"/>
          <w:sz w:val="24"/>
          <w:szCs w:val="24"/>
          <w:lang w:eastAsia="en-IN"/>
        </w:rPr>
        <w:t>ash</w:t>
      </w:r>
      <w:r w:rsidRPr="00DB2FFB">
        <w:rPr>
          <w:rFonts w:ascii="Times New Roman" w:hAnsi="Times New Roman" w:cs="Times New Roman"/>
          <w:iCs/>
          <w:color w:val="000000" w:themeColor="text1"/>
          <w:sz w:val="24"/>
          <w:szCs w:val="24"/>
          <w:lang w:eastAsia="en-IN"/>
        </w:rPr>
        <w:t xml:space="preserve"> and FYM on physio-chemical properties of vertisols, </w:t>
      </w:r>
      <w:r w:rsidRPr="00DB2FFB">
        <w:rPr>
          <w:rFonts w:ascii="Times New Roman" w:hAnsi="Times New Roman" w:cs="Times New Roman"/>
          <w:i/>
          <w:color w:val="000000" w:themeColor="text1"/>
          <w:sz w:val="24"/>
          <w:szCs w:val="24"/>
          <w:lang w:eastAsia="en-IN"/>
        </w:rPr>
        <w:t>Journal of soils and crops</w:t>
      </w:r>
      <w:r w:rsidRPr="00DB2FFB">
        <w:rPr>
          <w:rFonts w:ascii="Times New Roman" w:hAnsi="Times New Roman" w:cs="Times New Roman"/>
          <w:iCs/>
          <w:color w:val="000000" w:themeColor="text1"/>
          <w:sz w:val="24"/>
          <w:szCs w:val="24"/>
          <w:lang w:eastAsia="en-IN"/>
        </w:rPr>
        <w:t>,</w:t>
      </w:r>
      <w:r w:rsidRPr="00DB2FFB">
        <w:rPr>
          <w:rFonts w:ascii="Times New Roman" w:hAnsi="Times New Roman" w:cs="Times New Roman"/>
          <w:b/>
          <w:bCs/>
          <w:iCs/>
          <w:color w:val="000000" w:themeColor="text1"/>
          <w:sz w:val="24"/>
          <w:szCs w:val="24"/>
          <w:lang w:eastAsia="en-IN"/>
        </w:rPr>
        <w:t>13</w:t>
      </w:r>
      <w:r w:rsidRPr="00DB2FFB">
        <w:rPr>
          <w:rFonts w:ascii="Times New Roman" w:hAnsi="Times New Roman" w:cs="Times New Roman"/>
          <w:iCs/>
          <w:color w:val="000000" w:themeColor="text1"/>
          <w:sz w:val="24"/>
          <w:szCs w:val="24"/>
          <w:lang w:eastAsia="en-IN"/>
        </w:rPr>
        <w:t>(1), 59-64.</w:t>
      </w:r>
    </w:p>
    <w:p w:rsidR="00DB2FFB" w:rsidRPr="00DB2FFB" w:rsidRDefault="00DB2FFB" w:rsidP="00AA5846">
      <w:pPr>
        <w:spacing w:after="0"/>
        <w:ind w:left="851" w:hanging="851"/>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Patra B. and R.K. Pratik (2018) Response of wheat to various nitrogen levels under late sown condition. Journal of Experimental Agriculture International </w:t>
      </w:r>
      <w:r w:rsidRPr="00DB2FFB">
        <w:rPr>
          <w:rFonts w:ascii="Times New Roman" w:hAnsi="Times New Roman" w:cs="Times New Roman"/>
          <w:b/>
          <w:color w:val="000000" w:themeColor="text1"/>
          <w:sz w:val="24"/>
          <w:szCs w:val="24"/>
        </w:rPr>
        <w:t>21</w:t>
      </w:r>
      <w:r w:rsidRPr="00DB2FFB">
        <w:rPr>
          <w:rFonts w:ascii="Times New Roman" w:hAnsi="Times New Roman" w:cs="Times New Roman"/>
          <w:bCs/>
          <w:color w:val="000000" w:themeColor="text1"/>
          <w:sz w:val="24"/>
          <w:szCs w:val="24"/>
        </w:rPr>
        <w:t>(1):1-5,2018.</w:t>
      </w:r>
    </w:p>
    <w:p w:rsidR="00DB2FFB" w:rsidRPr="00DB2FFB" w:rsidRDefault="00DB2FFB" w:rsidP="00DB2FFB">
      <w:pPr>
        <w:pStyle w:val="NormalWeb"/>
        <w:ind w:left="360"/>
        <w:jc w:val="both"/>
        <w:rPr>
          <w:color w:val="000000" w:themeColor="text1"/>
        </w:rPr>
      </w:pPr>
      <w:r w:rsidRPr="00DB2FFB">
        <w:rPr>
          <w:color w:val="000000" w:themeColor="text1"/>
        </w:rPr>
        <w:t xml:space="preserve">Ramesh, V., et al. (2017). </w:t>
      </w:r>
      <w:r w:rsidRPr="00DB2FFB">
        <w:rPr>
          <w:rStyle w:val="Emphasis"/>
          <w:color w:val="000000" w:themeColor="text1"/>
        </w:rPr>
        <w:t>Effect of nutrient sources on harvest index and nutrient uptake</w:t>
      </w:r>
      <w:r w:rsidRPr="00DB2FFB">
        <w:rPr>
          <w:color w:val="000000" w:themeColor="text1"/>
        </w:rPr>
        <w:t xml:space="preserve">. </w:t>
      </w:r>
      <w:r w:rsidRPr="00DB2FFB">
        <w:rPr>
          <w:rStyle w:val="Strong"/>
          <w:color w:val="000000" w:themeColor="text1"/>
        </w:rPr>
        <w:t>Journal of AgriSearch</w:t>
      </w:r>
      <w:r w:rsidRPr="00DB2FFB">
        <w:rPr>
          <w:color w:val="000000" w:themeColor="text1"/>
        </w:rPr>
        <w:t>, 4(1), 22–26.</w:t>
      </w:r>
    </w:p>
    <w:p w:rsidR="00DB2FFB" w:rsidRPr="00DB2FFB" w:rsidRDefault="00DB2FFB" w:rsidP="001E2C94">
      <w:pPr>
        <w:spacing w:after="0" w:line="276" w:lineRule="auto"/>
        <w:ind w:left="851" w:hanging="851"/>
        <w:jc w:val="both"/>
        <w:rPr>
          <w:rFonts w:ascii="Times New Roman" w:hAnsi="Times New Roman" w:cs="Times New Roman"/>
          <w:i/>
          <w:iCs/>
          <w:color w:val="000000" w:themeColor="text1"/>
          <w:sz w:val="24"/>
          <w:lang w:val="en-US"/>
        </w:rPr>
      </w:pPr>
      <w:r w:rsidRPr="00DB2FFB">
        <w:rPr>
          <w:rFonts w:ascii="Times New Roman" w:hAnsi="Times New Roman" w:cs="Times New Roman"/>
          <w:color w:val="000000" w:themeColor="text1"/>
          <w:sz w:val="24"/>
          <w:lang w:val="en-US"/>
        </w:rPr>
        <w:t xml:space="preserve">Rawat, A., &amp;Shaji, A. (2023). Effect of Integrated Nutrient Management on Growth and Yield of Barley (Hordeum vulgare L.).International Journal of Environment and Climate Change </w:t>
      </w:r>
      <w:r w:rsidRPr="00DB2FFB">
        <w:rPr>
          <w:rFonts w:ascii="Times New Roman" w:hAnsi="Times New Roman" w:cs="Times New Roman"/>
          <w:i/>
          <w:iCs/>
          <w:color w:val="000000" w:themeColor="text1"/>
          <w:sz w:val="24"/>
          <w:lang w:val="en-US"/>
        </w:rPr>
        <w:t>13</w:t>
      </w:r>
      <w:r w:rsidRPr="00DB2FFB">
        <w:rPr>
          <w:rFonts w:ascii="Times New Roman" w:hAnsi="Times New Roman" w:cs="Times New Roman"/>
          <w:color w:val="000000" w:themeColor="text1"/>
          <w:sz w:val="24"/>
          <w:lang w:val="en-US"/>
        </w:rPr>
        <w:t>(10), 2968-2976.</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bCs/>
          <w:color w:val="000000" w:themeColor="text1"/>
          <w:sz w:val="24"/>
          <w:szCs w:val="24"/>
        </w:rPr>
        <w:t>Reddy, S. S., Shivaraj, B., Reddy, V. C. and Ananda, M. G., (2006), Direct effect of fertilizers and residual effect of organic manures on yield and economics of maize (</w:t>
      </w:r>
      <w:r w:rsidRPr="00DB2FFB">
        <w:rPr>
          <w:rFonts w:ascii="Times New Roman" w:hAnsi="Times New Roman" w:cs="Times New Roman"/>
          <w:bCs/>
          <w:i/>
          <w:iCs/>
          <w:color w:val="000000" w:themeColor="text1"/>
          <w:sz w:val="24"/>
          <w:szCs w:val="24"/>
        </w:rPr>
        <w:t>Zea mays</w:t>
      </w:r>
      <w:r w:rsidRPr="00DB2FFB">
        <w:rPr>
          <w:rFonts w:ascii="Times New Roman" w:hAnsi="Times New Roman" w:cs="Times New Roman"/>
          <w:bCs/>
          <w:color w:val="000000" w:themeColor="text1"/>
          <w:sz w:val="24"/>
          <w:szCs w:val="24"/>
        </w:rPr>
        <w:t xml:space="preserve"> L.) in groundnut-maize cropping system. Crop Res., </w:t>
      </w:r>
      <w:r w:rsidRPr="00DB2FFB">
        <w:rPr>
          <w:rFonts w:ascii="Times New Roman" w:hAnsi="Times New Roman" w:cs="Times New Roman"/>
          <w:b/>
          <w:color w:val="000000" w:themeColor="text1"/>
          <w:sz w:val="24"/>
          <w:szCs w:val="24"/>
        </w:rPr>
        <w:t>30</w:t>
      </w:r>
      <w:r w:rsidRPr="00DB2FFB">
        <w:rPr>
          <w:rFonts w:ascii="Times New Roman" w:hAnsi="Times New Roman" w:cs="Times New Roman"/>
          <w:bCs/>
          <w:color w:val="000000" w:themeColor="text1"/>
          <w:sz w:val="24"/>
          <w:szCs w:val="24"/>
        </w:rPr>
        <w:t>(1):1-5.</w:t>
      </w:r>
    </w:p>
    <w:p w:rsidR="00DB2FFB" w:rsidRPr="00DB2FFB" w:rsidRDefault="00DB2FFB" w:rsidP="00DB2FFB">
      <w:pPr>
        <w:pStyle w:val="NormalWeb"/>
        <w:ind w:left="360"/>
        <w:jc w:val="both"/>
        <w:rPr>
          <w:color w:val="000000" w:themeColor="text1"/>
        </w:rPr>
      </w:pPr>
      <w:r w:rsidRPr="00DB2FFB">
        <w:rPr>
          <w:color w:val="000000" w:themeColor="text1"/>
        </w:rPr>
        <w:t xml:space="preserve">Sahu, P. K., et al. (2021). </w:t>
      </w:r>
      <w:r w:rsidRPr="00DB2FFB">
        <w:rPr>
          <w:rStyle w:val="Emphasis"/>
          <w:color w:val="000000" w:themeColor="text1"/>
        </w:rPr>
        <w:t>Effect of integrated nutrient management on growth and yield of wheat</w:t>
      </w:r>
      <w:r w:rsidRPr="00DB2FFB">
        <w:rPr>
          <w:color w:val="000000" w:themeColor="text1"/>
        </w:rPr>
        <w:t xml:space="preserve">. </w:t>
      </w:r>
      <w:r w:rsidRPr="00DB2FFB">
        <w:rPr>
          <w:rStyle w:val="Strong"/>
          <w:color w:val="000000" w:themeColor="text1"/>
        </w:rPr>
        <w:t>Indian Journal of Agronomy</w:t>
      </w:r>
      <w:r w:rsidRPr="00DB2FFB">
        <w:rPr>
          <w:color w:val="000000" w:themeColor="text1"/>
        </w:rPr>
        <w:t>, 66(3), 250–255.</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bCs/>
          <w:color w:val="000000" w:themeColor="text1"/>
          <w:sz w:val="24"/>
          <w:szCs w:val="24"/>
        </w:rPr>
        <w:t>Sameen, A, Niaz, A and Anju, FM, (2002) Chemical composition of three wheat (</w:t>
      </w:r>
      <w:r w:rsidRPr="00DB2FFB">
        <w:rPr>
          <w:rFonts w:ascii="Times New Roman" w:hAnsi="Times New Roman" w:cs="Times New Roman"/>
          <w:bCs/>
          <w:i/>
          <w:iCs/>
          <w:color w:val="000000" w:themeColor="text1"/>
          <w:sz w:val="24"/>
          <w:szCs w:val="24"/>
        </w:rPr>
        <w:t>Triticum aestivum</w:t>
      </w:r>
      <w:r w:rsidRPr="00DB2FFB">
        <w:rPr>
          <w:rFonts w:ascii="Times New Roman" w:hAnsi="Times New Roman" w:cs="Times New Roman"/>
          <w:bCs/>
          <w:color w:val="000000" w:themeColor="text1"/>
          <w:sz w:val="24"/>
          <w:szCs w:val="24"/>
        </w:rPr>
        <w:t xml:space="preserve"> L.) varieties as affected by NPK does, International Journal of Agriculture &amp; Biology, </w:t>
      </w:r>
      <w:r w:rsidRPr="00DB2FFB">
        <w:rPr>
          <w:rFonts w:ascii="Times New Roman" w:hAnsi="Times New Roman" w:cs="Times New Roman"/>
          <w:b/>
          <w:color w:val="000000" w:themeColor="text1"/>
          <w:sz w:val="24"/>
          <w:szCs w:val="24"/>
        </w:rPr>
        <w:t>4</w:t>
      </w:r>
      <w:r w:rsidRPr="00DB2FFB">
        <w:rPr>
          <w:rFonts w:ascii="Times New Roman" w:hAnsi="Times New Roman" w:cs="Times New Roman"/>
          <w:bCs/>
          <w:color w:val="000000" w:themeColor="text1"/>
          <w:sz w:val="24"/>
          <w:szCs w:val="24"/>
        </w:rPr>
        <w:t>(4), 537-539.</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Sharma, A.; Singh H. and Nanwal, R.K. (2007). Effect of integrated nutrient management on productivity of wheat (</w:t>
      </w:r>
      <w:r w:rsidRPr="00DB2FFB">
        <w:rPr>
          <w:rFonts w:ascii="Times New Roman" w:eastAsia="Arial Unicode MS" w:hAnsi="Times New Roman" w:cs="Times New Roman"/>
          <w:i/>
          <w:color w:val="000000" w:themeColor="text1"/>
          <w:sz w:val="24"/>
          <w:szCs w:val="24"/>
        </w:rPr>
        <w:t>Triticum aestivum</w:t>
      </w:r>
      <w:r w:rsidRPr="00DB2FFB">
        <w:rPr>
          <w:rFonts w:ascii="Times New Roman" w:eastAsia="Arial Unicode MS" w:hAnsi="Times New Roman" w:cs="Times New Roman"/>
          <w:color w:val="000000" w:themeColor="text1"/>
          <w:sz w:val="24"/>
          <w:szCs w:val="24"/>
        </w:rPr>
        <w:t xml:space="preserve">) under limited and adequate irrigation supplies. </w:t>
      </w:r>
      <w:r w:rsidRPr="00DB2FFB">
        <w:rPr>
          <w:rFonts w:ascii="Times New Roman" w:eastAsia="Arial Unicode MS" w:hAnsi="Times New Roman" w:cs="Times New Roman"/>
          <w:i/>
          <w:iCs/>
          <w:color w:val="000000" w:themeColor="text1"/>
          <w:sz w:val="24"/>
          <w:szCs w:val="24"/>
        </w:rPr>
        <w:t>Indian Journal of Agronomy</w:t>
      </w:r>
      <w:r w:rsidRPr="00DB2FFB">
        <w:rPr>
          <w:rFonts w:ascii="Times New Roman" w:eastAsia="Arial Unicode MS" w:hAnsi="Times New Roman" w:cs="Times New Roman"/>
          <w:iCs/>
          <w:color w:val="000000" w:themeColor="text1"/>
          <w:sz w:val="24"/>
          <w:szCs w:val="24"/>
        </w:rPr>
        <w:t>,</w:t>
      </w:r>
      <w:r w:rsidRPr="00DB2FFB">
        <w:rPr>
          <w:rFonts w:ascii="Times New Roman" w:eastAsia="Arial Unicode MS" w:hAnsi="Times New Roman" w:cs="Times New Roman"/>
          <w:b/>
          <w:bCs/>
          <w:color w:val="000000" w:themeColor="text1"/>
          <w:sz w:val="24"/>
          <w:szCs w:val="24"/>
        </w:rPr>
        <w:t>52</w:t>
      </w:r>
      <w:r w:rsidRPr="00DB2FFB">
        <w:rPr>
          <w:rFonts w:ascii="Times New Roman" w:eastAsia="Arial Unicode MS" w:hAnsi="Times New Roman" w:cs="Times New Roman"/>
          <w:color w:val="000000" w:themeColor="text1"/>
          <w:sz w:val="24"/>
          <w:szCs w:val="24"/>
        </w:rPr>
        <w:t>(2): 120-123.</w:t>
      </w:r>
    </w:p>
    <w:p w:rsidR="00DB2FFB" w:rsidRPr="00DB2FFB" w:rsidRDefault="00DB2FFB" w:rsidP="00DB2FFB">
      <w:pPr>
        <w:pStyle w:val="NormalWeb"/>
        <w:ind w:left="360"/>
        <w:jc w:val="both"/>
        <w:rPr>
          <w:color w:val="000000" w:themeColor="text1"/>
        </w:rPr>
      </w:pPr>
      <w:r w:rsidRPr="00DB2FFB">
        <w:rPr>
          <w:color w:val="000000" w:themeColor="text1"/>
        </w:rPr>
        <w:t xml:space="preserve">Sharma, R. K. et al. (2019). </w:t>
      </w:r>
      <w:r w:rsidRPr="00DB2FFB">
        <w:rPr>
          <w:rStyle w:val="Emphasis"/>
          <w:color w:val="000000" w:themeColor="text1"/>
        </w:rPr>
        <w:t>Integrated nutrient management and its effect on quality parameters of cereals</w:t>
      </w:r>
      <w:r w:rsidRPr="00DB2FFB">
        <w:rPr>
          <w:color w:val="000000" w:themeColor="text1"/>
        </w:rPr>
        <w:t xml:space="preserve">. </w:t>
      </w:r>
      <w:r w:rsidRPr="00DB2FFB">
        <w:rPr>
          <w:rStyle w:val="Strong"/>
          <w:color w:val="000000" w:themeColor="text1"/>
        </w:rPr>
        <w:t>Agricultural Reviews</w:t>
      </w:r>
      <w:r w:rsidRPr="00DB2FFB">
        <w:rPr>
          <w:color w:val="000000" w:themeColor="text1"/>
        </w:rPr>
        <w:t>, 40(3), 185–190.</w:t>
      </w:r>
    </w:p>
    <w:p w:rsidR="00DB2FFB" w:rsidRPr="00DB2FFB" w:rsidRDefault="00DB2FFB" w:rsidP="00DB2FFB">
      <w:pPr>
        <w:pStyle w:val="NormalWeb"/>
        <w:ind w:left="360"/>
        <w:jc w:val="both"/>
        <w:rPr>
          <w:color w:val="000000" w:themeColor="text1"/>
        </w:rPr>
      </w:pPr>
      <w:r w:rsidRPr="00DB2FFB">
        <w:rPr>
          <w:color w:val="000000" w:themeColor="text1"/>
        </w:rPr>
        <w:t xml:space="preserve">Singh, M. et al. (2017). </w:t>
      </w:r>
      <w:r w:rsidRPr="00DB2FFB">
        <w:rPr>
          <w:rStyle w:val="Emphasis"/>
          <w:color w:val="000000" w:themeColor="text1"/>
        </w:rPr>
        <w:t>Effect of biofertilizer and organics on yield and protein content of rice</w:t>
      </w:r>
      <w:r w:rsidRPr="00DB2FFB">
        <w:rPr>
          <w:color w:val="000000" w:themeColor="text1"/>
        </w:rPr>
        <w:t xml:space="preserve">. </w:t>
      </w:r>
      <w:r w:rsidRPr="00DB2FFB">
        <w:rPr>
          <w:rStyle w:val="Strong"/>
          <w:color w:val="000000" w:themeColor="text1"/>
        </w:rPr>
        <w:t>Oryza</w:t>
      </w:r>
      <w:r w:rsidRPr="00DB2FFB">
        <w:rPr>
          <w:color w:val="000000" w:themeColor="text1"/>
        </w:rPr>
        <w:t>, 54(2), 140–144.</w:t>
      </w:r>
    </w:p>
    <w:p w:rsidR="00DB2FFB" w:rsidRPr="00DB2FFB" w:rsidRDefault="00DB2FFB" w:rsidP="00DB2FFB">
      <w:pPr>
        <w:pStyle w:val="NormalWeb"/>
        <w:ind w:left="360"/>
        <w:jc w:val="both"/>
        <w:rPr>
          <w:color w:val="000000" w:themeColor="text1"/>
        </w:rPr>
      </w:pPr>
      <w:r w:rsidRPr="00DB2FFB">
        <w:rPr>
          <w:color w:val="000000" w:themeColor="text1"/>
        </w:rPr>
        <w:t xml:space="preserve">Singh, R. K., et al. (2018). </w:t>
      </w:r>
      <w:r w:rsidRPr="00DB2FFB">
        <w:rPr>
          <w:rStyle w:val="Emphasis"/>
          <w:color w:val="000000" w:themeColor="text1"/>
        </w:rPr>
        <w:t>Influence of vermicompost and biofertilizers on soil fertility and crop productivity</w:t>
      </w:r>
      <w:r w:rsidRPr="00DB2FFB">
        <w:rPr>
          <w:color w:val="000000" w:themeColor="text1"/>
        </w:rPr>
        <w:t xml:space="preserve">. </w:t>
      </w:r>
      <w:r w:rsidRPr="00DB2FFB">
        <w:rPr>
          <w:rStyle w:val="Strong"/>
          <w:color w:val="000000" w:themeColor="text1"/>
        </w:rPr>
        <w:t>Agricultural Reviews</w:t>
      </w:r>
      <w:r w:rsidRPr="00DB2FFB">
        <w:rPr>
          <w:color w:val="000000" w:themeColor="text1"/>
        </w:rPr>
        <w:t>, 39(3), 250–255.</w:t>
      </w:r>
    </w:p>
    <w:p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Singh, Varinderpal., Singh, Yadvinder., Singh, Bijay., Singh, Baldev., Gupta, R.K. and Singh, Jagmohan (2006). Performance of site specific nitrogen management for irrigated transplanted rice in North Western India. </w:t>
      </w:r>
      <w:r w:rsidRPr="00DB2FFB">
        <w:rPr>
          <w:rFonts w:ascii="Times New Roman" w:hAnsi="Times New Roman" w:cs="Times New Roman"/>
          <w:iCs/>
          <w:color w:val="000000" w:themeColor="text1"/>
          <w:sz w:val="24"/>
          <w:szCs w:val="24"/>
        </w:rPr>
        <w:t>Arch. Agron. Soil Sci</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53</w:t>
      </w:r>
      <w:r w:rsidRPr="00DB2FFB">
        <w:rPr>
          <w:rFonts w:ascii="Times New Roman" w:hAnsi="Times New Roman" w:cs="Times New Roman"/>
          <w:color w:val="000000" w:themeColor="text1"/>
          <w:sz w:val="24"/>
          <w:szCs w:val="24"/>
        </w:rPr>
        <w:t>: 567–79.</w:t>
      </w:r>
    </w:p>
    <w:p w:rsidR="00DB2FFB" w:rsidRPr="00DB2FFB" w:rsidRDefault="00DB2FFB" w:rsidP="00DB2FFB">
      <w:pPr>
        <w:pStyle w:val="NormalWeb"/>
        <w:ind w:left="360"/>
        <w:jc w:val="both"/>
        <w:rPr>
          <w:color w:val="000000" w:themeColor="text1"/>
        </w:rPr>
      </w:pPr>
      <w:r w:rsidRPr="00DB2FFB">
        <w:rPr>
          <w:color w:val="000000" w:themeColor="text1"/>
        </w:rPr>
        <w:t xml:space="preserve">Tripathi, R., et al. (2019). </w:t>
      </w:r>
      <w:r w:rsidRPr="00DB2FFB">
        <w:rPr>
          <w:rStyle w:val="Emphasis"/>
          <w:color w:val="000000" w:themeColor="text1"/>
        </w:rPr>
        <w:t>Integrated nutrient management for sustainable wheat production</w:t>
      </w:r>
      <w:r w:rsidRPr="00DB2FFB">
        <w:rPr>
          <w:color w:val="000000" w:themeColor="text1"/>
        </w:rPr>
        <w:t xml:space="preserve">. </w:t>
      </w:r>
      <w:r w:rsidRPr="00DB2FFB">
        <w:rPr>
          <w:rStyle w:val="Strong"/>
          <w:color w:val="000000" w:themeColor="text1"/>
        </w:rPr>
        <w:t>International Journal of Current Microbiology and Applied Sciences</w:t>
      </w:r>
      <w:r w:rsidRPr="00DB2FFB">
        <w:rPr>
          <w:color w:val="000000" w:themeColor="text1"/>
        </w:rPr>
        <w:t>, 8(3), 1274–1282.</w:t>
      </w:r>
    </w:p>
    <w:p w:rsidR="00DB2FFB" w:rsidRPr="00DB2FFB" w:rsidRDefault="00DB2FFB" w:rsidP="00AA5846">
      <w:pPr>
        <w:spacing w:after="0" w:line="360" w:lineRule="auto"/>
        <w:ind w:left="851" w:hanging="851"/>
        <w:jc w:val="both"/>
        <w:rPr>
          <w:rFonts w:ascii="Times New Roman" w:hAnsi="Times New Roman" w:cs="Times New Roman"/>
          <w:iCs/>
          <w:color w:val="000000" w:themeColor="text1"/>
          <w:sz w:val="24"/>
          <w:szCs w:val="24"/>
        </w:rPr>
      </w:pPr>
      <w:r w:rsidRPr="00DB2FFB">
        <w:rPr>
          <w:rFonts w:ascii="Times New Roman" w:hAnsi="Times New Roman" w:cs="Times New Roman"/>
          <w:iCs/>
          <w:color w:val="000000" w:themeColor="text1"/>
          <w:sz w:val="24"/>
          <w:szCs w:val="24"/>
        </w:rPr>
        <w:t>USDA Report. (2019). pp:11-12.</w:t>
      </w:r>
    </w:p>
    <w:p w:rsidR="00DB2FFB" w:rsidRPr="00DB2FFB" w:rsidRDefault="00DB2FFB" w:rsidP="00DB2FFB">
      <w:pPr>
        <w:pStyle w:val="NormalWeb"/>
        <w:ind w:left="360"/>
        <w:jc w:val="both"/>
        <w:rPr>
          <w:color w:val="000000" w:themeColor="text1"/>
        </w:rPr>
      </w:pPr>
      <w:r w:rsidRPr="00DB2FFB">
        <w:rPr>
          <w:color w:val="000000" w:themeColor="text1"/>
        </w:rPr>
        <w:lastRenderedPageBreak/>
        <w:t xml:space="preserve">Verma, S., et al. (2021). </w:t>
      </w:r>
      <w:r w:rsidRPr="00DB2FFB">
        <w:rPr>
          <w:rStyle w:val="Emphasis"/>
          <w:color w:val="000000" w:themeColor="text1"/>
        </w:rPr>
        <w:t>Impact of INM on soil properties and wheat productivity</w:t>
      </w:r>
      <w:r w:rsidRPr="00DB2FFB">
        <w:rPr>
          <w:color w:val="000000" w:themeColor="text1"/>
        </w:rPr>
        <w:t xml:space="preserve">. </w:t>
      </w:r>
      <w:r w:rsidRPr="00DB2FFB">
        <w:rPr>
          <w:rStyle w:val="Strong"/>
          <w:color w:val="000000" w:themeColor="text1"/>
        </w:rPr>
        <w:t>Soil and Tillage Research</w:t>
      </w:r>
      <w:r w:rsidRPr="00DB2FFB">
        <w:rPr>
          <w:color w:val="000000" w:themeColor="text1"/>
        </w:rPr>
        <w:t>, 213, 105128.</w:t>
      </w:r>
    </w:p>
    <w:p w:rsidR="00DB2FFB" w:rsidRPr="00DB2FFB" w:rsidRDefault="00DB2FFB" w:rsidP="00DB2FFB">
      <w:pPr>
        <w:pStyle w:val="NormalWeb"/>
        <w:ind w:left="360"/>
        <w:jc w:val="both"/>
        <w:rPr>
          <w:color w:val="000000" w:themeColor="text1"/>
        </w:rPr>
      </w:pPr>
      <w:r w:rsidRPr="00DB2FFB">
        <w:rPr>
          <w:color w:val="000000" w:themeColor="text1"/>
        </w:rPr>
        <w:t xml:space="preserve">Yadav, R. L., et al. (2018). </w:t>
      </w:r>
      <w:r w:rsidRPr="00DB2FFB">
        <w:rPr>
          <w:rStyle w:val="Emphasis"/>
          <w:color w:val="000000" w:themeColor="text1"/>
        </w:rPr>
        <w:t>Impact of biofertilizers and vermicompost on crop productivity</w:t>
      </w:r>
      <w:r w:rsidRPr="00DB2FFB">
        <w:rPr>
          <w:color w:val="000000" w:themeColor="text1"/>
        </w:rPr>
        <w:t xml:space="preserve">. </w:t>
      </w:r>
      <w:r w:rsidRPr="00DB2FFB">
        <w:rPr>
          <w:rStyle w:val="Strong"/>
          <w:color w:val="000000" w:themeColor="text1"/>
        </w:rPr>
        <w:t>Research Journal of Agricultural Sciences</w:t>
      </w:r>
      <w:r w:rsidRPr="00DB2FFB">
        <w:rPr>
          <w:color w:val="000000" w:themeColor="text1"/>
        </w:rPr>
        <w:t>, 9(1), 105–109.</w:t>
      </w:r>
    </w:p>
    <w:p w:rsidR="00DB2FFB" w:rsidRPr="00DB2FFB" w:rsidRDefault="00DB2FFB" w:rsidP="00AA5846">
      <w:pPr>
        <w:spacing w:after="0"/>
        <w:ind w:left="851" w:hanging="851"/>
        <w:jc w:val="both"/>
        <w:rPr>
          <w:rFonts w:ascii="Times New Roman" w:hAnsi="Times New Roman" w:cs="Times New Roman"/>
          <w:b/>
          <w:bCs/>
          <w:color w:val="000000" w:themeColor="text1"/>
          <w:sz w:val="24"/>
          <w:szCs w:val="24"/>
        </w:rPr>
      </w:pPr>
      <w:r w:rsidRPr="00DB2FFB">
        <w:rPr>
          <w:rFonts w:ascii="Times New Roman" w:hAnsi="Times New Roman" w:cs="Times New Roman"/>
          <w:color w:val="000000" w:themeColor="text1"/>
          <w:sz w:val="24"/>
          <w:szCs w:val="24"/>
        </w:rPr>
        <w:t xml:space="preserve">Youssef, S. M., S. E.-D. Faizy, S. A. Mashali, H. R. El-Ramady (2013), Effect of different levels of NPK on wheat crop in North Delta and Sh. Ragab Soil and Water Sci. Dept., Faculty of Agri., Kafrelsheikh Uni., </w:t>
      </w:r>
      <w:r w:rsidRPr="00DB2FFB">
        <w:rPr>
          <w:rFonts w:ascii="Times New Roman" w:hAnsi="Times New Roman" w:cs="Times New Roman"/>
          <w:b/>
          <w:bCs/>
          <w:color w:val="000000" w:themeColor="text1"/>
          <w:sz w:val="24"/>
          <w:szCs w:val="24"/>
        </w:rPr>
        <w:t>3</w:t>
      </w:r>
      <w:r w:rsidRPr="00DB2FFB">
        <w:rPr>
          <w:rFonts w:ascii="Times New Roman" w:hAnsi="Times New Roman" w:cs="Times New Roman"/>
          <w:color w:val="000000" w:themeColor="text1"/>
          <w:sz w:val="24"/>
          <w:szCs w:val="24"/>
        </w:rPr>
        <w:t>(3):516.</w:t>
      </w:r>
    </w:p>
    <w:p w:rsidR="00A23BAE" w:rsidRPr="00DB2FFB" w:rsidRDefault="00A23BAE" w:rsidP="00BA2515">
      <w:pPr>
        <w:pStyle w:val="NormalWeb"/>
        <w:rPr>
          <w:color w:val="000000" w:themeColor="text1"/>
        </w:rPr>
      </w:pPr>
    </w:p>
    <w:p w:rsidR="00A23BAE" w:rsidRPr="00DB2FFB" w:rsidRDefault="00A23BAE" w:rsidP="00AA5846">
      <w:pPr>
        <w:spacing w:after="0"/>
        <w:ind w:left="851" w:hanging="851"/>
        <w:jc w:val="both"/>
        <w:rPr>
          <w:rFonts w:ascii="Times New Roman" w:hAnsi="Times New Roman" w:cs="Times New Roman"/>
          <w:b/>
          <w:bCs/>
          <w:color w:val="000000" w:themeColor="text1"/>
          <w:sz w:val="24"/>
          <w:szCs w:val="24"/>
        </w:rPr>
      </w:pPr>
    </w:p>
    <w:sectPr w:rsidR="00A23BAE" w:rsidRPr="00DB2FFB" w:rsidSect="00264B6F">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B1D" w:rsidRDefault="00B67B1D" w:rsidP="00DB2FFB">
      <w:pPr>
        <w:spacing w:after="0" w:line="240" w:lineRule="auto"/>
      </w:pPr>
      <w:r>
        <w:separator/>
      </w:r>
    </w:p>
  </w:endnote>
  <w:endnote w:type="continuationSeparator" w:id="1">
    <w:p w:rsidR="00B67B1D" w:rsidRDefault="00B67B1D" w:rsidP="00DB2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FPEF">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27" w:rsidRDefault="00ED7A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27" w:rsidRDefault="00ED7A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27" w:rsidRDefault="00ED7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B1D" w:rsidRDefault="00B67B1D" w:rsidP="00DB2FFB">
      <w:pPr>
        <w:spacing w:after="0" w:line="240" w:lineRule="auto"/>
      </w:pPr>
      <w:r>
        <w:separator/>
      </w:r>
    </w:p>
  </w:footnote>
  <w:footnote w:type="continuationSeparator" w:id="1">
    <w:p w:rsidR="00B67B1D" w:rsidRDefault="00B67B1D" w:rsidP="00DB2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27" w:rsidRDefault="006060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8" o:spid="_x0000_s2050" type="#_x0000_t136" style="position:absolute;margin-left:0;margin-top:0;width:579.35pt;height:108.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27" w:rsidRDefault="006060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9" o:spid="_x0000_s2051" type="#_x0000_t136" style="position:absolute;margin-left:0;margin-top:0;width:579.35pt;height:108.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27" w:rsidRDefault="006060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7" o:spid="_x0000_s2049" type="#_x0000_t136" style="position:absolute;margin-left:0;margin-top:0;width:579.35pt;height:108.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149"/>
    <w:multiLevelType w:val="hybridMultilevel"/>
    <w:tmpl w:val="CE261014"/>
    <w:lvl w:ilvl="0" w:tplc="1B8E7A54">
      <w:start w:val="1"/>
      <w:numFmt w:val="lowerLetter"/>
      <w:lvlText w:val="%1)"/>
      <w:lvlJc w:val="left"/>
      <w:pPr>
        <w:ind w:left="1996" w:hanging="360"/>
      </w:pPr>
      <w:rPr>
        <w:b/>
        <w:bCs/>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1">
    <w:nsid w:val="0F69626C"/>
    <w:multiLevelType w:val="hybridMultilevel"/>
    <w:tmpl w:val="07408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8046BD"/>
    <w:multiLevelType w:val="hybridMultilevel"/>
    <w:tmpl w:val="03C85B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A272119"/>
    <w:multiLevelType w:val="hybridMultilevel"/>
    <w:tmpl w:val="6518AD7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F9876C0"/>
    <w:multiLevelType w:val="hybridMultilevel"/>
    <w:tmpl w:val="03C85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543AF"/>
    <w:rsid w:val="0001130C"/>
    <w:rsid w:val="0002634A"/>
    <w:rsid w:val="00035FC9"/>
    <w:rsid w:val="00052CEF"/>
    <w:rsid w:val="00081D92"/>
    <w:rsid w:val="000C1220"/>
    <w:rsid w:val="000E0742"/>
    <w:rsid w:val="000E5C98"/>
    <w:rsid w:val="000E6873"/>
    <w:rsid w:val="000F58B9"/>
    <w:rsid w:val="001163FE"/>
    <w:rsid w:val="00166391"/>
    <w:rsid w:val="001B187F"/>
    <w:rsid w:val="001C05BE"/>
    <w:rsid w:val="001E2C94"/>
    <w:rsid w:val="002543AF"/>
    <w:rsid w:val="00256EBE"/>
    <w:rsid w:val="00257A3F"/>
    <w:rsid w:val="00264B6F"/>
    <w:rsid w:val="00265D20"/>
    <w:rsid w:val="002811B9"/>
    <w:rsid w:val="00292FD8"/>
    <w:rsid w:val="002A0EB9"/>
    <w:rsid w:val="002A1142"/>
    <w:rsid w:val="002B7127"/>
    <w:rsid w:val="002C4D83"/>
    <w:rsid w:val="002E659B"/>
    <w:rsid w:val="003078A1"/>
    <w:rsid w:val="00354BED"/>
    <w:rsid w:val="00356237"/>
    <w:rsid w:val="00370437"/>
    <w:rsid w:val="00393A34"/>
    <w:rsid w:val="003E1016"/>
    <w:rsid w:val="003F11EF"/>
    <w:rsid w:val="00437297"/>
    <w:rsid w:val="004508E4"/>
    <w:rsid w:val="00482A15"/>
    <w:rsid w:val="004858C8"/>
    <w:rsid w:val="00492CF6"/>
    <w:rsid w:val="004C519F"/>
    <w:rsid w:val="004E50A6"/>
    <w:rsid w:val="005039F4"/>
    <w:rsid w:val="00505908"/>
    <w:rsid w:val="00577E5C"/>
    <w:rsid w:val="00591A2D"/>
    <w:rsid w:val="005C2E74"/>
    <w:rsid w:val="005F15C2"/>
    <w:rsid w:val="005F7BD7"/>
    <w:rsid w:val="00602FAE"/>
    <w:rsid w:val="00606096"/>
    <w:rsid w:val="00616027"/>
    <w:rsid w:val="006234DF"/>
    <w:rsid w:val="00624EDD"/>
    <w:rsid w:val="0064036A"/>
    <w:rsid w:val="00665F4C"/>
    <w:rsid w:val="006C44DE"/>
    <w:rsid w:val="006D7049"/>
    <w:rsid w:val="006E3138"/>
    <w:rsid w:val="00720E59"/>
    <w:rsid w:val="00726F78"/>
    <w:rsid w:val="00736092"/>
    <w:rsid w:val="00742CB1"/>
    <w:rsid w:val="007645FA"/>
    <w:rsid w:val="0077191F"/>
    <w:rsid w:val="00772080"/>
    <w:rsid w:val="007858CF"/>
    <w:rsid w:val="007A46DA"/>
    <w:rsid w:val="007E53A5"/>
    <w:rsid w:val="007F42FF"/>
    <w:rsid w:val="00814E83"/>
    <w:rsid w:val="00863745"/>
    <w:rsid w:val="008661D6"/>
    <w:rsid w:val="008B6E95"/>
    <w:rsid w:val="00925240"/>
    <w:rsid w:val="00987721"/>
    <w:rsid w:val="009977A2"/>
    <w:rsid w:val="009A71DF"/>
    <w:rsid w:val="009C038C"/>
    <w:rsid w:val="009D1AE0"/>
    <w:rsid w:val="009E0184"/>
    <w:rsid w:val="009E04CD"/>
    <w:rsid w:val="00A23BAE"/>
    <w:rsid w:val="00A2599C"/>
    <w:rsid w:val="00A402AC"/>
    <w:rsid w:val="00A4641C"/>
    <w:rsid w:val="00A51BCC"/>
    <w:rsid w:val="00A57FFE"/>
    <w:rsid w:val="00A774B5"/>
    <w:rsid w:val="00AA1D40"/>
    <w:rsid w:val="00AA5846"/>
    <w:rsid w:val="00AE28BB"/>
    <w:rsid w:val="00AF0C98"/>
    <w:rsid w:val="00AF5216"/>
    <w:rsid w:val="00B13DF0"/>
    <w:rsid w:val="00B16126"/>
    <w:rsid w:val="00B2415A"/>
    <w:rsid w:val="00B361E4"/>
    <w:rsid w:val="00B4355A"/>
    <w:rsid w:val="00B463DE"/>
    <w:rsid w:val="00B66667"/>
    <w:rsid w:val="00B67B1D"/>
    <w:rsid w:val="00B77988"/>
    <w:rsid w:val="00BA2515"/>
    <w:rsid w:val="00BB10D8"/>
    <w:rsid w:val="00BC0655"/>
    <w:rsid w:val="00BD1E8F"/>
    <w:rsid w:val="00BF2561"/>
    <w:rsid w:val="00C00C54"/>
    <w:rsid w:val="00C424EB"/>
    <w:rsid w:val="00C503C2"/>
    <w:rsid w:val="00C70C77"/>
    <w:rsid w:val="00C83B06"/>
    <w:rsid w:val="00CE16BB"/>
    <w:rsid w:val="00CE78FD"/>
    <w:rsid w:val="00D0018D"/>
    <w:rsid w:val="00D01FA1"/>
    <w:rsid w:val="00D10A4F"/>
    <w:rsid w:val="00D10D81"/>
    <w:rsid w:val="00D65B53"/>
    <w:rsid w:val="00D76EFC"/>
    <w:rsid w:val="00D80B67"/>
    <w:rsid w:val="00D9406C"/>
    <w:rsid w:val="00D9633D"/>
    <w:rsid w:val="00DB2FFB"/>
    <w:rsid w:val="00DE02AF"/>
    <w:rsid w:val="00DF3C68"/>
    <w:rsid w:val="00E00C0F"/>
    <w:rsid w:val="00E23C5D"/>
    <w:rsid w:val="00E32028"/>
    <w:rsid w:val="00E5068A"/>
    <w:rsid w:val="00EB17BD"/>
    <w:rsid w:val="00EC76B0"/>
    <w:rsid w:val="00ED7A27"/>
    <w:rsid w:val="00EF3979"/>
    <w:rsid w:val="00F04A63"/>
    <w:rsid w:val="00F07EE3"/>
    <w:rsid w:val="00F14205"/>
    <w:rsid w:val="00F22E9E"/>
    <w:rsid w:val="00F51188"/>
    <w:rsid w:val="00FB1456"/>
    <w:rsid w:val="00FB5841"/>
    <w:rsid w:val="00FB78E0"/>
    <w:rsid w:val="00FC5DF4"/>
    <w:rsid w:val="00FE0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DE"/>
  </w:style>
  <w:style w:type="paragraph" w:styleId="Heading1">
    <w:name w:val="heading 1"/>
    <w:basedOn w:val="Normal"/>
    <w:next w:val="Normal"/>
    <w:link w:val="Heading1Char"/>
    <w:uiPriority w:val="9"/>
    <w:qFormat/>
    <w:rsid w:val="00DB2FFB"/>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eastAsia="ja-JP"/>
    </w:rPr>
  </w:style>
  <w:style w:type="paragraph" w:styleId="Heading3">
    <w:name w:val="heading 3"/>
    <w:basedOn w:val="Normal"/>
    <w:next w:val="Normal"/>
    <w:link w:val="Heading3Char"/>
    <w:uiPriority w:val="9"/>
    <w:unhideWhenUsed/>
    <w:qFormat/>
    <w:rsid w:val="00A23BA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1B187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D7049"/>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7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D1AE0"/>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9D1AE0"/>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3078A1"/>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6E3138"/>
    <w:pPr>
      <w:spacing w:before="120" w:after="120"/>
      <w:ind w:left="720"/>
      <w:contextualSpacing/>
      <w:jc w:val="center"/>
    </w:pPr>
    <w:rPr>
      <w:kern w:val="0"/>
    </w:rPr>
  </w:style>
  <w:style w:type="paragraph" w:styleId="Header">
    <w:name w:val="header"/>
    <w:basedOn w:val="Normal"/>
    <w:link w:val="HeaderChar"/>
    <w:uiPriority w:val="99"/>
    <w:unhideWhenUsed/>
    <w:rsid w:val="005F7BD7"/>
    <w:pPr>
      <w:tabs>
        <w:tab w:val="center" w:pos="4680"/>
        <w:tab w:val="right" w:pos="9360"/>
      </w:tabs>
      <w:spacing w:after="0" w:line="240" w:lineRule="auto"/>
    </w:pPr>
    <w:rPr>
      <w:rFonts w:eastAsiaTheme="minorEastAsia"/>
      <w:kern w:val="0"/>
      <w:lang w:val="en-US"/>
    </w:rPr>
  </w:style>
  <w:style w:type="character" w:customStyle="1" w:styleId="HeaderChar">
    <w:name w:val="Header Char"/>
    <w:basedOn w:val="DefaultParagraphFont"/>
    <w:link w:val="Header"/>
    <w:uiPriority w:val="99"/>
    <w:rsid w:val="005F7BD7"/>
    <w:rPr>
      <w:rFonts w:eastAsiaTheme="minorEastAsia"/>
      <w:kern w:val="0"/>
      <w:lang w:val="en-US"/>
    </w:rPr>
  </w:style>
  <w:style w:type="paragraph" w:styleId="BalloonText">
    <w:name w:val="Balloon Text"/>
    <w:basedOn w:val="Normal"/>
    <w:link w:val="BalloonTextChar"/>
    <w:uiPriority w:val="99"/>
    <w:semiHidden/>
    <w:unhideWhenUsed/>
    <w:rsid w:val="0072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E59"/>
    <w:rPr>
      <w:rFonts w:ascii="Tahoma" w:hAnsi="Tahoma" w:cs="Tahoma"/>
      <w:sz w:val="16"/>
      <w:szCs w:val="16"/>
    </w:rPr>
  </w:style>
  <w:style w:type="character" w:customStyle="1" w:styleId="Heading4Char">
    <w:name w:val="Heading 4 Char"/>
    <w:basedOn w:val="DefaultParagraphFont"/>
    <w:link w:val="Heading4"/>
    <w:uiPriority w:val="9"/>
    <w:rsid w:val="001B187F"/>
    <w:rPr>
      <w:rFonts w:ascii="Times New Roman" w:eastAsia="Times New Roman" w:hAnsi="Times New Roman" w:cs="Times New Roman"/>
      <w:b/>
      <w:bCs/>
      <w:kern w:val="0"/>
      <w:sz w:val="24"/>
      <w:szCs w:val="24"/>
      <w:lang w:eastAsia="en-IN" w:bidi="hi-IN"/>
    </w:rPr>
  </w:style>
  <w:style w:type="paragraph" w:styleId="NormalWeb">
    <w:name w:val="Normal (Web)"/>
    <w:basedOn w:val="Normal"/>
    <w:uiPriority w:val="99"/>
    <w:semiHidden/>
    <w:unhideWhenUsed/>
    <w:rsid w:val="001B187F"/>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1B187F"/>
    <w:rPr>
      <w:b/>
      <w:bCs/>
    </w:rPr>
  </w:style>
  <w:style w:type="character" w:customStyle="1" w:styleId="Heading3Char">
    <w:name w:val="Heading 3 Char"/>
    <w:basedOn w:val="DefaultParagraphFont"/>
    <w:link w:val="Heading3"/>
    <w:uiPriority w:val="9"/>
    <w:rsid w:val="00A23BAE"/>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A23BAE"/>
    <w:rPr>
      <w:i/>
      <w:iCs/>
    </w:rPr>
  </w:style>
  <w:style w:type="character" w:customStyle="1" w:styleId="Heading1Char">
    <w:name w:val="Heading 1 Char"/>
    <w:basedOn w:val="DefaultParagraphFont"/>
    <w:link w:val="Heading1"/>
    <w:uiPriority w:val="9"/>
    <w:rsid w:val="00DB2FFB"/>
    <w:rPr>
      <w:rFonts w:asciiTheme="majorHAnsi" w:eastAsiaTheme="majorEastAsia" w:hAnsiTheme="majorHAnsi" w:cstheme="majorBidi"/>
      <w:b/>
      <w:bCs/>
      <w:color w:val="2F5496" w:themeColor="accent1" w:themeShade="BF"/>
      <w:kern w:val="0"/>
      <w:sz w:val="28"/>
      <w:szCs w:val="28"/>
      <w:lang w:val="en-US" w:eastAsia="ja-JP"/>
    </w:rPr>
  </w:style>
  <w:style w:type="paragraph" w:styleId="FootnoteText">
    <w:name w:val="footnote text"/>
    <w:basedOn w:val="Normal"/>
    <w:link w:val="FootnoteTextChar"/>
    <w:uiPriority w:val="99"/>
    <w:semiHidden/>
    <w:unhideWhenUsed/>
    <w:rsid w:val="00DB2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FFB"/>
    <w:rPr>
      <w:sz w:val="20"/>
      <w:szCs w:val="20"/>
    </w:rPr>
  </w:style>
  <w:style w:type="character" w:styleId="FootnoteReference">
    <w:name w:val="footnote reference"/>
    <w:basedOn w:val="DefaultParagraphFont"/>
    <w:uiPriority w:val="99"/>
    <w:semiHidden/>
    <w:unhideWhenUsed/>
    <w:rsid w:val="00DB2FFB"/>
    <w:rPr>
      <w:vertAlign w:val="superscript"/>
    </w:rPr>
  </w:style>
  <w:style w:type="character" w:styleId="Hyperlink">
    <w:name w:val="Hyperlink"/>
    <w:basedOn w:val="DefaultParagraphFont"/>
    <w:uiPriority w:val="99"/>
    <w:unhideWhenUsed/>
    <w:rsid w:val="0002634A"/>
    <w:rPr>
      <w:color w:val="0563C1" w:themeColor="hyperlink"/>
      <w:u w:val="single"/>
    </w:rPr>
  </w:style>
  <w:style w:type="character" w:customStyle="1" w:styleId="UnresolvedMention">
    <w:name w:val="Unresolved Mention"/>
    <w:basedOn w:val="DefaultParagraphFont"/>
    <w:uiPriority w:val="99"/>
    <w:semiHidden/>
    <w:unhideWhenUsed/>
    <w:rsid w:val="0002634A"/>
    <w:rPr>
      <w:color w:val="605E5C"/>
      <w:shd w:val="clear" w:color="auto" w:fill="E1DFDD"/>
    </w:rPr>
  </w:style>
  <w:style w:type="paragraph" w:styleId="Footer">
    <w:name w:val="footer"/>
    <w:basedOn w:val="Normal"/>
    <w:link w:val="FooterChar"/>
    <w:uiPriority w:val="99"/>
    <w:unhideWhenUsed/>
    <w:rsid w:val="00ED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27"/>
  </w:style>
</w:styles>
</file>

<file path=word/webSettings.xml><?xml version="1.0" encoding="utf-8"?>
<w:webSettings xmlns:r="http://schemas.openxmlformats.org/officeDocument/2006/relationships" xmlns:w="http://schemas.openxmlformats.org/wordprocessingml/2006/main">
  <w:divs>
    <w:div w:id="6713016">
      <w:bodyDiv w:val="1"/>
      <w:marLeft w:val="0"/>
      <w:marRight w:val="0"/>
      <w:marTop w:val="0"/>
      <w:marBottom w:val="0"/>
      <w:divBdr>
        <w:top w:val="none" w:sz="0" w:space="0" w:color="auto"/>
        <w:left w:val="none" w:sz="0" w:space="0" w:color="auto"/>
        <w:bottom w:val="none" w:sz="0" w:space="0" w:color="auto"/>
        <w:right w:val="none" w:sz="0" w:space="0" w:color="auto"/>
      </w:divBdr>
    </w:div>
    <w:div w:id="37558274">
      <w:bodyDiv w:val="1"/>
      <w:marLeft w:val="0"/>
      <w:marRight w:val="0"/>
      <w:marTop w:val="0"/>
      <w:marBottom w:val="0"/>
      <w:divBdr>
        <w:top w:val="none" w:sz="0" w:space="0" w:color="auto"/>
        <w:left w:val="none" w:sz="0" w:space="0" w:color="auto"/>
        <w:bottom w:val="none" w:sz="0" w:space="0" w:color="auto"/>
        <w:right w:val="none" w:sz="0" w:space="0" w:color="auto"/>
      </w:divBdr>
    </w:div>
    <w:div w:id="665473670">
      <w:bodyDiv w:val="1"/>
      <w:marLeft w:val="0"/>
      <w:marRight w:val="0"/>
      <w:marTop w:val="0"/>
      <w:marBottom w:val="0"/>
      <w:divBdr>
        <w:top w:val="none" w:sz="0" w:space="0" w:color="auto"/>
        <w:left w:val="none" w:sz="0" w:space="0" w:color="auto"/>
        <w:bottom w:val="none" w:sz="0" w:space="0" w:color="auto"/>
        <w:right w:val="none" w:sz="0" w:space="0" w:color="auto"/>
      </w:divBdr>
    </w:div>
    <w:div w:id="753480099">
      <w:bodyDiv w:val="1"/>
      <w:marLeft w:val="0"/>
      <w:marRight w:val="0"/>
      <w:marTop w:val="0"/>
      <w:marBottom w:val="0"/>
      <w:divBdr>
        <w:top w:val="none" w:sz="0" w:space="0" w:color="auto"/>
        <w:left w:val="none" w:sz="0" w:space="0" w:color="auto"/>
        <w:bottom w:val="none" w:sz="0" w:space="0" w:color="auto"/>
        <w:right w:val="none" w:sz="0" w:space="0" w:color="auto"/>
      </w:divBdr>
    </w:div>
    <w:div w:id="863664732">
      <w:bodyDiv w:val="1"/>
      <w:marLeft w:val="0"/>
      <w:marRight w:val="0"/>
      <w:marTop w:val="0"/>
      <w:marBottom w:val="0"/>
      <w:divBdr>
        <w:top w:val="none" w:sz="0" w:space="0" w:color="auto"/>
        <w:left w:val="none" w:sz="0" w:space="0" w:color="auto"/>
        <w:bottom w:val="none" w:sz="0" w:space="0" w:color="auto"/>
        <w:right w:val="none" w:sz="0" w:space="0" w:color="auto"/>
      </w:divBdr>
    </w:div>
    <w:div w:id="1003554941">
      <w:bodyDiv w:val="1"/>
      <w:marLeft w:val="0"/>
      <w:marRight w:val="0"/>
      <w:marTop w:val="0"/>
      <w:marBottom w:val="0"/>
      <w:divBdr>
        <w:top w:val="none" w:sz="0" w:space="0" w:color="auto"/>
        <w:left w:val="none" w:sz="0" w:space="0" w:color="auto"/>
        <w:bottom w:val="none" w:sz="0" w:space="0" w:color="auto"/>
        <w:right w:val="none" w:sz="0" w:space="0" w:color="auto"/>
      </w:divBdr>
    </w:div>
    <w:div w:id="1061715122">
      <w:bodyDiv w:val="1"/>
      <w:marLeft w:val="0"/>
      <w:marRight w:val="0"/>
      <w:marTop w:val="0"/>
      <w:marBottom w:val="0"/>
      <w:divBdr>
        <w:top w:val="none" w:sz="0" w:space="0" w:color="auto"/>
        <w:left w:val="none" w:sz="0" w:space="0" w:color="auto"/>
        <w:bottom w:val="none" w:sz="0" w:space="0" w:color="auto"/>
        <w:right w:val="none" w:sz="0" w:space="0" w:color="auto"/>
      </w:divBdr>
    </w:div>
    <w:div w:id="1642345219">
      <w:bodyDiv w:val="1"/>
      <w:marLeft w:val="0"/>
      <w:marRight w:val="0"/>
      <w:marTop w:val="0"/>
      <w:marBottom w:val="0"/>
      <w:divBdr>
        <w:top w:val="none" w:sz="0" w:space="0" w:color="auto"/>
        <w:left w:val="none" w:sz="0" w:space="0" w:color="auto"/>
        <w:bottom w:val="none" w:sz="0" w:space="0" w:color="auto"/>
        <w:right w:val="none" w:sz="0" w:space="0" w:color="auto"/>
      </w:divBdr>
    </w:div>
    <w:div w:id="1927035027">
      <w:bodyDiv w:val="1"/>
      <w:marLeft w:val="0"/>
      <w:marRight w:val="0"/>
      <w:marTop w:val="0"/>
      <w:marBottom w:val="0"/>
      <w:divBdr>
        <w:top w:val="none" w:sz="0" w:space="0" w:color="auto"/>
        <w:left w:val="none" w:sz="0" w:space="0" w:color="auto"/>
        <w:bottom w:val="none" w:sz="0" w:space="0" w:color="auto"/>
        <w:right w:val="none" w:sz="0" w:space="0" w:color="auto"/>
      </w:divBdr>
    </w:div>
    <w:div w:id="1990667249">
      <w:bodyDiv w:val="1"/>
      <w:marLeft w:val="0"/>
      <w:marRight w:val="0"/>
      <w:marTop w:val="0"/>
      <w:marBottom w:val="0"/>
      <w:divBdr>
        <w:top w:val="none" w:sz="0" w:space="0" w:color="auto"/>
        <w:left w:val="none" w:sz="0" w:space="0" w:color="auto"/>
        <w:bottom w:val="none" w:sz="0" w:space="0" w:color="auto"/>
        <w:right w:val="none" w:sz="0" w:space="0" w:color="auto"/>
      </w:divBdr>
    </w:div>
    <w:div w:id="2042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G:\Thesis\Atul%20CCS%20University%20Wheat%20Thesis\All%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Thesis\Atul%20CCS%20University%20Wheat%20Thesis\All%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Thesis\Atul%20CCS%20University%20Wheat%20Thesis\All%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Sheet2!$A$41</c:f>
              <c:strCache>
                <c:ptCount val="1"/>
                <c:pt idx="0">
                  <c:v>T1</c:v>
                </c:pt>
              </c:strCache>
            </c:strRef>
          </c:tx>
          <c:spPr>
            <a:solidFill>
              <a:schemeClr val="accent1"/>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Sheet2!$B$41:$G$41</c:f>
              <c:numCache>
                <c:formatCode>General</c:formatCode>
                <c:ptCount val="6"/>
                <c:pt idx="0">
                  <c:v>57.2</c:v>
                </c:pt>
                <c:pt idx="1">
                  <c:v>59.2</c:v>
                </c:pt>
                <c:pt idx="2">
                  <c:v>38.5</c:v>
                </c:pt>
                <c:pt idx="3">
                  <c:v>42</c:v>
                </c:pt>
                <c:pt idx="4">
                  <c:v>845.2</c:v>
                </c:pt>
                <c:pt idx="5">
                  <c:v>856.3</c:v>
                </c:pt>
              </c:numCache>
            </c:numRef>
          </c:val>
          <c:extLst xmlns:c16r2="http://schemas.microsoft.com/office/drawing/2015/06/chart">
            <c:ext xmlns:c16="http://schemas.microsoft.com/office/drawing/2014/chart" uri="{C3380CC4-5D6E-409C-BE32-E72D297353CC}">
              <c16:uniqueId val="{00000000-42A4-450C-B8EB-A9A471CA6B1D}"/>
            </c:ext>
          </c:extLst>
        </c:ser>
        <c:ser>
          <c:idx val="1"/>
          <c:order val="1"/>
          <c:tx>
            <c:strRef>
              <c:f>Sheet2!$A$42</c:f>
              <c:strCache>
                <c:ptCount val="1"/>
                <c:pt idx="0">
                  <c:v>T2</c:v>
                </c:pt>
              </c:strCache>
            </c:strRef>
          </c:tx>
          <c:spPr>
            <a:solidFill>
              <a:schemeClr val="accent2"/>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Sheet2!$B$42:$G$42</c:f>
              <c:numCache>
                <c:formatCode>General</c:formatCode>
                <c:ptCount val="6"/>
                <c:pt idx="0">
                  <c:v>82.2</c:v>
                </c:pt>
                <c:pt idx="1">
                  <c:v>84.2</c:v>
                </c:pt>
                <c:pt idx="2">
                  <c:v>73.5</c:v>
                </c:pt>
                <c:pt idx="3">
                  <c:v>75</c:v>
                </c:pt>
                <c:pt idx="4">
                  <c:v>905.3</c:v>
                </c:pt>
                <c:pt idx="5">
                  <c:v>918.2</c:v>
                </c:pt>
              </c:numCache>
            </c:numRef>
          </c:val>
          <c:extLst xmlns:c16r2="http://schemas.microsoft.com/office/drawing/2015/06/chart">
            <c:ext xmlns:c16="http://schemas.microsoft.com/office/drawing/2014/chart" uri="{C3380CC4-5D6E-409C-BE32-E72D297353CC}">
              <c16:uniqueId val="{00000001-42A4-450C-B8EB-A9A471CA6B1D}"/>
            </c:ext>
          </c:extLst>
        </c:ser>
        <c:ser>
          <c:idx val="2"/>
          <c:order val="2"/>
          <c:tx>
            <c:strRef>
              <c:f>Sheet2!$A$43</c:f>
              <c:strCache>
                <c:ptCount val="1"/>
                <c:pt idx="0">
                  <c:v>T3</c:v>
                </c:pt>
              </c:strCache>
            </c:strRef>
          </c:tx>
          <c:spPr>
            <a:solidFill>
              <a:schemeClr val="accent3"/>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Sheet2!$B$43:$G$43</c:f>
              <c:numCache>
                <c:formatCode>General</c:formatCode>
                <c:ptCount val="6"/>
                <c:pt idx="0">
                  <c:v>83.7</c:v>
                </c:pt>
                <c:pt idx="1">
                  <c:v>85.2</c:v>
                </c:pt>
                <c:pt idx="2">
                  <c:v>75.5</c:v>
                </c:pt>
                <c:pt idx="3">
                  <c:v>77</c:v>
                </c:pt>
                <c:pt idx="4">
                  <c:v>970.2</c:v>
                </c:pt>
                <c:pt idx="5">
                  <c:v>982.4</c:v>
                </c:pt>
              </c:numCache>
            </c:numRef>
          </c:val>
          <c:extLst xmlns:c16r2="http://schemas.microsoft.com/office/drawing/2015/06/chart">
            <c:ext xmlns:c16="http://schemas.microsoft.com/office/drawing/2014/chart" uri="{C3380CC4-5D6E-409C-BE32-E72D297353CC}">
              <c16:uniqueId val="{00000002-42A4-450C-B8EB-A9A471CA6B1D}"/>
            </c:ext>
          </c:extLst>
        </c:ser>
        <c:ser>
          <c:idx val="3"/>
          <c:order val="3"/>
          <c:tx>
            <c:strRef>
              <c:f>Sheet2!$A$44</c:f>
              <c:strCache>
                <c:ptCount val="1"/>
                <c:pt idx="0">
                  <c:v>T4</c:v>
                </c:pt>
              </c:strCache>
            </c:strRef>
          </c:tx>
          <c:spPr>
            <a:solidFill>
              <a:schemeClr val="accent4"/>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Sheet2!$B$44:$G$44</c:f>
              <c:numCache>
                <c:formatCode>General</c:formatCode>
                <c:ptCount val="6"/>
                <c:pt idx="0">
                  <c:v>84.2</c:v>
                </c:pt>
                <c:pt idx="1">
                  <c:v>85.8</c:v>
                </c:pt>
                <c:pt idx="2">
                  <c:v>76</c:v>
                </c:pt>
                <c:pt idx="3">
                  <c:v>78.5</c:v>
                </c:pt>
                <c:pt idx="4">
                  <c:v>988.6</c:v>
                </c:pt>
                <c:pt idx="5">
                  <c:v>997.3</c:v>
                </c:pt>
              </c:numCache>
            </c:numRef>
          </c:val>
          <c:extLst xmlns:c16r2="http://schemas.microsoft.com/office/drawing/2015/06/chart">
            <c:ext xmlns:c16="http://schemas.microsoft.com/office/drawing/2014/chart" uri="{C3380CC4-5D6E-409C-BE32-E72D297353CC}">
              <c16:uniqueId val="{00000003-42A4-450C-B8EB-A9A471CA6B1D}"/>
            </c:ext>
          </c:extLst>
        </c:ser>
        <c:ser>
          <c:idx val="4"/>
          <c:order val="4"/>
          <c:tx>
            <c:strRef>
              <c:f>Sheet2!$A$45</c:f>
              <c:strCache>
                <c:ptCount val="1"/>
                <c:pt idx="0">
                  <c:v>T5</c:v>
                </c:pt>
              </c:strCache>
            </c:strRef>
          </c:tx>
          <c:spPr>
            <a:solidFill>
              <a:schemeClr val="accent5"/>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Sheet2!$B$45:$G$45</c:f>
              <c:numCache>
                <c:formatCode>General</c:formatCode>
                <c:ptCount val="6"/>
                <c:pt idx="0">
                  <c:v>83.3</c:v>
                </c:pt>
                <c:pt idx="1">
                  <c:v>84.6</c:v>
                </c:pt>
                <c:pt idx="2">
                  <c:v>74</c:v>
                </c:pt>
                <c:pt idx="3">
                  <c:v>75.5</c:v>
                </c:pt>
                <c:pt idx="4">
                  <c:v>942.5</c:v>
                </c:pt>
                <c:pt idx="5">
                  <c:v>956.3</c:v>
                </c:pt>
              </c:numCache>
            </c:numRef>
          </c:val>
          <c:extLst xmlns:c16r2="http://schemas.microsoft.com/office/drawing/2015/06/chart">
            <c:ext xmlns:c16="http://schemas.microsoft.com/office/drawing/2014/chart" uri="{C3380CC4-5D6E-409C-BE32-E72D297353CC}">
              <c16:uniqueId val="{00000004-42A4-450C-B8EB-A9A471CA6B1D}"/>
            </c:ext>
          </c:extLst>
        </c:ser>
        <c:ser>
          <c:idx val="5"/>
          <c:order val="5"/>
          <c:tx>
            <c:strRef>
              <c:f>Sheet2!$A$46</c:f>
              <c:strCache>
                <c:ptCount val="1"/>
                <c:pt idx="0">
                  <c:v>T6</c:v>
                </c:pt>
              </c:strCache>
            </c:strRef>
          </c:tx>
          <c:spPr>
            <a:solidFill>
              <a:schemeClr val="accent6"/>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Sheet2!$B$46:$G$46</c:f>
              <c:numCache>
                <c:formatCode>General</c:formatCode>
                <c:ptCount val="6"/>
                <c:pt idx="0">
                  <c:v>85</c:v>
                </c:pt>
                <c:pt idx="1">
                  <c:v>86.1</c:v>
                </c:pt>
                <c:pt idx="2">
                  <c:v>77</c:v>
                </c:pt>
                <c:pt idx="3">
                  <c:v>79</c:v>
                </c:pt>
                <c:pt idx="4">
                  <c:v>1014.6</c:v>
                </c:pt>
                <c:pt idx="5">
                  <c:v>1028.4000000000001</c:v>
                </c:pt>
              </c:numCache>
            </c:numRef>
          </c:val>
          <c:extLst xmlns:c16r2="http://schemas.microsoft.com/office/drawing/2015/06/chart">
            <c:ext xmlns:c16="http://schemas.microsoft.com/office/drawing/2014/chart" uri="{C3380CC4-5D6E-409C-BE32-E72D297353CC}">
              <c16:uniqueId val="{00000005-42A4-450C-B8EB-A9A471CA6B1D}"/>
            </c:ext>
          </c:extLst>
        </c:ser>
        <c:ser>
          <c:idx val="6"/>
          <c:order val="6"/>
          <c:tx>
            <c:strRef>
              <c:f>Sheet2!$A$47</c:f>
              <c:strCache>
                <c:ptCount val="1"/>
                <c:pt idx="0">
                  <c:v>T7</c:v>
                </c:pt>
              </c:strCache>
            </c:strRef>
          </c:tx>
          <c:spPr>
            <a:solidFill>
              <a:schemeClr val="accent1">
                <a:lumMod val="60000"/>
              </a:schemeClr>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Sheet2!$B$47:$G$47</c:f>
              <c:numCache>
                <c:formatCode>General</c:formatCode>
                <c:ptCount val="6"/>
                <c:pt idx="0">
                  <c:v>85.7</c:v>
                </c:pt>
                <c:pt idx="1">
                  <c:v>87.2</c:v>
                </c:pt>
                <c:pt idx="2">
                  <c:v>80</c:v>
                </c:pt>
                <c:pt idx="3">
                  <c:v>82.5</c:v>
                </c:pt>
                <c:pt idx="4">
                  <c:v>1095.5</c:v>
                </c:pt>
                <c:pt idx="5">
                  <c:v>1107.4000000000001</c:v>
                </c:pt>
              </c:numCache>
            </c:numRef>
          </c:val>
          <c:extLst xmlns:c16r2="http://schemas.microsoft.com/office/drawing/2015/06/chart">
            <c:ext xmlns:c16="http://schemas.microsoft.com/office/drawing/2014/chart" uri="{C3380CC4-5D6E-409C-BE32-E72D297353CC}">
              <c16:uniqueId val="{00000006-42A4-450C-B8EB-A9A471CA6B1D}"/>
            </c:ext>
          </c:extLst>
        </c:ser>
        <c:ser>
          <c:idx val="7"/>
          <c:order val="7"/>
          <c:tx>
            <c:strRef>
              <c:f>Sheet2!$A$48</c:f>
              <c:strCache>
                <c:ptCount val="1"/>
                <c:pt idx="0">
                  <c:v>T8</c:v>
                </c:pt>
              </c:strCache>
            </c:strRef>
          </c:tx>
          <c:spPr>
            <a:solidFill>
              <a:schemeClr val="accent2">
                <a:lumMod val="60000"/>
              </a:schemeClr>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Sheet2!$B$48:$G$48</c:f>
              <c:numCache>
                <c:formatCode>General</c:formatCode>
                <c:ptCount val="6"/>
                <c:pt idx="0">
                  <c:v>85.5</c:v>
                </c:pt>
                <c:pt idx="1">
                  <c:v>86.9</c:v>
                </c:pt>
                <c:pt idx="2">
                  <c:v>78.5</c:v>
                </c:pt>
                <c:pt idx="3">
                  <c:v>80.599999999999994</c:v>
                </c:pt>
                <c:pt idx="4">
                  <c:v>1072.3</c:v>
                </c:pt>
                <c:pt idx="5">
                  <c:v>1082.9000000000001</c:v>
                </c:pt>
              </c:numCache>
            </c:numRef>
          </c:val>
          <c:extLst xmlns:c16r2="http://schemas.microsoft.com/office/drawing/2015/06/chart">
            <c:ext xmlns:c16="http://schemas.microsoft.com/office/drawing/2014/chart" uri="{C3380CC4-5D6E-409C-BE32-E72D297353CC}">
              <c16:uniqueId val="{00000007-42A4-450C-B8EB-A9A471CA6B1D}"/>
            </c:ext>
          </c:extLst>
        </c:ser>
        <c:ser>
          <c:idx val="8"/>
          <c:order val="8"/>
          <c:tx>
            <c:strRef>
              <c:f>Sheet2!$A$49</c:f>
              <c:strCache>
                <c:ptCount val="1"/>
                <c:pt idx="0">
                  <c:v>T9</c:v>
                </c:pt>
              </c:strCache>
            </c:strRef>
          </c:tx>
          <c:spPr>
            <a:solidFill>
              <a:schemeClr val="accent3">
                <a:lumMod val="60000"/>
              </a:schemeClr>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Sheet2!$B$49:$G$49</c:f>
              <c:numCache>
                <c:formatCode>General</c:formatCode>
                <c:ptCount val="6"/>
                <c:pt idx="0">
                  <c:v>93.7</c:v>
                </c:pt>
                <c:pt idx="1">
                  <c:v>95.6</c:v>
                </c:pt>
                <c:pt idx="2">
                  <c:v>86</c:v>
                </c:pt>
                <c:pt idx="3">
                  <c:v>88.5</c:v>
                </c:pt>
                <c:pt idx="4">
                  <c:v>1175.3</c:v>
                </c:pt>
                <c:pt idx="5">
                  <c:v>1190.8</c:v>
                </c:pt>
              </c:numCache>
            </c:numRef>
          </c:val>
          <c:extLst xmlns:c16r2="http://schemas.microsoft.com/office/drawing/2015/06/chart">
            <c:ext xmlns:c16="http://schemas.microsoft.com/office/drawing/2014/chart" uri="{C3380CC4-5D6E-409C-BE32-E72D297353CC}">
              <c16:uniqueId val="{00000008-42A4-450C-B8EB-A9A471CA6B1D}"/>
            </c:ext>
          </c:extLst>
        </c:ser>
        <c:ser>
          <c:idx val="9"/>
          <c:order val="9"/>
          <c:tx>
            <c:strRef>
              <c:f>Sheet2!$A$50</c:f>
              <c:strCache>
                <c:ptCount val="1"/>
                <c:pt idx="0">
                  <c:v>T10</c:v>
                </c:pt>
              </c:strCache>
            </c:strRef>
          </c:tx>
          <c:spPr>
            <a:solidFill>
              <a:schemeClr val="accent4">
                <a:lumMod val="60000"/>
              </a:schemeClr>
            </a:solidFill>
            <a:ln>
              <a:noFill/>
            </a:ln>
            <a:effectLst/>
          </c:spPr>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Sheet2!$B$50:$G$50</c:f>
              <c:numCache>
                <c:formatCode>General</c:formatCode>
                <c:ptCount val="6"/>
                <c:pt idx="0">
                  <c:v>88.2</c:v>
                </c:pt>
                <c:pt idx="1">
                  <c:v>90.9</c:v>
                </c:pt>
                <c:pt idx="2">
                  <c:v>83</c:v>
                </c:pt>
                <c:pt idx="3">
                  <c:v>84</c:v>
                </c:pt>
                <c:pt idx="4">
                  <c:v>1120.5</c:v>
                </c:pt>
                <c:pt idx="5">
                  <c:v>1135.3</c:v>
                </c:pt>
              </c:numCache>
            </c:numRef>
          </c:val>
          <c:extLst xmlns:c16r2="http://schemas.microsoft.com/office/drawing/2015/06/chart">
            <c:ext xmlns:c16="http://schemas.microsoft.com/office/drawing/2014/chart" uri="{C3380CC4-5D6E-409C-BE32-E72D297353CC}">
              <c16:uniqueId val="{00000009-42A4-450C-B8EB-A9A471CA6B1D}"/>
            </c:ext>
          </c:extLst>
        </c:ser>
        <c:gapWidth val="219"/>
        <c:overlap val="-27"/>
        <c:axId val="81488512"/>
        <c:axId val="81627392"/>
      </c:barChart>
      <c:catAx>
        <c:axId val="81488512"/>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627392"/>
        <c:crosses val="autoZero"/>
        <c:auto val="1"/>
        <c:lblAlgn val="ctr"/>
        <c:lblOffset val="100"/>
      </c:catAx>
      <c:valAx>
        <c:axId val="816273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Plant height, No. of tillers &amp; DMA (g m</a:t>
                </a:r>
                <a:r>
                  <a:rPr lang="en-IN" baseline="30000"/>
                  <a:t>-2</a:t>
                </a:r>
                <a:r>
                  <a:rPr lang="en-IN"/>
                  <a: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48851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Sheet2!$B$57:$B$58</c:f>
              <c:strCache>
                <c:ptCount val="2"/>
                <c:pt idx="0">
                  <c:v>Grain </c:v>
                </c:pt>
                <c:pt idx="1">
                  <c:v>2022-23</c:v>
                </c:pt>
              </c:strCache>
            </c:strRef>
          </c:tx>
          <c:spPr>
            <a:solidFill>
              <a:schemeClr val="accent1"/>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Sheet2!$B$59:$B$68</c:f>
              <c:numCache>
                <c:formatCode>General</c:formatCode>
                <c:ptCount val="10"/>
                <c:pt idx="0">
                  <c:v>27.5</c:v>
                </c:pt>
                <c:pt idx="1">
                  <c:v>35.6</c:v>
                </c:pt>
                <c:pt idx="2">
                  <c:v>38.200000000000003</c:v>
                </c:pt>
                <c:pt idx="3">
                  <c:v>40.300000000000004</c:v>
                </c:pt>
                <c:pt idx="4">
                  <c:v>37.200000000000003</c:v>
                </c:pt>
                <c:pt idx="5">
                  <c:v>41.5</c:v>
                </c:pt>
                <c:pt idx="6">
                  <c:v>43.4</c:v>
                </c:pt>
                <c:pt idx="7">
                  <c:v>42.3</c:v>
                </c:pt>
                <c:pt idx="8">
                  <c:v>46.5</c:v>
                </c:pt>
                <c:pt idx="9">
                  <c:v>45.3</c:v>
                </c:pt>
              </c:numCache>
            </c:numRef>
          </c:val>
          <c:extLst xmlns:c16r2="http://schemas.microsoft.com/office/drawing/2015/06/chart">
            <c:ext xmlns:c16="http://schemas.microsoft.com/office/drawing/2014/chart" uri="{C3380CC4-5D6E-409C-BE32-E72D297353CC}">
              <c16:uniqueId val="{00000000-861D-4E30-A78B-4659EBF18B10}"/>
            </c:ext>
          </c:extLst>
        </c:ser>
        <c:ser>
          <c:idx val="1"/>
          <c:order val="1"/>
          <c:tx>
            <c:strRef>
              <c:f>Sheet2!$C$57:$C$58</c:f>
              <c:strCache>
                <c:ptCount val="2"/>
                <c:pt idx="0">
                  <c:v>Grain </c:v>
                </c:pt>
                <c:pt idx="1">
                  <c:v>2023-24</c:v>
                </c:pt>
              </c:strCache>
            </c:strRef>
          </c:tx>
          <c:spPr>
            <a:solidFill>
              <a:schemeClr val="accent2"/>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Sheet2!$C$59:$C$68</c:f>
              <c:numCache>
                <c:formatCode>General</c:formatCode>
                <c:ptCount val="10"/>
                <c:pt idx="0">
                  <c:v>28.8</c:v>
                </c:pt>
                <c:pt idx="1">
                  <c:v>36.800000000000004</c:v>
                </c:pt>
                <c:pt idx="2">
                  <c:v>40.4</c:v>
                </c:pt>
                <c:pt idx="3">
                  <c:v>41.9</c:v>
                </c:pt>
                <c:pt idx="4">
                  <c:v>39.1</c:v>
                </c:pt>
                <c:pt idx="5">
                  <c:v>42.9</c:v>
                </c:pt>
                <c:pt idx="6">
                  <c:v>45.1</c:v>
                </c:pt>
                <c:pt idx="7">
                  <c:v>43.8</c:v>
                </c:pt>
                <c:pt idx="8">
                  <c:v>48.2</c:v>
                </c:pt>
                <c:pt idx="9">
                  <c:v>46.4</c:v>
                </c:pt>
              </c:numCache>
            </c:numRef>
          </c:val>
          <c:extLst xmlns:c16r2="http://schemas.microsoft.com/office/drawing/2015/06/chart">
            <c:ext xmlns:c16="http://schemas.microsoft.com/office/drawing/2014/chart" uri="{C3380CC4-5D6E-409C-BE32-E72D297353CC}">
              <c16:uniqueId val="{00000001-861D-4E30-A78B-4659EBF18B10}"/>
            </c:ext>
          </c:extLst>
        </c:ser>
        <c:ser>
          <c:idx val="2"/>
          <c:order val="2"/>
          <c:tx>
            <c:strRef>
              <c:f>Sheet2!$D$57:$D$58</c:f>
              <c:strCache>
                <c:ptCount val="2"/>
                <c:pt idx="0">
                  <c:v>Straw </c:v>
                </c:pt>
                <c:pt idx="1">
                  <c:v>2022-23</c:v>
                </c:pt>
              </c:strCache>
            </c:strRef>
          </c:tx>
          <c:spPr>
            <a:solidFill>
              <a:schemeClr val="accent3"/>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Sheet2!$D$59:$D$68</c:f>
              <c:numCache>
                <c:formatCode>General</c:formatCode>
                <c:ptCount val="10"/>
                <c:pt idx="0">
                  <c:v>44.7</c:v>
                </c:pt>
                <c:pt idx="1">
                  <c:v>52.8</c:v>
                </c:pt>
                <c:pt idx="2">
                  <c:v>55.3</c:v>
                </c:pt>
                <c:pt idx="3">
                  <c:v>57.6</c:v>
                </c:pt>
                <c:pt idx="4">
                  <c:v>54.6</c:v>
                </c:pt>
                <c:pt idx="5">
                  <c:v>59.3</c:v>
                </c:pt>
                <c:pt idx="6">
                  <c:v>60.2</c:v>
                </c:pt>
                <c:pt idx="7">
                  <c:v>59.6</c:v>
                </c:pt>
                <c:pt idx="8">
                  <c:v>62.9</c:v>
                </c:pt>
                <c:pt idx="9">
                  <c:v>61.5</c:v>
                </c:pt>
              </c:numCache>
            </c:numRef>
          </c:val>
          <c:extLst xmlns:c16r2="http://schemas.microsoft.com/office/drawing/2015/06/chart">
            <c:ext xmlns:c16="http://schemas.microsoft.com/office/drawing/2014/chart" uri="{C3380CC4-5D6E-409C-BE32-E72D297353CC}">
              <c16:uniqueId val="{00000002-861D-4E30-A78B-4659EBF18B10}"/>
            </c:ext>
          </c:extLst>
        </c:ser>
        <c:ser>
          <c:idx val="3"/>
          <c:order val="3"/>
          <c:tx>
            <c:strRef>
              <c:f>Sheet2!$E$57:$E$58</c:f>
              <c:strCache>
                <c:ptCount val="2"/>
                <c:pt idx="0">
                  <c:v>Straw </c:v>
                </c:pt>
                <c:pt idx="1">
                  <c:v>2023-24</c:v>
                </c:pt>
              </c:strCache>
            </c:strRef>
          </c:tx>
          <c:spPr>
            <a:solidFill>
              <a:schemeClr val="accent4"/>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Sheet2!$E$59:$E$68</c:f>
              <c:numCache>
                <c:formatCode>General</c:formatCode>
                <c:ptCount val="10"/>
                <c:pt idx="0">
                  <c:v>46.2</c:v>
                </c:pt>
                <c:pt idx="1">
                  <c:v>55.7</c:v>
                </c:pt>
                <c:pt idx="2">
                  <c:v>58.2</c:v>
                </c:pt>
                <c:pt idx="3">
                  <c:v>59.7</c:v>
                </c:pt>
                <c:pt idx="4">
                  <c:v>57.8</c:v>
                </c:pt>
                <c:pt idx="5">
                  <c:v>61.5</c:v>
                </c:pt>
                <c:pt idx="6">
                  <c:v>61.9</c:v>
                </c:pt>
                <c:pt idx="7">
                  <c:v>60.3</c:v>
                </c:pt>
                <c:pt idx="8">
                  <c:v>64.8</c:v>
                </c:pt>
                <c:pt idx="9">
                  <c:v>64.099999999999994</c:v>
                </c:pt>
              </c:numCache>
            </c:numRef>
          </c:val>
          <c:extLst xmlns:c16r2="http://schemas.microsoft.com/office/drawing/2015/06/chart">
            <c:ext xmlns:c16="http://schemas.microsoft.com/office/drawing/2014/chart" uri="{C3380CC4-5D6E-409C-BE32-E72D297353CC}">
              <c16:uniqueId val="{00000003-861D-4E30-A78B-4659EBF18B10}"/>
            </c:ext>
          </c:extLst>
        </c:ser>
        <c:ser>
          <c:idx val="4"/>
          <c:order val="4"/>
          <c:tx>
            <c:strRef>
              <c:f>Sheet2!$F$57:$F$58</c:f>
              <c:strCache>
                <c:ptCount val="2"/>
                <c:pt idx="0">
                  <c:v>Biological </c:v>
                </c:pt>
                <c:pt idx="1">
                  <c:v>2022-23</c:v>
                </c:pt>
              </c:strCache>
            </c:strRef>
          </c:tx>
          <c:spPr>
            <a:solidFill>
              <a:schemeClr val="accent5"/>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Sheet2!$F$59:$F$68</c:f>
              <c:numCache>
                <c:formatCode>General</c:formatCode>
                <c:ptCount val="10"/>
                <c:pt idx="0">
                  <c:v>72.2</c:v>
                </c:pt>
                <c:pt idx="1">
                  <c:v>88.4</c:v>
                </c:pt>
                <c:pt idx="2">
                  <c:v>93.5</c:v>
                </c:pt>
                <c:pt idx="3">
                  <c:v>97.9</c:v>
                </c:pt>
                <c:pt idx="4">
                  <c:v>91.8</c:v>
                </c:pt>
                <c:pt idx="5">
                  <c:v>100.8</c:v>
                </c:pt>
                <c:pt idx="6">
                  <c:v>103.6</c:v>
                </c:pt>
                <c:pt idx="7">
                  <c:v>101.9</c:v>
                </c:pt>
                <c:pt idx="8">
                  <c:v>109.4</c:v>
                </c:pt>
                <c:pt idx="9">
                  <c:v>106.8</c:v>
                </c:pt>
              </c:numCache>
            </c:numRef>
          </c:val>
          <c:extLst xmlns:c16r2="http://schemas.microsoft.com/office/drawing/2015/06/chart">
            <c:ext xmlns:c16="http://schemas.microsoft.com/office/drawing/2014/chart" uri="{C3380CC4-5D6E-409C-BE32-E72D297353CC}">
              <c16:uniqueId val="{00000004-861D-4E30-A78B-4659EBF18B10}"/>
            </c:ext>
          </c:extLst>
        </c:ser>
        <c:ser>
          <c:idx val="5"/>
          <c:order val="5"/>
          <c:tx>
            <c:strRef>
              <c:f>Sheet2!$G$57:$G$58</c:f>
              <c:strCache>
                <c:ptCount val="2"/>
                <c:pt idx="0">
                  <c:v>Biological </c:v>
                </c:pt>
                <c:pt idx="1">
                  <c:v>2023-24</c:v>
                </c:pt>
              </c:strCache>
            </c:strRef>
          </c:tx>
          <c:spPr>
            <a:solidFill>
              <a:schemeClr val="accent6"/>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Sheet2!$G$59:$G$68</c:f>
              <c:numCache>
                <c:formatCode>General</c:formatCode>
                <c:ptCount val="10"/>
                <c:pt idx="0">
                  <c:v>75</c:v>
                </c:pt>
                <c:pt idx="1">
                  <c:v>92.5</c:v>
                </c:pt>
                <c:pt idx="2">
                  <c:v>98.6</c:v>
                </c:pt>
                <c:pt idx="3">
                  <c:v>101.6</c:v>
                </c:pt>
                <c:pt idx="4">
                  <c:v>96.9</c:v>
                </c:pt>
                <c:pt idx="5">
                  <c:v>104.4</c:v>
                </c:pt>
                <c:pt idx="6">
                  <c:v>107</c:v>
                </c:pt>
                <c:pt idx="7">
                  <c:v>104.1</c:v>
                </c:pt>
                <c:pt idx="8">
                  <c:v>113.2</c:v>
                </c:pt>
                <c:pt idx="9">
                  <c:v>110.5</c:v>
                </c:pt>
              </c:numCache>
            </c:numRef>
          </c:val>
          <c:extLst xmlns:c16r2="http://schemas.microsoft.com/office/drawing/2015/06/chart">
            <c:ext xmlns:c16="http://schemas.microsoft.com/office/drawing/2014/chart" uri="{C3380CC4-5D6E-409C-BE32-E72D297353CC}">
              <c16:uniqueId val="{00000005-861D-4E30-A78B-4659EBF18B10}"/>
            </c:ext>
          </c:extLst>
        </c:ser>
        <c:ser>
          <c:idx val="6"/>
          <c:order val="6"/>
          <c:tx>
            <c:strRef>
              <c:f>Sheet2!$H$57:$H$58</c:f>
              <c:strCache>
                <c:ptCount val="2"/>
                <c:pt idx="0">
                  <c:v>Harvest Index (%)</c:v>
                </c:pt>
                <c:pt idx="1">
                  <c:v>2022-23</c:v>
                </c:pt>
              </c:strCache>
            </c:strRef>
          </c:tx>
          <c:spPr>
            <a:solidFill>
              <a:schemeClr val="accent1">
                <a:lumMod val="60000"/>
              </a:schemeClr>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Sheet2!$H$59:$H$68</c:f>
              <c:numCache>
                <c:formatCode>General</c:formatCode>
                <c:ptCount val="10"/>
                <c:pt idx="0">
                  <c:v>38.1</c:v>
                </c:pt>
                <c:pt idx="1">
                  <c:v>40.300000000000004</c:v>
                </c:pt>
                <c:pt idx="2">
                  <c:v>40.9</c:v>
                </c:pt>
                <c:pt idx="3">
                  <c:v>41.2</c:v>
                </c:pt>
                <c:pt idx="4">
                  <c:v>40.5</c:v>
                </c:pt>
                <c:pt idx="5">
                  <c:v>41.2</c:v>
                </c:pt>
                <c:pt idx="6">
                  <c:v>41.9</c:v>
                </c:pt>
                <c:pt idx="7">
                  <c:v>41.5</c:v>
                </c:pt>
                <c:pt idx="8">
                  <c:v>42.5</c:v>
                </c:pt>
                <c:pt idx="9">
                  <c:v>42.4</c:v>
                </c:pt>
              </c:numCache>
            </c:numRef>
          </c:val>
          <c:extLst xmlns:c16r2="http://schemas.microsoft.com/office/drawing/2015/06/chart">
            <c:ext xmlns:c16="http://schemas.microsoft.com/office/drawing/2014/chart" uri="{C3380CC4-5D6E-409C-BE32-E72D297353CC}">
              <c16:uniqueId val="{00000006-861D-4E30-A78B-4659EBF18B10}"/>
            </c:ext>
          </c:extLst>
        </c:ser>
        <c:ser>
          <c:idx val="7"/>
          <c:order val="7"/>
          <c:tx>
            <c:strRef>
              <c:f>Sheet2!$I$57:$I$58</c:f>
              <c:strCache>
                <c:ptCount val="2"/>
                <c:pt idx="0">
                  <c:v>Harvest Index (%)</c:v>
                </c:pt>
                <c:pt idx="1">
                  <c:v>2023-24</c:v>
                </c:pt>
              </c:strCache>
            </c:strRef>
          </c:tx>
          <c:spPr>
            <a:solidFill>
              <a:schemeClr val="accent2">
                <a:lumMod val="60000"/>
              </a:schemeClr>
            </a:solidFill>
            <a:ln>
              <a:noFill/>
            </a:ln>
            <a:effectLst/>
          </c:spPr>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Sheet2!$I$59:$I$68</c:f>
              <c:numCache>
                <c:formatCode>General</c:formatCode>
                <c:ptCount val="10"/>
                <c:pt idx="0">
                  <c:v>38.4</c:v>
                </c:pt>
                <c:pt idx="1">
                  <c:v>39.800000000000004</c:v>
                </c:pt>
                <c:pt idx="2">
                  <c:v>41</c:v>
                </c:pt>
                <c:pt idx="3">
                  <c:v>41.2</c:v>
                </c:pt>
                <c:pt idx="4">
                  <c:v>40.4</c:v>
                </c:pt>
                <c:pt idx="5">
                  <c:v>41.1</c:v>
                </c:pt>
                <c:pt idx="6">
                  <c:v>42.1</c:v>
                </c:pt>
                <c:pt idx="7">
                  <c:v>42.1</c:v>
                </c:pt>
                <c:pt idx="8">
                  <c:v>42.6</c:v>
                </c:pt>
                <c:pt idx="9">
                  <c:v>42</c:v>
                </c:pt>
              </c:numCache>
            </c:numRef>
          </c:val>
          <c:extLst xmlns:c16r2="http://schemas.microsoft.com/office/drawing/2015/06/chart">
            <c:ext xmlns:c16="http://schemas.microsoft.com/office/drawing/2014/chart" uri="{C3380CC4-5D6E-409C-BE32-E72D297353CC}">
              <c16:uniqueId val="{00000007-861D-4E30-A78B-4659EBF18B10}"/>
            </c:ext>
          </c:extLst>
        </c:ser>
        <c:gapWidth val="219"/>
        <c:overlap val="-27"/>
        <c:axId val="81969152"/>
        <c:axId val="81972224"/>
      </c:barChart>
      <c:catAx>
        <c:axId val="81969152"/>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972224"/>
        <c:crosses val="autoZero"/>
        <c:auto val="1"/>
        <c:lblAlgn val="ctr"/>
        <c:lblOffset val="100"/>
      </c:catAx>
      <c:valAx>
        <c:axId val="819722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Yield (q ha</a:t>
                </a:r>
                <a:r>
                  <a:rPr lang="en-IN" baseline="30000"/>
                  <a:t>-1</a:t>
                </a:r>
                <a:r>
                  <a:rPr lang="en-IN"/>
                  <a: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9691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2"/>
          <c:order val="2"/>
          <c:tx>
            <c:strRef>
              <c:f>Sheet2!$D$73:$D$74</c:f>
              <c:strCache>
                <c:ptCount val="2"/>
                <c:pt idx="0">
                  <c:v>Protein yield (kg ha-1)</c:v>
                </c:pt>
                <c:pt idx="1">
                  <c:v>2022-23</c:v>
                </c:pt>
              </c:strCache>
            </c:strRef>
          </c:tx>
          <c:spPr>
            <a:solidFill>
              <a:schemeClr val="accent3"/>
            </a:solidFill>
            <a:ln>
              <a:noFill/>
            </a:ln>
            <a:effectLst/>
          </c:spP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Sheet2!$D$75:$D$84</c:f>
              <c:numCache>
                <c:formatCode>General</c:formatCode>
                <c:ptCount val="10"/>
                <c:pt idx="0">
                  <c:v>208</c:v>
                </c:pt>
                <c:pt idx="1">
                  <c:v>310.10000000000002</c:v>
                </c:pt>
                <c:pt idx="2">
                  <c:v>343.7</c:v>
                </c:pt>
                <c:pt idx="3">
                  <c:v>369.5</c:v>
                </c:pt>
                <c:pt idx="4">
                  <c:v>319.7</c:v>
                </c:pt>
                <c:pt idx="5">
                  <c:v>392.4</c:v>
                </c:pt>
                <c:pt idx="6">
                  <c:v>426.8</c:v>
                </c:pt>
                <c:pt idx="7">
                  <c:v>409.6</c:v>
                </c:pt>
                <c:pt idx="8">
                  <c:v>466.3</c:v>
                </c:pt>
                <c:pt idx="9">
                  <c:v>446.5</c:v>
                </c:pt>
              </c:numCache>
            </c:numRef>
          </c:val>
          <c:extLst xmlns:c16r2="http://schemas.microsoft.com/office/drawing/2015/06/chart">
            <c:ext xmlns:c16="http://schemas.microsoft.com/office/drawing/2014/chart" uri="{C3380CC4-5D6E-409C-BE32-E72D297353CC}">
              <c16:uniqueId val="{00000000-6DD3-4CC5-8078-4C7E1AF73989}"/>
            </c:ext>
          </c:extLst>
        </c:ser>
        <c:ser>
          <c:idx val="3"/>
          <c:order val="3"/>
          <c:tx>
            <c:strRef>
              <c:f>Sheet2!$E$73:$E$74</c:f>
              <c:strCache>
                <c:ptCount val="2"/>
                <c:pt idx="0">
                  <c:v>Protein yield (kg ha-1)</c:v>
                </c:pt>
                <c:pt idx="1">
                  <c:v>2023-24</c:v>
                </c:pt>
              </c:strCache>
            </c:strRef>
          </c:tx>
          <c:spPr>
            <a:solidFill>
              <a:schemeClr val="accent4"/>
            </a:solidFill>
            <a:ln>
              <a:noFill/>
            </a:ln>
            <a:effectLst/>
          </c:spP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Sheet2!$E$75:$E$84</c:f>
              <c:numCache>
                <c:formatCode>General</c:formatCode>
                <c:ptCount val="10"/>
                <c:pt idx="0">
                  <c:v>224.4</c:v>
                </c:pt>
                <c:pt idx="1">
                  <c:v>328.9</c:v>
                </c:pt>
                <c:pt idx="2">
                  <c:v>375</c:v>
                </c:pt>
                <c:pt idx="3">
                  <c:v>391.3</c:v>
                </c:pt>
                <c:pt idx="4">
                  <c:v>342.8</c:v>
                </c:pt>
                <c:pt idx="5">
                  <c:v>413</c:v>
                </c:pt>
                <c:pt idx="6">
                  <c:v>454.8</c:v>
                </c:pt>
                <c:pt idx="7">
                  <c:v>436.7</c:v>
                </c:pt>
                <c:pt idx="8">
                  <c:v>497.1</c:v>
                </c:pt>
                <c:pt idx="9">
                  <c:v>473.3</c:v>
                </c:pt>
              </c:numCache>
            </c:numRef>
          </c:val>
          <c:extLst xmlns:c16r2="http://schemas.microsoft.com/office/drawing/2015/06/chart">
            <c:ext xmlns:c16="http://schemas.microsoft.com/office/drawing/2014/chart" uri="{C3380CC4-5D6E-409C-BE32-E72D297353CC}">
              <c16:uniqueId val="{00000001-6DD3-4CC5-8078-4C7E1AF73989}"/>
            </c:ext>
          </c:extLst>
        </c:ser>
        <c:gapWidth val="219"/>
        <c:overlap val="-27"/>
        <c:axId val="99667968"/>
        <c:axId val="99670272"/>
      </c:barChart>
      <c:lineChart>
        <c:grouping val="standard"/>
        <c:ser>
          <c:idx val="0"/>
          <c:order val="0"/>
          <c:tx>
            <c:strRef>
              <c:f>Sheet2!$B$73:$B$74</c:f>
              <c:strCache>
                <c:ptCount val="2"/>
                <c:pt idx="0">
                  <c:v>Protein content (%)</c:v>
                </c:pt>
                <c:pt idx="1">
                  <c:v>2022-23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Sheet2!$B$75:$B$84</c:f>
              <c:numCache>
                <c:formatCode>General</c:formatCode>
                <c:ptCount val="10"/>
                <c:pt idx="0">
                  <c:v>7.6</c:v>
                </c:pt>
                <c:pt idx="1">
                  <c:v>8.7000000000000011</c:v>
                </c:pt>
                <c:pt idx="2">
                  <c:v>9</c:v>
                </c:pt>
                <c:pt idx="3">
                  <c:v>9.2000000000000011</c:v>
                </c:pt>
                <c:pt idx="4">
                  <c:v>8.6</c:v>
                </c:pt>
                <c:pt idx="5">
                  <c:v>9.5</c:v>
                </c:pt>
                <c:pt idx="6">
                  <c:v>9.7000000000000011</c:v>
                </c:pt>
                <c:pt idx="7">
                  <c:v>9.7000000000000011</c:v>
                </c:pt>
                <c:pt idx="8">
                  <c:v>10</c:v>
                </c:pt>
                <c:pt idx="9">
                  <c:v>9.9</c:v>
                </c:pt>
              </c:numCache>
            </c:numRef>
          </c:val>
          <c:extLst xmlns:c16r2="http://schemas.microsoft.com/office/drawing/2015/06/chart">
            <c:ext xmlns:c16="http://schemas.microsoft.com/office/drawing/2014/chart" uri="{C3380CC4-5D6E-409C-BE32-E72D297353CC}">
              <c16:uniqueId val="{00000002-6DD3-4CC5-8078-4C7E1AF73989}"/>
            </c:ext>
          </c:extLst>
        </c:ser>
        <c:ser>
          <c:idx val="1"/>
          <c:order val="1"/>
          <c:tx>
            <c:strRef>
              <c:f>Sheet2!$C$73:$C$74</c:f>
              <c:strCache>
                <c:ptCount val="2"/>
                <c:pt idx="0">
                  <c:v>Protein content (%)</c:v>
                </c:pt>
                <c:pt idx="1">
                  <c:v>2023-24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Sheet2!$C$75:$C$84</c:f>
              <c:numCache>
                <c:formatCode>General</c:formatCode>
                <c:ptCount val="10"/>
                <c:pt idx="0">
                  <c:v>7.8</c:v>
                </c:pt>
                <c:pt idx="1">
                  <c:v>8.9</c:v>
                </c:pt>
                <c:pt idx="2">
                  <c:v>9.3000000000000007</c:v>
                </c:pt>
                <c:pt idx="3">
                  <c:v>9.3000000000000007</c:v>
                </c:pt>
                <c:pt idx="4">
                  <c:v>8.8000000000000007</c:v>
                </c:pt>
                <c:pt idx="5">
                  <c:v>9.6</c:v>
                </c:pt>
                <c:pt idx="6">
                  <c:v>10.1</c:v>
                </c:pt>
                <c:pt idx="7">
                  <c:v>10</c:v>
                </c:pt>
                <c:pt idx="8">
                  <c:v>10.3</c:v>
                </c:pt>
                <c:pt idx="9">
                  <c:v>10.200000000000001</c:v>
                </c:pt>
              </c:numCache>
            </c:numRef>
          </c:val>
          <c:extLst xmlns:c16r2="http://schemas.microsoft.com/office/drawing/2015/06/chart">
            <c:ext xmlns:c16="http://schemas.microsoft.com/office/drawing/2014/chart" uri="{C3380CC4-5D6E-409C-BE32-E72D297353CC}">
              <c16:uniqueId val="{00000003-6DD3-4CC5-8078-4C7E1AF73989}"/>
            </c:ext>
          </c:extLst>
        </c:ser>
        <c:marker val="1"/>
        <c:axId val="108994560"/>
        <c:axId val="106977152"/>
      </c:lineChart>
      <c:catAx>
        <c:axId val="9966796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70272"/>
        <c:crosses val="autoZero"/>
        <c:auto val="1"/>
        <c:lblAlgn val="ctr"/>
        <c:lblOffset val="100"/>
      </c:catAx>
      <c:valAx>
        <c:axId val="996702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Protein yield (kg ha</a:t>
                </a:r>
                <a:r>
                  <a:rPr lang="en-IN" baseline="30000"/>
                  <a:t>-1</a:t>
                </a:r>
                <a:r>
                  <a:rPr lang="en-IN"/>
                  <a: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67968"/>
        <c:crosses val="autoZero"/>
        <c:crossBetween val="between"/>
      </c:valAx>
      <c:valAx>
        <c:axId val="106977152"/>
        <c:scaling>
          <c:orientation val="minMax"/>
        </c:scaling>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Protein content (%)</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8994560"/>
        <c:crosses val="max"/>
        <c:crossBetween val="between"/>
      </c:valAx>
      <c:catAx>
        <c:axId val="108994560"/>
        <c:scaling>
          <c:orientation val="minMax"/>
        </c:scaling>
        <c:delete val="1"/>
        <c:axPos val="b"/>
        <c:numFmt formatCode="General" sourceLinked="1"/>
        <c:tickLblPos val="nextTo"/>
        <c:crossAx val="106977152"/>
        <c:crosses val="autoZero"/>
        <c:auto val="1"/>
        <c:lblAlgn val="ctr"/>
        <c:lblOffset val="100"/>
      </c:cat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5A79-37E8-49E1-A82A-710D30D6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14</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Gajjela</dc:creator>
  <cp:keywords/>
  <dc:description/>
  <cp:lastModifiedBy>system5</cp:lastModifiedBy>
  <cp:revision>104</cp:revision>
  <dcterms:created xsi:type="dcterms:W3CDTF">2024-09-18T11:10:00Z</dcterms:created>
  <dcterms:modified xsi:type="dcterms:W3CDTF">2025-06-14T10:52:00Z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983033aa-37c1-3778-9a4e-b062ba6f161f</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