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7BA59" w14:textId="2360C3AB" w:rsidR="00754C9A" w:rsidRPr="00217AB5" w:rsidRDefault="00217AB5" w:rsidP="00441B6F">
      <w:pPr>
        <w:pStyle w:val="Title"/>
        <w:spacing w:after="0"/>
        <w:jc w:val="both"/>
        <w:rPr>
          <w:rFonts w:ascii="Arial" w:hAnsi="Arial" w:cs="Arial"/>
          <w:u w:val="single"/>
        </w:rPr>
      </w:pPr>
      <w:r w:rsidRPr="00217AB5">
        <w:rPr>
          <w:rFonts w:ascii="Arial" w:hAnsi="Arial" w:cs="Arial"/>
          <w:u w:val="single"/>
        </w:rPr>
        <w:t>Original Research Article</w:t>
      </w:r>
    </w:p>
    <w:p w14:paraId="3654DC9F" w14:textId="77777777" w:rsidR="00163BC4" w:rsidRPr="00163BC4" w:rsidRDefault="009622F0" w:rsidP="00441B6F">
      <w:pPr>
        <w:pStyle w:val="Author"/>
        <w:spacing w:line="240" w:lineRule="auto"/>
        <w:rPr>
          <w:rFonts w:ascii="Arial" w:hAnsi="Arial" w:cs="Arial"/>
          <w:bCs/>
          <w:iCs/>
          <w:kern w:val="28"/>
          <w:sz w:val="36"/>
        </w:rPr>
      </w:pPr>
      <w:r w:rsidRPr="009622F0">
        <w:rPr>
          <w:rFonts w:ascii="Arial" w:hAnsi="Arial" w:cs="Arial"/>
          <w:bCs/>
          <w:iCs/>
          <w:kern w:val="28"/>
          <w:sz w:val="36"/>
        </w:rPr>
        <w:t>The Effect of Sowing Method and Seed Rate on Growth and Yield of Carrot (</w:t>
      </w:r>
      <w:r w:rsidRPr="009622F0">
        <w:rPr>
          <w:rFonts w:ascii="Arial" w:hAnsi="Arial" w:cs="Arial"/>
          <w:bCs/>
          <w:i/>
          <w:kern w:val="28"/>
          <w:sz w:val="36"/>
        </w:rPr>
        <w:t>Daucus carota</w:t>
      </w:r>
      <w:r w:rsidRPr="009622F0">
        <w:rPr>
          <w:rFonts w:ascii="Arial" w:hAnsi="Arial" w:cs="Arial"/>
          <w:bCs/>
          <w:iCs/>
          <w:kern w:val="28"/>
          <w:sz w:val="36"/>
        </w:rPr>
        <w:t xml:space="preserve"> L.) in the River Nile State, </w:t>
      </w:r>
      <w:commentRangeStart w:id="0"/>
      <w:r w:rsidRPr="009622F0">
        <w:rPr>
          <w:rFonts w:ascii="Arial" w:hAnsi="Arial" w:cs="Arial"/>
          <w:bCs/>
          <w:iCs/>
          <w:kern w:val="28"/>
          <w:sz w:val="36"/>
        </w:rPr>
        <w:t>Sudan</w:t>
      </w:r>
      <w:r w:rsidR="00231920">
        <w:rPr>
          <w:rFonts w:ascii="Arial" w:hAnsi="Arial" w:cs="Arial"/>
          <w:bCs/>
          <w:iCs/>
          <w:kern w:val="28"/>
          <w:sz w:val="36"/>
        </w:rPr>
        <w:t xml:space="preserve"> </w:t>
      </w:r>
      <w:commentRangeEnd w:id="0"/>
      <w:r w:rsidR="00C7430D">
        <w:rPr>
          <w:rStyle w:val="CommentReference"/>
          <w:rFonts w:ascii="Times New Roman" w:hAnsi="Times New Roman"/>
          <w:b w:val="0"/>
          <w:lang w:val="nb-NO" w:eastAsia="nb-NO"/>
        </w:rPr>
        <w:commentReference w:id="0"/>
      </w:r>
    </w:p>
    <w:p w14:paraId="70A09600" w14:textId="77777777" w:rsidR="00A258C3" w:rsidRPr="00790ADA" w:rsidRDefault="00A258C3" w:rsidP="00441B6F">
      <w:pPr>
        <w:pStyle w:val="Author"/>
        <w:spacing w:line="240" w:lineRule="auto"/>
        <w:jc w:val="both"/>
        <w:rPr>
          <w:rFonts w:ascii="Arial" w:hAnsi="Arial" w:cs="Arial"/>
          <w:sz w:val="36"/>
        </w:rPr>
      </w:pPr>
    </w:p>
    <w:p w14:paraId="35EDB84A" w14:textId="77777777" w:rsidR="00B01FCD" w:rsidRDefault="00B01FCD" w:rsidP="00C3242B">
      <w:pPr>
        <w:pStyle w:val="AbstHead"/>
        <w:spacing w:after="0"/>
        <w:jc w:val="both"/>
        <w:rPr>
          <w:rFonts w:ascii="Arial" w:hAnsi="Arial" w:cs="Arial"/>
        </w:rPr>
      </w:pPr>
      <w:commentRangeStart w:id="1"/>
      <w:r w:rsidRPr="00FB3A86">
        <w:rPr>
          <w:rFonts w:ascii="Arial" w:hAnsi="Arial" w:cs="Arial"/>
        </w:rPr>
        <w:t>ABSTRACT</w:t>
      </w:r>
      <w:r w:rsidR="0066510A">
        <w:rPr>
          <w:rFonts w:ascii="Arial" w:hAnsi="Arial" w:cs="Arial"/>
        </w:rPr>
        <w:t xml:space="preserve"> </w:t>
      </w:r>
      <w:r w:rsidR="00C3242B">
        <w:rPr>
          <w:rFonts w:ascii="Arial" w:hAnsi="Arial" w:cs="Arial"/>
        </w:rPr>
        <w:t xml:space="preserve"> </w:t>
      </w:r>
      <w:commentRangeEnd w:id="1"/>
      <w:r w:rsidR="00D10CFB">
        <w:rPr>
          <w:rStyle w:val="CommentReference"/>
          <w:rFonts w:ascii="Times New Roman" w:hAnsi="Times New Roman"/>
          <w:b w:val="0"/>
          <w:caps w:val="0"/>
          <w:rtl/>
          <w:lang w:val="nb-NO" w:eastAsia="nb-NO"/>
        </w:rPr>
        <w:comment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E187FB" w14:textId="77777777" w:rsidTr="00C3242B">
        <w:tc>
          <w:tcPr>
            <w:tcW w:w="8424" w:type="dxa"/>
            <w:shd w:val="clear" w:color="auto" w:fill="F2F2F2"/>
          </w:tcPr>
          <w:p w14:paraId="7BC3C7E5"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Aims:</w:t>
            </w:r>
            <w:r w:rsidRPr="00ED72BB">
              <w:rPr>
                <w:rFonts w:ascii="Arial" w:eastAsia="Calibri" w:hAnsi="Arial" w:cs="Arial"/>
                <w:szCs w:val="22"/>
              </w:rPr>
              <w:t xml:space="preserve"> This study aimed to evaluate the effects of sowing methods—</w:t>
            </w:r>
            <w:proofErr w:type="spellStart"/>
            <w:r w:rsidRPr="00ED72BB">
              <w:rPr>
                <w:rFonts w:ascii="Arial" w:eastAsia="Calibri" w:hAnsi="Arial" w:cs="Arial"/>
                <w:i/>
                <w:iCs/>
                <w:szCs w:val="22"/>
              </w:rPr>
              <w:t>Sarsaba</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xml:space="preserve">) and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)—and seed rates (3.5, 6.0, 12.0, and 18.0 kg ha</w:t>
            </w:r>
            <w:r w:rsidRPr="00ED72BB">
              <w:rPr>
                <w:rFonts w:ascii="Cambria Math" w:eastAsia="Calibri" w:hAnsi="Cambria Math" w:cs="Cambria Math"/>
                <w:szCs w:val="22"/>
              </w:rPr>
              <w:t>⁻</w:t>
            </w:r>
            <w:r w:rsidRPr="00ED72BB">
              <w:rPr>
                <w:rFonts w:ascii="Arial" w:eastAsia="Calibri" w:hAnsi="Arial" w:cs="Arial"/>
                <w:szCs w:val="22"/>
              </w:rPr>
              <w:t>¹) on the growth and yield of carrot (</w:t>
            </w:r>
            <w:r w:rsidRPr="00ED72BB">
              <w:rPr>
                <w:rFonts w:ascii="Arial" w:eastAsia="Calibri" w:hAnsi="Arial" w:cs="Arial"/>
                <w:i/>
                <w:iCs/>
                <w:szCs w:val="22"/>
              </w:rPr>
              <w:t>Daucus carota</w:t>
            </w:r>
            <w:r w:rsidRPr="00ED72BB">
              <w:rPr>
                <w:rFonts w:ascii="Arial" w:eastAsia="Calibri" w:hAnsi="Arial" w:cs="Arial"/>
                <w:szCs w:val="22"/>
              </w:rPr>
              <w:t xml:space="preserve"> L.) in Sudan’s River Nile State, to identify optimal agronomic practices for sustainable intensification.</w:t>
            </w:r>
          </w:p>
          <w:p w14:paraId="20D8944E"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Study Design:</w:t>
            </w:r>
            <w:r w:rsidRPr="00ED72BB">
              <w:rPr>
                <w:rFonts w:ascii="Arial" w:eastAsia="Calibri" w:hAnsi="Arial" w:cs="Arial"/>
                <w:szCs w:val="22"/>
              </w:rPr>
              <w:t xml:space="preserve"> A factorial experiment arranged in a completely randomized block design (CRBD) with four replications.</w:t>
            </w:r>
          </w:p>
          <w:p w14:paraId="2FBE2E68" w14:textId="77777777" w:rsidR="00ED72BB" w:rsidRPr="00ED72BB" w:rsidRDefault="00ED72BB" w:rsidP="00ED72BB">
            <w:pPr>
              <w:pStyle w:val="Body"/>
              <w:spacing w:after="0"/>
              <w:rPr>
                <w:rFonts w:ascii="Arial" w:eastAsia="Calibri" w:hAnsi="Arial" w:cs="Arial"/>
                <w:szCs w:val="22"/>
              </w:rPr>
            </w:pPr>
            <w:commentRangeStart w:id="2"/>
            <w:r w:rsidRPr="00ED72BB">
              <w:rPr>
                <w:rFonts w:ascii="Arial" w:eastAsia="Calibri" w:hAnsi="Arial" w:cs="Arial"/>
                <w:b/>
                <w:bCs/>
                <w:szCs w:val="22"/>
              </w:rPr>
              <w:t xml:space="preserve">Place </w:t>
            </w:r>
            <w:commentRangeEnd w:id="2"/>
            <w:r w:rsidR="00C7430D">
              <w:rPr>
                <w:rStyle w:val="CommentReference"/>
                <w:rFonts w:ascii="Times New Roman" w:hAnsi="Times New Roman"/>
                <w:lang w:val="nb-NO" w:eastAsia="nb-NO"/>
              </w:rPr>
              <w:commentReference w:id="2"/>
            </w:r>
            <w:r w:rsidRPr="00ED72BB">
              <w:rPr>
                <w:rFonts w:ascii="Arial" w:eastAsia="Calibri" w:hAnsi="Arial" w:cs="Arial"/>
                <w:b/>
                <w:bCs/>
                <w:szCs w:val="22"/>
              </w:rPr>
              <w:t>and Duration of Study:</w:t>
            </w:r>
            <w:r w:rsidRPr="00ED72BB">
              <w:rPr>
                <w:rFonts w:ascii="Arial" w:eastAsia="Calibri" w:hAnsi="Arial" w:cs="Arial"/>
                <w:szCs w:val="22"/>
              </w:rPr>
              <w:t xml:space="preserve"> The experiment was conducted at Hudaiba Research Station, River Nile State, Sudan (17°34′N, 33°56′E; 350 m above sea level)</w:t>
            </w:r>
            <w:proofErr w:type="gramStart"/>
            <w:r w:rsidRPr="00ED72BB">
              <w:rPr>
                <w:rFonts w:ascii="Arial" w:eastAsia="Calibri" w:hAnsi="Arial" w:cs="Arial"/>
                <w:szCs w:val="22"/>
              </w:rPr>
              <w:t>,</w:t>
            </w:r>
            <w:proofErr w:type="gramEnd"/>
            <w:r w:rsidRPr="00ED72BB">
              <w:rPr>
                <w:rFonts w:ascii="Arial" w:eastAsia="Calibri" w:hAnsi="Arial" w:cs="Arial"/>
                <w:szCs w:val="22"/>
              </w:rPr>
              <w:t xml:space="preserve"> over two winter cropping seasons (2019–2020 and 2020–2021).</w:t>
            </w:r>
          </w:p>
          <w:p w14:paraId="2E071CDB" w14:textId="77777777" w:rsidR="00ED72BB" w:rsidRPr="00ED72BB" w:rsidRDefault="00ED72BB" w:rsidP="00C3242B">
            <w:pPr>
              <w:pStyle w:val="Body"/>
              <w:spacing w:after="0"/>
              <w:rPr>
                <w:rFonts w:ascii="Arial" w:eastAsia="Calibri" w:hAnsi="Arial" w:cs="Arial"/>
                <w:szCs w:val="22"/>
              </w:rPr>
            </w:pPr>
            <w:r w:rsidRPr="00ED72BB">
              <w:rPr>
                <w:rFonts w:ascii="Arial" w:eastAsia="Calibri" w:hAnsi="Arial" w:cs="Arial"/>
                <w:b/>
                <w:bCs/>
                <w:szCs w:val="22"/>
              </w:rPr>
              <w:t>Methodology:</w:t>
            </w:r>
            <w:r w:rsidRPr="00ED72BB">
              <w:rPr>
                <w:rFonts w:ascii="Arial" w:eastAsia="Calibri" w:hAnsi="Arial" w:cs="Arial"/>
                <w:szCs w:val="22"/>
              </w:rPr>
              <w:t xml:space="preserve"> The carrot variety Royal </w:t>
            </w:r>
            <w:proofErr w:type="spellStart"/>
            <w:r w:rsidRPr="00ED72BB">
              <w:rPr>
                <w:rFonts w:ascii="Arial" w:eastAsia="Calibri" w:hAnsi="Arial" w:cs="Arial"/>
                <w:szCs w:val="22"/>
              </w:rPr>
              <w:t>Chantenay</w:t>
            </w:r>
            <w:proofErr w:type="spellEnd"/>
            <w:r w:rsidRPr="00ED72BB">
              <w:rPr>
                <w:rFonts w:ascii="Arial" w:eastAsia="Calibri" w:hAnsi="Arial" w:cs="Arial"/>
                <w:szCs w:val="22"/>
              </w:rPr>
              <w:t xml:space="preserve"> 2 was cultivated under ridge-based conditions with uniform irrigation and urea fertilization at 120 kg N ha</w:t>
            </w:r>
            <w:r w:rsidRPr="00ED72BB">
              <w:rPr>
                <w:rFonts w:ascii="Cambria Math" w:eastAsia="Calibri" w:hAnsi="Cambria Math" w:cs="Cambria Math"/>
                <w:szCs w:val="22"/>
              </w:rPr>
              <w:t>⁻</w:t>
            </w:r>
            <w:r w:rsidRPr="00ED72BB">
              <w:rPr>
                <w:rFonts w:ascii="Arial" w:eastAsia="Calibri" w:hAnsi="Arial" w:cs="Arial"/>
                <w:szCs w:val="22"/>
              </w:rPr>
              <w:t>¹. Treatments included two sowing methods—SM</w:t>
            </w:r>
            <w:r w:rsidRPr="00ED72BB">
              <w:rPr>
                <w:rFonts w:ascii="Cambria Math" w:eastAsia="Calibri" w:hAnsi="Cambria Math" w:cs="Cambria Math"/>
                <w:szCs w:val="22"/>
              </w:rPr>
              <w:t>₁</w:t>
            </w:r>
            <w:r w:rsidRPr="00ED72BB">
              <w:rPr>
                <w:rFonts w:ascii="Arial" w:eastAsia="Calibri" w:hAnsi="Arial" w:cs="Arial"/>
                <w:szCs w:val="22"/>
              </w:rPr>
              <w:t xml:space="preserve"> (continuous line sowing on ridge crests) and SM</w:t>
            </w:r>
            <w:r w:rsidRPr="00ED72BB">
              <w:rPr>
                <w:rFonts w:ascii="Cambria Math" w:eastAsia="Calibri" w:hAnsi="Cambria Math" w:cs="Cambria Math"/>
                <w:szCs w:val="22"/>
              </w:rPr>
              <w:t>₂</w:t>
            </w:r>
            <w:r w:rsidRPr="00ED72BB">
              <w:rPr>
                <w:rFonts w:ascii="Arial" w:eastAsia="Calibri" w:hAnsi="Arial" w:cs="Arial"/>
                <w:szCs w:val="22"/>
              </w:rPr>
              <w:t xml:space="preserve"> (precision hill sowing at 10 cm spacing)—and four seed rates. Growth and yield parameters assessed were plant density (plants m</w:t>
            </w:r>
            <w:r w:rsidRPr="00ED72BB">
              <w:rPr>
                <w:rFonts w:ascii="Cambria Math" w:eastAsia="Calibri" w:hAnsi="Cambria Math" w:cs="Cambria Math"/>
                <w:szCs w:val="22"/>
              </w:rPr>
              <w:t>⁻</w:t>
            </w:r>
            <w:r w:rsidRPr="00ED72BB">
              <w:rPr>
                <w:rFonts w:ascii="Arial" w:eastAsia="Calibri" w:hAnsi="Arial" w:cs="Arial"/>
                <w:szCs w:val="22"/>
              </w:rPr>
              <w:t>²), root length (cm), root diameter (cm), marketable yield (kg m</w:t>
            </w:r>
            <w:r w:rsidRPr="00ED72BB">
              <w:rPr>
                <w:rFonts w:ascii="Cambria Math" w:eastAsia="Calibri" w:hAnsi="Cambria Math" w:cs="Cambria Math"/>
                <w:szCs w:val="22"/>
              </w:rPr>
              <w:t>⁻</w:t>
            </w:r>
            <w:r w:rsidRPr="00ED72BB">
              <w:rPr>
                <w:rFonts w:ascii="Arial" w:eastAsia="Calibri" w:hAnsi="Arial" w:cs="Arial"/>
                <w:szCs w:val="22"/>
              </w:rPr>
              <w:t>²), and total yield (kg m</w:t>
            </w:r>
            <w:r w:rsidRPr="00ED72BB">
              <w:rPr>
                <w:rFonts w:ascii="Cambria Math" w:eastAsia="Calibri" w:hAnsi="Cambria Math" w:cs="Cambria Math"/>
                <w:szCs w:val="22"/>
              </w:rPr>
              <w:t>⁻</w:t>
            </w:r>
            <w:r w:rsidRPr="00ED72BB">
              <w:rPr>
                <w:rFonts w:ascii="Arial" w:eastAsia="Calibri" w:hAnsi="Arial" w:cs="Arial"/>
                <w:szCs w:val="22"/>
              </w:rPr>
              <w:t>²). Data were analyzed using ANOVA and LSD tests (P</w:t>
            </w:r>
            <w:r w:rsidR="00C3242B">
              <w:rPr>
                <w:rFonts w:ascii="Arial" w:eastAsia="Calibri" w:hAnsi="Arial" w:cs="Arial"/>
                <w:szCs w:val="22"/>
              </w:rPr>
              <w:t>=</w:t>
            </w:r>
            <w:r w:rsidRPr="00ED72BB">
              <w:rPr>
                <w:rFonts w:ascii="Arial" w:eastAsia="Calibri" w:hAnsi="Arial" w:cs="Arial"/>
                <w:szCs w:val="22"/>
              </w:rPr>
              <w:t xml:space="preserve"> 0.05) via the GRAPES statistical platform.</w:t>
            </w:r>
          </w:p>
          <w:p w14:paraId="61EAC590"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Results:</w:t>
            </w:r>
            <w:r w:rsidRPr="00ED72BB">
              <w:rPr>
                <w:rFonts w:ascii="Arial" w:eastAsia="Calibri" w:hAnsi="Arial" w:cs="Arial"/>
                <w:szCs w:val="22"/>
              </w:rPr>
              <w:t xml:space="preserve"> The results showed that the highest seed rate of 18.0 kg ha</w:t>
            </w:r>
            <w:r w:rsidRPr="00ED72BB">
              <w:rPr>
                <w:rFonts w:ascii="Cambria Math" w:eastAsia="Calibri" w:hAnsi="Cambria Math" w:cs="Cambria Math"/>
                <w:szCs w:val="22"/>
              </w:rPr>
              <w:t>⁻</w:t>
            </w:r>
            <w:r w:rsidRPr="00ED72BB">
              <w:rPr>
                <w:rFonts w:ascii="Arial" w:eastAsia="Calibri" w:hAnsi="Arial" w:cs="Arial"/>
                <w:szCs w:val="22"/>
              </w:rPr>
              <w:t>¹ produced the greatest total yield (5.36 kg m</w:t>
            </w:r>
            <w:r w:rsidRPr="00ED72BB">
              <w:rPr>
                <w:rFonts w:ascii="Cambria Math" w:eastAsia="Calibri" w:hAnsi="Cambria Math" w:cs="Cambria Math"/>
                <w:szCs w:val="22"/>
              </w:rPr>
              <w:t>⁻</w:t>
            </w:r>
            <w:r w:rsidRPr="00ED72BB">
              <w:rPr>
                <w:rFonts w:ascii="Arial" w:eastAsia="Calibri" w:hAnsi="Arial" w:cs="Arial"/>
                <w:szCs w:val="22"/>
              </w:rPr>
              <w:t>²) and marketable yield (3.49 kg m</w:t>
            </w:r>
            <w:r w:rsidRPr="00ED72BB">
              <w:rPr>
                <w:rFonts w:ascii="Cambria Math" w:eastAsia="Calibri" w:hAnsi="Cambria Math" w:cs="Cambria Math"/>
                <w:szCs w:val="22"/>
              </w:rPr>
              <w:t>⁻</w:t>
            </w:r>
            <w:r w:rsidRPr="00ED72BB">
              <w:rPr>
                <w:rFonts w:ascii="Arial" w:eastAsia="Calibri" w:hAnsi="Arial" w:cs="Arial"/>
                <w:szCs w:val="22"/>
              </w:rPr>
              <w:t>²), although this rate negatively affected root dimensions, reducing both length and diameter. Conversely, the moderate seed rate of 12.0 kg ha</w:t>
            </w:r>
            <w:r w:rsidRPr="00ED72BB">
              <w:rPr>
                <w:rFonts w:ascii="Cambria Math" w:eastAsia="Calibri" w:hAnsi="Cambria Math" w:cs="Cambria Math"/>
                <w:szCs w:val="22"/>
              </w:rPr>
              <w:t>⁻</w:t>
            </w:r>
            <w:r w:rsidRPr="00ED72BB">
              <w:rPr>
                <w:rFonts w:ascii="Arial" w:eastAsia="Calibri" w:hAnsi="Arial" w:cs="Arial"/>
                <w:szCs w:val="22"/>
              </w:rPr>
              <w:t xml:space="preserve">¹ offered a better balance between yield and root quality. Among the sowing methods,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 significantly improved marketable yield (3.52 kg m</w:t>
            </w:r>
            <w:r w:rsidRPr="00ED72BB">
              <w:rPr>
                <w:rFonts w:ascii="Cambria Math" w:eastAsia="Calibri" w:hAnsi="Cambria Math" w:cs="Cambria Math"/>
                <w:szCs w:val="22"/>
              </w:rPr>
              <w:t>⁻</w:t>
            </w:r>
            <w:r w:rsidRPr="00ED72BB">
              <w:rPr>
                <w:rFonts w:ascii="Arial" w:eastAsia="Calibri" w:hAnsi="Arial" w:cs="Arial"/>
                <w:szCs w:val="22"/>
              </w:rPr>
              <w:t xml:space="preserve">²), while </w:t>
            </w:r>
            <w:proofErr w:type="spellStart"/>
            <w:r w:rsidRPr="00ED72BB">
              <w:rPr>
                <w:rFonts w:ascii="Arial" w:eastAsia="Calibri" w:hAnsi="Arial" w:cs="Arial"/>
                <w:i/>
                <w:iCs/>
                <w:szCs w:val="22"/>
              </w:rPr>
              <w:t>Sarsaba</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resulted in larger root dimensions, with a mean length of 14.82 cm and diameter of 2.28 cm. The interaction between sowing method and seed rate was generally non-significant (P &gt; 0.05), except for root length, which was notably enhanced under SM</w:t>
            </w:r>
            <w:r w:rsidRPr="00ED72BB">
              <w:rPr>
                <w:rFonts w:ascii="Cambria Math" w:eastAsia="Calibri" w:hAnsi="Cambria Math" w:cs="Cambria Math"/>
                <w:szCs w:val="22"/>
              </w:rPr>
              <w:t>₁</w:t>
            </w:r>
            <w:r w:rsidRPr="00ED72BB">
              <w:rPr>
                <w:rFonts w:ascii="Arial" w:eastAsia="Calibri" w:hAnsi="Arial" w:cs="Arial"/>
                <w:szCs w:val="22"/>
              </w:rPr>
              <w:t xml:space="preserve"> at the lowest seed rate of 3.5 kg ha</w:t>
            </w:r>
            <w:r w:rsidRPr="00ED72BB">
              <w:rPr>
                <w:rFonts w:ascii="Cambria Math" w:eastAsia="Calibri" w:hAnsi="Cambria Math" w:cs="Cambria Math"/>
                <w:szCs w:val="22"/>
              </w:rPr>
              <w:t>⁻</w:t>
            </w:r>
            <w:r w:rsidRPr="00ED72BB">
              <w:rPr>
                <w:rFonts w:ascii="Arial" w:eastAsia="Calibri" w:hAnsi="Arial" w:cs="Arial"/>
                <w:szCs w:val="22"/>
              </w:rPr>
              <w:t>¹. Additionally, seasonal variation was evident, with higher yields obtained in the second season, likely due to more favorable agroclimatic conditions during that period.</w:t>
            </w:r>
          </w:p>
          <w:p w14:paraId="06AA1483" w14:textId="77777777" w:rsidR="00505F06" w:rsidRPr="00BA1B01" w:rsidRDefault="00ED72BB" w:rsidP="00ED72BB">
            <w:pPr>
              <w:pStyle w:val="Body"/>
              <w:spacing w:after="0"/>
              <w:rPr>
                <w:rFonts w:ascii="Arial" w:eastAsia="Calibri" w:hAnsi="Arial" w:cs="Arial"/>
                <w:szCs w:val="22"/>
              </w:rPr>
            </w:pPr>
            <w:r w:rsidRPr="00ED72BB">
              <w:rPr>
                <w:rFonts w:ascii="Arial" w:eastAsia="Calibri" w:hAnsi="Arial" w:cs="Arial"/>
                <w:b/>
                <w:bCs/>
                <w:szCs w:val="22"/>
              </w:rPr>
              <w:t>Conclusion:</w:t>
            </w:r>
            <w:r w:rsidRPr="00ED72BB">
              <w:rPr>
                <w:rFonts w:ascii="Arial" w:eastAsia="Calibri" w:hAnsi="Arial" w:cs="Arial"/>
                <w:szCs w:val="22"/>
              </w:rPr>
              <w:t xml:space="preserve"> The combination of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sowing (SM</w:t>
            </w:r>
            <w:r w:rsidRPr="00ED72BB">
              <w:rPr>
                <w:rFonts w:ascii="Cambria Math" w:eastAsia="Calibri" w:hAnsi="Cambria Math" w:cs="Cambria Math"/>
                <w:szCs w:val="22"/>
              </w:rPr>
              <w:t>₂</w:t>
            </w:r>
            <w:r w:rsidRPr="00ED72BB">
              <w:rPr>
                <w:rFonts w:ascii="Arial" w:eastAsia="Calibri" w:hAnsi="Arial" w:cs="Arial"/>
                <w:szCs w:val="22"/>
              </w:rPr>
              <w:t>) and a moderate seed rate (12.0 kg ha</w:t>
            </w:r>
            <w:r w:rsidRPr="00ED72BB">
              <w:rPr>
                <w:rFonts w:ascii="Cambria Math" w:eastAsia="Calibri" w:hAnsi="Cambria Math" w:cs="Cambria Math"/>
                <w:szCs w:val="22"/>
              </w:rPr>
              <w:t>⁻</w:t>
            </w:r>
            <w:r w:rsidRPr="00ED72BB">
              <w:rPr>
                <w:rFonts w:ascii="Arial" w:eastAsia="Calibri" w:hAnsi="Arial" w:cs="Arial"/>
                <w:szCs w:val="22"/>
              </w:rPr>
              <w:t>¹) optimizes both yield and root quality, supporting sustainable carrot production under semi-arid conditions similar to those in Sudan’s River Nile State.</w:t>
            </w:r>
          </w:p>
        </w:tc>
      </w:tr>
    </w:tbl>
    <w:p w14:paraId="782A9055" w14:textId="77777777" w:rsidR="00C3242B" w:rsidRDefault="00C3242B" w:rsidP="00C3242B">
      <w:pPr>
        <w:pStyle w:val="Body"/>
        <w:spacing w:after="0"/>
        <w:rPr>
          <w:rFonts w:ascii="Arial" w:hAnsi="Arial" w:cs="Arial"/>
          <w:i/>
        </w:rPr>
      </w:pPr>
    </w:p>
    <w:p w14:paraId="13EFF927" w14:textId="77777777" w:rsidR="00A24E7E" w:rsidRDefault="00A24E7E" w:rsidP="00C3242B">
      <w:pPr>
        <w:pStyle w:val="Body"/>
        <w:spacing w:after="0"/>
        <w:rPr>
          <w:rFonts w:ascii="Arial" w:hAnsi="Arial" w:cs="Arial"/>
          <w:i/>
        </w:rPr>
      </w:pPr>
      <w:commentRangeStart w:id="3"/>
      <w:r>
        <w:rPr>
          <w:rFonts w:ascii="Arial" w:hAnsi="Arial" w:cs="Arial"/>
          <w:i/>
        </w:rPr>
        <w:t>Keywords</w:t>
      </w:r>
      <w:commentRangeEnd w:id="3"/>
      <w:r w:rsidR="00D10CFB">
        <w:rPr>
          <w:rStyle w:val="CommentReference"/>
          <w:rFonts w:ascii="Times New Roman" w:hAnsi="Times New Roman"/>
          <w:rtl/>
          <w:lang w:val="nb-NO" w:eastAsia="nb-NO"/>
        </w:rPr>
        <w:commentReference w:id="3"/>
      </w:r>
      <w:r>
        <w:rPr>
          <w:rFonts w:ascii="Arial" w:hAnsi="Arial" w:cs="Arial"/>
          <w:i/>
        </w:rPr>
        <w:t xml:space="preserve">: </w:t>
      </w:r>
      <w:proofErr w:type="spellStart"/>
      <w:r w:rsidR="00C3242B" w:rsidRPr="00C3242B">
        <w:rPr>
          <w:rFonts w:ascii="Arial" w:hAnsi="Arial" w:cs="Arial"/>
          <w:i/>
        </w:rPr>
        <w:t>Daucus</w:t>
      </w:r>
      <w:proofErr w:type="spellEnd"/>
      <w:r w:rsidR="00C3242B" w:rsidRPr="00C3242B">
        <w:rPr>
          <w:rFonts w:ascii="Arial" w:hAnsi="Arial" w:cs="Arial"/>
          <w:i/>
        </w:rPr>
        <w:t xml:space="preserve"> </w:t>
      </w:r>
      <w:proofErr w:type="spellStart"/>
      <w:r w:rsidR="00C3242B" w:rsidRPr="00C3242B">
        <w:rPr>
          <w:rFonts w:ascii="Arial" w:hAnsi="Arial" w:cs="Arial"/>
          <w:i/>
        </w:rPr>
        <w:t>carota</w:t>
      </w:r>
      <w:proofErr w:type="spellEnd"/>
      <w:r w:rsidR="00C3242B" w:rsidRPr="00C3242B">
        <w:rPr>
          <w:rFonts w:ascii="Arial" w:hAnsi="Arial" w:cs="Arial"/>
          <w:i/>
        </w:rPr>
        <w:t>, plant density, root yield, seed rate, semi-arid agriculture, sowing method.</w:t>
      </w:r>
      <w:r w:rsidR="0066510A">
        <w:rPr>
          <w:rFonts w:ascii="Arial" w:hAnsi="Arial" w:cs="Arial"/>
          <w:i/>
        </w:rPr>
        <w:t xml:space="preserve"> </w:t>
      </w:r>
      <w:r w:rsidR="00C3242B">
        <w:rPr>
          <w:rFonts w:ascii="Arial" w:hAnsi="Arial" w:cs="Arial"/>
          <w:i/>
        </w:rPr>
        <w:t xml:space="preserve"> </w:t>
      </w:r>
    </w:p>
    <w:p w14:paraId="783612C6" w14:textId="77777777" w:rsidR="007F7B32" w:rsidRDefault="00902823" w:rsidP="006E4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E4C27">
        <w:rPr>
          <w:rFonts w:ascii="Arial" w:hAnsi="Arial" w:cs="Arial"/>
        </w:rPr>
        <w:t xml:space="preserve"> </w:t>
      </w:r>
    </w:p>
    <w:p w14:paraId="4D7B2C51" w14:textId="77777777" w:rsidR="00790ADA" w:rsidRPr="00FB3A86" w:rsidRDefault="00790ADA" w:rsidP="00441B6F">
      <w:pPr>
        <w:pStyle w:val="AbstHead"/>
        <w:spacing w:after="0"/>
        <w:jc w:val="both"/>
        <w:rPr>
          <w:rFonts w:ascii="Arial" w:hAnsi="Arial" w:cs="Arial"/>
        </w:rPr>
      </w:pPr>
    </w:p>
    <w:p w14:paraId="095FF8F8" w14:textId="77777777" w:rsidR="00C3242B" w:rsidRPr="00C3242B" w:rsidRDefault="00C3242B" w:rsidP="00C3242B">
      <w:pPr>
        <w:pStyle w:val="Body"/>
        <w:rPr>
          <w:rFonts w:ascii="Arial" w:hAnsi="Arial" w:cs="Arial"/>
        </w:rPr>
      </w:pPr>
      <w:r w:rsidRPr="00C3242B">
        <w:rPr>
          <w:rFonts w:ascii="Arial" w:hAnsi="Arial" w:cs="Arial"/>
        </w:rPr>
        <w:t>Carrot (</w:t>
      </w:r>
      <w:r w:rsidRPr="00C3242B">
        <w:rPr>
          <w:rFonts w:ascii="Arial" w:hAnsi="Arial" w:cs="Arial"/>
          <w:i/>
          <w:iCs/>
        </w:rPr>
        <w:t>Daucus carota</w:t>
      </w:r>
      <w:r w:rsidRPr="00C3242B">
        <w:rPr>
          <w:rFonts w:ascii="Arial" w:hAnsi="Arial" w:cs="Arial"/>
        </w:rPr>
        <w:t xml:space="preserve"> L. ssp. sativus), one of the world’s most widely cultivated root vegetables, plays a vital role in human nutrition and global agriculture. It is particularly valued for its sweet-tasting roots, high in dietary fiber, antioxidants, and provitamin A carotenoids—namely </w:t>
      </w:r>
      <w:r w:rsidRPr="00C3242B">
        <w:rPr>
          <w:rFonts w:ascii="Arial" w:hAnsi="Arial" w:cs="Arial" w:hint="eastAsia"/>
        </w:rPr>
        <w:t>β</w:t>
      </w:r>
      <w:r w:rsidRPr="00C3242B">
        <w:rPr>
          <w:rFonts w:ascii="Arial" w:hAnsi="Arial" w:cs="Arial"/>
        </w:rPr>
        <w:t xml:space="preserve">-carotene and </w:t>
      </w:r>
      <w:r w:rsidRPr="00C3242B">
        <w:rPr>
          <w:rFonts w:ascii="Arial" w:hAnsi="Arial" w:cs="Arial" w:hint="eastAsia"/>
        </w:rPr>
        <w:t>α</w:t>
      </w:r>
      <w:r w:rsidRPr="00C3242B">
        <w:rPr>
          <w:rFonts w:ascii="Arial" w:hAnsi="Arial" w:cs="Arial"/>
        </w:rPr>
        <w:t xml:space="preserve">-carotene—which are essential in combating vitamin A deficiency, a significant cause of childhood blindness </w:t>
      </w:r>
      <w:r>
        <w:rPr>
          <w:rFonts w:ascii="Arial" w:hAnsi="Arial" w:cs="Arial"/>
        </w:rPr>
        <w:t>in many developing countries (</w:t>
      </w:r>
      <w:proofErr w:type="spellStart"/>
      <w:r w:rsidRPr="00C3242B">
        <w:rPr>
          <w:rFonts w:ascii="Arial" w:hAnsi="Arial" w:cs="Arial"/>
        </w:rPr>
        <w:t>Prohens</w:t>
      </w:r>
      <w:proofErr w:type="spellEnd"/>
      <w:r w:rsidRPr="00C3242B">
        <w:rPr>
          <w:rFonts w:ascii="Arial" w:hAnsi="Arial" w:cs="Arial"/>
        </w:rPr>
        <w:t xml:space="preserve"> &amp; </w:t>
      </w:r>
      <w:proofErr w:type="spellStart"/>
      <w:r w:rsidRPr="00C3242B">
        <w:rPr>
          <w:rFonts w:ascii="Arial" w:hAnsi="Arial" w:cs="Arial"/>
        </w:rPr>
        <w:t>Nuez</w:t>
      </w:r>
      <w:proofErr w:type="spellEnd"/>
      <w:r w:rsidRPr="00C3242B">
        <w:rPr>
          <w:rFonts w:ascii="Arial" w:hAnsi="Arial" w:cs="Arial"/>
        </w:rPr>
        <w:t xml:space="preserve">, 2008; Van den Berg </w:t>
      </w:r>
      <w:r w:rsidRPr="00C3242B">
        <w:rPr>
          <w:rFonts w:ascii="Arial" w:hAnsi="Arial" w:cs="Arial"/>
          <w:i/>
          <w:iCs/>
        </w:rPr>
        <w:t>et al.</w:t>
      </w:r>
      <w:r w:rsidRPr="00C3242B">
        <w:rPr>
          <w:rFonts w:ascii="Arial" w:hAnsi="Arial" w:cs="Arial"/>
        </w:rPr>
        <w:t xml:space="preserve">, 2000). In addition to orange cultivars rich in carotenoids, genetic diversity within carrot includes purple, red, yellow, and white types containing other phytochemicals such as anthocyanins and lycopene, with emerging value in </w:t>
      </w:r>
      <w:r w:rsidRPr="00C3242B">
        <w:rPr>
          <w:rFonts w:ascii="Arial" w:hAnsi="Arial" w:cs="Arial"/>
        </w:rPr>
        <w:lastRenderedPageBreak/>
        <w:t>both health promotion and natural food coloring (</w:t>
      </w:r>
      <w:proofErr w:type="spellStart"/>
      <w:r w:rsidRPr="00C3242B">
        <w:rPr>
          <w:rFonts w:ascii="Arial" w:hAnsi="Arial" w:cs="Arial"/>
        </w:rPr>
        <w:t>Stolarczyk</w:t>
      </w:r>
      <w:proofErr w:type="spellEnd"/>
      <w:r w:rsidRPr="00C3242B">
        <w:rPr>
          <w:rFonts w:ascii="Arial" w:hAnsi="Arial" w:cs="Arial"/>
        </w:rPr>
        <w:t xml:space="preserve"> &amp; </w:t>
      </w:r>
      <w:proofErr w:type="spellStart"/>
      <w:r w:rsidRPr="00C3242B">
        <w:rPr>
          <w:rFonts w:ascii="Arial" w:hAnsi="Arial" w:cs="Arial"/>
        </w:rPr>
        <w:t>Janick</w:t>
      </w:r>
      <w:proofErr w:type="spellEnd"/>
      <w:r w:rsidRPr="00C3242B">
        <w:rPr>
          <w:rFonts w:ascii="Arial" w:hAnsi="Arial" w:cs="Arial"/>
        </w:rPr>
        <w:t xml:space="preserve">, 2011; </w:t>
      </w:r>
      <w:proofErr w:type="spellStart"/>
      <w:r w:rsidRPr="00C3242B">
        <w:rPr>
          <w:rFonts w:ascii="Arial" w:hAnsi="Arial" w:cs="Arial"/>
        </w:rPr>
        <w:t>Alasalvar</w:t>
      </w:r>
      <w:proofErr w:type="spellEnd"/>
      <w:r w:rsidRPr="00C3242B">
        <w:rPr>
          <w:rFonts w:ascii="Arial" w:hAnsi="Arial" w:cs="Arial"/>
        </w:rPr>
        <w:t xml:space="preserve"> </w:t>
      </w:r>
      <w:r w:rsidRPr="00C3242B">
        <w:rPr>
          <w:rFonts w:ascii="Arial" w:hAnsi="Arial" w:cs="Arial"/>
          <w:i/>
          <w:iCs/>
        </w:rPr>
        <w:t>et al.</w:t>
      </w:r>
      <w:r w:rsidRPr="00C3242B">
        <w:rPr>
          <w:rFonts w:ascii="Arial" w:hAnsi="Arial" w:cs="Arial"/>
        </w:rPr>
        <w:t xml:space="preserve">, 2001; </w:t>
      </w:r>
      <w:proofErr w:type="spellStart"/>
      <w:r w:rsidRPr="00C3242B">
        <w:rPr>
          <w:rFonts w:ascii="Arial" w:hAnsi="Arial" w:cs="Arial"/>
        </w:rPr>
        <w:t>Stintzing</w:t>
      </w:r>
      <w:proofErr w:type="spellEnd"/>
      <w:r w:rsidRPr="00C3242B">
        <w:rPr>
          <w:rFonts w:ascii="Arial" w:hAnsi="Arial" w:cs="Arial"/>
        </w:rPr>
        <w:t xml:space="preserve"> &amp; Carle, 2004).</w:t>
      </w:r>
    </w:p>
    <w:p w14:paraId="41DEF7E4" w14:textId="77777777" w:rsidR="00C3242B" w:rsidRPr="00C3242B" w:rsidRDefault="00C3242B" w:rsidP="00C3242B">
      <w:pPr>
        <w:pStyle w:val="Body"/>
        <w:rPr>
          <w:rFonts w:ascii="Arial" w:hAnsi="Arial" w:cs="Arial"/>
        </w:rPr>
      </w:pPr>
      <w:r w:rsidRPr="00C3242B">
        <w:rPr>
          <w:rFonts w:ascii="Arial" w:hAnsi="Arial" w:cs="Arial"/>
        </w:rPr>
        <w:t>Domesticated in Central Asia, particularly in Afghanistan and Iran, carrots have been selectively bred for centuries, evolving from anthocyanin-rich Eastern types into the carotene-rich Western forms predominant in modern markets (Banga, 1957). With global production increasing from 5.8 million tons in 1961 to over  42 million tons   by 2022 (FAOSTAT, 2022), the demand for carrots as a fresh-market and processing crop continues to rise, underscoring the need for agronomic improvements that can sustain high yields and root quality under diverse environmental conditions.</w:t>
      </w:r>
    </w:p>
    <w:p w14:paraId="21D8CFB4" w14:textId="77777777" w:rsidR="00C3242B" w:rsidRPr="00C3242B" w:rsidRDefault="00C3242B" w:rsidP="00C3242B">
      <w:pPr>
        <w:pStyle w:val="Body"/>
        <w:rPr>
          <w:rFonts w:ascii="Arial" w:hAnsi="Arial" w:cs="Arial"/>
        </w:rPr>
      </w:pPr>
      <w:r w:rsidRPr="00C3242B">
        <w:rPr>
          <w:rFonts w:ascii="Arial" w:hAnsi="Arial" w:cs="Arial"/>
        </w:rPr>
        <w:t>While genetic improvements such as hybrid cultivar development have contributed to yield gains in temperate regions (Simon, 2000), yield stagnation remains a persistent challenge in tropical and subtropical zones, including Sudan. In such environments, agronomic constraints often limit crop performance more than genetic potential. Among the most influential agronomic factors are sowing methods and seed rates, which directly affect plant population density, root uniformity, canopy development, and ultimately yield and marketability (</w:t>
      </w:r>
      <w:proofErr w:type="spellStart"/>
      <w:r w:rsidRPr="00C3242B">
        <w:rPr>
          <w:rFonts w:ascii="Arial" w:hAnsi="Arial" w:cs="Arial"/>
        </w:rPr>
        <w:t>Rubatzky</w:t>
      </w:r>
      <w:proofErr w:type="spellEnd"/>
      <w:r w:rsidRPr="00C3242B">
        <w:rPr>
          <w:rFonts w:ascii="Arial" w:hAnsi="Arial" w:cs="Arial"/>
        </w:rPr>
        <w:t xml:space="preserve"> </w:t>
      </w:r>
      <w:r w:rsidRPr="006E4C27">
        <w:rPr>
          <w:rFonts w:ascii="Arial" w:hAnsi="Arial" w:cs="Arial"/>
          <w:i/>
          <w:iCs/>
        </w:rPr>
        <w:t>et al.,</w:t>
      </w:r>
      <w:r w:rsidRPr="00C3242B">
        <w:rPr>
          <w:rFonts w:ascii="Arial" w:hAnsi="Arial" w:cs="Arial"/>
        </w:rPr>
        <w:t xml:space="preserve"> 1999; Simon </w:t>
      </w:r>
      <w:r w:rsidRPr="006E4C27">
        <w:rPr>
          <w:rFonts w:ascii="Arial" w:hAnsi="Arial" w:cs="Arial"/>
          <w:i/>
          <w:iCs/>
        </w:rPr>
        <w:t>et al.,</w:t>
      </w:r>
      <w:r w:rsidRPr="00C3242B">
        <w:rPr>
          <w:rFonts w:ascii="Arial" w:hAnsi="Arial" w:cs="Arial"/>
        </w:rPr>
        <w:t xml:space="preserve"> 2008).</w:t>
      </w:r>
    </w:p>
    <w:p w14:paraId="15A4F91F" w14:textId="77777777" w:rsidR="00C3242B" w:rsidRPr="00C3242B" w:rsidRDefault="00C3242B" w:rsidP="00C3242B">
      <w:pPr>
        <w:pStyle w:val="Body"/>
        <w:rPr>
          <w:rFonts w:ascii="Arial" w:hAnsi="Arial" w:cs="Arial"/>
        </w:rPr>
      </w:pPr>
      <w:r w:rsidRPr="00C3242B">
        <w:rPr>
          <w:rFonts w:ascii="Arial" w:hAnsi="Arial" w:cs="Arial"/>
        </w:rPr>
        <w:t>Carrot seeds are small and slow to germinate, making stand establishment highly sensitive to sowing strategy. Broadcast sowing can lead to uneven plant spacing and poor resource use efficiency, while line or precision sowing allows for better seed placement, uniform emergence, and ease of intercultural operations such as thinning and weeding (Bose &amp; Som, 1986). Similarly, inappropriate seed rates may lead to overcrowding, causing competition for nutrients and malformed roots, or underutilization of space and lower yields.</w:t>
      </w:r>
    </w:p>
    <w:p w14:paraId="74F5CDBC" w14:textId="77777777" w:rsidR="00C3242B" w:rsidRPr="00C3242B" w:rsidRDefault="00C3242B" w:rsidP="00C3242B">
      <w:pPr>
        <w:pStyle w:val="Body"/>
        <w:rPr>
          <w:rFonts w:ascii="Arial" w:hAnsi="Arial" w:cs="Arial"/>
        </w:rPr>
      </w:pPr>
      <w:r w:rsidRPr="00C3242B">
        <w:rPr>
          <w:rFonts w:ascii="Arial" w:hAnsi="Arial" w:cs="Arial"/>
        </w:rPr>
        <w:t>Despite these known dynamics, limited research has addressed the combined effects of sowing methods and seed rates on carrot performance under Sudanese conditions. River Nile State, with its expanding horticultural sector, represents an important region for testing context-specific agronomic practices that can boost productivity and resource efficiency. Understanding how these factors interact under local agroecological conditions is essential for formulating recommendations that are both practical and scalable for smallholder farmers.</w:t>
      </w:r>
    </w:p>
    <w:p w14:paraId="14E29D56" w14:textId="77777777" w:rsidR="00C3242B" w:rsidRPr="00C3242B" w:rsidRDefault="00C3242B" w:rsidP="00C3242B">
      <w:pPr>
        <w:pStyle w:val="Body"/>
        <w:rPr>
          <w:rFonts w:ascii="Arial" w:hAnsi="Arial" w:cs="Arial"/>
        </w:rPr>
      </w:pPr>
      <w:r w:rsidRPr="00C3242B">
        <w:rPr>
          <w:rFonts w:ascii="Arial" w:hAnsi="Arial" w:cs="Arial"/>
        </w:rPr>
        <w:t>The objective of this study is to evaluate the effect of different sowing methods and seed rates on the growth parameters and root yield of carrot in the River Nile State of Sudan. By identifying optimal agronomic practices suited to local conditions, this research aims to complement genetic advancements, improve marketable yield, and support sustainable intensification of carrot production in the region.</w:t>
      </w:r>
    </w:p>
    <w:p w14:paraId="54BA9F6B" w14:textId="77777777" w:rsidR="00790ADA" w:rsidRPr="00FB3A86" w:rsidRDefault="00790ADA" w:rsidP="00441B6F">
      <w:pPr>
        <w:pStyle w:val="Body"/>
        <w:spacing w:after="0"/>
        <w:rPr>
          <w:rFonts w:ascii="Arial" w:hAnsi="Arial" w:cs="Arial"/>
        </w:rPr>
      </w:pPr>
    </w:p>
    <w:p w14:paraId="1682A809" w14:textId="77777777" w:rsidR="00790ADA" w:rsidRDefault="00902823" w:rsidP="006E4C2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E4C27">
        <w:rPr>
          <w:rFonts w:ascii="Arial" w:hAnsi="Arial" w:cs="Arial"/>
        </w:rPr>
        <w:t xml:space="preserve"> </w:t>
      </w:r>
    </w:p>
    <w:p w14:paraId="2D7524C8" w14:textId="77777777" w:rsidR="006E4C27" w:rsidRPr="00FB3A86" w:rsidRDefault="006E4C27" w:rsidP="006E4C27">
      <w:pPr>
        <w:pStyle w:val="AbstHead"/>
        <w:spacing w:after="0"/>
        <w:jc w:val="both"/>
        <w:rPr>
          <w:rFonts w:ascii="Arial" w:hAnsi="Arial" w:cs="Arial"/>
        </w:rPr>
      </w:pPr>
    </w:p>
    <w:p w14:paraId="0210D963" w14:textId="77777777" w:rsidR="006E4C27" w:rsidRPr="004A77D1" w:rsidRDefault="006E4C27" w:rsidP="006E4C27">
      <w:pPr>
        <w:rPr>
          <w:rFonts w:asciiTheme="minorBidi" w:hAnsiTheme="minorBidi" w:cstheme="minorBidi"/>
          <w:b/>
          <w:bCs/>
        </w:rPr>
      </w:pPr>
      <w:r w:rsidRPr="004A77D1">
        <w:rPr>
          <w:rFonts w:asciiTheme="minorBidi" w:hAnsiTheme="minorBidi"/>
          <w:b/>
          <w:bCs/>
        </w:rPr>
        <w:t xml:space="preserve">2.1 </w:t>
      </w:r>
      <w:r w:rsidRPr="004A77D1">
        <w:rPr>
          <w:rFonts w:asciiTheme="minorBidi" w:hAnsiTheme="minorBidi" w:cstheme="minorBidi"/>
          <w:b/>
          <w:bCs/>
        </w:rPr>
        <w:t xml:space="preserve">Descriptions </w:t>
      </w:r>
      <w:r>
        <w:rPr>
          <w:rFonts w:asciiTheme="minorBidi" w:hAnsiTheme="minorBidi"/>
          <w:b/>
          <w:bCs/>
        </w:rPr>
        <w:t>o</w:t>
      </w:r>
      <w:r w:rsidRPr="004A77D1">
        <w:rPr>
          <w:rFonts w:asciiTheme="minorBidi" w:hAnsiTheme="minorBidi"/>
          <w:b/>
          <w:bCs/>
        </w:rPr>
        <w:t xml:space="preserve">f </w:t>
      </w:r>
      <w:r w:rsidR="00951BC7" w:rsidRPr="004A77D1">
        <w:rPr>
          <w:rFonts w:asciiTheme="minorBidi" w:hAnsiTheme="minorBidi"/>
          <w:b/>
          <w:bCs/>
        </w:rPr>
        <w:t>the</w:t>
      </w:r>
      <w:r w:rsidRPr="004A77D1">
        <w:rPr>
          <w:rFonts w:asciiTheme="minorBidi" w:hAnsiTheme="minorBidi"/>
          <w:b/>
          <w:bCs/>
        </w:rPr>
        <w:t xml:space="preserve"> Study Area</w:t>
      </w:r>
    </w:p>
    <w:p w14:paraId="5B705E70" w14:textId="77777777" w:rsidR="006E4C27" w:rsidRPr="004A77D1" w:rsidRDefault="006E4C27" w:rsidP="006E4C27">
      <w:pPr>
        <w:rPr>
          <w:rFonts w:asciiTheme="minorBidi" w:hAnsiTheme="minorBidi" w:cstheme="minorBidi"/>
          <w:b/>
          <w:bCs/>
        </w:rPr>
      </w:pPr>
    </w:p>
    <w:p w14:paraId="00E3E6BB" w14:textId="77777777" w:rsidR="006E4C27" w:rsidRDefault="006E4C27" w:rsidP="006E4C27">
      <w:pPr>
        <w:jc w:val="both"/>
        <w:rPr>
          <w:rFonts w:asciiTheme="minorBidi" w:hAnsiTheme="minorBidi" w:cstheme="minorBidi"/>
        </w:rPr>
      </w:pPr>
      <w:r w:rsidRPr="004A77D1">
        <w:rPr>
          <w:rFonts w:asciiTheme="minorBidi" w:hAnsiTheme="minorBidi" w:cstheme="minorBidi"/>
        </w:rPr>
        <w:t>The experiment was conducted at Hudaiba Research Station, under the Agricultural Research Corporation. The research station is located in River Nile State, northern Sudan, on the eastern bank of the Nile, just south of the Atbara–Nile confluence. The research station located at latitude 17° 34ʹ N, Longitude 33° 56ʹ E, and altitude 350 m above sea level (</w:t>
      </w:r>
      <w:proofErr w:type="spellStart"/>
      <w:r w:rsidRPr="004A77D1">
        <w:rPr>
          <w:rFonts w:asciiTheme="minorBidi" w:hAnsiTheme="minorBidi" w:cstheme="minorBidi"/>
        </w:rPr>
        <w:t>Alla-Jabow</w:t>
      </w:r>
      <w:proofErr w:type="spellEnd"/>
      <w:r w:rsidRPr="004A77D1">
        <w:rPr>
          <w:rFonts w:asciiTheme="minorBidi" w:hAnsiTheme="minorBidi" w:cstheme="minorBidi"/>
        </w:rPr>
        <w:t xml:space="preserve"> and </w:t>
      </w:r>
      <w:proofErr w:type="spellStart"/>
      <w:r w:rsidR="00951BC7" w:rsidRPr="004A77D1">
        <w:rPr>
          <w:rFonts w:asciiTheme="minorBidi" w:hAnsiTheme="minorBidi" w:cstheme="minorBidi"/>
        </w:rPr>
        <w:t>Mahgoub</w:t>
      </w:r>
      <w:proofErr w:type="spellEnd"/>
      <w:r w:rsidR="00951BC7" w:rsidRPr="004A77D1">
        <w:rPr>
          <w:rFonts w:asciiTheme="minorBidi" w:hAnsiTheme="minorBidi" w:cstheme="minorBidi"/>
        </w:rPr>
        <w:t>, 2017</w:t>
      </w:r>
      <w:r w:rsidRPr="004A77D1">
        <w:rPr>
          <w:rFonts w:asciiTheme="minorBidi" w:hAnsiTheme="minorBidi" w:cstheme="minorBidi"/>
        </w:rPr>
        <w:t xml:space="preserve">).  The region has a hot desert climate with most rainfall during July–September. The winter season along the Nile River, including the River Nile State, is characterized by mild, sunny days and cool nights, with daytime temperatures typically ranging from 20°C to 26°C. Nights can be cool, with temperatures dropping to </w:t>
      </w:r>
      <w:r w:rsidRPr="004A77D1">
        <w:rPr>
          <w:rFonts w:asciiTheme="minorBidi" w:hAnsiTheme="minorBidi" w:cstheme="minorBidi"/>
        </w:rPr>
        <w:lastRenderedPageBreak/>
        <w:t>around 8°C to 12°C. Hudaiba Research Station soil is regarded as class 2 with low N, P and organic carbon with alkaline reaction. The soil is clay in texture (with about 4% sand, 40% silt and 56% clay), the soil physical and chemical parameters are presented in Table 1. The station’s strategic river access makes it essential for developing crop varieties and irrigation practices fit for Sudan’s semi</w:t>
      </w:r>
      <w:r w:rsidRPr="004A77D1">
        <w:rPr>
          <w:rFonts w:asciiTheme="minorBidi" w:hAnsiTheme="minorBidi" w:cstheme="minorBidi"/>
        </w:rPr>
        <w:noBreakHyphen/>
        <w:t>arid zones.</w:t>
      </w:r>
    </w:p>
    <w:p w14:paraId="4217379A" w14:textId="77777777" w:rsidR="00951BC7" w:rsidRDefault="00951BC7" w:rsidP="006E4C27">
      <w:pPr>
        <w:jc w:val="both"/>
        <w:rPr>
          <w:rFonts w:asciiTheme="minorBidi" w:hAnsiTheme="minorBidi" w:cstheme="minorBidi"/>
        </w:rPr>
      </w:pPr>
    </w:p>
    <w:p w14:paraId="0FBCD41C" w14:textId="77777777" w:rsidR="00951BC7" w:rsidRDefault="00951BC7" w:rsidP="006E4C27">
      <w:pPr>
        <w:jc w:val="both"/>
        <w:rPr>
          <w:rFonts w:asciiTheme="minorBidi" w:hAnsiTheme="minorBidi" w:cstheme="minorBidi"/>
        </w:rPr>
      </w:pPr>
    </w:p>
    <w:p w14:paraId="5A21E7D9" w14:textId="77777777" w:rsidR="00951BC7" w:rsidRDefault="00951BC7" w:rsidP="006E4C27">
      <w:pPr>
        <w:jc w:val="both"/>
        <w:rPr>
          <w:rFonts w:asciiTheme="minorBidi" w:hAnsiTheme="minorBidi" w:cstheme="minorBidi"/>
        </w:rPr>
      </w:pPr>
    </w:p>
    <w:p w14:paraId="61C85A14" w14:textId="77777777" w:rsidR="00951BC7" w:rsidRDefault="00951BC7" w:rsidP="00951BC7">
      <w:pPr>
        <w:jc w:val="center"/>
        <w:rPr>
          <w:rFonts w:asciiTheme="minorBidi" w:hAnsiTheme="minorBidi" w:cstheme="minorBidi"/>
          <w:b/>
          <w:bCs/>
        </w:rPr>
      </w:pPr>
      <w:r w:rsidRPr="00B403D0">
        <w:rPr>
          <w:rFonts w:asciiTheme="minorBidi" w:hAnsiTheme="minorBidi" w:cstheme="minorBidi"/>
          <w:b/>
          <w:bCs/>
        </w:rPr>
        <w:t xml:space="preserve">Table 1. Physical and chemical properties of the soil at </w:t>
      </w:r>
      <w:proofErr w:type="spellStart"/>
      <w:r>
        <w:rPr>
          <w:rFonts w:asciiTheme="minorBidi" w:hAnsiTheme="minorBidi" w:cstheme="minorBidi"/>
          <w:b/>
          <w:bCs/>
        </w:rPr>
        <w:t>H</w:t>
      </w:r>
      <w:r w:rsidRPr="00B403D0">
        <w:rPr>
          <w:rFonts w:asciiTheme="minorBidi" w:hAnsiTheme="minorBidi" w:cstheme="minorBidi"/>
          <w:b/>
          <w:bCs/>
        </w:rPr>
        <w:t>udeiba</w:t>
      </w:r>
      <w:proofErr w:type="spellEnd"/>
      <w:r w:rsidRPr="00B403D0">
        <w:rPr>
          <w:rFonts w:asciiTheme="minorBidi" w:hAnsiTheme="minorBidi" w:cstheme="minorBidi"/>
          <w:b/>
          <w:bCs/>
        </w:rPr>
        <w:t xml:space="preserve"> </w:t>
      </w:r>
      <w:r>
        <w:rPr>
          <w:rFonts w:asciiTheme="minorBidi" w:hAnsiTheme="minorBidi" w:cstheme="minorBidi"/>
          <w:b/>
          <w:bCs/>
        </w:rPr>
        <w:t>R</w:t>
      </w:r>
      <w:r w:rsidRPr="00B403D0">
        <w:rPr>
          <w:rFonts w:asciiTheme="minorBidi" w:hAnsiTheme="minorBidi" w:cstheme="minorBidi"/>
          <w:b/>
          <w:bCs/>
        </w:rPr>
        <w:t xml:space="preserve">esearch </w:t>
      </w:r>
      <w:r>
        <w:rPr>
          <w:rFonts w:asciiTheme="minorBidi" w:hAnsiTheme="minorBidi" w:cstheme="minorBidi"/>
          <w:b/>
          <w:bCs/>
        </w:rPr>
        <w:t>S</w:t>
      </w:r>
      <w:r w:rsidRPr="00B403D0">
        <w:rPr>
          <w:rFonts w:asciiTheme="minorBidi" w:hAnsiTheme="minorBidi" w:cstheme="minorBidi"/>
          <w:b/>
          <w:bCs/>
        </w:rPr>
        <w:t>tation</w:t>
      </w:r>
    </w:p>
    <w:p w14:paraId="5E34A0D5" w14:textId="77777777" w:rsidR="00951BC7" w:rsidRPr="00B403D0" w:rsidRDefault="00951BC7" w:rsidP="00951BC7">
      <w:pPr>
        <w:jc w:val="center"/>
        <w:rPr>
          <w:rFonts w:asciiTheme="minorBidi" w:hAnsiTheme="minorBidi" w:cstheme="minorBidi"/>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528"/>
      </w:tblGrid>
      <w:tr w:rsidR="00951BC7" w:rsidRPr="00B403D0" w14:paraId="6194E5EE" w14:textId="77777777" w:rsidTr="00951BC7">
        <w:trPr>
          <w:jc w:val="center"/>
        </w:trPr>
        <w:tc>
          <w:tcPr>
            <w:tcW w:w="4680" w:type="dxa"/>
            <w:tcBorders>
              <w:bottom w:val="single" w:sz="4" w:space="0" w:color="auto"/>
            </w:tcBorders>
          </w:tcPr>
          <w:p w14:paraId="240AF6FA"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rPr>
              <w:t>Particulars</w:t>
            </w:r>
          </w:p>
        </w:tc>
        <w:tc>
          <w:tcPr>
            <w:tcW w:w="3528" w:type="dxa"/>
            <w:tcBorders>
              <w:bottom w:val="single" w:sz="4" w:space="0" w:color="auto"/>
            </w:tcBorders>
          </w:tcPr>
          <w:p w14:paraId="53B1A85D"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bCs/>
              </w:rPr>
              <w:t xml:space="preserve">Mean value at depth  (0-203 ) cm </w:t>
            </w:r>
          </w:p>
        </w:tc>
      </w:tr>
      <w:tr w:rsidR="00951BC7" w:rsidRPr="00B403D0" w14:paraId="46833AAD" w14:textId="77777777" w:rsidTr="00951BC7">
        <w:trPr>
          <w:jc w:val="center"/>
        </w:trPr>
        <w:tc>
          <w:tcPr>
            <w:tcW w:w="4680" w:type="dxa"/>
            <w:tcBorders>
              <w:top w:val="single" w:sz="4" w:space="0" w:color="auto"/>
              <w:bottom w:val="nil"/>
            </w:tcBorders>
          </w:tcPr>
          <w:p w14:paraId="2845B5C0"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Sand (% )</w:t>
            </w:r>
          </w:p>
        </w:tc>
        <w:tc>
          <w:tcPr>
            <w:tcW w:w="3528" w:type="dxa"/>
            <w:tcBorders>
              <w:top w:val="single" w:sz="4" w:space="0" w:color="auto"/>
              <w:bottom w:val="nil"/>
            </w:tcBorders>
          </w:tcPr>
          <w:p w14:paraId="155A5BD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w:t>
            </w:r>
            <w:r>
              <w:rPr>
                <w:rFonts w:asciiTheme="minorBidi" w:hAnsiTheme="minorBidi" w:cstheme="minorBidi"/>
              </w:rPr>
              <w:t>.00</w:t>
            </w:r>
          </w:p>
        </w:tc>
      </w:tr>
      <w:tr w:rsidR="00951BC7" w:rsidRPr="00B403D0" w14:paraId="50C4EABA" w14:textId="77777777" w:rsidTr="00951BC7">
        <w:trPr>
          <w:jc w:val="center"/>
        </w:trPr>
        <w:tc>
          <w:tcPr>
            <w:tcW w:w="4680" w:type="dxa"/>
            <w:tcBorders>
              <w:top w:val="nil"/>
            </w:tcBorders>
          </w:tcPr>
          <w:p w14:paraId="336ECF52"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Silt (%)</w:t>
            </w:r>
          </w:p>
        </w:tc>
        <w:tc>
          <w:tcPr>
            <w:tcW w:w="3528" w:type="dxa"/>
            <w:tcBorders>
              <w:top w:val="nil"/>
            </w:tcBorders>
          </w:tcPr>
          <w:p w14:paraId="3D1459C7"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40</w:t>
            </w:r>
            <w:r>
              <w:rPr>
                <w:rFonts w:asciiTheme="minorBidi" w:hAnsiTheme="minorBidi" w:cstheme="minorBidi"/>
              </w:rPr>
              <w:t>.00</w:t>
            </w:r>
          </w:p>
        </w:tc>
      </w:tr>
      <w:tr w:rsidR="00951BC7" w:rsidRPr="00B403D0" w14:paraId="7FCD24A2" w14:textId="77777777" w:rsidTr="00951BC7">
        <w:trPr>
          <w:jc w:val="center"/>
        </w:trPr>
        <w:tc>
          <w:tcPr>
            <w:tcW w:w="4680" w:type="dxa"/>
          </w:tcPr>
          <w:p w14:paraId="2D6DCDB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Clay (%)</w:t>
            </w:r>
          </w:p>
        </w:tc>
        <w:tc>
          <w:tcPr>
            <w:tcW w:w="3528" w:type="dxa"/>
          </w:tcPr>
          <w:p w14:paraId="6878DD42"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56</w:t>
            </w:r>
            <w:r>
              <w:rPr>
                <w:rFonts w:asciiTheme="minorBidi" w:hAnsiTheme="minorBidi" w:cstheme="minorBidi"/>
              </w:rPr>
              <w:t>.00</w:t>
            </w:r>
          </w:p>
        </w:tc>
      </w:tr>
      <w:tr w:rsidR="00951BC7" w:rsidRPr="00B403D0" w14:paraId="0D695676" w14:textId="77777777" w:rsidTr="00951BC7">
        <w:trPr>
          <w:jc w:val="center"/>
        </w:trPr>
        <w:tc>
          <w:tcPr>
            <w:tcW w:w="4680" w:type="dxa"/>
          </w:tcPr>
          <w:p w14:paraId="7C035E1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Hydraulic conductivity (cm/</w:t>
            </w:r>
            <w:proofErr w:type="spellStart"/>
            <w:r w:rsidRPr="00B403D0">
              <w:rPr>
                <w:rFonts w:asciiTheme="minorBidi" w:hAnsiTheme="minorBidi" w:cstheme="minorBidi"/>
              </w:rPr>
              <w:t>hr</w:t>
            </w:r>
            <w:proofErr w:type="spellEnd"/>
            <w:r w:rsidRPr="00B403D0">
              <w:rPr>
                <w:rFonts w:asciiTheme="minorBidi" w:hAnsiTheme="minorBidi" w:cstheme="minorBidi"/>
              </w:rPr>
              <w:t>)</w:t>
            </w:r>
          </w:p>
        </w:tc>
        <w:tc>
          <w:tcPr>
            <w:tcW w:w="3528" w:type="dxa"/>
          </w:tcPr>
          <w:p w14:paraId="283ED47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0.13</w:t>
            </w:r>
          </w:p>
        </w:tc>
      </w:tr>
      <w:tr w:rsidR="00951BC7" w:rsidRPr="00B403D0" w14:paraId="30869055" w14:textId="77777777" w:rsidTr="00951BC7">
        <w:trPr>
          <w:jc w:val="center"/>
        </w:trPr>
        <w:tc>
          <w:tcPr>
            <w:tcW w:w="4680" w:type="dxa"/>
          </w:tcPr>
          <w:p w14:paraId="1D26AB0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wilting point (m3 /m3 )</w:t>
            </w:r>
          </w:p>
        </w:tc>
        <w:tc>
          <w:tcPr>
            <w:tcW w:w="3528" w:type="dxa"/>
          </w:tcPr>
          <w:p w14:paraId="6F7D2F2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25</w:t>
            </w:r>
            <w:r>
              <w:rPr>
                <w:rFonts w:asciiTheme="minorBidi" w:hAnsiTheme="minorBidi" w:cstheme="minorBidi"/>
              </w:rPr>
              <w:t>.00</w:t>
            </w:r>
          </w:p>
        </w:tc>
      </w:tr>
      <w:tr w:rsidR="00951BC7" w:rsidRPr="00B403D0" w14:paraId="7CCE6617" w14:textId="77777777" w:rsidTr="00951BC7">
        <w:trPr>
          <w:jc w:val="center"/>
        </w:trPr>
        <w:tc>
          <w:tcPr>
            <w:tcW w:w="4680" w:type="dxa"/>
          </w:tcPr>
          <w:p w14:paraId="355BEA5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Moisture content at field capacity (m3 /m3 )</w:t>
            </w:r>
          </w:p>
        </w:tc>
        <w:tc>
          <w:tcPr>
            <w:tcW w:w="3528" w:type="dxa"/>
          </w:tcPr>
          <w:p w14:paraId="2238EC4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46</w:t>
            </w:r>
            <w:r>
              <w:rPr>
                <w:rFonts w:asciiTheme="minorBidi" w:hAnsiTheme="minorBidi" w:cstheme="minorBidi"/>
              </w:rPr>
              <w:t>.00</w:t>
            </w:r>
          </w:p>
        </w:tc>
      </w:tr>
      <w:tr w:rsidR="00951BC7" w:rsidRPr="00B403D0" w14:paraId="5D1C38DB" w14:textId="77777777" w:rsidTr="00951BC7">
        <w:trPr>
          <w:jc w:val="center"/>
        </w:trPr>
        <w:tc>
          <w:tcPr>
            <w:tcW w:w="4680" w:type="dxa"/>
          </w:tcPr>
          <w:p w14:paraId="152F86EE"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Soil bulk density (g/cm3 )</w:t>
            </w:r>
          </w:p>
        </w:tc>
        <w:tc>
          <w:tcPr>
            <w:tcW w:w="3528" w:type="dxa"/>
          </w:tcPr>
          <w:p w14:paraId="5B5814A1"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1.76</w:t>
            </w:r>
          </w:p>
        </w:tc>
      </w:tr>
      <w:tr w:rsidR="00951BC7" w:rsidRPr="00B403D0" w14:paraId="16E53471" w14:textId="77777777" w:rsidTr="00951BC7">
        <w:trPr>
          <w:jc w:val="center"/>
        </w:trPr>
        <w:tc>
          <w:tcPr>
            <w:tcW w:w="4680" w:type="dxa"/>
          </w:tcPr>
          <w:p w14:paraId="1EBE17A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pH</w:t>
            </w:r>
          </w:p>
        </w:tc>
        <w:tc>
          <w:tcPr>
            <w:tcW w:w="3528" w:type="dxa"/>
          </w:tcPr>
          <w:p w14:paraId="7D9D4ECE"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7.9</w:t>
            </w:r>
            <w:r>
              <w:rPr>
                <w:rFonts w:asciiTheme="minorBidi" w:hAnsiTheme="minorBidi" w:cstheme="minorBidi"/>
              </w:rPr>
              <w:t>0</w:t>
            </w:r>
          </w:p>
        </w:tc>
      </w:tr>
      <w:tr w:rsidR="00951BC7" w:rsidRPr="00B403D0" w14:paraId="5D38FD36" w14:textId="77777777" w:rsidTr="00951BC7">
        <w:trPr>
          <w:jc w:val="center"/>
        </w:trPr>
        <w:tc>
          <w:tcPr>
            <w:tcW w:w="4680" w:type="dxa"/>
          </w:tcPr>
          <w:p w14:paraId="72199369"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Calcium carbonate (%)</w:t>
            </w:r>
          </w:p>
        </w:tc>
        <w:tc>
          <w:tcPr>
            <w:tcW w:w="3528" w:type="dxa"/>
          </w:tcPr>
          <w:p w14:paraId="5A392478"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5.4</w:t>
            </w:r>
            <w:r>
              <w:rPr>
                <w:rFonts w:asciiTheme="minorBidi" w:hAnsiTheme="minorBidi" w:cstheme="minorBidi"/>
              </w:rPr>
              <w:t>0</w:t>
            </w:r>
          </w:p>
        </w:tc>
      </w:tr>
      <w:tr w:rsidR="00951BC7" w:rsidRPr="00B403D0" w14:paraId="1FD83860" w14:textId="77777777" w:rsidTr="00951BC7">
        <w:trPr>
          <w:jc w:val="center"/>
        </w:trPr>
        <w:tc>
          <w:tcPr>
            <w:tcW w:w="4680" w:type="dxa"/>
          </w:tcPr>
          <w:p w14:paraId="6E56F6DA"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Total nitrogen (%)</w:t>
            </w:r>
          </w:p>
        </w:tc>
        <w:tc>
          <w:tcPr>
            <w:tcW w:w="3528" w:type="dxa"/>
          </w:tcPr>
          <w:p w14:paraId="1948FB2A"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0.038</w:t>
            </w:r>
          </w:p>
        </w:tc>
      </w:tr>
      <w:tr w:rsidR="00951BC7" w:rsidRPr="00B403D0" w14:paraId="2F697D11" w14:textId="77777777" w:rsidTr="00951BC7">
        <w:trPr>
          <w:jc w:val="center"/>
        </w:trPr>
        <w:tc>
          <w:tcPr>
            <w:tcW w:w="4680" w:type="dxa"/>
          </w:tcPr>
          <w:p w14:paraId="44F7849B"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Organic carbon (%)</w:t>
            </w:r>
          </w:p>
        </w:tc>
        <w:tc>
          <w:tcPr>
            <w:tcW w:w="3528" w:type="dxa"/>
          </w:tcPr>
          <w:p w14:paraId="66A6FDF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0.281</w:t>
            </w:r>
          </w:p>
        </w:tc>
      </w:tr>
      <w:tr w:rsidR="00951BC7" w:rsidRPr="00B403D0" w14:paraId="4546D58A" w14:textId="77777777" w:rsidTr="00951BC7">
        <w:trPr>
          <w:jc w:val="center"/>
        </w:trPr>
        <w:tc>
          <w:tcPr>
            <w:tcW w:w="4680" w:type="dxa"/>
          </w:tcPr>
          <w:p w14:paraId="7CEFBF94"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Cation exchange capacity (</w:t>
            </w:r>
            <w:proofErr w:type="spellStart"/>
            <w:r w:rsidRPr="00B403D0">
              <w:rPr>
                <w:rFonts w:asciiTheme="minorBidi" w:hAnsiTheme="minorBidi" w:cstheme="minorBidi"/>
              </w:rPr>
              <w:t>meq</w:t>
            </w:r>
            <w:proofErr w:type="spellEnd"/>
            <w:r w:rsidRPr="00B403D0">
              <w:rPr>
                <w:rFonts w:asciiTheme="minorBidi" w:hAnsiTheme="minorBidi" w:cstheme="minorBidi"/>
              </w:rPr>
              <w:t>/100g soil)</w:t>
            </w:r>
          </w:p>
        </w:tc>
        <w:tc>
          <w:tcPr>
            <w:tcW w:w="3528" w:type="dxa"/>
          </w:tcPr>
          <w:p w14:paraId="149578C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53</w:t>
            </w:r>
            <w:r>
              <w:rPr>
                <w:rFonts w:asciiTheme="minorBidi" w:hAnsiTheme="minorBidi" w:cstheme="minorBidi"/>
              </w:rPr>
              <w:t>.00</w:t>
            </w:r>
          </w:p>
        </w:tc>
      </w:tr>
      <w:tr w:rsidR="00951BC7" w:rsidRPr="00B403D0" w14:paraId="19D3B4FC" w14:textId="77777777" w:rsidTr="00951BC7">
        <w:trPr>
          <w:jc w:val="center"/>
        </w:trPr>
        <w:tc>
          <w:tcPr>
            <w:tcW w:w="4680" w:type="dxa"/>
          </w:tcPr>
          <w:p w14:paraId="497ADCE8"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Sodium absorption rate</w:t>
            </w:r>
          </w:p>
        </w:tc>
        <w:tc>
          <w:tcPr>
            <w:tcW w:w="3528" w:type="dxa"/>
          </w:tcPr>
          <w:p w14:paraId="09799EF4"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w:t>
            </w:r>
            <w:r>
              <w:rPr>
                <w:rFonts w:asciiTheme="minorBidi" w:hAnsiTheme="minorBidi" w:cstheme="minorBidi"/>
              </w:rPr>
              <w:t>.00</w:t>
            </w:r>
          </w:p>
        </w:tc>
      </w:tr>
    </w:tbl>
    <w:p w14:paraId="69D2DFD1" w14:textId="77777777" w:rsidR="00951BC7" w:rsidRDefault="00951BC7" w:rsidP="00951BC7">
      <w:pPr>
        <w:rPr>
          <w:rFonts w:asciiTheme="minorBidi" w:hAnsiTheme="minorBidi"/>
        </w:rPr>
      </w:pPr>
      <w:r w:rsidRPr="00B403D0">
        <w:rPr>
          <w:rFonts w:asciiTheme="minorBidi" w:hAnsiTheme="minorBidi" w:cstheme="minorBidi"/>
        </w:rPr>
        <w:t xml:space="preserve">        </w:t>
      </w:r>
      <w:r>
        <w:rPr>
          <w:rFonts w:asciiTheme="minorBidi" w:hAnsiTheme="minorBidi"/>
        </w:rPr>
        <w:t xml:space="preserve">                         </w:t>
      </w:r>
    </w:p>
    <w:p w14:paraId="59E13E93" w14:textId="77777777" w:rsidR="00951BC7" w:rsidRPr="00951BC7" w:rsidRDefault="00951BC7" w:rsidP="00951BC7">
      <w:pPr>
        <w:rPr>
          <w:rFonts w:asciiTheme="minorBidi" w:hAnsiTheme="minorBidi" w:cstheme="minorBidi"/>
          <w:i/>
          <w:iCs/>
        </w:rPr>
      </w:pPr>
      <w:r w:rsidRPr="00951BC7">
        <w:rPr>
          <w:rFonts w:asciiTheme="minorBidi" w:hAnsiTheme="minorBidi" w:cstheme="minorBidi"/>
          <w:i/>
          <w:iCs/>
        </w:rPr>
        <w:t xml:space="preserve">(Source: </w:t>
      </w:r>
      <w:proofErr w:type="spellStart"/>
      <w:r w:rsidRPr="00951BC7">
        <w:rPr>
          <w:rFonts w:asciiTheme="minorBidi" w:hAnsiTheme="minorBidi" w:cstheme="minorBidi"/>
          <w:i/>
          <w:iCs/>
        </w:rPr>
        <w:t>Alla</w:t>
      </w:r>
      <w:proofErr w:type="spellEnd"/>
      <w:r w:rsidRPr="00951BC7">
        <w:rPr>
          <w:rFonts w:asciiTheme="minorBidi" w:hAnsiTheme="minorBidi" w:cstheme="minorBidi"/>
          <w:i/>
          <w:iCs/>
        </w:rPr>
        <w:t xml:space="preserve"> -</w:t>
      </w:r>
      <w:proofErr w:type="spellStart"/>
      <w:r w:rsidRPr="00951BC7">
        <w:rPr>
          <w:rFonts w:asciiTheme="minorBidi" w:hAnsiTheme="minorBidi" w:cstheme="minorBidi"/>
          <w:i/>
          <w:iCs/>
        </w:rPr>
        <w:t>Jabow</w:t>
      </w:r>
      <w:proofErr w:type="spellEnd"/>
      <w:r w:rsidRPr="00951BC7">
        <w:rPr>
          <w:rFonts w:asciiTheme="minorBidi" w:hAnsiTheme="minorBidi" w:cstheme="minorBidi"/>
          <w:i/>
          <w:iCs/>
        </w:rPr>
        <w:t xml:space="preserve"> and </w:t>
      </w:r>
      <w:proofErr w:type="spellStart"/>
      <w:r w:rsidRPr="00951BC7">
        <w:rPr>
          <w:rFonts w:asciiTheme="minorBidi" w:hAnsiTheme="minorBidi" w:cstheme="minorBidi"/>
          <w:i/>
          <w:iCs/>
        </w:rPr>
        <w:t>Mahgoub</w:t>
      </w:r>
      <w:proofErr w:type="spellEnd"/>
      <w:r w:rsidRPr="00951BC7">
        <w:rPr>
          <w:rFonts w:asciiTheme="minorBidi" w:hAnsiTheme="minorBidi" w:cstheme="minorBidi"/>
          <w:i/>
          <w:iCs/>
        </w:rPr>
        <w:t>, 2017)</w:t>
      </w:r>
    </w:p>
    <w:p w14:paraId="312A6B97" w14:textId="77777777" w:rsidR="00951BC7" w:rsidRDefault="00951BC7" w:rsidP="006E4C27">
      <w:pPr>
        <w:jc w:val="both"/>
        <w:rPr>
          <w:rFonts w:asciiTheme="minorBidi" w:hAnsiTheme="minorBidi" w:cstheme="minorBidi"/>
        </w:rPr>
      </w:pPr>
    </w:p>
    <w:p w14:paraId="436E3FB2" w14:textId="77777777" w:rsidR="00951BC7" w:rsidRDefault="00951BC7" w:rsidP="006E4C27">
      <w:pPr>
        <w:jc w:val="both"/>
        <w:rPr>
          <w:rFonts w:asciiTheme="minorBidi" w:hAnsiTheme="minorBidi" w:cstheme="minorBidi"/>
        </w:rPr>
      </w:pPr>
    </w:p>
    <w:p w14:paraId="778E6035" w14:textId="77777777" w:rsidR="00951BC7" w:rsidRDefault="00951BC7" w:rsidP="006E4C27">
      <w:pPr>
        <w:jc w:val="both"/>
        <w:rPr>
          <w:rFonts w:asciiTheme="minorBidi" w:hAnsiTheme="minorBidi" w:cstheme="minorBidi"/>
        </w:rPr>
      </w:pPr>
    </w:p>
    <w:p w14:paraId="2C0DDB93" w14:textId="77777777" w:rsidR="00951BC7" w:rsidRDefault="00951BC7" w:rsidP="006E4C27">
      <w:pPr>
        <w:jc w:val="both"/>
        <w:rPr>
          <w:rFonts w:asciiTheme="minorBidi" w:hAnsiTheme="minorBidi" w:cstheme="minorBidi"/>
        </w:rPr>
      </w:pPr>
    </w:p>
    <w:p w14:paraId="2AAD55DE" w14:textId="77777777" w:rsidR="00951BC7" w:rsidRDefault="00951BC7" w:rsidP="006E4C27">
      <w:pPr>
        <w:jc w:val="both"/>
        <w:rPr>
          <w:rFonts w:asciiTheme="minorBidi" w:hAnsiTheme="minorBidi" w:cstheme="minorBidi"/>
        </w:rPr>
      </w:pPr>
    </w:p>
    <w:p w14:paraId="56C3F9B8" w14:textId="77777777" w:rsidR="00951BC7" w:rsidRDefault="00951BC7" w:rsidP="006E4C27">
      <w:pPr>
        <w:jc w:val="both"/>
        <w:rPr>
          <w:rFonts w:asciiTheme="minorBidi" w:hAnsiTheme="minorBidi" w:cstheme="minorBidi"/>
        </w:rPr>
      </w:pPr>
    </w:p>
    <w:p w14:paraId="374FDA0A" w14:textId="77777777" w:rsidR="00951BC7" w:rsidRDefault="00951BC7" w:rsidP="006E4C27">
      <w:pPr>
        <w:jc w:val="both"/>
        <w:rPr>
          <w:rFonts w:asciiTheme="minorBidi" w:hAnsiTheme="minorBidi" w:cstheme="minorBidi"/>
        </w:rPr>
      </w:pPr>
    </w:p>
    <w:p w14:paraId="0D6C9571" w14:textId="77777777" w:rsidR="00951BC7" w:rsidRDefault="00951BC7" w:rsidP="006E4C27">
      <w:pPr>
        <w:jc w:val="both"/>
        <w:rPr>
          <w:rFonts w:asciiTheme="minorBidi" w:hAnsiTheme="minorBidi" w:cstheme="minorBidi"/>
        </w:rPr>
      </w:pPr>
    </w:p>
    <w:p w14:paraId="19ADC16E" w14:textId="77777777" w:rsidR="00951BC7" w:rsidRDefault="00951BC7" w:rsidP="006E4C27">
      <w:pPr>
        <w:jc w:val="both"/>
        <w:rPr>
          <w:rFonts w:asciiTheme="minorBidi" w:hAnsiTheme="minorBidi" w:cstheme="minorBidi"/>
        </w:rPr>
      </w:pPr>
    </w:p>
    <w:p w14:paraId="39E26756" w14:textId="77777777" w:rsidR="00951BC7" w:rsidRDefault="00951BC7" w:rsidP="006E4C27">
      <w:pPr>
        <w:jc w:val="both"/>
        <w:rPr>
          <w:rFonts w:asciiTheme="minorBidi" w:hAnsiTheme="minorBidi" w:cstheme="minorBidi"/>
        </w:rPr>
      </w:pPr>
    </w:p>
    <w:p w14:paraId="3DA327EF" w14:textId="77777777" w:rsidR="00951BC7" w:rsidRDefault="00951BC7" w:rsidP="006E4C27">
      <w:pPr>
        <w:jc w:val="both"/>
        <w:rPr>
          <w:rFonts w:asciiTheme="minorBidi" w:hAnsiTheme="minorBidi" w:cstheme="minorBidi"/>
        </w:rPr>
      </w:pPr>
    </w:p>
    <w:p w14:paraId="373FBF8F" w14:textId="77777777" w:rsidR="00951BC7" w:rsidRDefault="00951BC7" w:rsidP="006E4C27">
      <w:pPr>
        <w:jc w:val="both"/>
        <w:rPr>
          <w:rFonts w:asciiTheme="minorBidi" w:hAnsiTheme="minorBidi" w:cstheme="minorBidi"/>
        </w:rPr>
      </w:pPr>
    </w:p>
    <w:p w14:paraId="23A4B295" w14:textId="77777777" w:rsidR="00951BC7" w:rsidRDefault="00951BC7" w:rsidP="006E4C27">
      <w:pPr>
        <w:jc w:val="both"/>
        <w:rPr>
          <w:rFonts w:asciiTheme="minorBidi" w:hAnsiTheme="minorBidi" w:cstheme="minorBidi"/>
        </w:rPr>
      </w:pPr>
    </w:p>
    <w:p w14:paraId="0063CB9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r>
        <w:rPr>
          <w:rFonts w:asciiTheme="minorBidi" w:hAnsiTheme="minorBidi" w:cstheme="minorBidi"/>
          <w:b/>
          <w:bCs/>
          <w:sz w:val="20"/>
          <w:szCs w:val="20"/>
        </w:rPr>
        <w:t xml:space="preserve">2.2 </w:t>
      </w:r>
      <w:r w:rsidRPr="004A77D1">
        <w:rPr>
          <w:rFonts w:asciiTheme="minorBidi" w:hAnsiTheme="minorBidi" w:cstheme="minorBidi"/>
          <w:b/>
          <w:bCs/>
          <w:sz w:val="20"/>
          <w:szCs w:val="20"/>
        </w:rPr>
        <w:t>Experimental Design</w:t>
      </w:r>
      <w:r w:rsidRPr="004A77D1">
        <w:rPr>
          <w:rFonts w:asciiTheme="minorBidi" w:eastAsiaTheme="minorHAnsi" w:hAnsiTheme="minorBidi" w:cstheme="minorBidi"/>
          <w:b/>
          <w:bCs/>
          <w:sz w:val="20"/>
          <w:szCs w:val="20"/>
        </w:rPr>
        <w:t xml:space="preserve"> </w:t>
      </w:r>
    </w:p>
    <w:p w14:paraId="0F86CC1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p>
    <w:p w14:paraId="4150F6A3" w14:textId="77777777" w:rsidR="006E4C27" w:rsidRPr="006E4C27" w:rsidRDefault="006E4C27" w:rsidP="006E4C27">
      <w:pPr>
        <w:jc w:val="both"/>
        <w:rPr>
          <w:rFonts w:asciiTheme="minorBidi" w:hAnsiTheme="minorBidi" w:cstheme="minorBidi"/>
        </w:rPr>
      </w:pPr>
      <w:r w:rsidRPr="004A77D1">
        <w:rPr>
          <w:rFonts w:asciiTheme="minorBidi" w:hAnsiTheme="minorBidi" w:cstheme="minorBidi"/>
        </w:rPr>
        <w:t>A factorial experiment was conducted using a Completely Randomized Block Design (CRBD) with four replications. The study investigated two factors: sowing methods and seed rates. The first factor examined was the sowing method, which had two levels. The first sowing method, referred to as Sowing Method One (SM</w:t>
      </w:r>
      <w:r w:rsidRPr="004A77D1">
        <w:rPr>
          <w:rFonts w:asciiTheme="minorBidi" w:hAnsiTheme="minorBidi" w:cstheme="minorBidi"/>
          <w:vertAlign w:val="subscript"/>
        </w:rPr>
        <w:t>1</w:t>
      </w:r>
      <w:r w:rsidRPr="004A77D1">
        <w:rPr>
          <w:rFonts w:asciiTheme="minorBidi" w:hAnsiTheme="minorBidi" w:cstheme="minorBidi"/>
        </w:rPr>
        <w:t>), involves planting seeds in a continuous line along the crest of ridges, directly into shallow furrows, with seeds spaced closely together. This sowing method is commonly known among farmers as “</w:t>
      </w:r>
      <w:proofErr w:type="spellStart"/>
      <w:r w:rsidRPr="004A77D1">
        <w:rPr>
          <w:rFonts w:asciiTheme="minorBidi" w:hAnsiTheme="minorBidi" w:cstheme="minorBidi"/>
          <w:i/>
          <w:iCs/>
        </w:rPr>
        <w:t>Sarsaba</w:t>
      </w:r>
      <w:proofErr w:type="spellEnd"/>
      <w:r w:rsidRPr="004A77D1">
        <w:rPr>
          <w:rFonts w:asciiTheme="minorBidi" w:hAnsiTheme="minorBidi" w:cstheme="minorBidi"/>
        </w:rPr>
        <w:t>”. The second sowing method, named s  Sowing Method Two (SM</w:t>
      </w:r>
      <w:r w:rsidRPr="004A77D1">
        <w:rPr>
          <w:rFonts w:asciiTheme="minorBidi" w:hAnsiTheme="minorBidi" w:cstheme="minorBidi"/>
          <w:vertAlign w:val="subscript"/>
        </w:rPr>
        <w:t>2</w:t>
      </w:r>
      <w:r w:rsidRPr="004A77D1">
        <w:rPr>
          <w:rFonts w:asciiTheme="minorBidi" w:hAnsiTheme="minorBidi" w:cstheme="minorBidi"/>
        </w:rPr>
        <w:t>),which employs a  planting ruler with perforation points spaced 10 cm apart to ensure uniform and consistent seed spacing of  3  cm deep holes . Farmers locally refer to this method as “</w:t>
      </w:r>
      <w:proofErr w:type="spellStart"/>
      <w:r w:rsidRPr="004A77D1">
        <w:rPr>
          <w:rFonts w:asciiTheme="minorBidi" w:hAnsiTheme="minorBidi" w:cstheme="minorBidi"/>
          <w:i/>
          <w:iCs/>
        </w:rPr>
        <w:t>Madrab</w:t>
      </w:r>
      <w:proofErr w:type="spellEnd"/>
      <w:r w:rsidRPr="004A77D1">
        <w:rPr>
          <w:rFonts w:asciiTheme="minorBidi" w:hAnsiTheme="minorBidi" w:cstheme="minorBidi"/>
        </w:rPr>
        <w:t xml:space="preserve">”. The carrot seed variety used for this experiment is Royal </w:t>
      </w:r>
      <w:proofErr w:type="spellStart"/>
      <w:r w:rsidRPr="004A77D1">
        <w:rPr>
          <w:rFonts w:asciiTheme="minorBidi" w:hAnsiTheme="minorBidi" w:cstheme="minorBidi"/>
        </w:rPr>
        <w:t>Chantenay</w:t>
      </w:r>
      <w:proofErr w:type="spellEnd"/>
      <w:r w:rsidRPr="004A77D1">
        <w:rPr>
          <w:rFonts w:asciiTheme="minorBidi" w:hAnsiTheme="minorBidi" w:cstheme="minorBidi"/>
        </w:rPr>
        <w:t xml:space="preserve"> 2, lot No. 10060, which has a </w:t>
      </w:r>
      <w:r w:rsidRPr="004A77D1">
        <w:rPr>
          <w:rFonts w:asciiTheme="minorBidi" w:hAnsiTheme="minorBidi" w:cstheme="minorBidi"/>
        </w:rPr>
        <w:lastRenderedPageBreak/>
        <w:t xml:space="preserve">minimum germination rate of 85% and was produced in </w:t>
      </w:r>
      <w:proofErr w:type="spellStart"/>
      <w:r w:rsidRPr="004A77D1">
        <w:rPr>
          <w:rFonts w:asciiTheme="minorBidi" w:hAnsiTheme="minorBidi" w:cstheme="minorBidi"/>
        </w:rPr>
        <w:t>France.</w:t>
      </w:r>
      <w:r w:rsidRPr="004A77D1">
        <w:rPr>
          <w:rFonts w:asciiTheme="minorBidi" w:eastAsiaTheme="minorHAnsi" w:hAnsiTheme="minorBidi" w:cstheme="minorBidi"/>
        </w:rPr>
        <w:t>The</w:t>
      </w:r>
      <w:proofErr w:type="spellEnd"/>
      <w:r w:rsidRPr="004A77D1">
        <w:rPr>
          <w:rFonts w:asciiTheme="minorBidi" w:eastAsiaTheme="minorHAnsi" w:hAnsiTheme="minorBidi" w:cstheme="minorBidi"/>
        </w:rPr>
        <w:t xml:space="preserve"> second factor, seed rate, included four levels SR</w:t>
      </w:r>
      <w:r w:rsidRPr="004A77D1">
        <w:rPr>
          <w:rFonts w:asciiTheme="minorBidi" w:eastAsiaTheme="minorHAnsi" w:hAnsiTheme="minorBidi" w:cstheme="minorBidi"/>
          <w:vertAlign w:val="subscript"/>
        </w:rPr>
        <w:t>1</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2</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3</w:t>
      </w:r>
      <w:r w:rsidRPr="004A77D1">
        <w:rPr>
          <w:rFonts w:asciiTheme="minorBidi" w:eastAsiaTheme="minorHAnsi" w:hAnsiTheme="minorBidi" w:cstheme="minorBidi"/>
        </w:rPr>
        <w:t xml:space="preserve"> and SR</w:t>
      </w:r>
      <w:r w:rsidRPr="004A77D1">
        <w:rPr>
          <w:rFonts w:asciiTheme="minorBidi" w:eastAsiaTheme="minorHAnsi" w:hAnsiTheme="minorBidi" w:cstheme="minorBidi"/>
          <w:vertAlign w:val="subscript"/>
        </w:rPr>
        <w:t>4</w:t>
      </w:r>
      <w:r w:rsidRPr="004A77D1">
        <w:rPr>
          <w:rFonts w:asciiTheme="minorBidi" w:eastAsiaTheme="minorHAnsi" w:hAnsiTheme="minorBidi" w:cstheme="minorBidi"/>
        </w:rPr>
        <w:t xml:space="preserve"> .These represent 3.5, 6.0, 12.0, and </w:t>
      </w:r>
      <w:proofErr w:type="gramStart"/>
      <w:r w:rsidRPr="004A77D1">
        <w:rPr>
          <w:rFonts w:asciiTheme="minorBidi" w:eastAsiaTheme="minorHAnsi" w:hAnsiTheme="minorBidi" w:cstheme="minorBidi"/>
        </w:rPr>
        <w:t>18.0 kgha</w:t>
      </w:r>
      <w:r w:rsidRPr="004A77D1">
        <w:rPr>
          <w:rFonts w:asciiTheme="minorBidi" w:eastAsiaTheme="minorHAnsi" w:hAnsiTheme="minorBidi" w:cstheme="minorBidi"/>
          <w:vertAlign w:val="superscript"/>
        </w:rPr>
        <w:t>-1</w:t>
      </w:r>
      <w:r w:rsidRPr="004A77D1">
        <w:rPr>
          <w:rFonts w:asciiTheme="minorBidi" w:eastAsiaTheme="minorHAnsi" w:hAnsiTheme="minorBidi" w:cstheme="minorBidi"/>
        </w:rPr>
        <w:t>,</w:t>
      </w:r>
      <w:r w:rsidRPr="004A77D1">
        <w:rPr>
          <w:rFonts w:asciiTheme="minorBidi" w:eastAsiaTheme="minorHAnsi" w:hAnsiTheme="minorBidi" w:cstheme="minorBidi"/>
          <w:vertAlign w:val="superscript"/>
        </w:rPr>
        <w:t xml:space="preserve"> </w:t>
      </w:r>
      <w:r w:rsidRPr="004A77D1">
        <w:rPr>
          <w:rFonts w:asciiTheme="minorBidi" w:eastAsiaTheme="minorHAnsi" w:hAnsiTheme="minorBidi" w:cstheme="minorBidi"/>
        </w:rPr>
        <w:t>respectively</w:t>
      </w:r>
      <w:proofErr w:type="gramEnd"/>
      <w:r w:rsidRPr="004A77D1">
        <w:rPr>
          <w:rFonts w:asciiTheme="minorBidi" w:eastAsiaTheme="minorHAnsi" w:hAnsiTheme="minorBidi" w:cstheme="minorBidi"/>
        </w:rPr>
        <w:t>. These two factors combined to form eight treatment combinations, each replicated four times, resulting in a total of 32 experimental plots. Each plot is 25 square meters, measured as (5 m × 5 m). Plots were randomly assigned within each block and spaced appropriately to minimize edge effects and cross-treatment interference. The experiment was conducted over two growing seasons: 2019–2020 and 2020–2021, with sowing dates on 13 November 2019 and 12 November 2020, respectively.</w:t>
      </w:r>
    </w:p>
    <w:p w14:paraId="5A12905B" w14:textId="77777777" w:rsidR="006E4C27" w:rsidRDefault="006E4C27" w:rsidP="006E4C27">
      <w:pPr>
        <w:jc w:val="both"/>
        <w:rPr>
          <w:rFonts w:asciiTheme="minorBidi" w:hAnsiTheme="minorBidi" w:cstheme="minorBidi"/>
        </w:rPr>
      </w:pPr>
      <w:r w:rsidRPr="004A77D1">
        <w:rPr>
          <w:rFonts w:asciiTheme="minorBidi" w:hAnsiTheme="minorBidi" w:cstheme="minorBidi"/>
        </w:rPr>
        <w:t>Land preparation involved plowing and harrowing to create uniform ridges suitable for carrot cultivation. Seeds were sown according to the designated sowing methods and seed rates. Irrigation was applied regularly through surface irrigation to maintain adequate soil moisture throughout the growing season, while fertilization was carried out uniformly across all plots using Urea fertilizer 46% nitrogen by weight, applied at a rate of 120 kg N ha</w:t>
      </w:r>
      <w:r w:rsidRPr="004A77D1">
        <w:rPr>
          <w:rFonts w:ascii="Cambria Math" w:hAnsi="Cambria Math" w:cs="Cambria Math"/>
        </w:rPr>
        <w:t>⁻</w:t>
      </w:r>
      <w:r w:rsidRPr="004A77D1">
        <w:rPr>
          <w:rFonts w:ascii="Arial" w:hAnsi="Arial" w:cs="Arial"/>
        </w:rPr>
        <w:t>¹</w:t>
      </w:r>
      <w:r w:rsidRPr="004A77D1">
        <w:rPr>
          <w:rFonts w:asciiTheme="minorBidi" w:hAnsiTheme="minorBidi" w:cstheme="minorBidi"/>
        </w:rPr>
        <w:t xml:space="preserve">.  The following parameters were collected: number of plants per square meter, root length (cm), root diameter (cm), yield parameters, including marketable root yield in kilograms per square meter (kg/m²) and total root yield (kg/m²) were measured and recorded at harvest. Marketable yield was defined as the weight of carrot roots that were straight, undamaged, and met commercial size standards. It was expressed in kilograms per square meter (kg/m²).Total yield included the combined biomass of marketable roots and shoot (green top) weight, also expressed in kg/m².  </w:t>
      </w:r>
    </w:p>
    <w:p w14:paraId="1538C781" w14:textId="77777777" w:rsidR="006E4C27" w:rsidRDefault="006E4C27" w:rsidP="006E4C27">
      <w:pPr>
        <w:jc w:val="both"/>
        <w:rPr>
          <w:rFonts w:asciiTheme="minorBidi" w:hAnsiTheme="minorBidi" w:cstheme="minorBidi"/>
        </w:rPr>
      </w:pPr>
    </w:p>
    <w:p w14:paraId="3E4A6E8A" w14:textId="77777777" w:rsidR="006E4C27" w:rsidRPr="004A77D1" w:rsidRDefault="006E4C27" w:rsidP="006E4C27">
      <w:pPr>
        <w:pStyle w:val="NormalWeb"/>
        <w:spacing w:before="0" w:beforeAutospacing="0" w:after="0" w:afterAutospacing="0"/>
        <w:jc w:val="both"/>
        <w:rPr>
          <w:rFonts w:asciiTheme="minorBidi" w:hAnsiTheme="minorBidi" w:cstheme="minorBidi"/>
          <w:b/>
          <w:bCs/>
          <w:sz w:val="20"/>
          <w:szCs w:val="20"/>
        </w:rPr>
      </w:pPr>
      <w:r>
        <w:rPr>
          <w:rFonts w:asciiTheme="minorBidi" w:hAnsiTheme="minorBidi" w:cstheme="minorBidi"/>
          <w:b/>
          <w:bCs/>
          <w:sz w:val="20"/>
          <w:szCs w:val="20"/>
        </w:rPr>
        <w:t xml:space="preserve">2.3 </w:t>
      </w:r>
      <w:r w:rsidRPr="004A77D1">
        <w:rPr>
          <w:rFonts w:asciiTheme="minorBidi" w:hAnsiTheme="minorBidi" w:cstheme="minorBidi"/>
          <w:b/>
          <w:bCs/>
          <w:sz w:val="20"/>
          <w:szCs w:val="20"/>
        </w:rPr>
        <w:t>Statistical Analysis</w:t>
      </w:r>
    </w:p>
    <w:p w14:paraId="487F7355" w14:textId="77777777" w:rsidR="006E4C27" w:rsidRPr="004A77D1" w:rsidRDefault="006E4C27" w:rsidP="006E4C27">
      <w:pPr>
        <w:jc w:val="both"/>
        <w:rPr>
          <w:rFonts w:asciiTheme="minorBidi" w:hAnsiTheme="minorBidi" w:cstheme="minorBidi"/>
        </w:rPr>
      </w:pPr>
      <w:r w:rsidRPr="004A77D1">
        <w:rPr>
          <w:rFonts w:asciiTheme="minorBidi" w:eastAsiaTheme="minorHAnsi" w:hAnsiTheme="minorBidi" w:cstheme="minorBidi"/>
        </w:rPr>
        <w:t xml:space="preserve">Data collected from both growing seasons were analyzed using Analysis of Variance (ANOVA), suitable for factorial experiments in CRBD as described </w:t>
      </w:r>
      <w:r w:rsidRPr="004A77D1">
        <w:rPr>
          <w:rFonts w:asciiTheme="minorBidi" w:hAnsiTheme="minorBidi" w:cstheme="minorBidi"/>
        </w:rPr>
        <w:t>in Singh and Chaudhary (1985)</w:t>
      </w:r>
      <w:r w:rsidRPr="004A77D1">
        <w:rPr>
          <w:rFonts w:asciiTheme="minorBidi" w:eastAsiaTheme="minorHAnsi" w:hAnsiTheme="minorBidi" w:cstheme="minorBidi"/>
        </w:rPr>
        <w:t xml:space="preserve">. </w:t>
      </w:r>
      <w:r w:rsidRPr="004A77D1">
        <w:rPr>
          <w:rFonts w:asciiTheme="minorBidi" w:hAnsiTheme="minorBidi" w:cstheme="minorBidi"/>
        </w:rPr>
        <w:t>The statistical analysis and</w:t>
      </w:r>
      <w:r w:rsidRPr="004A77D1">
        <w:rPr>
          <w:rFonts w:asciiTheme="minorBidi" w:eastAsiaTheme="minorHAnsi" w:hAnsiTheme="minorBidi" w:cstheme="minorBidi"/>
        </w:rPr>
        <w:t xml:space="preserve"> mean comparisons </w:t>
      </w:r>
      <w:r w:rsidRPr="004A77D1">
        <w:rPr>
          <w:rFonts w:asciiTheme="minorBidi" w:hAnsiTheme="minorBidi" w:cstheme="minorBidi"/>
        </w:rPr>
        <w:t>for</w:t>
      </w:r>
      <w:r w:rsidRPr="004A77D1">
        <w:rPr>
          <w:rFonts w:asciiTheme="minorBidi" w:eastAsiaTheme="minorHAnsi" w:hAnsiTheme="minorBidi" w:cstheme="minorBidi"/>
        </w:rPr>
        <w:t xml:space="preserve"> main effects and interactions between sowing methods and seed rates was evaluated at the 5% probability level</w:t>
      </w:r>
      <w:r w:rsidRPr="004A77D1">
        <w:rPr>
          <w:rFonts w:asciiTheme="minorBidi" w:hAnsiTheme="minorBidi" w:cstheme="minorBidi"/>
        </w:rPr>
        <w:t xml:space="preserve"> using GRAPES online statistical analysis platform by Gopinath </w:t>
      </w:r>
      <w:r w:rsidRPr="004A77D1">
        <w:rPr>
          <w:rStyle w:val="italic0"/>
          <w:rFonts w:asciiTheme="minorBidi" w:hAnsiTheme="minorBidi" w:cstheme="minorBidi"/>
          <w:i/>
          <w:iCs/>
        </w:rPr>
        <w:t>et al</w:t>
      </w:r>
      <w:r w:rsidRPr="004A77D1">
        <w:rPr>
          <w:rStyle w:val="italic0"/>
          <w:rFonts w:asciiTheme="minorBidi" w:hAnsiTheme="minorBidi" w:cstheme="minorBidi"/>
        </w:rPr>
        <w:t>.</w:t>
      </w:r>
      <w:r w:rsidRPr="004A77D1">
        <w:rPr>
          <w:rFonts w:asciiTheme="minorBidi" w:hAnsiTheme="minorBidi" w:cstheme="minorBidi"/>
        </w:rPr>
        <w:t xml:space="preserve"> (2020).</w:t>
      </w:r>
    </w:p>
    <w:p w14:paraId="5C785D7E" w14:textId="77777777" w:rsidR="00790ADA" w:rsidRPr="00FB3A86" w:rsidRDefault="00790ADA" w:rsidP="00441B6F">
      <w:pPr>
        <w:pStyle w:val="Body"/>
        <w:spacing w:after="0"/>
        <w:rPr>
          <w:rFonts w:ascii="Arial" w:hAnsi="Arial" w:cs="Arial"/>
        </w:rPr>
      </w:pPr>
    </w:p>
    <w:p w14:paraId="10A78D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FBBCAD" w14:textId="77777777" w:rsidR="00856710" w:rsidRPr="00442061" w:rsidRDefault="00856710" w:rsidP="008A1E99">
      <w:pPr>
        <w:pStyle w:val="NormalWeb"/>
        <w:spacing w:before="0" w:beforeAutospacing="0" w:after="0" w:afterAutospacing="0"/>
        <w:jc w:val="both"/>
        <w:rPr>
          <w:rFonts w:asciiTheme="minorBidi" w:hAnsiTheme="minorBidi" w:cstheme="minorBidi"/>
          <w:sz w:val="20"/>
          <w:szCs w:val="20"/>
        </w:rPr>
      </w:pPr>
      <w:r w:rsidRPr="00442061">
        <w:rPr>
          <w:rFonts w:asciiTheme="minorBidi" w:hAnsiTheme="minorBidi" w:cstheme="minorBidi"/>
          <w:sz w:val="20"/>
          <w:szCs w:val="20"/>
        </w:rPr>
        <w:t>The results presented in Table 2 demonstrate significant variations (P = 0.05) in carrot growth and yield traits due to seed rates, sowing methods, and their interactions. The impact of seed rate was particularly evident in parameters such as number of plants per square meter (plant density), total yield and marketable yield, while its influence on root diameter and length was less consistent across the two seasons.</w:t>
      </w:r>
    </w:p>
    <w:p w14:paraId="0281DF97"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Increasing seed rate from 3.5 to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significantly increased the number of plants per square meter in both seasons. Among the seed rates tested, the highest plant population densities were recorded at the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level (SR4), reaching 125.5 and 211.75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in seasons one and two, respectively, which were statistically significant (P </w:t>
      </w:r>
      <w:r w:rsidRPr="00442061">
        <w:rPr>
          <w:rFonts w:ascii="Arial" w:hAnsi="Arial" w:cs="Arial"/>
        </w:rPr>
        <w:t>≤</w:t>
      </w:r>
      <w:r w:rsidRPr="00442061">
        <w:rPr>
          <w:rFonts w:asciiTheme="minorBidi" w:hAnsiTheme="minorBidi" w:cstheme="minorBidi"/>
        </w:rPr>
        <w:t xml:space="preserve"> 0.05). The lowest number of plants per square meter was 49.50 and 85.75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at the lowest seed rate (SR1) in seasons one and two, respectively. This trend was expected, as higher seed rates naturally increase the plant population per unit area. However, this increase was associated with a reduction in root quality parameters such as shorter roots and smaller root diameter, particularly at the highest rate, indicating intra-specific competition. Total root yield and marketable root yield improved with increased seed rates, reaching a maximum of 5.36 and 3.49 kg per square meter, respectively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in season one.</w:t>
      </w:r>
      <w:r w:rsidRPr="00442061">
        <w:rPr>
          <w:rStyle w:val="ng-star-inserted"/>
          <w:rFonts w:asciiTheme="minorBidi" w:hAnsiTheme="minorBidi" w:cstheme="minorBidi"/>
        </w:rPr>
        <w:t xml:space="preserve"> The increased number of plants at higher densities in carrot appears to effectively compensate for any individual plant size reduction, leading to a higher overall root yield. </w:t>
      </w:r>
      <w:r w:rsidRPr="00442061">
        <w:rPr>
          <w:rFonts w:asciiTheme="minorBidi" w:hAnsiTheme="minorBidi" w:cstheme="minorBidi"/>
        </w:rPr>
        <w:t xml:space="preserve">This finding aligns with the conclusions of Salter </w:t>
      </w:r>
      <w:r w:rsidRPr="00442061">
        <w:rPr>
          <w:rStyle w:val="italic0"/>
          <w:rFonts w:asciiTheme="minorBidi" w:hAnsiTheme="minorBidi" w:cstheme="minorBidi"/>
          <w:i/>
          <w:iCs/>
        </w:rPr>
        <w:t>et al.</w:t>
      </w:r>
      <w:r w:rsidRPr="00442061">
        <w:rPr>
          <w:rFonts w:asciiTheme="minorBidi" w:hAnsiTheme="minorBidi" w:cstheme="minorBidi"/>
        </w:rPr>
        <w:t xml:space="preserve"> (1979), Oliva </w:t>
      </w:r>
      <w:r w:rsidRPr="00442061">
        <w:rPr>
          <w:rStyle w:val="italic0"/>
          <w:rFonts w:asciiTheme="minorBidi" w:hAnsiTheme="minorBidi" w:cstheme="minorBidi"/>
          <w:i/>
          <w:iCs/>
        </w:rPr>
        <w:t>et al</w:t>
      </w:r>
      <w:r w:rsidRPr="00442061">
        <w:rPr>
          <w:rStyle w:val="italic0"/>
          <w:rFonts w:asciiTheme="minorBidi" w:hAnsiTheme="minorBidi" w:cstheme="minorBidi"/>
        </w:rPr>
        <w:t>.</w:t>
      </w:r>
      <w:r w:rsidRPr="00442061">
        <w:rPr>
          <w:rFonts w:asciiTheme="minorBidi" w:hAnsiTheme="minorBidi" w:cstheme="minorBidi"/>
        </w:rPr>
        <w:t xml:space="preserve">  (1988), </w:t>
      </w: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&amp;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Mengistu &amp; Yamoah  (2010),Tegen  &amp; Jembere  (2021), Muhie  &amp; Yimer  (2023)  who advocate lower seed rate  and wider spacing  for quality roots. They reported that higher seed rates in carrots led to increased plant density but reduced individual root size due to competition for nutrients and space. In terms of yield performance, SR</w:t>
      </w:r>
      <w:r w:rsidRPr="00442061">
        <w:rPr>
          <w:rFonts w:asciiTheme="minorBidi" w:hAnsiTheme="minorBidi" w:cstheme="minorBidi"/>
          <w:vertAlign w:val="subscript"/>
        </w:rPr>
        <w:t>4</w:t>
      </w:r>
      <w:r w:rsidRPr="00442061">
        <w:rPr>
          <w:rFonts w:asciiTheme="minorBidi" w:hAnsiTheme="minorBidi" w:cstheme="minorBidi"/>
        </w:rPr>
        <w:t xml:space="preserve">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produced the highest total root yield (5.36 and 4.85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across the two seasons) and </w:t>
      </w:r>
      <w:r w:rsidRPr="00442061">
        <w:rPr>
          <w:rFonts w:asciiTheme="minorBidi" w:hAnsiTheme="minorBidi" w:cstheme="minorBidi"/>
        </w:rPr>
        <w:lastRenderedPageBreak/>
        <w:t>marketable root yield (3.49 and 3.13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Nonetheless, these yield increments came at the expense of reduced root quality traits, specifically root diameter and root length, highlighting the trade-off between quantity and quality at excessive seed densities. The moderate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3</w:t>
      </w:r>
      <w:r w:rsidRPr="00442061">
        <w:rPr>
          <w:rFonts w:asciiTheme="minorBidi" w:hAnsiTheme="minorBidi" w:cstheme="minorBidi"/>
        </w:rPr>
        <w:t>) demonstrated a better balance between yield and quality, with respectable marketable yield (3.28 and 3.59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and improved root dimensions.</w:t>
      </w:r>
    </w:p>
    <w:p w14:paraId="4B6B53CF" w14:textId="77777777" w:rsidR="00856710" w:rsidRPr="00442061" w:rsidRDefault="00856710" w:rsidP="008A1E99">
      <w:pPr>
        <w:jc w:val="both"/>
        <w:rPr>
          <w:rFonts w:asciiTheme="minorBidi" w:hAnsiTheme="minorBidi" w:cstheme="minorBidi"/>
        </w:rPr>
      </w:pPr>
      <w:r w:rsidRPr="00442061">
        <w:rPr>
          <w:rFonts w:asciiTheme="minorBidi" w:hAnsiTheme="minorBidi" w:cstheme="minorBidi"/>
        </w:rPr>
        <w:t xml:space="preserve">It is important to use sound sowing/planting methods, which control seed placement, spacing, and depth, that lead to seed savings, improved nutrient utilization, and reduced plant competition, ultimately enhancing yield, root quality, and profitability. In contrast, broadcasting offers less control and can result in uneven stands and wasted seeds. Farmers in River Nile State, north of Khartoum, are adopting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1</w:t>
      </w:r>
      <w:r w:rsidRPr="00442061">
        <w:rPr>
          <w:rFonts w:asciiTheme="minorBidi" w:hAnsiTheme="minorBidi" w:cstheme="minorBidi"/>
        </w:rPr>
        <w:t xml:space="preserve">) and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sowing methods rather than seed broadcasting. Each method's supporters cite their own experiences, reporting observations for high-yield crops, better management conditions, and higher marketable quality. The results obtained in Table 2 demonstrate that the sowing method significantly affects root diameter, root length, and marketable yield, particularly in Season 2.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1</w:t>
      </w:r>
      <w:r w:rsidRPr="00442061">
        <w:rPr>
          <w:rFonts w:asciiTheme="minorBidi" w:hAnsiTheme="minorBidi" w:cstheme="minorBidi"/>
        </w:rPr>
        <w:t xml:space="preserve">)   resulted in larger root diameters (2.28 cm) and longer roots (14.82 cm) compared to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Additionally,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2</w:t>
      </w:r>
      <w:r w:rsidRPr="00442061">
        <w:rPr>
          <w:rFonts w:asciiTheme="minorBidi" w:hAnsiTheme="minorBidi" w:cstheme="minorBidi"/>
        </w:rPr>
        <w:t xml:space="preserve">) led to higher marketable yields (3.52 kg) in Season two, reflecting better plant spacing and reduced competition. Preferences for carrot root diameter and length vary widely and largely depend on the type of consumer. Household consumers typically prefer slender, medium-sized carrot roots, while the food industry often favors longer carrots with a larger diameter. In Sudan, carrots are primarily consumed fresh by households. These results corroborate those of Muhie and Yimer (2023) and Kepka </w:t>
      </w:r>
      <w:r w:rsidRPr="00442061">
        <w:rPr>
          <w:rStyle w:val="italic0"/>
          <w:rFonts w:asciiTheme="minorBidi" w:hAnsiTheme="minorBidi" w:cstheme="minorBidi"/>
          <w:i/>
          <w:iCs/>
        </w:rPr>
        <w:t>et al.</w:t>
      </w:r>
      <w:r w:rsidRPr="00442061">
        <w:rPr>
          <w:rFonts w:asciiTheme="minorBidi" w:hAnsiTheme="minorBidi" w:cstheme="minorBidi"/>
        </w:rPr>
        <w:t xml:space="preserve"> (1977), who observed that precision sowing using evenly spaced holes improved carrot root uniformity and marketable yield under similar conditions. The greater uniformity in the </w:t>
      </w:r>
      <w:proofErr w:type="spellStart"/>
      <w:r w:rsidRPr="00442061">
        <w:rPr>
          <w:rFonts w:asciiTheme="minorBidi" w:hAnsiTheme="minorBidi" w:cstheme="minorBidi"/>
          <w:i/>
          <w:iCs/>
        </w:rPr>
        <w:t>Madrab</w:t>
      </w:r>
      <w:proofErr w:type="spellEnd"/>
      <w:r w:rsidRPr="00442061">
        <w:rPr>
          <w:rFonts w:asciiTheme="minorBidi" w:hAnsiTheme="minorBidi" w:cstheme="minorBidi"/>
          <w:i/>
          <w:iCs/>
        </w:rPr>
        <w:t xml:space="preserve"> </w:t>
      </w:r>
      <w:r w:rsidRPr="00442061">
        <w:rPr>
          <w:rFonts w:asciiTheme="minorBidi" w:hAnsiTheme="minorBidi" w:cstheme="minorBidi"/>
        </w:rPr>
        <w:t>(SM</w:t>
      </w:r>
      <w:r w:rsidRPr="00442061">
        <w:rPr>
          <w:rFonts w:asciiTheme="minorBidi" w:hAnsiTheme="minorBidi" w:cstheme="minorBidi"/>
          <w:vertAlign w:val="subscript"/>
        </w:rPr>
        <w:t>2</w:t>
      </w:r>
      <w:r w:rsidRPr="00442061">
        <w:rPr>
          <w:rFonts w:asciiTheme="minorBidi" w:hAnsiTheme="minorBidi" w:cstheme="minorBidi"/>
        </w:rPr>
        <w:t xml:space="preserve">) is likely enabled by more efficient nutrient use and root development, leading to enhanced quality and productivity. </w:t>
      </w: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w:t>
      </w:r>
      <w:r w:rsidRPr="00442061">
        <w:rPr>
          <w:rStyle w:val="italic0"/>
          <w:rFonts w:asciiTheme="minorBidi" w:hAnsiTheme="minorBidi" w:cstheme="minorBidi"/>
          <w:i/>
          <w:iCs/>
        </w:rPr>
        <w:t>et al.</w:t>
      </w:r>
      <w:r w:rsidRPr="00442061">
        <w:rPr>
          <w:rFonts w:asciiTheme="minorBidi" w:hAnsiTheme="minorBidi" w:cstheme="minorBidi"/>
        </w:rPr>
        <w:t xml:space="preserve"> (2023) corroborate the significantly influence of planting method especially direct seeding on carrot. </w:t>
      </w: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&amp;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reported the lowest yield for Single rows sown in ridges which much resemble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sowing method (SM</w:t>
      </w:r>
      <w:r w:rsidRPr="00442061">
        <w:rPr>
          <w:rFonts w:asciiTheme="minorBidi" w:hAnsiTheme="minorBidi" w:cstheme="minorBidi"/>
          <w:vertAlign w:val="subscript"/>
        </w:rPr>
        <w:t>1</w:t>
      </w:r>
      <w:r w:rsidRPr="00442061">
        <w:rPr>
          <w:rFonts w:asciiTheme="minorBidi" w:hAnsiTheme="minorBidi" w:cstheme="minorBidi"/>
        </w:rPr>
        <w:t>)</w:t>
      </w:r>
      <w:r w:rsidR="008A1E99">
        <w:rPr>
          <w:rFonts w:asciiTheme="minorBidi" w:hAnsiTheme="minorBidi" w:cstheme="minorBidi"/>
        </w:rPr>
        <w:t>.</w:t>
      </w:r>
    </w:p>
    <w:p w14:paraId="6F7B0FA1" w14:textId="77777777" w:rsidR="0085710E" w:rsidRDefault="00856710" w:rsidP="0085710E">
      <w:pPr>
        <w:pStyle w:val="NormalWeb"/>
        <w:spacing w:before="0" w:beforeAutospacing="0" w:after="0" w:afterAutospacing="0"/>
        <w:jc w:val="both"/>
        <w:rPr>
          <w:rFonts w:asciiTheme="minorBidi" w:hAnsiTheme="minorBidi" w:cstheme="minorBidi"/>
          <w:sz w:val="20"/>
          <w:szCs w:val="20"/>
        </w:rPr>
        <w:sectPr w:rsidR="0085710E" w:rsidSect="00876EB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pPr>
      <w:r w:rsidRPr="00442061">
        <w:rPr>
          <w:rFonts w:asciiTheme="minorBidi" w:hAnsiTheme="minorBidi" w:cstheme="minorBidi"/>
          <w:sz w:val="20"/>
          <w:szCs w:val="20"/>
        </w:rPr>
        <w:t xml:space="preserve">Interaction effects between seed rate and sowing method (SR × SM) is not significant for most of the traits across the seasons. The only significant observation recorded was the combination </w:t>
      </w:r>
      <w:proofErr w:type="gramStart"/>
      <w:r w:rsidRPr="00442061">
        <w:rPr>
          <w:rFonts w:asciiTheme="minorBidi" w:hAnsiTheme="minorBidi" w:cstheme="minorBidi"/>
          <w:sz w:val="20"/>
          <w:szCs w:val="20"/>
        </w:rPr>
        <w:t>of  3.5</w:t>
      </w:r>
      <w:proofErr w:type="gramEnd"/>
      <w:r w:rsidRPr="00442061">
        <w:rPr>
          <w:rFonts w:asciiTheme="minorBidi" w:hAnsiTheme="minorBidi" w:cstheme="minorBidi"/>
          <w:sz w:val="20"/>
          <w:szCs w:val="20"/>
        </w:rPr>
        <w:t xml:space="preserve"> kgha</w:t>
      </w:r>
      <w:r w:rsidRPr="00442061">
        <w:rPr>
          <w:rFonts w:asciiTheme="minorBidi" w:hAnsiTheme="minorBidi" w:cstheme="minorBidi"/>
          <w:sz w:val="20"/>
          <w:szCs w:val="20"/>
          <w:vertAlign w:val="superscript"/>
        </w:rPr>
        <w:t>-1</w:t>
      </w:r>
      <w:r w:rsidRPr="00442061">
        <w:rPr>
          <w:rFonts w:asciiTheme="minorBidi" w:hAnsiTheme="minorBidi" w:cstheme="minorBidi"/>
          <w:sz w:val="20"/>
          <w:szCs w:val="20"/>
        </w:rPr>
        <w:t xml:space="preserve">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w:t>
      </w:r>
      <w:r w:rsidRPr="00442061">
        <w:rPr>
          <w:rFonts w:asciiTheme="minorBidi" w:hAnsiTheme="minorBidi" w:cstheme="minorBidi"/>
          <w:b/>
          <w:bCs/>
          <w:sz w:val="20"/>
          <w:szCs w:val="20"/>
        </w:rPr>
        <w:t xml:space="preserve"> </w:t>
      </w:r>
      <w:r w:rsidRPr="00442061">
        <w:rPr>
          <w:rFonts w:asciiTheme="minorBidi" w:hAnsiTheme="minorBidi" w:cstheme="minorBidi"/>
          <w:sz w:val="20"/>
          <w:szCs w:val="20"/>
        </w:rPr>
        <w:t xml:space="preserve">seed rate and </w:t>
      </w:r>
      <w:proofErr w:type="spellStart"/>
      <w:r w:rsidRPr="00442061">
        <w:rPr>
          <w:rFonts w:asciiTheme="minorBidi" w:hAnsiTheme="minorBidi" w:cstheme="minorBidi"/>
          <w:i/>
          <w:sz w:val="20"/>
          <w:szCs w:val="20"/>
        </w:rPr>
        <w:t>Sarsaba</w:t>
      </w:r>
      <w:proofErr w:type="spellEnd"/>
      <w:r w:rsidRPr="00442061">
        <w:rPr>
          <w:rFonts w:asciiTheme="minorBidi" w:hAnsiTheme="minorBidi" w:cstheme="minorBidi"/>
          <w:sz w:val="20"/>
          <w:szCs w:val="20"/>
        </w:rPr>
        <w:t xml:space="preserve"> method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xml:space="preserve"> × SM</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This combination is giving the highest root length. Seasonal differences were also observed, with Season 2 generally showing higher values for total and marketable yields, possibly due to improved environmental conditions such as better temperature or rainfall distribution as per Figure 1. The results underline the importance of optimizing both seed rate and sowing method to enhance carrot growth and yield. Moderate seed rates (around 12.0 kg ha</w:t>
      </w:r>
      <w:r w:rsidRPr="00442061">
        <w:rPr>
          <w:rFonts w:ascii="Cambria Math" w:hAnsi="Cambria Math" w:cs="Cambria Math"/>
          <w:sz w:val="20"/>
          <w:szCs w:val="20"/>
        </w:rPr>
        <w:t>⁻</w:t>
      </w:r>
      <w:r w:rsidRPr="00442061">
        <w:rPr>
          <w:rFonts w:ascii="Arial" w:hAnsi="Arial" w:cs="Arial"/>
          <w:sz w:val="20"/>
          <w:szCs w:val="20"/>
        </w:rPr>
        <w:t>¹</w:t>
      </w:r>
      <w:r w:rsidRPr="00442061">
        <w:rPr>
          <w:rFonts w:asciiTheme="minorBidi" w:hAnsiTheme="minorBidi" w:cstheme="minorBidi"/>
          <w:sz w:val="20"/>
          <w:szCs w:val="20"/>
        </w:rPr>
        <w:t xml:space="preserve">) combined with precise sowing </w:t>
      </w:r>
      <w:proofErr w:type="spellStart"/>
      <w:r w:rsidRPr="00442061">
        <w:rPr>
          <w:rFonts w:asciiTheme="minorBidi" w:hAnsiTheme="minorBidi" w:cstheme="minorBidi"/>
          <w:i/>
          <w:iCs/>
          <w:sz w:val="20"/>
          <w:szCs w:val="20"/>
        </w:rPr>
        <w:t>Madrab</w:t>
      </w:r>
      <w:proofErr w:type="spellEnd"/>
      <w:r w:rsidRPr="00442061">
        <w:rPr>
          <w:rFonts w:asciiTheme="minorBidi" w:hAnsiTheme="minorBidi" w:cstheme="minorBidi"/>
          <w:sz w:val="20"/>
          <w:szCs w:val="20"/>
        </w:rPr>
        <w:t xml:space="preserve"> method (SM</w:t>
      </w:r>
      <w:r w:rsidRPr="00442061">
        <w:rPr>
          <w:rFonts w:asciiTheme="minorBidi" w:hAnsiTheme="minorBidi" w:cstheme="minorBidi"/>
          <w:sz w:val="20"/>
          <w:szCs w:val="20"/>
          <w:vertAlign w:val="subscript"/>
        </w:rPr>
        <w:t>2</w:t>
      </w:r>
      <w:r w:rsidRPr="00442061">
        <w:rPr>
          <w:rFonts w:asciiTheme="minorBidi" w:hAnsiTheme="minorBidi" w:cstheme="minorBidi"/>
          <w:sz w:val="20"/>
          <w:szCs w:val="20"/>
        </w:rPr>
        <w:t>) produced the best agronomic performance. These findings are consistent with prior studies and reinforce the need for context-specific recommendations for carrot cultivation under similar agro-ecological conditions.</w:t>
      </w:r>
    </w:p>
    <w:p w14:paraId="5F1385C1" w14:textId="77777777" w:rsidR="0085710E" w:rsidRPr="00B403D0" w:rsidRDefault="0085710E" w:rsidP="0085710E">
      <w:pPr>
        <w:jc w:val="center"/>
        <w:rPr>
          <w:rFonts w:asciiTheme="minorBidi" w:hAnsiTheme="minorBidi" w:cstheme="minorBidi"/>
          <w:b/>
          <w:bCs/>
        </w:rPr>
      </w:pPr>
      <w:r w:rsidRPr="00B403D0">
        <w:rPr>
          <w:rFonts w:asciiTheme="minorBidi" w:hAnsiTheme="minorBidi" w:cstheme="minorBidi"/>
          <w:b/>
          <w:bCs/>
        </w:rPr>
        <w:lastRenderedPageBreak/>
        <w:t>Table 2. Mean performance as affected by seed rate, sowing method, and their interaction in carrot across two seasons</w:t>
      </w:r>
    </w:p>
    <w:tbl>
      <w:tblPr>
        <w:tblStyle w:val="TableGrid"/>
        <w:tblpPr w:leftFromText="180" w:rightFromText="180" w:vertAnchor="page" w:horzAnchor="margin" w:tblpY="2881"/>
        <w:tblW w:w="12008" w:type="dxa"/>
        <w:tblLayout w:type="fixed"/>
        <w:tblLook w:val="04A0" w:firstRow="1" w:lastRow="0" w:firstColumn="1" w:lastColumn="0" w:noHBand="0" w:noVBand="1"/>
      </w:tblPr>
      <w:tblGrid>
        <w:gridCol w:w="1241"/>
        <w:gridCol w:w="1909"/>
        <w:gridCol w:w="769"/>
        <w:gridCol w:w="822"/>
        <w:gridCol w:w="763"/>
        <w:gridCol w:w="803"/>
        <w:gridCol w:w="1110"/>
        <w:gridCol w:w="1046"/>
        <w:gridCol w:w="972"/>
        <w:gridCol w:w="880"/>
        <w:gridCol w:w="891"/>
        <w:gridCol w:w="802"/>
      </w:tblGrid>
      <w:tr w:rsidR="0085710E" w:rsidRPr="00B403D0" w14:paraId="23B2A3B7" w14:textId="77777777" w:rsidTr="0085710E">
        <w:tc>
          <w:tcPr>
            <w:tcW w:w="3150" w:type="dxa"/>
            <w:gridSpan w:val="2"/>
            <w:vMerge w:val="restart"/>
            <w:tcBorders>
              <w:top w:val="single" w:sz="4" w:space="0" w:color="auto"/>
              <w:left w:val="nil"/>
              <w:bottom w:val="nil"/>
              <w:right w:val="nil"/>
            </w:tcBorders>
            <w:vAlign w:val="center"/>
          </w:tcPr>
          <w:p w14:paraId="0AFF171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Source of Variation</w:t>
            </w:r>
          </w:p>
        </w:tc>
        <w:tc>
          <w:tcPr>
            <w:tcW w:w="1591" w:type="dxa"/>
            <w:gridSpan w:val="2"/>
            <w:tcBorders>
              <w:top w:val="single" w:sz="4" w:space="0" w:color="auto"/>
              <w:left w:val="nil"/>
              <w:bottom w:val="single" w:sz="4" w:space="0" w:color="auto"/>
              <w:right w:val="nil"/>
            </w:tcBorders>
            <w:vAlign w:val="center"/>
          </w:tcPr>
          <w:p w14:paraId="7726200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Diameter (cm)</w:t>
            </w:r>
          </w:p>
        </w:tc>
        <w:tc>
          <w:tcPr>
            <w:tcW w:w="1566" w:type="dxa"/>
            <w:gridSpan w:val="2"/>
            <w:tcBorders>
              <w:top w:val="single" w:sz="4" w:space="0" w:color="auto"/>
              <w:left w:val="nil"/>
              <w:bottom w:val="single" w:sz="4" w:space="0" w:color="auto"/>
              <w:right w:val="nil"/>
            </w:tcBorders>
            <w:vAlign w:val="center"/>
          </w:tcPr>
          <w:p w14:paraId="0CA88A3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Length (cm)</w:t>
            </w:r>
          </w:p>
        </w:tc>
        <w:tc>
          <w:tcPr>
            <w:tcW w:w="2156" w:type="dxa"/>
            <w:gridSpan w:val="2"/>
            <w:tcBorders>
              <w:top w:val="single" w:sz="4" w:space="0" w:color="auto"/>
              <w:left w:val="nil"/>
              <w:bottom w:val="single" w:sz="4" w:space="0" w:color="auto"/>
              <w:right w:val="nil"/>
            </w:tcBorders>
            <w:vAlign w:val="center"/>
          </w:tcPr>
          <w:p w14:paraId="38CBEED9"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Number of Plants per (m</w:t>
            </w:r>
            <w:r w:rsidRPr="00B403D0">
              <w:rPr>
                <w:rFonts w:asciiTheme="minorBidi" w:hAnsiTheme="minorBidi" w:cs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852" w:type="dxa"/>
            <w:gridSpan w:val="2"/>
            <w:tcBorders>
              <w:top w:val="single" w:sz="4" w:space="0" w:color="auto"/>
              <w:left w:val="nil"/>
              <w:bottom w:val="single" w:sz="4" w:space="0" w:color="auto"/>
              <w:right w:val="nil"/>
            </w:tcBorders>
            <w:vAlign w:val="center"/>
          </w:tcPr>
          <w:p w14:paraId="0296C68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Total Yield (Kg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693" w:type="dxa"/>
            <w:gridSpan w:val="2"/>
            <w:tcBorders>
              <w:top w:val="single" w:sz="4" w:space="0" w:color="auto"/>
              <w:left w:val="nil"/>
              <w:bottom w:val="single" w:sz="4" w:space="0" w:color="auto"/>
              <w:right w:val="nil"/>
            </w:tcBorders>
            <w:vAlign w:val="center"/>
          </w:tcPr>
          <w:p w14:paraId="6D4A5499" w14:textId="77777777" w:rsidR="0085710E" w:rsidRDefault="0085710E" w:rsidP="0085710E">
            <w:pPr>
              <w:jc w:val="center"/>
              <w:rPr>
                <w:rFonts w:asciiTheme="minorBidi" w:hAnsiTheme="minorBidi"/>
                <w:b/>
                <w:bCs/>
                <w:color w:val="000000"/>
                <w:sz w:val="20"/>
                <w:szCs w:val="20"/>
              </w:rPr>
            </w:pPr>
            <w:r w:rsidRPr="00B403D0">
              <w:rPr>
                <w:rFonts w:asciiTheme="minorBidi" w:hAnsiTheme="minorBidi" w:cstheme="minorBidi"/>
                <w:b/>
                <w:bCs/>
                <w:color w:val="000000"/>
                <w:sz w:val="20"/>
                <w:szCs w:val="20"/>
              </w:rPr>
              <w:t xml:space="preserve">Marketable Root Yield </w:t>
            </w:r>
          </w:p>
          <w:p w14:paraId="579C569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 xml:space="preserve"> (</w:t>
            </w:r>
            <w:r w:rsidRPr="00B403D0">
              <w:rPr>
                <w:rFonts w:asciiTheme="minorBidi" w:hAnsiTheme="minorBidi"/>
                <w:b/>
                <w:bCs/>
                <w:color w:val="000000"/>
                <w:sz w:val="20"/>
                <w:szCs w:val="20"/>
              </w:rPr>
              <w:t xml:space="preserve"> </w:t>
            </w:r>
            <w:r w:rsidRPr="00B403D0">
              <w:rPr>
                <w:rFonts w:asciiTheme="minorBidi" w:hAnsiTheme="minorBidi" w:cstheme="minorBidi"/>
                <w:b/>
                <w:bCs/>
                <w:color w:val="000000"/>
                <w:sz w:val="20"/>
                <w:szCs w:val="20"/>
              </w:rPr>
              <w:t>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r>
      <w:tr w:rsidR="0085710E" w:rsidRPr="00B403D0" w14:paraId="44D0146A" w14:textId="77777777" w:rsidTr="0085710E">
        <w:tc>
          <w:tcPr>
            <w:tcW w:w="3150" w:type="dxa"/>
            <w:gridSpan w:val="2"/>
            <w:vMerge/>
            <w:tcBorders>
              <w:top w:val="nil"/>
              <w:left w:val="nil"/>
              <w:bottom w:val="nil"/>
              <w:right w:val="nil"/>
            </w:tcBorders>
            <w:vAlign w:val="center"/>
          </w:tcPr>
          <w:p w14:paraId="173F7A8D" w14:textId="77777777" w:rsidR="0085710E" w:rsidRPr="00B403D0" w:rsidRDefault="0085710E" w:rsidP="0085710E">
            <w:pPr>
              <w:jc w:val="center"/>
              <w:rPr>
                <w:rFonts w:asciiTheme="minorBidi" w:hAnsiTheme="minorBidi" w:cstheme="minorBidi"/>
                <w:b/>
                <w:bCs/>
                <w:sz w:val="20"/>
                <w:szCs w:val="20"/>
              </w:rPr>
            </w:pPr>
          </w:p>
        </w:tc>
        <w:tc>
          <w:tcPr>
            <w:tcW w:w="769" w:type="dxa"/>
            <w:tcBorders>
              <w:top w:val="single" w:sz="4" w:space="0" w:color="auto"/>
              <w:left w:val="nil"/>
              <w:bottom w:val="single" w:sz="4" w:space="0" w:color="auto"/>
              <w:right w:val="nil"/>
            </w:tcBorders>
            <w:vAlign w:val="center"/>
          </w:tcPr>
          <w:p w14:paraId="794D293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22" w:type="dxa"/>
            <w:tcBorders>
              <w:top w:val="single" w:sz="4" w:space="0" w:color="auto"/>
              <w:left w:val="nil"/>
              <w:bottom w:val="single" w:sz="4" w:space="0" w:color="auto"/>
              <w:right w:val="nil"/>
            </w:tcBorders>
            <w:vAlign w:val="center"/>
          </w:tcPr>
          <w:p w14:paraId="20342E4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763" w:type="dxa"/>
            <w:tcBorders>
              <w:top w:val="single" w:sz="4" w:space="0" w:color="auto"/>
              <w:left w:val="nil"/>
              <w:bottom w:val="single" w:sz="4" w:space="0" w:color="auto"/>
              <w:right w:val="nil"/>
            </w:tcBorders>
            <w:vAlign w:val="center"/>
          </w:tcPr>
          <w:p w14:paraId="0CE126B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03" w:type="dxa"/>
            <w:tcBorders>
              <w:top w:val="single" w:sz="4" w:space="0" w:color="auto"/>
              <w:left w:val="nil"/>
              <w:bottom w:val="single" w:sz="4" w:space="0" w:color="auto"/>
              <w:right w:val="nil"/>
            </w:tcBorders>
            <w:vAlign w:val="center"/>
          </w:tcPr>
          <w:p w14:paraId="34967BF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1110" w:type="dxa"/>
            <w:tcBorders>
              <w:top w:val="single" w:sz="4" w:space="0" w:color="auto"/>
              <w:left w:val="nil"/>
              <w:bottom w:val="single" w:sz="4" w:space="0" w:color="auto"/>
              <w:right w:val="nil"/>
            </w:tcBorders>
            <w:vAlign w:val="center"/>
          </w:tcPr>
          <w:p w14:paraId="0C1F8662"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0731F8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1046" w:type="dxa"/>
            <w:tcBorders>
              <w:top w:val="single" w:sz="4" w:space="0" w:color="auto"/>
              <w:left w:val="nil"/>
              <w:bottom w:val="single" w:sz="4" w:space="0" w:color="auto"/>
              <w:right w:val="nil"/>
            </w:tcBorders>
            <w:vAlign w:val="center"/>
          </w:tcPr>
          <w:p w14:paraId="4B8DC4F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18CA8E7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972" w:type="dxa"/>
            <w:tcBorders>
              <w:top w:val="single" w:sz="4" w:space="0" w:color="auto"/>
              <w:left w:val="nil"/>
              <w:bottom w:val="single" w:sz="4" w:space="0" w:color="auto"/>
              <w:right w:val="nil"/>
            </w:tcBorders>
            <w:vAlign w:val="center"/>
          </w:tcPr>
          <w:p w14:paraId="2DC8A820"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05E6AA3F"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80" w:type="dxa"/>
            <w:tcBorders>
              <w:top w:val="single" w:sz="4" w:space="0" w:color="auto"/>
              <w:left w:val="nil"/>
              <w:bottom w:val="single" w:sz="4" w:space="0" w:color="auto"/>
              <w:right w:val="nil"/>
            </w:tcBorders>
            <w:vAlign w:val="center"/>
          </w:tcPr>
          <w:p w14:paraId="7D1DE57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7EF8D101"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891" w:type="dxa"/>
            <w:tcBorders>
              <w:top w:val="single" w:sz="4" w:space="0" w:color="auto"/>
              <w:left w:val="nil"/>
              <w:bottom w:val="single" w:sz="4" w:space="0" w:color="auto"/>
              <w:right w:val="nil"/>
            </w:tcBorders>
            <w:vAlign w:val="center"/>
          </w:tcPr>
          <w:p w14:paraId="2A771E5B"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6D460C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02" w:type="dxa"/>
            <w:tcBorders>
              <w:top w:val="single" w:sz="4" w:space="0" w:color="auto"/>
              <w:left w:val="nil"/>
              <w:bottom w:val="single" w:sz="4" w:space="0" w:color="auto"/>
              <w:right w:val="nil"/>
            </w:tcBorders>
            <w:vAlign w:val="center"/>
          </w:tcPr>
          <w:p w14:paraId="0C9266D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67806C85"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r>
      <w:tr w:rsidR="0085710E" w:rsidRPr="00B403D0" w14:paraId="4D0515B7" w14:textId="77777777" w:rsidTr="0085710E">
        <w:tc>
          <w:tcPr>
            <w:tcW w:w="1241" w:type="dxa"/>
            <w:vMerge w:val="restart"/>
            <w:tcBorders>
              <w:top w:val="nil"/>
              <w:left w:val="nil"/>
              <w:bottom w:val="nil"/>
              <w:right w:val="nil"/>
            </w:tcBorders>
            <w:vAlign w:val="center"/>
          </w:tcPr>
          <w:p w14:paraId="7DAC08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Seed Rate</w:t>
            </w:r>
          </w:p>
          <w:p w14:paraId="4BC11A8E"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(SR)</w:t>
            </w:r>
          </w:p>
        </w:tc>
        <w:tc>
          <w:tcPr>
            <w:tcW w:w="1909" w:type="dxa"/>
            <w:tcBorders>
              <w:top w:val="nil"/>
              <w:left w:val="nil"/>
              <w:bottom w:val="nil"/>
              <w:right w:val="nil"/>
            </w:tcBorders>
          </w:tcPr>
          <w:p w14:paraId="4A248C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3.5 kgha</w:t>
            </w:r>
            <w:r w:rsidRPr="00B403D0">
              <w:rPr>
                <w:rFonts w:asciiTheme="minorBidi" w:hAnsiTheme="minorBidi" w:cstheme="minorBidi"/>
                <w:b/>
                <w:bCs/>
                <w:sz w:val="20"/>
                <w:szCs w:val="20"/>
                <w:vertAlign w:val="superscript"/>
              </w:rPr>
              <w:t>-1</w:t>
            </w:r>
            <w:r w:rsidRPr="00B403D0">
              <w:rPr>
                <w:rFonts w:asciiTheme="minorBidi" w:hAnsiTheme="minorBidi" w:cstheme="minorBidi"/>
                <w:sz w:val="20"/>
                <w:szCs w:val="20"/>
                <w:vertAlign w:val="superscript"/>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77301A2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2.88</w:t>
            </w:r>
          </w:p>
        </w:tc>
        <w:tc>
          <w:tcPr>
            <w:tcW w:w="822" w:type="dxa"/>
            <w:tcBorders>
              <w:top w:val="single" w:sz="4" w:space="0" w:color="auto"/>
              <w:left w:val="nil"/>
              <w:bottom w:val="nil"/>
              <w:right w:val="nil"/>
            </w:tcBorders>
          </w:tcPr>
          <w:p w14:paraId="0B68B88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2.30</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4B7B722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16.75</w:t>
            </w:r>
          </w:p>
        </w:tc>
        <w:tc>
          <w:tcPr>
            <w:tcW w:w="803" w:type="dxa"/>
            <w:tcBorders>
              <w:top w:val="single" w:sz="4" w:space="0" w:color="auto"/>
              <w:left w:val="nil"/>
              <w:bottom w:val="nil"/>
              <w:right w:val="nil"/>
            </w:tcBorders>
          </w:tcPr>
          <w:p w14:paraId="59D6FF9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14.23</w:t>
            </w:r>
          </w:p>
        </w:tc>
        <w:tc>
          <w:tcPr>
            <w:tcW w:w="1110" w:type="dxa"/>
            <w:tcBorders>
              <w:top w:val="single" w:sz="4" w:space="0" w:color="auto"/>
              <w:left w:val="nil"/>
              <w:bottom w:val="nil"/>
              <w:right w:val="nil"/>
            </w:tcBorders>
            <w:vAlign w:val="center"/>
          </w:tcPr>
          <w:p w14:paraId="2818DB6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49.50</w:t>
            </w:r>
            <w:r w:rsidRPr="00B403D0">
              <w:rPr>
                <w:rFonts w:asciiTheme="minorBidi" w:hAnsiTheme="minorBidi" w:cstheme="minorBidi"/>
                <w:sz w:val="20"/>
                <w:szCs w:val="20"/>
                <w:vertAlign w:val="superscript"/>
              </w:rPr>
              <w:t>b</w:t>
            </w:r>
          </w:p>
        </w:tc>
        <w:tc>
          <w:tcPr>
            <w:tcW w:w="1046" w:type="dxa"/>
            <w:tcBorders>
              <w:top w:val="single" w:sz="4" w:space="0" w:color="auto"/>
              <w:left w:val="nil"/>
              <w:bottom w:val="nil"/>
              <w:right w:val="nil"/>
            </w:tcBorders>
          </w:tcPr>
          <w:p w14:paraId="5CA63FE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85.75</w:t>
            </w:r>
            <w:r w:rsidRPr="00B403D0">
              <w:rPr>
                <w:rFonts w:asciiTheme="minorBidi" w:hAnsiTheme="minorBidi" w:cstheme="minorBidi"/>
                <w:sz w:val="20"/>
                <w:szCs w:val="20"/>
                <w:vertAlign w:val="superscript"/>
              </w:rPr>
              <w:t>c</w:t>
            </w:r>
          </w:p>
        </w:tc>
        <w:tc>
          <w:tcPr>
            <w:tcW w:w="972" w:type="dxa"/>
            <w:tcBorders>
              <w:top w:val="single" w:sz="4" w:space="0" w:color="auto"/>
              <w:left w:val="nil"/>
              <w:bottom w:val="nil"/>
              <w:right w:val="nil"/>
            </w:tcBorders>
          </w:tcPr>
          <w:p w14:paraId="70ED9A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4.18</w:t>
            </w:r>
            <w:r w:rsidRPr="00B403D0">
              <w:rPr>
                <w:rFonts w:asciiTheme="minorBidi" w:hAnsiTheme="minorBidi" w:cstheme="minorBidi"/>
                <w:sz w:val="20"/>
                <w:szCs w:val="20"/>
                <w:vertAlign w:val="superscript"/>
              </w:rPr>
              <w:t>bc</w:t>
            </w:r>
          </w:p>
        </w:tc>
        <w:tc>
          <w:tcPr>
            <w:tcW w:w="880" w:type="dxa"/>
            <w:tcBorders>
              <w:top w:val="single" w:sz="4" w:space="0" w:color="auto"/>
              <w:left w:val="nil"/>
              <w:bottom w:val="nil"/>
              <w:right w:val="nil"/>
            </w:tcBorders>
          </w:tcPr>
          <w:p w14:paraId="6658217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4.46</w:t>
            </w:r>
          </w:p>
        </w:tc>
        <w:tc>
          <w:tcPr>
            <w:tcW w:w="891" w:type="dxa"/>
            <w:tcBorders>
              <w:top w:val="single" w:sz="4" w:space="0" w:color="auto"/>
              <w:left w:val="nil"/>
              <w:bottom w:val="nil"/>
              <w:right w:val="nil"/>
            </w:tcBorders>
          </w:tcPr>
          <w:p w14:paraId="5E094D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2.98</w:t>
            </w:r>
            <w:r w:rsidRPr="00B403D0">
              <w:rPr>
                <w:rFonts w:asciiTheme="minorBidi" w:hAnsiTheme="minorBidi" w:cstheme="minorBidi"/>
                <w:sz w:val="20"/>
                <w:szCs w:val="20"/>
                <w:vertAlign w:val="superscript"/>
              </w:rPr>
              <w:t>ab</w:t>
            </w:r>
          </w:p>
        </w:tc>
        <w:tc>
          <w:tcPr>
            <w:tcW w:w="802" w:type="dxa"/>
            <w:tcBorders>
              <w:top w:val="single" w:sz="4" w:space="0" w:color="auto"/>
              <w:left w:val="nil"/>
              <w:bottom w:val="nil"/>
              <w:right w:val="nil"/>
            </w:tcBorders>
          </w:tcPr>
          <w:p w14:paraId="25E7E9E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773B2E7B" w14:textId="77777777" w:rsidTr="0085710E">
        <w:tc>
          <w:tcPr>
            <w:tcW w:w="1241" w:type="dxa"/>
            <w:vMerge/>
            <w:tcBorders>
              <w:top w:val="nil"/>
              <w:left w:val="nil"/>
              <w:bottom w:val="nil"/>
              <w:right w:val="nil"/>
            </w:tcBorders>
          </w:tcPr>
          <w:p w14:paraId="571EDC4E"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55F6797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6.0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2</w:t>
            </w:r>
            <w:r w:rsidRPr="00B403D0">
              <w:rPr>
                <w:rFonts w:asciiTheme="minorBidi" w:hAnsiTheme="minorBidi" w:cstheme="minorBidi"/>
                <w:b/>
                <w:bCs/>
                <w:sz w:val="20"/>
                <w:szCs w:val="20"/>
              </w:rPr>
              <w:t>)</w:t>
            </w:r>
          </w:p>
        </w:tc>
        <w:tc>
          <w:tcPr>
            <w:tcW w:w="769" w:type="dxa"/>
            <w:tcBorders>
              <w:top w:val="nil"/>
              <w:left w:val="nil"/>
              <w:bottom w:val="nil"/>
              <w:right w:val="nil"/>
            </w:tcBorders>
          </w:tcPr>
          <w:p w14:paraId="6B9EE85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2.58</w:t>
            </w:r>
          </w:p>
        </w:tc>
        <w:tc>
          <w:tcPr>
            <w:tcW w:w="822" w:type="dxa"/>
            <w:tcBorders>
              <w:top w:val="nil"/>
              <w:left w:val="nil"/>
              <w:bottom w:val="nil"/>
              <w:right w:val="nil"/>
            </w:tcBorders>
          </w:tcPr>
          <w:p w14:paraId="4A43C2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2.16</w:t>
            </w:r>
            <w:r w:rsidRPr="00B403D0">
              <w:rPr>
                <w:rFonts w:asciiTheme="minorBidi" w:hAnsiTheme="minorBidi" w:cstheme="minorBidi"/>
                <w:sz w:val="20"/>
                <w:szCs w:val="20"/>
                <w:vertAlign w:val="superscript"/>
              </w:rPr>
              <w:t>a</w:t>
            </w:r>
          </w:p>
        </w:tc>
        <w:tc>
          <w:tcPr>
            <w:tcW w:w="763" w:type="dxa"/>
            <w:tcBorders>
              <w:top w:val="nil"/>
              <w:left w:val="nil"/>
              <w:bottom w:val="nil"/>
              <w:right w:val="nil"/>
            </w:tcBorders>
          </w:tcPr>
          <w:p w14:paraId="24857B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16.03</w:t>
            </w:r>
          </w:p>
        </w:tc>
        <w:tc>
          <w:tcPr>
            <w:tcW w:w="803" w:type="dxa"/>
            <w:tcBorders>
              <w:top w:val="nil"/>
              <w:left w:val="nil"/>
              <w:bottom w:val="nil"/>
              <w:right w:val="nil"/>
            </w:tcBorders>
          </w:tcPr>
          <w:p w14:paraId="2FDEC88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13.34</w:t>
            </w:r>
          </w:p>
        </w:tc>
        <w:tc>
          <w:tcPr>
            <w:tcW w:w="1110" w:type="dxa"/>
            <w:tcBorders>
              <w:top w:val="nil"/>
              <w:left w:val="nil"/>
              <w:bottom w:val="nil"/>
              <w:right w:val="nil"/>
            </w:tcBorders>
            <w:vAlign w:val="center"/>
          </w:tcPr>
          <w:p w14:paraId="10C052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70.00</w:t>
            </w:r>
            <w:r w:rsidRPr="00B403D0">
              <w:rPr>
                <w:rFonts w:asciiTheme="minorBidi" w:hAnsiTheme="minorBidi" w:cstheme="minorBidi"/>
                <w:sz w:val="20"/>
                <w:szCs w:val="20"/>
                <w:vertAlign w:val="superscript"/>
              </w:rPr>
              <w:t>b</w:t>
            </w:r>
          </w:p>
        </w:tc>
        <w:tc>
          <w:tcPr>
            <w:tcW w:w="1046" w:type="dxa"/>
            <w:tcBorders>
              <w:top w:val="nil"/>
              <w:left w:val="nil"/>
              <w:bottom w:val="nil"/>
              <w:right w:val="nil"/>
            </w:tcBorders>
          </w:tcPr>
          <w:p w14:paraId="3D2779A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161.25</w:t>
            </w:r>
            <w:r w:rsidRPr="00B403D0">
              <w:rPr>
                <w:rFonts w:asciiTheme="minorBidi" w:hAnsiTheme="minorBidi" w:cstheme="minorBidi"/>
                <w:sz w:val="20"/>
                <w:szCs w:val="20"/>
                <w:vertAlign w:val="superscript"/>
              </w:rPr>
              <w:t>b</w:t>
            </w:r>
          </w:p>
        </w:tc>
        <w:tc>
          <w:tcPr>
            <w:tcW w:w="972" w:type="dxa"/>
            <w:tcBorders>
              <w:top w:val="nil"/>
              <w:left w:val="nil"/>
              <w:bottom w:val="nil"/>
              <w:right w:val="nil"/>
            </w:tcBorders>
          </w:tcPr>
          <w:p w14:paraId="2E7252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3.68</w:t>
            </w:r>
            <w:r w:rsidRPr="00B403D0">
              <w:rPr>
                <w:rFonts w:asciiTheme="minorBidi" w:hAnsiTheme="minorBidi" w:cstheme="minorBidi"/>
                <w:sz w:val="20"/>
                <w:szCs w:val="20"/>
                <w:vertAlign w:val="superscript"/>
              </w:rPr>
              <w:t>c</w:t>
            </w:r>
          </w:p>
        </w:tc>
        <w:tc>
          <w:tcPr>
            <w:tcW w:w="880" w:type="dxa"/>
            <w:tcBorders>
              <w:top w:val="nil"/>
              <w:left w:val="nil"/>
              <w:bottom w:val="nil"/>
              <w:right w:val="nil"/>
            </w:tcBorders>
          </w:tcPr>
          <w:p w14:paraId="72C3D0B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5D2BA5B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2.54</w:t>
            </w:r>
            <w:r w:rsidRPr="00B403D0">
              <w:rPr>
                <w:rFonts w:asciiTheme="minorBidi" w:hAnsiTheme="minorBidi" w:cstheme="minorBidi"/>
                <w:sz w:val="20"/>
                <w:szCs w:val="20"/>
                <w:vertAlign w:val="superscript"/>
              </w:rPr>
              <w:t>b</w:t>
            </w:r>
          </w:p>
        </w:tc>
        <w:tc>
          <w:tcPr>
            <w:tcW w:w="802" w:type="dxa"/>
            <w:tcBorders>
              <w:top w:val="nil"/>
              <w:left w:val="nil"/>
              <w:bottom w:val="nil"/>
              <w:right w:val="nil"/>
            </w:tcBorders>
          </w:tcPr>
          <w:p w14:paraId="6E8173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3.43</w:t>
            </w:r>
          </w:p>
        </w:tc>
      </w:tr>
      <w:tr w:rsidR="0085710E" w:rsidRPr="00B403D0" w14:paraId="3256C8F7" w14:textId="77777777" w:rsidTr="0085710E">
        <w:tc>
          <w:tcPr>
            <w:tcW w:w="1241" w:type="dxa"/>
            <w:vMerge/>
            <w:tcBorders>
              <w:top w:val="nil"/>
              <w:left w:val="nil"/>
              <w:bottom w:val="nil"/>
              <w:right w:val="nil"/>
            </w:tcBorders>
          </w:tcPr>
          <w:p w14:paraId="34731680"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3E330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12.0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3</w:t>
            </w:r>
            <w:r w:rsidRPr="00B403D0">
              <w:rPr>
                <w:rFonts w:asciiTheme="minorBidi" w:hAnsiTheme="minorBidi" w:cstheme="minorBidi"/>
                <w:b/>
                <w:bCs/>
                <w:sz w:val="20"/>
                <w:szCs w:val="20"/>
              </w:rPr>
              <w:t>)</w:t>
            </w:r>
          </w:p>
        </w:tc>
        <w:tc>
          <w:tcPr>
            <w:tcW w:w="769" w:type="dxa"/>
            <w:tcBorders>
              <w:top w:val="nil"/>
              <w:left w:val="nil"/>
              <w:bottom w:val="nil"/>
              <w:right w:val="nil"/>
            </w:tcBorders>
          </w:tcPr>
          <w:p w14:paraId="46088E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2.67</w:t>
            </w:r>
          </w:p>
        </w:tc>
        <w:tc>
          <w:tcPr>
            <w:tcW w:w="822" w:type="dxa"/>
            <w:tcBorders>
              <w:top w:val="nil"/>
              <w:left w:val="nil"/>
              <w:bottom w:val="nil"/>
              <w:right w:val="nil"/>
            </w:tcBorders>
          </w:tcPr>
          <w:p w14:paraId="51618EF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1.85</w:t>
            </w:r>
            <w:r w:rsidRPr="00B403D0">
              <w:rPr>
                <w:rFonts w:asciiTheme="minorBidi" w:hAnsiTheme="minorBidi" w:cstheme="minorBidi"/>
                <w:sz w:val="20"/>
                <w:szCs w:val="20"/>
                <w:vertAlign w:val="superscript"/>
              </w:rPr>
              <w:t>b</w:t>
            </w:r>
          </w:p>
        </w:tc>
        <w:tc>
          <w:tcPr>
            <w:tcW w:w="763" w:type="dxa"/>
            <w:tcBorders>
              <w:top w:val="nil"/>
              <w:left w:val="nil"/>
              <w:bottom w:val="nil"/>
              <w:right w:val="nil"/>
            </w:tcBorders>
          </w:tcPr>
          <w:p w14:paraId="26B78A6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15.54</w:t>
            </w:r>
          </w:p>
        </w:tc>
        <w:tc>
          <w:tcPr>
            <w:tcW w:w="803" w:type="dxa"/>
            <w:tcBorders>
              <w:top w:val="nil"/>
              <w:left w:val="nil"/>
              <w:bottom w:val="nil"/>
              <w:right w:val="nil"/>
            </w:tcBorders>
          </w:tcPr>
          <w:p w14:paraId="6A44787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12.75</w:t>
            </w:r>
          </w:p>
        </w:tc>
        <w:tc>
          <w:tcPr>
            <w:tcW w:w="1110" w:type="dxa"/>
            <w:tcBorders>
              <w:top w:val="nil"/>
              <w:left w:val="nil"/>
              <w:bottom w:val="nil"/>
              <w:right w:val="nil"/>
            </w:tcBorders>
            <w:vAlign w:val="center"/>
          </w:tcPr>
          <w:p w14:paraId="5FCF37A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110.63</w:t>
            </w:r>
            <w:r w:rsidRPr="00B403D0">
              <w:rPr>
                <w:rFonts w:asciiTheme="minorBidi" w:hAnsiTheme="minorBidi" w:cstheme="minorBidi"/>
                <w:sz w:val="20"/>
                <w:szCs w:val="20"/>
                <w:vertAlign w:val="superscript"/>
              </w:rPr>
              <w:t>a</w:t>
            </w:r>
          </w:p>
        </w:tc>
        <w:tc>
          <w:tcPr>
            <w:tcW w:w="1046" w:type="dxa"/>
            <w:tcBorders>
              <w:top w:val="nil"/>
              <w:left w:val="nil"/>
              <w:bottom w:val="nil"/>
              <w:right w:val="nil"/>
            </w:tcBorders>
          </w:tcPr>
          <w:p w14:paraId="2B974F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187.75</w:t>
            </w:r>
            <w:r w:rsidRPr="00B403D0">
              <w:rPr>
                <w:rFonts w:asciiTheme="minorBidi" w:hAnsiTheme="minorBidi" w:cstheme="minorBidi"/>
                <w:sz w:val="20"/>
                <w:szCs w:val="20"/>
                <w:vertAlign w:val="superscript"/>
              </w:rPr>
              <w:t>ab</w:t>
            </w:r>
          </w:p>
        </w:tc>
        <w:tc>
          <w:tcPr>
            <w:tcW w:w="972" w:type="dxa"/>
            <w:tcBorders>
              <w:top w:val="nil"/>
              <w:left w:val="nil"/>
              <w:bottom w:val="nil"/>
              <w:right w:val="nil"/>
            </w:tcBorders>
          </w:tcPr>
          <w:p w14:paraId="66E2D2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r w:rsidRPr="00B403D0">
              <w:rPr>
                <w:rFonts w:asciiTheme="minorBidi" w:hAnsiTheme="minorBidi" w:cstheme="minorBidi"/>
                <w:sz w:val="20"/>
                <w:szCs w:val="20"/>
                <w:vertAlign w:val="superscript"/>
              </w:rPr>
              <w:t>ab</w:t>
            </w:r>
          </w:p>
        </w:tc>
        <w:tc>
          <w:tcPr>
            <w:tcW w:w="880" w:type="dxa"/>
            <w:tcBorders>
              <w:top w:val="nil"/>
              <w:left w:val="nil"/>
              <w:bottom w:val="nil"/>
              <w:right w:val="nil"/>
            </w:tcBorders>
          </w:tcPr>
          <w:p w14:paraId="26C2AA0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5.46</w:t>
            </w:r>
          </w:p>
        </w:tc>
        <w:tc>
          <w:tcPr>
            <w:tcW w:w="891" w:type="dxa"/>
            <w:tcBorders>
              <w:top w:val="nil"/>
              <w:left w:val="nil"/>
              <w:bottom w:val="nil"/>
              <w:right w:val="nil"/>
            </w:tcBorders>
          </w:tcPr>
          <w:p w14:paraId="1501F03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3.28</w:t>
            </w:r>
            <w:r w:rsidRPr="00B403D0">
              <w:rPr>
                <w:rFonts w:asciiTheme="minorBidi" w:hAnsiTheme="minorBidi" w:cstheme="minorBidi"/>
                <w:sz w:val="20"/>
                <w:szCs w:val="20"/>
                <w:vertAlign w:val="superscript"/>
              </w:rPr>
              <w:t>a</w:t>
            </w:r>
          </w:p>
        </w:tc>
        <w:tc>
          <w:tcPr>
            <w:tcW w:w="802" w:type="dxa"/>
            <w:tcBorders>
              <w:top w:val="nil"/>
              <w:left w:val="nil"/>
              <w:bottom w:val="nil"/>
              <w:right w:val="nil"/>
            </w:tcBorders>
          </w:tcPr>
          <w:p w14:paraId="066A2D4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3.59</w:t>
            </w:r>
          </w:p>
        </w:tc>
      </w:tr>
      <w:tr w:rsidR="0085710E" w:rsidRPr="00B403D0" w14:paraId="475FBB0E" w14:textId="77777777" w:rsidTr="0085710E">
        <w:trPr>
          <w:trHeight w:val="300"/>
        </w:trPr>
        <w:tc>
          <w:tcPr>
            <w:tcW w:w="1241" w:type="dxa"/>
            <w:vMerge/>
            <w:tcBorders>
              <w:top w:val="nil"/>
              <w:left w:val="nil"/>
              <w:bottom w:val="nil"/>
              <w:right w:val="nil"/>
            </w:tcBorders>
          </w:tcPr>
          <w:p w14:paraId="466887F8"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3334FF9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18.0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4</w:t>
            </w:r>
            <w:r w:rsidRPr="00B403D0">
              <w:rPr>
                <w:rFonts w:asciiTheme="minorBidi" w:hAnsiTheme="minorBidi" w:cstheme="minorBidi"/>
                <w:b/>
                <w:bCs/>
                <w:sz w:val="20"/>
                <w:szCs w:val="20"/>
              </w:rPr>
              <w:t>)</w:t>
            </w:r>
          </w:p>
        </w:tc>
        <w:tc>
          <w:tcPr>
            <w:tcW w:w="769" w:type="dxa"/>
            <w:tcBorders>
              <w:top w:val="nil"/>
              <w:left w:val="nil"/>
              <w:bottom w:val="single" w:sz="4" w:space="0" w:color="auto"/>
              <w:right w:val="nil"/>
            </w:tcBorders>
          </w:tcPr>
          <w:p w14:paraId="133D73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2.26</w:t>
            </w:r>
          </w:p>
        </w:tc>
        <w:tc>
          <w:tcPr>
            <w:tcW w:w="822" w:type="dxa"/>
            <w:tcBorders>
              <w:top w:val="nil"/>
              <w:left w:val="nil"/>
              <w:bottom w:val="single" w:sz="4" w:space="0" w:color="auto"/>
              <w:right w:val="nil"/>
            </w:tcBorders>
          </w:tcPr>
          <w:p w14:paraId="3771EDF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ab</w:t>
            </w:r>
          </w:p>
        </w:tc>
        <w:tc>
          <w:tcPr>
            <w:tcW w:w="763" w:type="dxa"/>
            <w:tcBorders>
              <w:top w:val="nil"/>
              <w:left w:val="nil"/>
              <w:bottom w:val="single" w:sz="4" w:space="0" w:color="auto"/>
              <w:right w:val="nil"/>
            </w:tcBorders>
          </w:tcPr>
          <w:p w14:paraId="28C204B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14.69</w:t>
            </w:r>
          </w:p>
        </w:tc>
        <w:tc>
          <w:tcPr>
            <w:tcW w:w="803" w:type="dxa"/>
            <w:tcBorders>
              <w:top w:val="nil"/>
              <w:left w:val="nil"/>
              <w:bottom w:val="single" w:sz="4" w:space="0" w:color="auto"/>
              <w:right w:val="nil"/>
            </w:tcBorders>
          </w:tcPr>
          <w:p w14:paraId="363B322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13.88</w:t>
            </w:r>
          </w:p>
        </w:tc>
        <w:tc>
          <w:tcPr>
            <w:tcW w:w="1110" w:type="dxa"/>
            <w:tcBorders>
              <w:top w:val="nil"/>
              <w:left w:val="nil"/>
              <w:bottom w:val="single" w:sz="4" w:space="0" w:color="auto"/>
              <w:right w:val="nil"/>
            </w:tcBorders>
            <w:vAlign w:val="center"/>
          </w:tcPr>
          <w:p w14:paraId="1800B87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125.50</w:t>
            </w:r>
            <w:r w:rsidRPr="00B403D0">
              <w:rPr>
                <w:rFonts w:asciiTheme="minorBidi" w:hAnsiTheme="minorBidi" w:cstheme="minorBidi"/>
                <w:sz w:val="20"/>
                <w:szCs w:val="20"/>
                <w:vertAlign w:val="superscript"/>
              </w:rPr>
              <w:t>a</w:t>
            </w:r>
          </w:p>
        </w:tc>
        <w:tc>
          <w:tcPr>
            <w:tcW w:w="1046" w:type="dxa"/>
            <w:tcBorders>
              <w:top w:val="nil"/>
              <w:left w:val="nil"/>
              <w:bottom w:val="single" w:sz="4" w:space="0" w:color="auto"/>
              <w:right w:val="nil"/>
            </w:tcBorders>
          </w:tcPr>
          <w:p w14:paraId="6EB0CDE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211.75</w:t>
            </w:r>
            <w:r w:rsidRPr="00B403D0">
              <w:rPr>
                <w:rFonts w:asciiTheme="minorBidi" w:hAnsiTheme="minorBidi" w:cstheme="minorBidi"/>
                <w:sz w:val="20"/>
                <w:szCs w:val="20"/>
                <w:vertAlign w:val="superscript"/>
              </w:rPr>
              <w:t>a</w:t>
            </w:r>
          </w:p>
        </w:tc>
        <w:tc>
          <w:tcPr>
            <w:tcW w:w="972" w:type="dxa"/>
            <w:tcBorders>
              <w:top w:val="nil"/>
              <w:left w:val="nil"/>
              <w:bottom w:val="single" w:sz="4" w:space="0" w:color="auto"/>
              <w:right w:val="nil"/>
            </w:tcBorders>
          </w:tcPr>
          <w:p w14:paraId="0FD8AEC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5.36</w:t>
            </w:r>
            <w:r w:rsidRPr="00B403D0">
              <w:rPr>
                <w:rFonts w:asciiTheme="minorBidi" w:hAnsiTheme="minorBidi" w:cstheme="minorBidi"/>
                <w:sz w:val="20"/>
                <w:szCs w:val="20"/>
                <w:vertAlign w:val="superscript"/>
              </w:rPr>
              <w:t>a</w:t>
            </w:r>
          </w:p>
        </w:tc>
        <w:tc>
          <w:tcPr>
            <w:tcW w:w="880" w:type="dxa"/>
            <w:tcBorders>
              <w:top w:val="nil"/>
              <w:left w:val="nil"/>
              <w:bottom w:val="single" w:sz="4" w:space="0" w:color="auto"/>
              <w:right w:val="nil"/>
            </w:tcBorders>
          </w:tcPr>
          <w:p w14:paraId="06B5CC4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4.85</w:t>
            </w:r>
          </w:p>
        </w:tc>
        <w:tc>
          <w:tcPr>
            <w:tcW w:w="891" w:type="dxa"/>
            <w:tcBorders>
              <w:top w:val="nil"/>
              <w:left w:val="nil"/>
              <w:bottom w:val="single" w:sz="4" w:space="0" w:color="auto"/>
              <w:right w:val="nil"/>
            </w:tcBorders>
          </w:tcPr>
          <w:p w14:paraId="0769A9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3.49</w:t>
            </w:r>
            <w:r w:rsidRPr="00B403D0">
              <w:rPr>
                <w:rFonts w:asciiTheme="minorBidi" w:hAnsiTheme="minorBidi" w:cstheme="minorBidi"/>
                <w:sz w:val="20"/>
                <w:szCs w:val="20"/>
                <w:vertAlign w:val="superscript"/>
              </w:rPr>
              <w:t>a</w:t>
            </w:r>
          </w:p>
        </w:tc>
        <w:tc>
          <w:tcPr>
            <w:tcW w:w="802" w:type="dxa"/>
            <w:tcBorders>
              <w:top w:val="nil"/>
              <w:left w:val="nil"/>
              <w:bottom w:val="single" w:sz="4" w:space="0" w:color="auto"/>
              <w:right w:val="nil"/>
            </w:tcBorders>
          </w:tcPr>
          <w:p w14:paraId="7BA36B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3.13</w:t>
            </w:r>
          </w:p>
        </w:tc>
      </w:tr>
      <w:tr w:rsidR="0085710E" w:rsidRPr="00B403D0" w14:paraId="6E41A326" w14:textId="77777777" w:rsidTr="0085710E">
        <w:tc>
          <w:tcPr>
            <w:tcW w:w="1241" w:type="dxa"/>
            <w:vMerge/>
            <w:tcBorders>
              <w:top w:val="nil"/>
              <w:left w:val="nil"/>
              <w:bottom w:val="nil"/>
              <w:right w:val="nil"/>
            </w:tcBorders>
          </w:tcPr>
          <w:p w14:paraId="3E97F2B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6646F5C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4B50907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6CC2FAA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F168ED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6F72B4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1E84AAD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629B91A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052FF5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1BDBF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6007B0B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2213D79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7E7E27B3" w14:textId="77777777" w:rsidTr="0085710E">
        <w:tc>
          <w:tcPr>
            <w:tcW w:w="1241" w:type="dxa"/>
            <w:tcBorders>
              <w:top w:val="nil"/>
              <w:left w:val="nil"/>
              <w:bottom w:val="single" w:sz="4" w:space="0" w:color="auto"/>
              <w:right w:val="nil"/>
            </w:tcBorders>
          </w:tcPr>
          <w:p w14:paraId="671CE1F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5A158FA1" w14:textId="77777777" w:rsidR="0085710E" w:rsidRPr="00B403D0" w:rsidRDefault="0085710E" w:rsidP="0085710E">
            <w:pPr>
              <w:rPr>
                <w:rFonts w:asciiTheme="minorBidi" w:hAnsiTheme="minorBidi" w:cstheme="minorBidi"/>
                <w:b/>
                <w:bCs/>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0833F79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4CAE4F7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0.27</w:t>
            </w:r>
          </w:p>
        </w:tc>
        <w:tc>
          <w:tcPr>
            <w:tcW w:w="763" w:type="dxa"/>
            <w:tcBorders>
              <w:top w:val="nil"/>
              <w:left w:val="nil"/>
              <w:bottom w:val="single" w:sz="4" w:space="0" w:color="auto"/>
              <w:right w:val="nil"/>
            </w:tcBorders>
          </w:tcPr>
          <w:p w14:paraId="562B92D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0AD6A0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77C91DD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31.35</w:t>
            </w:r>
          </w:p>
        </w:tc>
        <w:tc>
          <w:tcPr>
            <w:tcW w:w="1046" w:type="dxa"/>
            <w:tcBorders>
              <w:top w:val="nil"/>
              <w:left w:val="nil"/>
              <w:bottom w:val="single" w:sz="4" w:space="0" w:color="auto"/>
              <w:right w:val="nil"/>
            </w:tcBorders>
          </w:tcPr>
          <w:p w14:paraId="798A29F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39.96</w:t>
            </w:r>
          </w:p>
        </w:tc>
        <w:tc>
          <w:tcPr>
            <w:tcW w:w="972" w:type="dxa"/>
            <w:tcBorders>
              <w:top w:val="nil"/>
              <w:left w:val="nil"/>
              <w:bottom w:val="single" w:sz="4" w:space="0" w:color="auto"/>
              <w:right w:val="nil"/>
            </w:tcBorders>
          </w:tcPr>
          <w:p w14:paraId="44784AA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0.86</w:t>
            </w:r>
          </w:p>
        </w:tc>
        <w:tc>
          <w:tcPr>
            <w:tcW w:w="880" w:type="dxa"/>
            <w:tcBorders>
              <w:top w:val="nil"/>
              <w:left w:val="nil"/>
              <w:bottom w:val="single" w:sz="4" w:space="0" w:color="auto"/>
              <w:right w:val="nil"/>
            </w:tcBorders>
          </w:tcPr>
          <w:p w14:paraId="55D5FBB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0D262A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0.66</w:t>
            </w:r>
          </w:p>
        </w:tc>
        <w:tc>
          <w:tcPr>
            <w:tcW w:w="802" w:type="dxa"/>
            <w:tcBorders>
              <w:top w:val="nil"/>
              <w:left w:val="nil"/>
              <w:bottom w:val="single" w:sz="4" w:space="0" w:color="auto"/>
              <w:right w:val="nil"/>
            </w:tcBorders>
          </w:tcPr>
          <w:p w14:paraId="0C323D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r w:rsidR="0085710E" w:rsidRPr="00B403D0" w14:paraId="0F42C973" w14:textId="77777777" w:rsidTr="0085710E">
        <w:trPr>
          <w:trHeight w:val="282"/>
        </w:trPr>
        <w:tc>
          <w:tcPr>
            <w:tcW w:w="1241" w:type="dxa"/>
            <w:vMerge w:val="restart"/>
            <w:tcBorders>
              <w:top w:val="single" w:sz="4" w:space="0" w:color="auto"/>
              <w:left w:val="nil"/>
              <w:right w:val="nil"/>
            </w:tcBorders>
            <w:vAlign w:val="center"/>
          </w:tcPr>
          <w:p w14:paraId="48C5FB3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Sowing Method (SM)</w:t>
            </w:r>
          </w:p>
        </w:tc>
        <w:tc>
          <w:tcPr>
            <w:tcW w:w="1909" w:type="dxa"/>
            <w:tcBorders>
              <w:top w:val="single" w:sz="4" w:space="0" w:color="auto"/>
              <w:left w:val="nil"/>
              <w:bottom w:val="nil"/>
              <w:right w:val="nil"/>
            </w:tcBorders>
          </w:tcPr>
          <w:p w14:paraId="6E43F4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i/>
                <w:iCs/>
                <w:sz w:val="20"/>
                <w:szCs w:val="20"/>
              </w:rPr>
              <w:t xml:space="preserve"> </w:t>
            </w:r>
            <w:proofErr w:type="spellStart"/>
            <w:r w:rsidRPr="00B403D0">
              <w:rPr>
                <w:rFonts w:asciiTheme="minorBidi" w:hAnsiTheme="minorBidi" w:cstheme="minorBidi"/>
                <w:b/>
                <w:bCs/>
                <w:i/>
                <w:iCs/>
                <w:sz w:val="20"/>
                <w:szCs w:val="20"/>
              </w:rPr>
              <w:t>Sarsaba</w:t>
            </w:r>
            <w:proofErr w:type="spellEnd"/>
            <w:r w:rsidRPr="00B403D0">
              <w:rPr>
                <w:rFonts w:asciiTheme="minorBidi" w:hAnsiTheme="minorBidi" w:cstheme="minorBidi"/>
                <w:b/>
                <w:bCs/>
                <w:sz w:val="20"/>
                <w:szCs w:val="20"/>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SM</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40020C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2.79</w:t>
            </w:r>
          </w:p>
        </w:tc>
        <w:tc>
          <w:tcPr>
            <w:tcW w:w="822" w:type="dxa"/>
            <w:tcBorders>
              <w:top w:val="single" w:sz="4" w:space="0" w:color="auto"/>
              <w:left w:val="nil"/>
              <w:bottom w:val="nil"/>
              <w:right w:val="nil"/>
            </w:tcBorders>
          </w:tcPr>
          <w:p w14:paraId="29A42CA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2.28</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1A53030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16.23</w:t>
            </w:r>
          </w:p>
        </w:tc>
        <w:tc>
          <w:tcPr>
            <w:tcW w:w="803" w:type="dxa"/>
            <w:tcBorders>
              <w:top w:val="single" w:sz="4" w:space="0" w:color="auto"/>
              <w:left w:val="nil"/>
              <w:bottom w:val="nil"/>
              <w:right w:val="nil"/>
            </w:tcBorders>
          </w:tcPr>
          <w:p w14:paraId="7DA8DC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14.82</w:t>
            </w:r>
            <w:r w:rsidRPr="00B403D0">
              <w:rPr>
                <w:rFonts w:asciiTheme="minorBidi" w:hAnsiTheme="minorBidi" w:cstheme="minorBidi"/>
                <w:sz w:val="20"/>
                <w:szCs w:val="20"/>
                <w:vertAlign w:val="superscript"/>
              </w:rPr>
              <w:t>a</w:t>
            </w:r>
          </w:p>
        </w:tc>
        <w:tc>
          <w:tcPr>
            <w:tcW w:w="1110" w:type="dxa"/>
            <w:tcBorders>
              <w:top w:val="single" w:sz="4" w:space="0" w:color="auto"/>
              <w:left w:val="nil"/>
              <w:bottom w:val="nil"/>
              <w:right w:val="nil"/>
            </w:tcBorders>
            <w:vAlign w:val="center"/>
          </w:tcPr>
          <w:p w14:paraId="5220A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99.69</w:t>
            </w:r>
          </w:p>
        </w:tc>
        <w:tc>
          <w:tcPr>
            <w:tcW w:w="1046" w:type="dxa"/>
            <w:tcBorders>
              <w:top w:val="single" w:sz="4" w:space="0" w:color="auto"/>
              <w:left w:val="nil"/>
              <w:bottom w:val="nil"/>
              <w:right w:val="nil"/>
            </w:tcBorders>
          </w:tcPr>
          <w:p w14:paraId="4A05A73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148.31</w:t>
            </w:r>
          </w:p>
        </w:tc>
        <w:tc>
          <w:tcPr>
            <w:tcW w:w="972" w:type="dxa"/>
            <w:tcBorders>
              <w:top w:val="single" w:sz="4" w:space="0" w:color="auto"/>
              <w:left w:val="nil"/>
              <w:bottom w:val="nil"/>
              <w:right w:val="nil"/>
            </w:tcBorders>
          </w:tcPr>
          <w:p w14:paraId="55ECBA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4.43</w:t>
            </w:r>
          </w:p>
        </w:tc>
        <w:tc>
          <w:tcPr>
            <w:tcW w:w="880" w:type="dxa"/>
            <w:tcBorders>
              <w:top w:val="single" w:sz="4" w:space="0" w:color="auto"/>
              <w:left w:val="nil"/>
              <w:bottom w:val="nil"/>
              <w:right w:val="nil"/>
            </w:tcBorders>
          </w:tcPr>
          <w:p w14:paraId="75B5F29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4.78</w:t>
            </w:r>
          </w:p>
        </w:tc>
        <w:tc>
          <w:tcPr>
            <w:tcW w:w="891" w:type="dxa"/>
            <w:tcBorders>
              <w:top w:val="single" w:sz="4" w:space="0" w:color="auto"/>
              <w:left w:val="nil"/>
              <w:bottom w:val="nil"/>
              <w:right w:val="nil"/>
            </w:tcBorders>
          </w:tcPr>
          <w:p w14:paraId="6027D01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2.91</w:t>
            </w:r>
          </w:p>
        </w:tc>
        <w:tc>
          <w:tcPr>
            <w:tcW w:w="802" w:type="dxa"/>
            <w:tcBorders>
              <w:top w:val="single" w:sz="4" w:space="0" w:color="auto"/>
              <w:left w:val="nil"/>
              <w:bottom w:val="nil"/>
              <w:right w:val="nil"/>
            </w:tcBorders>
          </w:tcPr>
          <w:p w14:paraId="7267B2C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r w:rsidRPr="00B403D0">
              <w:rPr>
                <w:rFonts w:asciiTheme="minorBidi" w:hAnsiTheme="minorBidi" w:cstheme="minorBidi"/>
                <w:sz w:val="20"/>
                <w:szCs w:val="20"/>
                <w:vertAlign w:val="superscript"/>
              </w:rPr>
              <w:t>b</w:t>
            </w:r>
          </w:p>
        </w:tc>
      </w:tr>
      <w:tr w:rsidR="0085710E" w:rsidRPr="00B403D0" w14:paraId="0B2880F3" w14:textId="77777777" w:rsidTr="0085710E">
        <w:tc>
          <w:tcPr>
            <w:tcW w:w="1241" w:type="dxa"/>
            <w:vMerge/>
            <w:tcBorders>
              <w:left w:val="nil"/>
              <w:right w:val="nil"/>
            </w:tcBorders>
            <w:vAlign w:val="center"/>
          </w:tcPr>
          <w:p w14:paraId="10370125"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9339D0B" w14:textId="77777777" w:rsidR="0085710E" w:rsidRPr="00B403D0" w:rsidRDefault="0085710E" w:rsidP="0085710E">
            <w:pPr>
              <w:jc w:val="center"/>
              <w:rPr>
                <w:rFonts w:asciiTheme="minorBidi" w:hAnsiTheme="minorBidi" w:cstheme="minorBidi"/>
                <w:b/>
                <w:bCs/>
                <w:sz w:val="20"/>
                <w:szCs w:val="20"/>
              </w:rPr>
            </w:pPr>
            <w:proofErr w:type="spellStart"/>
            <w:r w:rsidRPr="00B403D0">
              <w:rPr>
                <w:rFonts w:asciiTheme="minorBidi" w:hAnsiTheme="minorBidi" w:cstheme="minorBidi"/>
                <w:b/>
                <w:bCs/>
                <w:i/>
                <w:iCs/>
                <w:sz w:val="20"/>
                <w:szCs w:val="20"/>
              </w:rPr>
              <w:t>Madrab</w:t>
            </w:r>
            <w:proofErr w:type="spellEnd"/>
            <w:r w:rsidRPr="00B403D0">
              <w:rPr>
                <w:rFonts w:asciiTheme="minorBidi" w:hAnsiTheme="minorBidi" w:cstheme="minorBidi"/>
                <w:b/>
                <w:bCs/>
                <w:sz w:val="20"/>
                <w:szCs w:val="20"/>
              </w:rPr>
              <w:t xml:space="preserve"> (SM</w:t>
            </w:r>
            <w:r w:rsidRPr="00B403D0">
              <w:rPr>
                <w:rFonts w:asciiTheme="minorBidi" w:hAnsiTheme="minorBidi" w:cstheme="minorBidi"/>
                <w:b/>
                <w:bCs/>
                <w:sz w:val="20"/>
                <w:szCs w:val="20"/>
                <w:vertAlign w:val="subscript"/>
              </w:rPr>
              <w:t>2)</w:t>
            </w:r>
          </w:p>
        </w:tc>
        <w:tc>
          <w:tcPr>
            <w:tcW w:w="769" w:type="dxa"/>
            <w:tcBorders>
              <w:top w:val="nil"/>
              <w:left w:val="nil"/>
              <w:bottom w:val="single" w:sz="4" w:space="0" w:color="auto"/>
              <w:right w:val="nil"/>
            </w:tcBorders>
          </w:tcPr>
          <w:p w14:paraId="3C1C761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2.40</w:t>
            </w:r>
          </w:p>
        </w:tc>
        <w:tc>
          <w:tcPr>
            <w:tcW w:w="822" w:type="dxa"/>
            <w:tcBorders>
              <w:top w:val="nil"/>
              <w:left w:val="nil"/>
              <w:bottom w:val="single" w:sz="4" w:space="0" w:color="auto"/>
              <w:right w:val="nil"/>
            </w:tcBorders>
          </w:tcPr>
          <w:p w14:paraId="2AEBABB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1.91</w:t>
            </w:r>
            <w:r w:rsidRPr="00B403D0">
              <w:rPr>
                <w:rFonts w:asciiTheme="minorBidi" w:hAnsiTheme="minorBidi" w:cstheme="minorBidi"/>
                <w:sz w:val="20"/>
                <w:szCs w:val="20"/>
                <w:vertAlign w:val="superscript"/>
              </w:rPr>
              <w:t>b</w:t>
            </w:r>
          </w:p>
        </w:tc>
        <w:tc>
          <w:tcPr>
            <w:tcW w:w="763" w:type="dxa"/>
            <w:tcBorders>
              <w:top w:val="nil"/>
              <w:left w:val="nil"/>
              <w:bottom w:val="single" w:sz="4" w:space="0" w:color="auto"/>
              <w:right w:val="nil"/>
            </w:tcBorders>
          </w:tcPr>
          <w:p w14:paraId="2E28923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15.27</w:t>
            </w:r>
          </w:p>
        </w:tc>
        <w:tc>
          <w:tcPr>
            <w:tcW w:w="803" w:type="dxa"/>
            <w:tcBorders>
              <w:top w:val="nil"/>
              <w:left w:val="nil"/>
              <w:bottom w:val="single" w:sz="4" w:space="0" w:color="auto"/>
              <w:right w:val="nil"/>
            </w:tcBorders>
          </w:tcPr>
          <w:p w14:paraId="657EC5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12.28</w:t>
            </w:r>
            <w:r w:rsidRPr="00B403D0">
              <w:rPr>
                <w:rFonts w:asciiTheme="minorBidi" w:hAnsiTheme="minorBidi" w:cstheme="minorBidi"/>
                <w:sz w:val="20"/>
                <w:szCs w:val="20"/>
                <w:vertAlign w:val="superscript"/>
              </w:rPr>
              <w:t>b</w:t>
            </w:r>
          </w:p>
        </w:tc>
        <w:tc>
          <w:tcPr>
            <w:tcW w:w="1110" w:type="dxa"/>
            <w:tcBorders>
              <w:top w:val="nil"/>
              <w:left w:val="nil"/>
              <w:bottom w:val="single" w:sz="4" w:space="0" w:color="auto"/>
              <w:right w:val="nil"/>
            </w:tcBorders>
            <w:vAlign w:val="center"/>
          </w:tcPr>
          <w:p w14:paraId="4B5BCD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78.13</w:t>
            </w:r>
          </w:p>
        </w:tc>
        <w:tc>
          <w:tcPr>
            <w:tcW w:w="1046" w:type="dxa"/>
            <w:tcBorders>
              <w:top w:val="nil"/>
              <w:left w:val="nil"/>
              <w:bottom w:val="single" w:sz="4" w:space="0" w:color="auto"/>
              <w:right w:val="nil"/>
            </w:tcBorders>
          </w:tcPr>
          <w:p w14:paraId="1BDA74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174.94</w:t>
            </w:r>
          </w:p>
        </w:tc>
        <w:tc>
          <w:tcPr>
            <w:tcW w:w="972" w:type="dxa"/>
            <w:tcBorders>
              <w:top w:val="nil"/>
              <w:left w:val="nil"/>
              <w:bottom w:val="single" w:sz="4" w:space="0" w:color="auto"/>
              <w:right w:val="nil"/>
            </w:tcBorders>
          </w:tcPr>
          <w:p w14:paraId="26B49E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4.66</w:t>
            </w:r>
          </w:p>
        </w:tc>
        <w:tc>
          <w:tcPr>
            <w:tcW w:w="880" w:type="dxa"/>
            <w:tcBorders>
              <w:top w:val="nil"/>
              <w:left w:val="nil"/>
              <w:bottom w:val="single" w:sz="4" w:space="0" w:color="auto"/>
              <w:right w:val="nil"/>
            </w:tcBorders>
          </w:tcPr>
          <w:p w14:paraId="7A32922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5.10</w:t>
            </w:r>
          </w:p>
        </w:tc>
        <w:tc>
          <w:tcPr>
            <w:tcW w:w="891" w:type="dxa"/>
            <w:tcBorders>
              <w:top w:val="nil"/>
              <w:left w:val="nil"/>
              <w:bottom w:val="single" w:sz="4" w:space="0" w:color="auto"/>
              <w:right w:val="nil"/>
            </w:tcBorders>
          </w:tcPr>
          <w:p w14:paraId="011EF9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c>
          <w:tcPr>
            <w:tcW w:w="802" w:type="dxa"/>
            <w:tcBorders>
              <w:top w:val="nil"/>
              <w:left w:val="nil"/>
              <w:bottom w:val="single" w:sz="4" w:space="0" w:color="auto"/>
              <w:right w:val="nil"/>
            </w:tcBorders>
          </w:tcPr>
          <w:p w14:paraId="1C5886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3.52</w:t>
            </w:r>
            <w:r w:rsidRPr="00B403D0">
              <w:rPr>
                <w:rFonts w:asciiTheme="minorBidi" w:hAnsiTheme="minorBidi" w:cstheme="minorBidi"/>
                <w:sz w:val="20"/>
                <w:szCs w:val="20"/>
                <w:vertAlign w:val="superscript"/>
              </w:rPr>
              <w:t>a</w:t>
            </w:r>
          </w:p>
        </w:tc>
      </w:tr>
      <w:tr w:rsidR="0085710E" w:rsidRPr="00B403D0" w14:paraId="4DAEF447" w14:textId="77777777" w:rsidTr="0085710E">
        <w:tc>
          <w:tcPr>
            <w:tcW w:w="1241" w:type="dxa"/>
            <w:vMerge/>
            <w:tcBorders>
              <w:left w:val="nil"/>
              <w:right w:val="nil"/>
            </w:tcBorders>
            <w:vAlign w:val="center"/>
          </w:tcPr>
          <w:p w14:paraId="2BE7A85B"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7132847C" w14:textId="77777777" w:rsidR="0085710E" w:rsidRPr="00B403D0" w:rsidRDefault="0085710E" w:rsidP="0085710E">
            <w:pPr>
              <w:jc w:val="center"/>
              <w:rPr>
                <w:rFonts w:asciiTheme="minorBidi" w:hAnsiTheme="minorBidi" w:cstheme="minorBidi"/>
                <w:b/>
                <w:bCs/>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3A116DF0"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49B36D2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3701AC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7EC056C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33CDEE4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7E3A050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12E0FB4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5C156D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3D10C7E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47D190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2BDA408" w14:textId="77777777" w:rsidTr="0085710E">
        <w:tc>
          <w:tcPr>
            <w:tcW w:w="1241" w:type="dxa"/>
            <w:vMerge/>
            <w:tcBorders>
              <w:left w:val="nil"/>
              <w:right w:val="nil"/>
            </w:tcBorders>
            <w:vAlign w:val="center"/>
          </w:tcPr>
          <w:p w14:paraId="4BDE3603"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6CAF2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52C0115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2D65AA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0.19</w:t>
            </w:r>
          </w:p>
        </w:tc>
        <w:tc>
          <w:tcPr>
            <w:tcW w:w="763" w:type="dxa"/>
            <w:tcBorders>
              <w:top w:val="nil"/>
              <w:left w:val="nil"/>
              <w:bottom w:val="single" w:sz="4" w:space="0" w:color="auto"/>
              <w:right w:val="nil"/>
            </w:tcBorders>
          </w:tcPr>
          <w:p w14:paraId="305AC65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2577268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1.14</w:t>
            </w:r>
          </w:p>
        </w:tc>
        <w:tc>
          <w:tcPr>
            <w:tcW w:w="1110" w:type="dxa"/>
            <w:tcBorders>
              <w:top w:val="nil"/>
              <w:left w:val="nil"/>
              <w:bottom w:val="single" w:sz="4" w:space="0" w:color="auto"/>
              <w:right w:val="nil"/>
            </w:tcBorders>
          </w:tcPr>
          <w:p w14:paraId="670E1B1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2331A8C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4324C45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748C321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91" w:type="dxa"/>
            <w:tcBorders>
              <w:top w:val="nil"/>
              <w:left w:val="nil"/>
              <w:bottom w:val="single" w:sz="4" w:space="0" w:color="auto"/>
              <w:right w:val="nil"/>
            </w:tcBorders>
          </w:tcPr>
          <w:p w14:paraId="416A6DF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 NS</w:t>
            </w:r>
          </w:p>
        </w:tc>
        <w:tc>
          <w:tcPr>
            <w:tcW w:w="802" w:type="dxa"/>
            <w:tcBorders>
              <w:top w:val="nil"/>
              <w:left w:val="nil"/>
              <w:bottom w:val="single" w:sz="4" w:space="0" w:color="auto"/>
              <w:right w:val="nil"/>
            </w:tcBorders>
          </w:tcPr>
          <w:p w14:paraId="2B08FC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0.33</w:t>
            </w:r>
          </w:p>
        </w:tc>
      </w:tr>
      <w:tr w:rsidR="0085710E" w:rsidRPr="00B403D0" w14:paraId="50F68585" w14:textId="77777777" w:rsidTr="0085710E">
        <w:tc>
          <w:tcPr>
            <w:tcW w:w="1241" w:type="dxa"/>
            <w:vMerge w:val="restart"/>
            <w:tcBorders>
              <w:left w:val="nil"/>
              <w:right w:val="nil"/>
            </w:tcBorders>
            <w:vAlign w:val="center"/>
          </w:tcPr>
          <w:p w14:paraId="104A8E2B"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Interaction</w:t>
            </w:r>
          </w:p>
          <w:p w14:paraId="173CB122"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(SR × SM)</w:t>
            </w:r>
          </w:p>
        </w:tc>
        <w:tc>
          <w:tcPr>
            <w:tcW w:w="1909" w:type="dxa"/>
            <w:tcBorders>
              <w:top w:val="single" w:sz="4" w:space="0" w:color="auto"/>
              <w:left w:val="nil"/>
              <w:bottom w:val="nil"/>
              <w:right w:val="nil"/>
            </w:tcBorders>
            <w:vAlign w:val="center"/>
          </w:tcPr>
          <w:p w14:paraId="0E6430F5" w14:textId="77777777" w:rsidR="0085710E" w:rsidRPr="00B403D0" w:rsidRDefault="0085710E" w:rsidP="0085710E">
            <w:pPr>
              <w:rPr>
                <w:rFonts w:asciiTheme="minorBidi" w:hAnsiTheme="minorBidi" w:cstheme="minorBidi"/>
                <w:i/>
                <w:iCs/>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single" w:sz="4" w:space="0" w:color="auto"/>
              <w:left w:val="nil"/>
              <w:bottom w:val="nil"/>
              <w:right w:val="nil"/>
            </w:tcBorders>
          </w:tcPr>
          <w:p w14:paraId="34B6E50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3.08</w:t>
            </w:r>
          </w:p>
        </w:tc>
        <w:tc>
          <w:tcPr>
            <w:tcW w:w="822" w:type="dxa"/>
            <w:tcBorders>
              <w:top w:val="single" w:sz="4" w:space="0" w:color="auto"/>
              <w:left w:val="nil"/>
              <w:bottom w:val="nil"/>
              <w:right w:val="nil"/>
            </w:tcBorders>
          </w:tcPr>
          <w:p w14:paraId="677DC0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2.55</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5E4039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17.50</w:t>
            </w:r>
          </w:p>
        </w:tc>
        <w:tc>
          <w:tcPr>
            <w:tcW w:w="803" w:type="dxa"/>
            <w:tcBorders>
              <w:top w:val="single" w:sz="4" w:space="0" w:color="auto"/>
              <w:left w:val="nil"/>
              <w:bottom w:val="nil"/>
              <w:right w:val="nil"/>
            </w:tcBorders>
          </w:tcPr>
          <w:p w14:paraId="60D8C49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15.65</w:t>
            </w:r>
          </w:p>
        </w:tc>
        <w:tc>
          <w:tcPr>
            <w:tcW w:w="1110" w:type="dxa"/>
            <w:tcBorders>
              <w:top w:val="single" w:sz="4" w:space="0" w:color="auto"/>
              <w:left w:val="nil"/>
              <w:bottom w:val="nil"/>
              <w:right w:val="nil"/>
            </w:tcBorders>
            <w:vAlign w:val="center"/>
          </w:tcPr>
          <w:p w14:paraId="76FAC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59.00</w:t>
            </w:r>
          </w:p>
        </w:tc>
        <w:tc>
          <w:tcPr>
            <w:tcW w:w="1046" w:type="dxa"/>
            <w:tcBorders>
              <w:top w:val="single" w:sz="4" w:space="0" w:color="auto"/>
              <w:left w:val="nil"/>
              <w:bottom w:val="nil"/>
              <w:right w:val="nil"/>
            </w:tcBorders>
          </w:tcPr>
          <w:p w14:paraId="0E0366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82.25</w:t>
            </w:r>
          </w:p>
        </w:tc>
        <w:tc>
          <w:tcPr>
            <w:tcW w:w="972" w:type="dxa"/>
            <w:tcBorders>
              <w:top w:val="single" w:sz="4" w:space="0" w:color="auto"/>
              <w:left w:val="nil"/>
              <w:bottom w:val="nil"/>
              <w:right w:val="nil"/>
            </w:tcBorders>
          </w:tcPr>
          <w:p w14:paraId="338724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4.39</w:t>
            </w:r>
          </w:p>
        </w:tc>
        <w:tc>
          <w:tcPr>
            <w:tcW w:w="880" w:type="dxa"/>
            <w:tcBorders>
              <w:top w:val="single" w:sz="4" w:space="0" w:color="auto"/>
              <w:left w:val="nil"/>
              <w:bottom w:val="nil"/>
              <w:right w:val="nil"/>
            </w:tcBorders>
          </w:tcPr>
          <w:p w14:paraId="62812C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4.65</w:t>
            </w:r>
          </w:p>
        </w:tc>
        <w:tc>
          <w:tcPr>
            <w:tcW w:w="891" w:type="dxa"/>
            <w:tcBorders>
              <w:top w:val="single" w:sz="4" w:space="0" w:color="auto"/>
              <w:left w:val="nil"/>
              <w:bottom w:val="nil"/>
              <w:right w:val="nil"/>
            </w:tcBorders>
          </w:tcPr>
          <w:p w14:paraId="1095EF2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3.03</w:t>
            </w:r>
          </w:p>
        </w:tc>
        <w:tc>
          <w:tcPr>
            <w:tcW w:w="802" w:type="dxa"/>
            <w:tcBorders>
              <w:top w:val="single" w:sz="4" w:space="0" w:color="auto"/>
              <w:left w:val="nil"/>
              <w:bottom w:val="nil"/>
              <w:right w:val="nil"/>
            </w:tcBorders>
          </w:tcPr>
          <w:p w14:paraId="6304F9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r>
      <w:tr w:rsidR="0085710E" w:rsidRPr="00B403D0" w14:paraId="3506B1DD" w14:textId="77777777" w:rsidTr="0085710E">
        <w:trPr>
          <w:trHeight w:val="50"/>
        </w:trPr>
        <w:tc>
          <w:tcPr>
            <w:tcW w:w="1241" w:type="dxa"/>
            <w:vMerge/>
            <w:tcBorders>
              <w:left w:val="nil"/>
              <w:right w:val="nil"/>
            </w:tcBorders>
            <w:vAlign w:val="center"/>
          </w:tcPr>
          <w:p w14:paraId="1C6D24C6" w14:textId="77777777" w:rsidR="0085710E" w:rsidRPr="00B403D0" w:rsidRDefault="0085710E" w:rsidP="0085710E">
            <w:pPr>
              <w:pBdr>
                <w:right w:val="single" w:sz="4" w:space="4" w:color="auto"/>
              </w:pBdr>
              <w:jc w:val="center"/>
              <w:rPr>
                <w:rFonts w:asciiTheme="minorBidi" w:hAnsiTheme="minorBidi" w:cstheme="minorBidi"/>
                <w:b/>
                <w:bCs/>
                <w:sz w:val="20"/>
                <w:szCs w:val="20"/>
              </w:rPr>
            </w:pPr>
          </w:p>
        </w:tc>
        <w:tc>
          <w:tcPr>
            <w:tcW w:w="1909" w:type="dxa"/>
            <w:tcBorders>
              <w:top w:val="nil"/>
              <w:left w:val="nil"/>
              <w:bottom w:val="nil"/>
              <w:right w:val="nil"/>
            </w:tcBorders>
            <w:vAlign w:val="center"/>
          </w:tcPr>
          <w:p w14:paraId="22287129"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0489F25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2.69</w:t>
            </w:r>
          </w:p>
        </w:tc>
        <w:tc>
          <w:tcPr>
            <w:tcW w:w="822" w:type="dxa"/>
            <w:tcBorders>
              <w:top w:val="nil"/>
              <w:left w:val="nil"/>
              <w:bottom w:val="nil"/>
              <w:right w:val="nil"/>
            </w:tcBorders>
          </w:tcPr>
          <w:p w14:paraId="3B2288D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c</w:t>
            </w:r>
          </w:p>
        </w:tc>
        <w:tc>
          <w:tcPr>
            <w:tcW w:w="763" w:type="dxa"/>
            <w:tcBorders>
              <w:top w:val="nil"/>
              <w:left w:val="nil"/>
              <w:bottom w:val="nil"/>
              <w:right w:val="nil"/>
            </w:tcBorders>
          </w:tcPr>
          <w:p w14:paraId="36E7568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16.00</w:t>
            </w:r>
          </w:p>
        </w:tc>
        <w:tc>
          <w:tcPr>
            <w:tcW w:w="803" w:type="dxa"/>
            <w:tcBorders>
              <w:top w:val="nil"/>
              <w:left w:val="nil"/>
              <w:bottom w:val="nil"/>
              <w:right w:val="nil"/>
            </w:tcBorders>
          </w:tcPr>
          <w:p w14:paraId="63F021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12.80</w:t>
            </w:r>
          </w:p>
        </w:tc>
        <w:tc>
          <w:tcPr>
            <w:tcW w:w="1110" w:type="dxa"/>
            <w:tcBorders>
              <w:top w:val="nil"/>
              <w:left w:val="nil"/>
              <w:bottom w:val="nil"/>
              <w:right w:val="nil"/>
            </w:tcBorders>
            <w:vAlign w:val="center"/>
          </w:tcPr>
          <w:p w14:paraId="0E43551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40.00</w:t>
            </w:r>
          </w:p>
        </w:tc>
        <w:tc>
          <w:tcPr>
            <w:tcW w:w="1046" w:type="dxa"/>
            <w:tcBorders>
              <w:top w:val="nil"/>
              <w:left w:val="nil"/>
              <w:bottom w:val="nil"/>
              <w:right w:val="nil"/>
            </w:tcBorders>
          </w:tcPr>
          <w:p w14:paraId="482448C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89.25</w:t>
            </w:r>
          </w:p>
        </w:tc>
        <w:tc>
          <w:tcPr>
            <w:tcW w:w="972" w:type="dxa"/>
            <w:tcBorders>
              <w:top w:val="nil"/>
              <w:left w:val="nil"/>
              <w:bottom w:val="nil"/>
              <w:right w:val="nil"/>
            </w:tcBorders>
          </w:tcPr>
          <w:p w14:paraId="3308793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3.98</w:t>
            </w:r>
          </w:p>
        </w:tc>
        <w:tc>
          <w:tcPr>
            <w:tcW w:w="880" w:type="dxa"/>
            <w:tcBorders>
              <w:top w:val="nil"/>
              <w:left w:val="nil"/>
              <w:bottom w:val="nil"/>
              <w:right w:val="nil"/>
            </w:tcBorders>
          </w:tcPr>
          <w:p w14:paraId="67202AE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4.28</w:t>
            </w:r>
          </w:p>
        </w:tc>
        <w:tc>
          <w:tcPr>
            <w:tcW w:w="891" w:type="dxa"/>
            <w:tcBorders>
              <w:top w:val="nil"/>
              <w:left w:val="nil"/>
              <w:bottom w:val="nil"/>
              <w:right w:val="nil"/>
            </w:tcBorders>
          </w:tcPr>
          <w:p w14:paraId="581A783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2.94</w:t>
            </w:r>
          </w:p>
        </w:tc>
        <w:tc>
          <w:tcPr>
            <w:tcW w:w="802" w:type="dxa"/>
            <w:tcBorders>
              <w:top w:val="nil"/>
              <w:left w:val="nil"/>
              <w:bottom w:val="nil"/>
              <w:right w:val="nil"/>
            </w:tcBorders>
          </w:tcPr>
          <w:p w14:paraId="0A81EA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r>
      <w:tr w:rsidR="0085710E" w:rsidRPr="00B403D0" w14:paraId="411DC852" w14:textId="77777777" w:rsidTr="0085710E">
        <w:tc>
          <w:tcPr>
            <w:tcW w:w="1241" w:type="dxa"/>
            <w:vMerge/>
            <w:tcBorders>
              <w:left w:val="nil"/>
              <w:right w:val="nil"/>
            </w:tcBorders>
          </w:tcPr>
          <w:p w14:paraId="5CE24AF8"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062E43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2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1CD9B67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2.70</w:t>
            </w:r>
          </w:p>
        </w:tc>
        <w:tc>
          <w:tcPr>
            <w:tcW w:w="822" w:type="dxa"/>
            <w:tcBorders>
              <w:top w:val="nil"/>
              <w:left w:val="nil"/>
              <w:bottom w:val="nil"/>
              <w:right w:val="nil"/>
            </w:tcBorders>
          </w:tcPr>
          <w:p w14:paraId="673A0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2.18</w:t>
            </w:r>
            <w:r w:rsidRPr="00B403D0">
              <w:rPr>
                <w:rFonts w:asciiTheme="minorBidi" w:hAnsiTheme="minorBidi" w:cstheme="minorBidi"/>
                <w:sz w:val="20"/>
                <w:szCs w:val="20"/>
                <w:vertAlign w:val="superscript"/>
              </w:rPr>
              <w:t>abc</w:t>
            </w:r>
          </w:p>
        </w:tc>
        <w:tc>
          <w:tcPr>
            <w:tcW w:w="763" w:type="dxa"/>
            <w:tcBorders>
              <w:top w:val="nil"/>
              <w:left w:val="nil"/>
              <w:bottom w:val="nil"/>
              <w:right w:val="nil"/>
            </w:tcBorders>
          </w:tcPr>
          <w:p w14:paraId="37E31C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15.88</w:t>
            </w:r>
          </w:p>
        </w:tc>
        <w:tc>
          <w:tcPr>
            <w:tcW w:w="803" w:type="dxa"/>
            <w:tcBorders>
              <w:top w:val="nil"/>
              <w:left w:val="nil"/>
              <w:bottom w:val="nil"/>
              <w:right w:val="nil"/>
            </w:tcBorders>
          </w:tcPr>
          <w:p w14:paraId="1EC840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14.05</w:t>
            </w:r>
          </w:p>
        </w:tc>
        <w:tc>
          <w:tcPr>
            <w:tcW w:w="1110" w:type="dxa"/>
            <w:tcBorders>
              <w:top w:val="nil"/>
              <w:left w:val="nil"/>
              <w:bottom w:val="nil"/>
              <w:right w:val="nil"/>
            </w:tcBorders>
            <w:vAlign w:val="center"/>
          </w:tcPr>
          <w:p w14:paraId="0354A4A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74.50</w:t>
            </w:r>
          </w:p>
        </w:tc>
        <w:tc>
          <w:tcPr>
            <w:tcW w:w="1046" w:type="dxa"/>
            <w:tcBorders>
              <w:top w:val="nil"/>
              <w:left w:val="nil"/>
              <w:bottom w:val="nil"/>
              <w:right w:val="nil"/>
            </w:tcBorders>
          </w:tcPr>
          <w:p w14:paraId="613C406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149.00</w:t>
            </w:r>
          </w:p>
        </w:tc>
        <w:tc>
          <w:tcPr>
            <w:tcW w:w="972" w:type="dxa"/>
            <w:tcBorders>
              <w:top w:val="nil"/>
              <w:left w:val="nil"/>
              <w:bottom w:val="nil"/>
              <w:right w:val="nil"/>
            </w:tcBorders>
          </w:tcPr>
          <w:p w14:paraId="5F7F84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3.50</w:t>
            </w:r>
          </w:p>
        </w:tc>
        <w:tc>
          <w:tcPr>
            <w:tcW w:w="880" w:type="dxa"/>
            <w:tcBorders>
              <w:top w:val="nil"/>
              <w:left w:val="nil"/>
              <w:bottom w:val="nil"/>
              <w:right w:val="nil"/>
            </w:tcBorders>
          </w:tcPr>
          <w:p w14:paraId="3A12398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p>
        </w:tc>
        <w:tc>
          <w:tcPr>
            <w:tcW w:w="891" w:type="dxa"/>
            <w:tcBorders>
              <w:top w:val="nil"/>
              <w:left w:val="nil"/>
              <w:bottom w:val="nil"/>
              <w:right w:val="nil"/>
            </w:tcBorders>
          </w:tcPr>
          <w:p w14:paraId="683648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2.33</w:t>
            </w:r>
          </w:p>
        </w:tc>
        <w:tc>
          <w:tcPr>
            <w:tcW w:w="802" w:type="dxa"/>
            <w:tcBorders>
              <w:top w:val="nil"/>
              <w:left w:val="nil"/>
              <w:bottom w:val="nil"/>
              <w:right w:val="nil"/>
            </w:tcBorders>
          </w:tcPr>
          <w:p w14:paraId="058E59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3.33</w:t>
            </w:r>
          </w:p>
        </w:tc>
      </w:tr>
      <w:tr w:rsidR="0085710E" w:rsidRPr="00B403D0" w14:paraId="49A50860" w14:textId="77777777" w:rsidTr="0085710E">
        <w:tc>
          <w:tcPr>
            <w:tcW w:w="1241" w:type="dxa"/>
            <w:vMerge/>
            <w:tcBorders>
              <w:left w:val="nil"/>
              <w:right w:val="nil"/>
            </w:tcBorders>
          </w:tcPr>
          <w:p w14:paraId="2E9AD419"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4C7828D"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2</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74E808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2.46</w:t>
            </w:r>
          </w:p>
        </w:tc>
        <w:tc>
          <w:tcPr>
            <w:tcW w:w="822" w:type="dxa"/>
            <w:tcBorders>
              <w:top w:val="nil"/>
              <w:left w:val="nil"/>
              <w:bottom w:val="nil"/>
              <w:right w:val="nil"/>
            </w:tcBorders>
          </w:tcPr>
          <w:p w14:paraId="04AB64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2.15</w:t>
            </w:r>
            <w:r w:rsidRPr="00B403D0">
              <w:rPr>
                <w:rFonts w:asciiTheme="minorBidi" w:hAnsiTheme="minorBidi" w:cstheme="minorBidi"/>
                <w:sz w:val="20"/>
                <w:szCs w:val="20"/>
                <w:vertAlign w:val="superscript"/>
              </w:rPr>
              <w:t>bc</w:t>
            </w:r>
          </w:p>
        </w:tc>
        <w:tc>
          <w:tcPr>
            <w:tcW w:w="763" w:type="dxa"/>
            <w:tcBorders>
              <w:top w:val="nil"/>
              <w:left w:val="nil"/>
              <w:bottom w:val="nil"/>
              <w:right w:val="nil"/>
            </w:tcBorders>
          </w:tcPr>
          <w:p w14:paraId="3E4164E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16.18</w:t>
            </w:r>
          </w:p>
        </w:tc>
        <w:tc>
          <w:tcPr>
            <w:tcW w:w="803" w:type="dxa"/>
            <w:tcBorders>
              <w:top w:val="nil"/>
              <w:left w:val="nil"/>
              <w:bottom w:val="nil"/>
              <w:right w:val="nil"/>
            </w:tcBorders>
          </w:tcPr>
          <w:p w14:paraId="6DC91D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12.63</w:t>
            </w:r>
          </w:p>
        </w:tc>
        <w:tc>
          <w:tcPr>
            <w:tcW w:w="1110" w:type="dxa"/>
            <w:tcBorders>
              <w:top w:val="nil"/>
              <w:left w:val="nil"/>
              <w:bottom w:val="nil"/>
              <w:right w:val="nil"/>
            </w:tcBorders>
            <w:vAlign w:val="center"/>
          </w:tcPr>
          <w:p w14:paraId="5777F6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65.50</w:t>
            </w:r>
          </w:p>
        </w:tc>
        <w:tc>
          <w:tcPr>
            <w:tcW w:w="1046" w:type="dxa"/>
            <w:tcBorders>
              <w:top w:val="nil"/>
              <w:left w:val="nil"/>
              <w:bottom w:val="nil"/>
              <w:right w:val="nil"/>
            </w:tcBorders>
          </w:tcPr>
          <w:p w14:paraId="303135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173.50</w:t>
            </w:r>
          </w:p>
        </w:tc>
        <w:tc>
          <w:tcPr>
            <w:tcW w:w="972" w:type="dxa"/>
            <w:tcBorders>
              <w:top w:val="nil"/>
              <w:left w:val="nil"/>
              <w:bottom w:val="nil"/>
              <w:right w:val="nil"/>
            </w:tcBorders>
          </w:tcPr>
          <w:p w14:paraId="6AD2D31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3.86</w:t>
            </w:r>
          </w:p>
        </w:tc>
        <w:tc>
          <w:tcPr>
            <w:tcW w:w="880" w:type="dxa"/>
            <w:tcBorders>
              <w:top w:val="nil"/>
              <w:left w:val="nil"/>
              <w:bottom w:val="nil"/>
              <w:right w:val="nil"/>
            </w:tcBorders>
          </w:tcPr>
          <w:p w14:paraId="34F848C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5.00</w:t>
            </w:r>
          </w:p>
        </w:tc>
        <w:tc>
          <w:tcPr>
            <w:tcW w:w="891" w:type="dxa"/>
            <w:tcBorders>
              <w:top w:val="nil"/>
              <w:left w:val="nil"/>
              <w:bottom w:val="nil"/>
              <w:right w:val="nil"/>
            </w:tcBorders>
          </w:tcPr>
          <w:p w14:paraId="340DFD0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2.75</w:t>
            </w:r>
          </w:p>
        </w:tc>
        <w:tc>
          <w:tcPr>
            <w:tcW w:w="802" w:type="dxa"/>
            <w:tcBorders>
              <w:top w:val="nil"/>
              <w:left w:val="nil"/>
              <w:bottom w:val="nil"/>
              <w:right w:val="nil"/>
            </w:tcBorders>
          </w:tcPr>
          <w:p w14:paraId="17AFAD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3.54</w:t>
            </w:r>
          </w:p>
        </w:tc>
      </w:tr>
      <w:tr w:rsidR="0085710E" w:rsidRPr="00B403D0" w14:paraId="3EF61C49" w14:textId="77777777" w:rsidTr="0085710E">
        <w:tc>
          <w:tcPr>
            <w:tcW w:w="1241" w:type="dxa"/>
            <w:vMerge/>
            <w:tcBorders>
              <w:left w:val="nil"/>
              <w:right w:val="nil"/>
            </w:tcBorders>
          </w:tcPr>
          <w:p w14:paraId="5B3F33A0"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22AC586B"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3</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48C8CB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2.82</w:t>
            </w:r>
          </w:p>
        </w:tc>
        <w:tc>
          <w:tcPr>
            <w:tcW w:w="822" w:type="dxa"/>
            <w:tcBorders>
              <w:top w:val="nil"/>
              <w:left w:val="nil"/>
              <w:bottom w:val="nil"/>
              <w:right w:val="nil"/>
            </w:tcBorders>
          </w:tcPr>
          <w:p w14:paraId="5A3F43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80E53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16.08</w:t>
            </w:r>
          </w:p>
        </w:tc>
        <w:tc>
          <w:tcPr>
            <w:tcW w:w="803" w:type="dxa"/>
            <w:tcBorders>
              <w:top w:val="nil"/>
              <w:left w:val="nil"/>
              <w:bottom w:val="nil"/>
              <w:right w:val="nil"/>
            </w:tcBorders>
          </w:tcPr>
          <w:p w14:paraId="68A758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13.25</w:t>
            </w:r>
          </w:p>
        </w:tc>
        <w:tc>
          <w:tcPr>
            <w:tcW w:w="1110" w:type="dxa"/>
            <w:tcBorders>
              <w:top w:val="nil"/>
              <w:left w:val="nil"/>
              <w:bottom w:val="nil"/>
              <w:right w:val="nil"/>
            </w:tcBorders>
            <w:vAlign w:val="center"/>
          </w:tcPr>
          <w:p w14:paraId="7706ACD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125.75</w:t>
            </w:r>
          </w:p>
        </w:tc>
        <w:tc>
          <w:tcPr>
            <w:tcW w:w="1046" w:type="dxa"/>
            <w:tcBorders>
              <w:top w:val="nil"/>
              <w:left w:val="nil"/>
              <w:bottom w:val="nil"/>
              <w:right w:val="nil"/>
            </w:tcBorders>
          </w:tcPr>
          <w:p w14:paraId="56221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186.00</w:t>
            </w:r>
          </w:p>
        </w:tc>
        <w:tc>
          <w:tcPr>
            <w:tcW w:w="972" w:type="dxa"/>
            <w:tcBorders>
              <w:top w:val="nil"/>
              <w:left w:val="nil"/>
              <w:bottom w:val="nil"/>
              <w:right w:val="nil"/>
            </w:tcBorders>
          </w:tcPr>
          <w:p w14:paraId="7490E55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4.86</w:t>
            </w:r>
          </w:p>
        </w:tc>
        <w:tc>
          <w:tcPr>
            <w:tcW w:w="880" w:type="dxa"/>
            <w:tcBorders>
              <w:top w:val="nil"/>
              <w:left w:val="nil"/>
              <w:bottom w:val="nil"/>
              <w:right w:val="nil"/>
            </w:tcBorders>
          </w:tcPr>
          <w:p w14:paraId="75BBBC8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3E3BA9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c>
          <w:tcPr>
            <w:tcW w:w="802" w:type="dxa"/>
            <w:tcBorders>
              <w:top w:val="nil"/>
              <w:left w:val="nil"/>
              <w:bottom w:val="nil"/>
              <w:right w:val="nil"/>
            </w:tcBorders>
          </w:tcPr>
          <w:p w14:paraId="11D54C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3D9EEEF0" w14:textId="77777777" w:rsidTr="0085710E">
        <w:tc>
          <w:tcPr>
            <w:tcW w:w="1241" w:type="dxa"/>
            <w:vMerge/>
            <w:tcBorders>
              <w:left w:val="nil"/>
              <w:right w:val="nil"/>
            </w:tcBorders>
          </w:tcPr>
          <w:p w14:paraId="02A7E8BA"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E97D0A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3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212B9F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2.53</w:t>
            </w:r>
          </w:p>
        </w:tc>
        <w:tc>
          <w:tcPr>
            <w:tcW w:w="822" w:type="dxa"/>
            <w:tcBorders>
              <w:top w:val="nil"/>
              <w:left w:val="nil"/>
              <w:bottom w:val="nil"/>
              <w:right w:val="nil"/>
            </w:tcBorders>
          </w:tcPr>
          <w:p w14:paraId="217FFD8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62CCE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15.00</w:t>
            </w:r>
          </w:p>
        </w:tc>
        <w:tc>
          <w:tcPr>
            <w:tcW w:w="803" w:type="dxa"/>
            <w:tcBorders>
              <w:top w:val="nil"/>
              <w:left w:val="nil"/>
              <w:bottom w:val="nil"/>
              <w:right w:val="nil"/>
            </w:tcBorders>
          </w:tcPr>
          <w:p w14:paraId="400C03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12.25</w:t>
            </w:r>
          </w:p>
        </w:tc>
        <w:tc>
          <w:tcPr>
            <w:tcW w:w="1110" w:type="dxa"/>
            <w:tcBorders>
              <w:top w:val="nil"/>
              <w:left w:val="nil"/>
              <w:bottom w:val="nil"/>
              <w:right w:val="nil"/>
            </w:tcBorders>
            <w:vAlign w:val="center"/>
          </w:tcPr>
          <w:p w14:paraId="27F4695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95.50</w:t>
            </w:r>
          </w:p>
        </w:tc>
        <w:tc>
          <w:tcPr>
            <w:tcW w:w="1046" w:type="dxa"/>
            <w:tcBorders>
              <w:top w:val="nil"/>
              <w:left w:val="nil"/>
              <w:bottom w:val="nil"/>
              <w:right w:val="nil"/>
            </w:tcBorders>
          </w:tcPr>
          <w:p w14:paraId="667B1D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189.50</w:t>
            </w:r>
          </w:p>
        </w:tc>
        <w:tc>
          <w:tcPr>
            <w:tcW w:w="972" w:type="dxa"/>
            <w:tcBorders>
              <w:top w:val="nil"/>
              <w:left w:val="nil"/>
              <w:bottom w:val="nil"/>
              <w:right w:val="nil"/>
            </w:tcBorders>
          </w:tcPr>
          <w:p w14:paraId="1C1D315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5.07</w:t>
            </w:r>
          </w:p>
        </w:tc>
        <w:tc>
          <w:tcPr>
            <w:tcW w:w="880" w:type="dxa"/>
            <w:tcBorders>
              <w:top w:val="nil"/>
              <w:left w:val="nil"/>
              <w:bottom w:val="nil"/>
              <w:right w:val="nil"/>
            </w:tcBorders>
          </w:tcPr>
          <w:p w14:paraId="26FB50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5.95</w:t>
            </w:r>
          </w:p>
        </w:tc>
        <w:tc>
          <w:tcPr>
            <w:tcW w:w="891" w:type="dxa"/>
            <w:tcBorders>
              <w:top w:val="nil"/>
              <w:left w:val="nil"/>
              <w:bottom w:val="nil"/>
              <w:right w:val="nil"/>
            </w:tcBorders>
          </w:tcPr>
          <w:p w14:paraId="124BC2D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3.42</w:t>
            </w:r>
          </w:p>
        </w:tc>
        <w:tc>
          <w:tcPr>
            <w:tcW w:w="802" w:type="dxa"/>
            <w:tcBorders>
              <w:top w:val="nil"/>
              <w:left w:val="nil"/>
              <w:bottom w:val="nil"/>
              <w:right w:val="nil"/>
            </w:tcBorders>
          </w:tcPr>
          <w:p w14:paraId="7F7EC6D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w:t>
            </w:r>
          </w:p>
        </w:tc>
      </w:tr>
      <w:tr w:rsidR="0085710E" w:rsidRPr="00B403D0" w14:paraId="129EC5BE" w14:textId="77777777" w:rsidTr="0085710E">
        <w:tc>
          <w:tcPr>
            <w:tcW w:w="1241" w:type="dxa"/>
            <w:vMerge/>
            <w:tcBorders>
              <w:left w:val="nil"/>
              <w:right w:val="nil"/>
            </w:tcBorders>
          </w:tcPr>
          <w:p w14:paraId="154135F2"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1BF46B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4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22082D4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2.57</w:t>
            </w:r>
          </w:p>
        </w:tc>
        <w:tc>
          <w:tcPr>
            <w:tcW w:w="822" w:type="dxa"/>
            <w:tcBorders>
              <w:top w:val="nil"/>
              <w:left w:val="nil"/>
              <w:bottom w:val="nil"/>
              <w:right w:val="nil"/>
            </w:tcBorders>
          </w:tcPr>
          <w:p w14:paraId="2EBEA88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2.48</w:t>
            </w:r>
            <w:r w:rsidRPr="00B403D0">
              <w:rPr>
                <w:rFonts w:asciiTheme="minorBidi" w:hAnsiTheme="minorBidi" w:cstheme="minorBidi"/>
                <w:sz w:val="20"/>
                <w:szCs w:val="20"/>
                <w:vertAlign w:val="superscript"/>
              </w:rPr>
              <w:t>ab</w:t>
            </w:r>
          </w:p>
        </w:tc>
        <w:tc>
          <w:tcPr>
            <w:tcW w:w="763" w:type="dxa"/>
            <w:tcBorders>
              <w:top w:val="nil"/>
              <w:left w:val="nil"/>
              <w:bottom w:val="nil"/>
              <w:right w:val="nil"/>
            </w:tcBorders>
          </w:tcPr>
          <w:p w14:paraId="6353634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15.48</w:t>
            </w:r>
          </w:p>
        </w:tc>
        <w:tc>
          <w:tcPr>
            <w:tcW w:w="803" w:type="dxa"/>
            <w:tcBorders>
              <w:top w:val="nil"/>
              <w:left w:val="nil"/>
              <w:bottom w:val="nil"/>
              <w:right w:val="nil"/>
            </w:tcBorders>
          </w:tcPr>
          <w:p w14:paraId="1114BC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16.33</w:t>
            </w:r>
          </w:p>
        </w:tc>
        <w:tc>
          <w:tcPr>
            <w:tcW w:w="1110" w:type="dxa"/>
            <w:tcBorders>
              <w:top w:val="nil"/>
              <w:left w:val="nil"/>
              <w:bottom w:val="nil"/>
              <w:right w:val="nil"/>
            </w:tcBorders>
            <w:vAlign w:val="center"/>
          </w:tcPr>
          <w:p w14:paraId="6381812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139.50</w:t>
            </w:r>
          </w:p>
        </w:tc>
        <w:tc>
          <w:tcPr>
            <w:tcW w:w="1046" w:type="dxa"/>
            <w:tcBorders>
              <w:top w:val="nil"/>
              <w:left w:val="nil"/>
              <w:bottom w:val="nil"/>
              <w:right w:val="nil"/>
            </w:tcBorders>
          </w:tcPr>
          <w:p w14:paraId="7A4455C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176.00</w:t>
            </w:r>
          </w:p>
        </w:tc>
        <w:tc>
          <w:tcPr>
            <w:tcW w:w="972" w:type="dxa"/>
            <w:tcBorders>
              <w:top w:val="nil"/>
              <w:left w:val="nil"/>
              <w:bottom w:val="nil"/>
              <w:right w:val="nil"/>
            </w:tcBorders>
          </w:tcPr>
          <w:p w14:paraId="2A9AF4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80" w:type="dxa"/>
            <w:tcBorders>
              <w:top w:val="nil"/>
              <w:left w:val="nil"/>
              <w:bottom w:val="nil"/>
              <w:right w:val="nil"/>
            </w:tcBorders>
          </w:tcPr>
          <w:p w14:paraId="15974B2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4.53</w:t>
            </w:r>
          </w:p>
        </w:tc>
        <w:tc>
          <w:tcPr>
            <w:tcW w:w="891" w:type="dxa"/>
            <w:tcBorders>
              <w:top w:val="nil"/>
              <w:left w:val="nil"/>
              <w:bottom w:val="nil"/>
              <w:right w:val="nil"/>
            </w:tcBorders>
          </w:tcPr>
          <w:p w14:paraId="6829FB7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3.14</w:t>
            </w:r>
          </w:p>
        </w:tc>
        <w:tc>
          <w:tcPr>
            <w:tcW w:w="802" w:type="dxa"/>
            <w:tcBorders>
              <w:top w:val="nil"/>
              <w:left w:val="nil"/>
              <w:bottom w:val="nil"/>
              <w:right w:val="nil"/>
            </w:tcBorders>
          </w:tcPr>
          <w:p w14:paraId="2DA0F33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2.85</w:t>
            </w:r>
          </w:p>
        </w:tc>
      </w:tr>
      <w:tr w:rsidR="0085710E" w:rsidRPr="00B403D0" w14:paraId="35993596" w14:textId="77777777" w:rsidTr="0085710E">
        <w:tc>
          <w:tcPr>
            <w:tcW w:w="1241" w:type="dxa"/>
            <w:vMerge/>
            <w:tcBorders>
              <w:left w:val="nil"/>
              <w:right w:val="nil"/>
            </w:tcBorders>
          </w:tcPr>
          <w:p w14:paraId="7014D82C"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vAlign w:val="center"/>
          </w:tcPr>
          <w:p w14:paraId="6AB5FB2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4</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single" w:sz="4" w:space="0" w:color="auto"/>
              <w:right w:val="nil"/>
            </w:tcBorders>
          </w:tcPr>
          <w:p w14:paraId="6270179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1.95</w:t>
            </w:r>
          </w:p>
        </w:tc>
        <w:tc>
          <w:tcPr>
            <w:tcW w:w="822" w:type="dxa"/>
            <w:tcBorders>
              <w:top w:val="nil"/>
              <w:left w:val="nil"/>
              <w:bottom w:val="single" w:sz="4" w:space="0" w:color="auto"/>
              <w:right w:val="nil"/>
            </w:tcBorders>
          </w:tcPr>
          <w:p w14:paraId="014637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w:t>
            </w:r>
            <w:r w:rsidRPr="00B403D0">
              <w:rPr>
                <w:rFonts w:asciiTheme="minorBidi" w:hAnsiTheme="minorBidi" w:cstheme="minorBidi"/>
                <w:sz w:val="20"/>
                <w:szCs w:val="20"/>
                <w:vertAlign w:val="superscript"/>
              </w:rPr>
              <w:t>d</w:t>
            </w:r>
          </w:p>
        </w:tc>
        <w:tc>
          <w:tcPr>
            <w:tcW w:w="763" w:type="dxa"/>
            <w:tcBorders>
              <w:top w:val="nil"/>
              <w:left w:val="nil"/>
              <w:bottom w:val="single" w:sz="4" w:space="0" w:color="auto"/>
              <w:right w:val="nil"/>
            </w:tcBorders>
          </w:tcPr>
          <w:p w14:paraId="7DB9D75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13.90</w:t>
            </w:r>
          </w:p>
        </w:tc>
        <w:tc>
          <w:tcPr>
            <w:tcW w:w="803" w:type="dxa"/>
            <w:tcBorders>
              <w:top w:val="nil"/>
              <w:left w:val="nil"/>
              <w:bottom w:val="single" w:sz="4" w:space="0" w:color="auto"/>
              <w:right w:val="nil"/>
            </w:tcBorders>
          </w:tcPr>
          <w:p w14:paraId="5D870F9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11.43</w:t>
            </w:r>
          </w:p>
        </w:tc>
        <w:tc>
          <w:tcPr>
            <w:tcW w:w="1110" w:type="dxa"/>
            <w:tcBorders>
              <w:top w:val="nil"/>
              <w:left w:val="nil"/>
              <w:bottom w:val="single" w:sz="4" w:space="0" w:color="auto"/>
              <w:right w:val="nil"/>
            </w:tcBorders>
            <w:vAlign w:val="center"/>
          </w:tcPr>
          <w:p w14:paraId="216E7B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111.50</w:t>
            </w:r>
          </w:p>
        </w:tc>
        <w:tc>
          <w:tcPr>
            <w:tcW w:w="1046" w:type="dxa"/>
            <w:tcBorders>
              <w:top w:val="nil"/>
              <w:left w:val="nil"/>
              <w:bottom w:val="single" w:sz="4" w:space="0" w:color="auto"/>
              <w:right w:val="nil"/>
            </w:tcBorders>
          </w:tcPr>
          <w:p w14:paraId="2671E36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247.50</w:t>
            </w:r>
          </w:p>
        </w:tc>
        <w:tc>
          <w:tcPr>
            <w:tcW w:w="972" w:type="dxa"/>
            <w:tcBorders>
              <w:top w:val="nil"/>
              <w:left w:val="nil"/>
              <w:bottom w:val="single" w:sz="4" w:space="0" w:color="auto"/>
              <w:right w:val="nil"/>
            </w:tcBorders>
          </w:tcPr>
          <w:p w14:paraId="7A2EB56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5.74</w:t>
            </w:r>
          </w:p>
        </w:tc>
        <w:tc>
          <w:tcPr>
            <w:tcW w:w="880" w:type="dxa"/>
            <w:tcBorders>
              <w:top w:val="nil"/>
              <w:left w:val="nil"/>
              <w:bottom w:val="single" w:sz="4" w:space="0" w:color="auto"/>
              <w:right w:val="nil"/>
            </w:tcBorders>
          </w:tcPr>
          <w:p w14:paraId="6CF2CE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5.18</w:t>
            </w:r>
          </w:p>
        </w:tc>
        <w:tc>
          <w:tcPr>
            <w:tcW w:w="891" w:type="dxa"/>
            <w:tcBorders>
              <w:top w:val="nil"/>
              <w:left w:val="nil"/>
              <w:bottom w:val="single" w:sz="4" w:space="0" w:color="auto"/>
              <w:right w:val="nil"/>
            </w:tcBorders>
          </w:tcPr>
          <w:p w14:paraId="39E8A51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3.84</w:t>
            </w:r>
          </w:p>
        </w:tc>
        <w:tc>
          <w:tcPr>
            <w:tcW w:w="802" w:type="dxa"/>
            <w:tcBorders>
              <w:top w:val="nil"/>
              <w:left w:val="nil"/>
              <w:bottom w:val="single" w:sz="4" w:space="0" w:color="auto"/>
              <w:right w:val="nil"/>
            </w:tcBorders>
          </w:tcPr>
          <w:p w14:paraId="2D1264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3.40</w:t>
            </w:r>
          </w:p>
        </w:tc>
      </w:tr>
      <w:tr w:rsidR="0085710E" w:rsidRPr="00B403D0" w14:paraId="5D42381F" w14:textId="77777777" w:rsidTr="0085710E">
        <w:tc>
          <w:tcPr>
            <w:tcW w:w="1241" w:type="dxa"/>
            <w:vMerge/>
            <w:tcBorders>
              <w:left w:val="nil"/>
              <w:right w:val="nil"/>
            </w:tcBorders>
          </w:tcPr>
          <w:p w14:paraId="51A99A47" w14:textId="77777777" w:rsidR="0085710E" w:rsidRPr="00B403D0" w:rsidRDefault="0085710E" w:rsidP="0085710E">
            <w:pPr>
              <w:rPr>
                <w:rFonts w:asciiTheme="minorBidi" w:hAnsiTheme="minorBidi" w:cstheme="minorBidi"/>
                <w:sz w:val="20"/>
                <w:szCs w:val="20"/>
              </w:rPr>
            </w:pPr>
          </w:p>
        </w:tc>
        <w:tc>
          <w:tcPr>
            <w:tcW w:w="1909" w:type="dxa"/>
            <w:tcBorders>
              <w:top w:val="single" w:sz="4" w:space="0" w:color="auto"/>
              <w:left w:val="nil"/>
              <w:bottom w:val="nil"/>
              <w:right w:val="nil"/>
            </w:tcBorders>
          </w:tcPr>
          <w:p w14:paraId="72906703" w14:textId="77777777" w:rsidR="0085710E" w:rsidRPr="00B403D0" w:rsidRDefault="0085710E" w:rsidP="0085710E">
            <w:pPr>
              <w:jc w:val="both"/>
              <w:rPr>
                <w:rFonts w:asciiTheme="minorBidi" w:hAnsiTheme="minorBidi" w:cstheme="minorBidi"/>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28CCDA6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55E33BB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976D2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2E6F4A6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7E8687F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0A1A14A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2597E88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4FC00E9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15FC42E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09A0149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5AB632E" w14:textId="77777777" w:rsidTr="0085710E">
        <w:tc>
          <w:tcPr>
            <w:tcW w:w="1241" w:type="dxa"/>
            <w:vMerge/>
            <w:tcBorders>
              <w:left w:val="nil"/>
              <w:bottom w:val="single" w:sz="4" w:space="0" w:color="auto"/>
              <w:right w:val="nil"/>
            </w:tcBorders>
          </w:tcPr>
          <w:p w14:paraId="506FEC9B"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tcPr>
          <w:p w14:paraId="70D4CCFF"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i/>
                <w:iCs/>
                <w:sz w:val="20"/>
                <w:szCs w:val="20"/>
              </w:rPr>
              <w:t>LSD  p =0.5</w:t>
            </w:r>
          </w:p>
        </w:tc>
        <w:tc>
          <w:tcPr>
            <w:tcW w:w="769" w:type="dxa"/>
            <w:tcBorders>
              <w:top w:val="nil"/>
              <w:left w:val="nil"/>
              <w:bottom w:val="single" w:sz="4" w:space="0" w:color="auto"/>
              <w:right w:val="nil"/>
            </w:tcBorders>
          </w:tcPr>
          <w:p w14:paraId="2EC958E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7D64A94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0.39</w:t>
            </w:r>
          </w:p>
        </w:tc>
        <w:tc>
          <w:tcPr>
            <w:tcW w:w="763" w:type="dxa"/>
            <w:tcBorders>
              <w:top w:val="nil"/>
              <w:left w:val="nil"/>
              <w:bottom w:val="single" w:sz="4" w:space="0" w:color="auto"/>
              <w:right w:val="nil"/>
            </w:tcBorders>
          </w:tcPr>
          <w:p w14:paraId="19BFD3D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F2E325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5A4F55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309D896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26ACFBE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55488B5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5B16217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02" w:type="dxa"/>
            <w:tcBorders>
              <w:top w:val="nil"/>
              <w:left w:val="nil"/>
              <w:bottom w:val="single" w:sz="4" w:space="0" w:color="auto"/>
              <w:right w:val="nil"/>
            </w:tcBorders>
          </w:tcPr>
          <w:p w14:paraId="7B0F513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bl>
    <w:p w14:paraId="6B08982D" w14:textId="77777777" w:rsidR="0085710E" w:rsidRPr="00B403D0" w:rsidRDefault="0085710E" w:rsidP="0085710E">
      <w:pPr>
        <w:rPr>
          <w:rFonts w:asciiTheme="minorBidi" w:hAnsiTheme="minorBidi" w:cstheme="minorBidi"/>
          <w:b/>
          <w:bCs/>
        </w:rPr>
      </w:pPr>
    </w:p>
    <w:p w14:paraId="43C2E697" w14:textId="77777777" w:rsidR="0085710E" w:rsidRPr="00B403D0" w:rsidRDefault="0085710E" w:rsidP="0085710E">
      <w:pPr>
        <w:rPr>
          <w:rFonts w:asciiTheme="minorBidi" w:hAnsiTheme="minorBidi" w:cstheme="minorBidi"/>
        </w:rPr>
      </w:pPr>
    </w:p>
    <w:p w14:paraId="27150C98" w14:textId="77777777" w:rsidR="0085710E" w:rsidRDefault="0085710E" w:rsidP="0085710E">
      <w:pPr>
        <w:jc w:val="center"/>
        <w:rPr>
          <w:rFonts w:asciiTheme="minorBidi" w:hAnsiTheme="minorBidi" w:cstheme="minorBidi"/>
          <w:i/>
          <w:iCs/>
        </w:rPr>
      </w:pPr>
    </w:p>
    <w:p w14:paraId="6D90DF9C" w14:textId="77777777" w:rsidR="0085710E" w:rsidRPr="0085710E" w:rsidRDefault="0085710E" w:rsidP="0085710E">
      <w:pPr>
        <w:jc w:val="center"/>
        <w:rPr>
          <w:rFonts w:asciiTheme="minorBidi" w:hAnsiTheme="minorBidi" w:cstheme="minorBidi"/>
          <w:i/>
          <w:iCs/>
        </w:rPr>
      </w:pPr>
      <w:r w:rsidRPr="00B403D0">
        <w:rPr>
          <w:rFonts w:asciiTheme="minorBidi" w:hAnsiTheme="minorBidi" w:cstheme="minorBidi"/>
          <w:i/>
          <w:iCs/>
        </w:rPr>
        <w:t xml:space="preserve">Values followed by different letters within a column are significantly different at </w:t>
      </w:r>
      <w:r w:rsidRPr="00B403D0">
        <w:rPr>
          <w:rStyle w:val="Emphasis"/>
          <w:rFonts w:asciiTheme="minorBidi" w:hAnsiTheme="minorBidi" w:cstheme="minorBidi"/>
        </w:rPr>
        <w:t>P</w:t>
      </w:r>
      <w:r w:rsidRPr="00B403D0">
        <w:rPr>
          <w:rFonts w:asciiTheme="minorBidi" w:hAnsiTheme="minorBidi" w:cstheme="minorBidi"/>
          <w:i/>
          <w:iCs/>
        </w:rPr>
        <w:t xml:space="preserve"> = 0.05; 'NS' indicates a non-significant difference.</w:t>
      </w:r>
    </w:p>
    <w:p w14:paraId="69DF4CF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pPr>
    </w:p>
    <w:p w14:paraId="3697C1B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sectPr w:rsidR="0085710E" w:rsidSect="00876EBB">
          <w:type w:val="continuous"/>
          <w:pgSz w:w="15840" w:h="12240" w:orient="landscape"/>
          <w:pgMar w:top="2016" w:right="1440" w:bottom="2016" w:left="2016" w:header="720" w:footer="1123" w:gutter="0"/>
          <w:cols w:space="720"/>
          <w:docGrid w:linePitch="272"/>
        </w:sectPr>
      </w:pPr>
    </w:p>
    <w:p w14:paraId="76EEA513" w14:textId="77777777" w:rsidR="000475A9" w:rsidRDefault="000475A9" w:rsidP="008A1E99">
      <w:pPr>
        <w:pStyle w:val="NormalWeb"/>
        <w:spacing w:before="0" w:beforeAutospacing="0" w:after="0" w:afterAutospacing="0"/>
        <w:jc w:val="both"/>
        <w:rPr>
          <w:rFonts w:asciiTheme="minorBidi" w:hAnsiTheme="minorBidi" w:cstheme="minorBidi"/>
          <w:sz w:val="20"/>
          <w:szCs w:val="20"/>
        </w:rPr>
      </w:pPr>
    </w:p>
    <w:p w14:paraId="3C3FBAD2" w14:textId="77777777" w:rsidR="001C5E87" w:rsidRDefault="000475A9" w:rsidP="000475A9">
      <w:pPr>
        <w:pStyle w:val="NormalWeb"/>
        <w:spacing w:before="0" w:beforeAutospacing="0" w:after="0" w:afterAutospacing="0"/>
        <w:jc w:val="center"/>
        <w:rPr>
          <w:rFonts w:asciiTheme="minorBidi" w:hAnsiTheme="minorBidi" w:cstheme="minorBidi"/>
          <w:sz w:val="20"/>
          <w:szCs w:val="20"/>
        </w:rPr>
      </w:pPr>
      <w:r>
        <w:rPr>
          <w:noProof/>
        </w:rPr>
        <w:drawing>
          <wp:inline distT="0" distB="0" distL="0" distR="0" wp14:anchorId="2ABC12F8" wp14:editId="0C307ECD">
            <wp:extent cx="5022850" cy="371475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EED9EF"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2D2BA940" w14:textId="77777777" w:rsidR="001C5E87" w:rsidRPr="000475A9" w:rsidRDefault="000475A9" w:rsidP="000475A9">
      <w:pPr>
        <w:pStyle w:val="NormalWeb"/>
        <w:spacing w:before="0" w:beforeAutospacing="0" w:after="0" w:afterAutospacing="0"/>
        <w:jc w:val="center"/>
        <w:rPr>
          <w:rFonts w:asciiTheme="minorBidi" w:hAnsiTheme="minorBidi" w:cstheme="minorBidi"/>
          <w:b/>
          <w:bCs/>
          <w:sz w:val="20"/>
          <w:szCs w:val="20"/>
        </w:rPr>
      </w:pPr>
      <w:commentRangeStart w:id="4"/>
      <w:proofErr w:type="gramStart"/>
      <w:r w:rsidRPr="000475A9">
        <w:rPr>
          <w:rFonts w:asciiTheme="minorBidi" w:hAnsiTheme="minorBidi" w:cstheme="minorBidi"/>
          <w:b/>
          <w:bCs/>
          <w:sz w:val="22"/>
          <w:szCs w:val="22"/>
        </w:rPr>
        <w:t xml:space="preserve">Figure </w:t>
      </w:r>
      <w:commentRangeEnd w:id="4"/>
      <w:r w:rsidR="00D10CFB">
        <w:rPr>
          <w:rStyle w:val="CommentReference"/>
          <w:rtl/>
          <w:lang w:val="nb-NO" w:eastAsia="nb-NO"/>
        </w:rPr>
        <w:commentReference w:id="4"/>
      </w:r>
      <w:r w:rsidRPr="000475A9">
        <w:rPr>
          <w:rFonts w:asciiTheme="minorBidi" w:hAnsiTheme="minorBidi" w:cstheme="minorBidi"/>
          <w:b/>
          <w:bCs/>
          <w:sz w:val="22"/>
          <w:szCs w:val="22"/>
        </w:rPr>
        <w:t>1.</w:t>
      </w:r>
      <w:proofErr w:type="gramEnd"/>
      <w:r w:rsidRPr="000475A9">
        <w:rPr>
          <w:rFonts w:asciiTheme="minorBidi" w:hAnsiTheme="minorBidi" w:cstheme="minorBidi"/>
          <w:b/>
          <w:bCs/>
          <w:sz w:val="22"/>
          <w:szCs w:val="22"/>
        </w:rPr>
        <w:t xml:space="preserve"> Monthly Climatological Parameters for Atbara–Damar, River Nile State, Sudan (November 2019 – April 2021)</w:t>
      </w:r>
    </w:p>
    <w:p w14:paraId="7F08C6CD"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0EBF9C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E03E63" w14:textId="77777777" w:rsidR="00790ADA" w:rsidRPr="00FB3A86" w:rsidRDefault="00790ADA" w:rsidP="00441B6F">
      <w:pPr>
        <w:pStyle w:val="ConcHead"/>
        <w:spacing w:after="0"/>
        <w:jc w:val="both"/>
        <w:rPr>
          <w:rFonts w:ascii="Arial" w:hAnsi="Arial" w:cs="Arial"/>
        </w:rPr>
      </w:pPr>
    </w:p>
    <w:p w14:paraId="20C6386E" w14:textId="77777777" w:rsidR="00856710" w:rsidRPr="00442061" w:rsidRDefault="00502516" w:rsidP="00856710">
      <w:pPr>
        <w:jc w:val="both"/>
        <w:rPr>
          <w:rFonts w:asciiTheme="minorBidi" w:hAnsiTheme="minorBidi" w:cstheme="minorBidi"/>
        </w:rPr>
      </w:pPr>
      <w:r>
        <w:rPr>
          <w:rFonts w:ascii="Arial" w:hAnsi="Arial" w:cs="Arial"/>
        </w:rPr>
        <w:t>[</w:t>
      </w:r>
      <w:r w:rsidR="00856710" w:rsidRPr="00442061">
        <w:rPr>
          <w:rFonts w:asciiTheme="minorBidi" w:hAnsiTheme="minorBidi" w:cstheme="minorBidi"/>
        </w:rPr>
        <w:t>This study demonstrated that both sowing method and seed rate significantly influence the growth and yield of carrot (</w:t>
      </w:r>
      <w:r w:rsidR="00856710" w:rsidRPr="00442061">
        <w:rPr>
          <w:rFonts w:asciiTheme="minorBidi" w:hAnsiTheme="minorBidi" w:cstheme="minorBidi"/>
          <w:i/>
          <w:iCs/>
        </w:rPr>
        <w:t>Daucus carota</w:t>
      </w:r>
      <w:r w:rsidR="00856710" w:rsidRPr="00442061">
        <w:rPr>
          <w:rFonts w:asciiTheme="minorBidi" w:hAnsiTheme="minorBidi" w:cstheme="minorBidi"/>
        </w:rPr>
        <w:t xml:space="preserve"> L.) under the agroecological conditions of River Nile State, Sudan. Among the tested treatments, the highest seed rate of 18.0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4</w:t>
      </w:r>
      <w:r w:rsidR="00856710" w:rsidRPr="00442061">
        <w:rPr>
          <w:rFonts w:asciiTheme="minorBidi" w:hAnsiTheme="minorBidi" w:cstheme="minorBidi"/>
        </w:rPr>
        <w:t>) led to the greatest total and marketable root yields across both seasons. However, this yield increase came at the expense of reduced root length and diameter, highlighting a trade-off between yield quantity and root quality at high plant densities. Conversely, the moderate seed rate of 12.0 kg ha</w:t>
      </w:r>
      <w:r w:rsidR="00856710" w:rsidRPr="00442061">
        <w:rPr>
          <w:rFonts w:ascii="Cambria Math" w:hAnsi="Cambria Math" w:cs="Cambria Math"/>
        </w:rPr>
        <w:t>⁻</w:t>
      </w:r>
      <w:r w:rsidR="00856710" w:rsidRPr="00442061">
        <w:rPr>
          <w:rFonts w:ascii="Arial" w:hAnsi="Arial" w:cs="Arial"/>
        </w:rPr>
        <w:t>¹</w:t>
      </w:r>
      <w:r w:rsidR="00856710" w:rsidRPr="00442061">
        <w:rPr>
          <w:rFonts w:asciiTheme="minorBidi" w:hAnsiTheme="minorBidi" w:cstheme="minorBidi"/>
        </w:rPr>
        <w:t xml:space="preserve"> (SR</w:t>
      </w:r>
      <w:r w:rsidR="00856710" w:rsidRPr="00442061">
        <w:rPr>
          <w:rFonts w:asciiTheme="minorBidi" w:hAnsiTheme="minorBidi" w:cstheme="minorBidi"/>
          <w:vertAlign w:val="subscript"/>
        </w:rPr>
        <w:t>3</w:t>
      </w:r>
      <w:r w:rsidR="00856710" w:rsidRPr="00442061">
        <w:rPr>
          <w:rFonts w:asciiTheme="minorBidi" w:hAnsiTheme="minorBidi" w:cstheme="minorBidi"/>
        </w:rPr>
        <w:t>) provided a more favorable balance between yield and desirable root characteristics, suggesting its suitability for both commercial productivity and market quality.</w:t>
      </w:r>
    </w:p>
    <w:p w14:paraId="6F6F8CF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With respect to sowing methods, the precision-based “</w:t>
      </w:r>
      <w:proofErr w:type="spellStart"/>
      <w:r w:rsidRPr="00442061">
        <w:rPr>
          <w:rFonts w:asciiTheme="minorBidi" w:hAnsiTheme="minorBidi" w:cstheme="minorBidi"/>
          <w:i/>
          <w:iCs/>
        </w:rPr>
        <w:t>Madrab</w:t>
      </w:r>
      <w:proofErr w:type="spellEnd"/>
      <w:r w:rsidRPr="00442061">
        <w:rPr>
          <w:rFonts w:asciiTheme="minorBidi" w:hAnsiTheme="minorBidi" w:cstheme="minorBidi"/>
        </w:rPr>
        <w:t>” method (SM</w:t>
      </w:r>
      <w:r w:rsidRPr="00442061">
        <w:rPr>
          <w:rFonts w:asciiTheme="minorBidi" w:hAnsiTheme="minorBidi" w:cstheme="minorBidi"/>
          <w:vertAlign w:val="subscript"/>
        </w:rPr>
        <w:t>2</w:t>
      </w:r>
      <w:r w:rsidRPr="00442061">
        <w:rPr>
          <w:rFonts w:asciiTheme="minorBidi" w:hAnsiTheme="minorBidi" w:cstheme="minorBidi"/>
        </w:rPr>
        <w:t>) enhanced marketable yield and improved root uniformity, particularly in the second season. This reflects the benefit of controlled seed spacing and depth in minimizing intra-specific competition and maximizing nutrient use efficiency. Although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method (SM</w:t>
      </w:r>
      <w:r w:rsidRPr="00442061">
        <w:rPr>
          <w:rFonts w:asciiTheme="minorBidi" w:hAnsiTheme="minorBidi" w:cstheme="minorBidi"/>
          <w:i/>
          <w:iCs/>
        </w:rPr>
        <w:t>1</w:t>
      </w:r>
      <w:r w:rsidRPr="00442061">
        <w:rPr>
          <w:rFonts w:asciiTheme="minorBidi" w:hAnsiTheme="minorBidi" w:cstheme="minorBidi"/>
        </w:rPr>
        <w:t>) showed advantages in root diameter and length, it was less consistent in delivering higher marketable yields.</w:t>
      </w:r>
    </w:p>
    <w:p w14:paraId="25805BC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 xml:space="preserve">The findings underscore the importance of optimizing both seed rate and sowing technique for carrot cultivation in semi-arid, irrigated environments. Specifically, the combination of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sowing method and a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is recommended for achieving a favorable compromise between yield volume and marketable root quality. These </w:t>
      </w:r>
      <w:r w:rsidRPr="00442061">
        <w:rPr>
          <w:rFonts w:asciiTheme="minorBidi" w:hAnsiTheme="minorBidi" w:cstheme="minorBidi"/>
        </w:rPr>
        <w:lastRenderedPageBreak/>
        <w:t>recommendations provide practical value for extension services and farmers seeking to improve carrot production efficiency in similar agro-climatic zones of Sudan.</w:t>
      </w:r>
    </w:p>
    <w:p w14:paraId="484E2FB8" w14:textId="77777777" w:rsidR="00790ADA" w:rsidRPr="00FB3A86" w:rsidRDefault="00790ADA" w:rsidP="00856710">
      <w:pPr>
        <w:pStyle w:val="Body"/>
        <w:spacing w:after="0"/>
        <w:rPr>
          <w:rFonts w:ascii="Arial" w:hAnsi="Arial" w:cs="Arial"/>
        </w:rPr>
      </w:pPr>
    </w:p>
    <w:p w14:paraId="06AF2524" w14:textId="77777777" w:rsidR="00856710" w:rsidRDefault="00856710" w:rsidP="00856710">
      <w:pPr>
        <w:pStyle w:val="ReferHead"/>
        <w:spacing w:after="0"/>
        <w:jc w:val="both"/>
        <w:rPr>
          <w:rFonts w:ascii="Arial" w:hAnsi="Arial" w:cs="Arial"/>
          <w:b w:val="0"/>
          <w:caps w:val="0"/>
          <w:sz w:val="20"/>
        </w:rPr>
      </w:pPr>
    </w:p>
    <w:p w14:paraId="0830782D" w14:textId="77777777" w:rsidR="00856710" w:rsidRDefault="00856710" w:rsidP="00856710">
      <w:pPr>
        <w:pStyle w:val="ReferHead"/>
        <w:spacing w:after="0"/>
        <w:jc w:val="both"/>
        <w:rPr>
          <w:rFonts w:ascii="Arial" w:hAnsi="Arial" w:cs="Arial"/>
          <w:b w:val="0"/>
          <w:caps w:val="0"/>
          <w:sz w:val="20"/>
        </w:rPr>
      </w:pPr>
    </w:p>
    <w:p w14:paraId="467EFC43" w14:textId="77777777" w:rsidR="00856710" w:rsidRDefault="00856710" w:rsidP="00856710">
      <w:pPr>
        <w:pStyle w:val="ReferHead"/>
        <w:spacing w:after="0"/>
        <w:jc w:val="both"/>
        <w:rPr>
          <w:rFonts w:ascii="Arial" w:hAnsi="Arial" w:cs="Arial"/>
          <w:bCs/>
        </w:rPr>
      </w:pPr>
      <w:r>
        <w:rPr>
          <w:rFonts w:ascii="Arial" w:hAnsi="Arial" w:cs="Arial"/>
          <w:bCs/>
        </w:rPr>
        <w:t xml:space="preserve">Ethical approval  </w:t>
      </w:r>
    </w:p>
    <w:p w14:paraId="10A06CBC" w14:textId="77777777" w:rsidR="00856710" w:rsidRPr="002B685A" w:rsidRDefault="00856710" w:rsidP="00856710">
      <w:pPr>
        <w:pStyle w:val="ReferHead"/>
        <w:spacing w:after="0"/>
        <w:jc w:val="both"/>
        <w:rPr>
          <w:rFonts w:ascii="Arial" w:hAnsi="Arial" w:cs="Arial"/>
          <w:bCs/>
        </w:rPr>
      </w:pPr>
    </w:p>
    <w:p w14:paraId="75782C54" w14:textId="77777777" w:rsidR="00856710" w:rsidRDefault="00856710" w:rsidP="00856710">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1C2CF444" w14:textId="77777777" w:rsidR="00F5495B" w:rsidRDefault="00F5495B" w:rsidP="00856710">
      <w:pPr>
        <w:pStyle w:val="ReferHead"/>
        <w:spacing w:after="0"/>
        <w:jc w:val="both"/>
        <w:rPr>
          <w:rFonts w:ascii="Arial" w:hAnsi="Arial" w:cs="Arial"/>
          <w:b w:val="0"/>
          <w:caps w:val="0"/>
          <w:sz w:val="20"/>
          <w:u w:val="single"/>
        </w:rPr>
      </w:pPr>
    </w:p>
    <w:p w14:paraId="1E499006" w14:textId="77777777" w:rsidR="00860000" w:rsidRDefault="00860000" w:rsidP="00441B6F">
      <w:pPr>
        <w:pStyle w:val="ReferHead"/>
        <w:spacing w:after="0"/>
        <w:jc w:val="both"/>
        <w:rPr>
          <w:rFonts w:ascii="Arial" w:hAnsi="Arial" w:cs="Arial"/>
        </w:rPr>
      </w:pPr>
    </w:p>
    <w:p w14:paraId="0726F34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4E9325" w14:textId="77777777" w:rsidR="00856710" w:rsidRDefault="00856710" w:rsidP="00441B6F">
      <w:pPr>
        <w:pStyle w:val="ReferHead"/>
        <w:spacing w:after="0"/>
        <w:jc w:val="both"/>
        <w:rPr>
          <w:rFonts w:ascii="Arial" w:hAnsi="Arial" w:cs="Arial"/>
        </w:rPr>
      </w:pPr>
    </w:p>
    <w:p w14:paraId="6D6FFBC8"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Alasalvar</w:t>
      </w:r>
      <w:proofErr w:type="spellEnd"/>
      <w:r w:rsidRPr="00442061">
        <w:rPr>
          <w:rFonts w:asciiTheme="minorBidi" w:hAnsiTheme="minorBidi" w:cstheme="minorBidi"/>
        </w:rPr>
        <w:t xml:space="preserve">, C., Grigor, J. M., Zhang, D., Quantick, P. C., &amp; Shahidi, F. (2001). Comparison of volatiles, phenolics, sugars, antioxidant vitamins and sensory quality of different colored carrot varieties. </w:t>
      </w:r>
      <w:r w:rsidRPr="00442061">
        <w:rPr>
          <w:rFonts w:asciiTheme="minorBidi" w:hAnsiTheme="minorBidi" w:cstheme="minorBidi"/>
          <w:i/>
          <w:iCs/>
        </w:rPr>
        <w:t>Journal of Agricultural and Food Chemistry</w:t>
      </w:r>
      <w:r w:rsidRPr="00442061">
        <w:rPr>
          <w:rFonts w:asciiTheme="minorBidi" w:hAnsiTheme="minorBidi" w:cstheme="minorBidi"/>
        </w:rPr>
        <w:t xml:space="preserve">, </w:t>
      </w:r>
      <w:r w:rsidRPr="00442061">
        <w:rPr>
          <w:rFonts w:asciiTheme="minorBidi" w:hAnsiTheme="minorBidi" w:cstheme="minorBidi"/>
          <w:i/>
          <w:iCs/>
        </w:rPr>
        <w:t>49</w:t>
      </w:r>
      <w:r w:rsidRPr="00442061">
        <w:rPr>
          <w:rFonts w:asciiTheme="minorBidi" w:hAnsiTheme="minorBidi" w:cstheme="minorBidi"/>
        </w:rPr>
        <w:t xml:space="preserve">(3), 1410–1416. </w:t>
      </w:r>
      <w:hyperlink r:id="rId17" w:history="1">
        <w:r w:rsidRPr="00442061">
          <w:rPr>
            <w:rStyle w:val="Hyperlink"/>
            <w:rFonts w:asciiTheme="minorBidi" w:hAnsiTheme="minorBidi" w:cstheme="minorBidi"/>
          </w:rPr>
          <w:t>https://doi.org/10.1021/jf000595h</w:t>
        </w:r>
      </w:hyperlink>
      <w:r w:rsidRPr="00442061">
        <w:rPr>
          <w:rFonts w:asciiTheme="minorBidi" w:hAnsiTheme="minorBidi" w:cstheme="minorBidi"/>
        </w:rPr>
        <w:t>.</w:t>
      </w:r>
    </w:p>
    <w:p w14:paraId="7C1B25E8"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Alla-Jabow</w:t>
      </w:r>
      <w:proofErr w:type="spellEnd"/>
      <w:r w:rsidRPr="00442061">
        <w:rPr>
          <w:rFonts w:asciiTheme="minorBidi" w:hAnsiTheme="minorBidi" w:cstheme="minorBidi"/>
        </w:rPr>
        <w:t xml:space="preserve"> M. K. and Mahgoub Z. B.  </w:t>
      </w:r>
      <w:proofErr w:type="gramStart"/>
      <w:r w:rsidRPr="00442061">
        <w:rPr>
          <w:rFonts w:asciiTheme="minorBidi" w:hAnsiTheme="minorBidi" w:cstheme="minorBidi"/>
        </w:rPr>
        <w:t>(2017). Crop Water Productivity and Crop Coefficients of Lentil (</w:t>
      </w:r>
      <w:commentRangeStart w:id="6"/>
      <w:r w:rsidRPr="00442061">
        <w:rPr>
          <w:rFonts w:asciiTheme="minorBidi" w:hAnsiTheme="minorBidi" w:cstheme="minorBidi"/>
        </w:rPr>
        <w:t xml:space="preserve">Lens </w:t>
      </w:r>
      <w:proofErr w:type="spellStart"/>
      <w:r w:rsidRPr="00442061">
        <w:rPr>
          <w:rFonts w:asciiTheme="minorBidi" w:hAnsiTheme="minorBidi" w:cstheme="minorBidi"/>
        </w:rPr>
        <w:t>Culinaris</w:t>
      </w:r>
      <w:proofErr w:type="spellEnd"/>
      <w:r w:rsidRPr="00442061">
        <w:rPr>
          <w:rFonts w:asciiTheme="minorBidi" w:hAnsiTheme="minorBidi" w:cstheme="minorBidi"/>
        </w:rPr>
        <w:t xml:space="preserve"> </w:t>
      </w:r>
      <w:commentRangeEnd w:id="6"/>
      <w:r w:rsidR="00C7430D">
        <w:rPr>
          <w:rStyle w:val="CommentReference"/>
          <w:rFonts w:ascii="Times New Roman" w:hAnsi="Times New Roman"/>
          <w:lang w:val="nb-NO" w:eastAsia="nb-NO"/>
        </w:rPr>
        <w:commentReference w:id="6"/>
      </w:r>
      <w:r w:rsidRPr="00442061">
        <w:rPr>
          <w:rFonts w:asciiTheme="minorBidi" w:hAnsiTheme="minorBidi" w:cstheme="minorBidi"/>
        </w:rPr>
        <w:t>M.)</w:t>
      </w:r>
      <w:proofErr w:type="gramEnd"/>
      <w:r w:rsidRPr="00442061">
        <w:rPr>
          <w:rFonts w:asciiTheme="minorBidi" w:hAnsiTheme="minorBidi" w:cstheme="minorBidi"/>
        </w:rPr>
        <w:t xml:space="preserve"> Under Different Irrigation Regimes. </w:t>
      </w:r>
      <w:r w:rsidRPr="00442061">
        <w:rPr>
          <w:rFonts w:asciiTheme="minorBidi" w:hAnsiTheme="minorBidi" w:cstheme="minorBidi"/>
          <w:i/>
          <w:iCs/>
        </w:rPr>
        <w:t>U. of K. J. Agric. Sci. 25</w:t>
      </w:r>
      <w:r w:rsidRPr="00442061">
        <w:rPr>
          <w:rFonts w:asciiTheme="minorBidi" w:hAnsiTheme="minorBidi" w:cstheme="minorBidi"/>
        </w:rPr>
        <w:t>(1), 1- 19.</w:t>
      </w:r>
    </w:p>
    <w:p w14:paraId="388A3808"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Banga, O. (1957). Origin of the European cultivated carrot. </w:t>
      </w:r>
      <w:proofErr w:type="spellStart"/>
      <w:r w:rsidRPr="00442061">
        <w:rPr>
          <w:rFonts w:asciiTheme="minorBidi" w:hAnsiTheme="minorBidi" w:cstheme="minorBidi"/>
          <w:i/>
          <w:iCs/>
        </w:rPr>
        <w:t>Euphytica</w:t>
      </w:r>
      <w:proofErr w:type="spellEnd"/>
      <w:r w:rsidRPr="00442061">
        <w:rPr>
          <w:rFonts w:asciiTheme="minorBidi" w:hAnsiTheme="minorBidi" w:cstheme="minorBidi"/>
          <w:i/>
          <w:iCs/>
        </w:rPr>
        <w:t>,</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 xml:space="preserve">(1), 54–63. </w:t>
      </w:r>
      <w:r w:rsidRPr="00442061">
        <w:rPr>
          <w:rStyle w:val="Hyperlink"/>
          <w:rFonts w:asciiTheme="minorBidi" w:hAnsiTheme="minorBidi" w:cstheme="minorBidi"/>
        </w:rPr>
        <w:t>https://doi.org/10.1007/BF00027657</w:t>
      </w:r>
    </w:p>
    <w:p w14:paraId="2994636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Bose, T.K. and Som, G.M. (1986) Vegetable Crops in India. </w:t>
      </w:r>
      <w:proofErr w:type="spellStart"/>
      <w:r w:rsidRPr="00442061">
        <w:rPr>
          <w:rFonts w:asciiTheme="minorBidi" w:hAnsiTheme="minorBidi" w:cstheme="minorBidi"/>
        </w:rPr>
        <w:t>Naya</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Prokash</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Calcatta</w:t>
      </w:r>
      <w:proofErr w:type="spellEnd"/>
      <w:r w:rsidRPr="00442061">
        <w:rPr>
          <w:rFonts w:asciiTheme="minorBidi" w:hAnsiTheme="minorBidi" w:cstheme="minorBidi"/>
        </w:rPr>
        <w:t>, India, 567-569.</w:t>
      </w:r>
    </w:p>
    <w:p w14:paraId="3CB60763"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FAOSTAT 2022. World Food and Agriculture – Statistical Yearbook 2022. Rome. </w:t>
      </w:r>
      <w:hyperlink r:id="rId18" w:history="1">
        <w:r w:rsidRPr="00442061">
          <w:rPr>
            <w:rStyle w:val="Hyperlink"/>
            <w:rFonts w:asciiTheme="minorBidi" w:hAnsiTheme="minorBidi" w:cstheme="minorBidi"/>
          </w:rPr>
          <w:t>https://doi.org/10.4060/cc2211en</w:t>
        </w:r>
      </w:hyperlink>
    </w:p>
    <w:p w14:paraId="2E4637CF"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Gopinath, P. P, Parsad, R, Joseph, B, Adarsh, V. S.</w:t>
      </w:r>
      <w:proofErr w:type="gramStart"/>
      <w:r w:rsidRPr="00442061">
        <w:rPr>
          <w:rFonts w:asciiTheme="minorBidi" w:hAnsiTheme="minorBidi" w:cstheme="minorBidi"/>
        </w:rPr>
        <w:t>,(</w:t>
      </w:r>
      <w:proofErr w:type="gramEnd"/>
      <w:r w:rsidRPr="00442061">
        <w:rPr>
          <w:rFonts w:asciiTheme="minorBidi" w:hAnsiTheme="minorBidi" w:cstheme="minorBidi"/>
        </w:rPr>
        <w:t xml:space="preserve">2020). GRAPES: General </w:t>
      </w:r>
      <w:proofErr w:type="spellStart"/>
      <w:r w:rsidRPr="00442061">
        <w:rPr>
          <w:rFonts w:asciiTheme="minorBidi" w:hAnsiTheme="minorBidi" w:cstheme="minorBidi"/>
        </w:rPr>
        <w:t>Rshiny</w:t>
      </w:r>
      <w:proofErr w:type="spellEnd"/>
      <w:r w:rsidRPr="00442061">
        <w:rPr>
          <w:rFonts w:asciiTheme="minorBidi" w:hAnsiTheme="minorBidi" w:cstheme="minorBidi"/>
        </w:rPr>
        <w:t xml:space="preserve"> Based Analysis Platform Empowered by Statistics. https://www.kaugrapes.com/home. Version 1.0.0. </w:t>
      </w:r>
      <w:r w:rsidRPr="00442061">
        <w:rPr>
          <w:rStyle w:val="Hyperlink"/>
          <w:rFonts w:asciiTheme="minorBidi" w:hAnsiTheme="minorBidi" w:cstheme="minorBidi"/>
        </w:rPr>
        <w:t>https://doi.org/10.5281/zenodo.4923220</w:t>
      </w:r>
    </w:p>
    <w:p w14:paraId="56D7C7A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Kepka, A., </w:t>
      </w:r>
      <w:proofErr w:type="spellStart"/>
      <w:r w:rsidRPr="00442061">
        <w:rPr>
          <w:rFonts w:asciiTheme="minorBidi" w:hAnsiTheme="minorBidi" w:cstheme="minorBidi"/>
        </w:rPr>
        <w:t>Umiecka</w:t>
      </w:r>
      <w:proofErr w:type="spellEnd"/>
      <w:r w:rsidRPr="00442061">
        <w:rPr>
          <w:rFonts w:asciiTheme="minorBidi" w:hAnsiTheme="minorBidi" w:cstheme="minorBidi"/>
        </w:rPr>
        <w:t xml:space="preserve">, L., &amp; </w:t>
      </w:r>
      <w:proofErr w:type="spellStart"/>
      <w:r w:rsidRPr="00442061">
        <w:rPr>
          <w:rFonts w:asciiTheme="minorBidi" w:hAnsiTheme="minorBidi" w:cstheme="minorBidi"/>
        </w:rPr>
        <w:t>Fajkowska</w:t>
      </w:r>
      <w:proofErr w:type="spellEnd"/>
      <w:r w:rsidRPr="00442061">
        <w:rPr>
          <w:rFonts w:asciiTheme="minorBidi" w:hAnsiTheme="minorBidi" w:cstheme="minorBidi"/>
        </w:rPr>
        <w:t>, H. (</w:t>
      </w:r>
      <w:proofErr w:type="gramStart"/>
      <w:r w:rsidRPr="00442061">
        <w:rPr>
          <w:rFonts w:asciiTheme="minorBidi" w:hAnsiTheme="minorBidi" w:cstheme="minorBidi"/>
        </w:rPr>
        <w:t>1977 )</w:t>
      </w:r>
      <w:proofErr w:type="gramEnd"/>
      <w:r w:rsidRPr="00442061">
        <w:rPr>
          <w:rFonts w:asciiTheme="minorBidi" w:hAnsiTheme="minorBidi" w:cstheme="minorBidi"/>
        </w:rPr>
        <w:t xml:space="preserve">. The influence of row spacing and plant density in rows on the yield of carrots and root quality. In </w:t>
      </w:r>
      <w:r w:rsidRPr="00442061">
        <w:rPr>
          <w:rFonts w:asciiTheme="minorBidi" w:hAnsiTheme="minorBidi" w:cstheme="minorBidi"/>
          <w:i/>
          <w:iCs/>
        </w:rPr>
        <w:t>Symposium on the Timing of Field Vegetable Production 72</w:t>
      </w:r>
      <w:r w:rsidRPr="00442061">
        <w:rPr>
          <w:rFonts w:asciiTheme="minorBidi" w:hAnsiTheme="minorBidi" w:cstheme="minorBidi"/>
        </w:rPr>
        <w:t xml:space="preserve"> (pp. 217-224).</w:t>
      </w:r>
    </w:p>
    <w:p w14:paraId="2F1442FE"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Mengistu, T., &amp; Yamoah, C. (2010). Effect of sowing date and planting density on seed production of carrot (Daucus carota var. sativa) in Ethiopia. </w:t>
      </w:r>
      <w:r w:rsidRPr="00442061">
        <w:rPr>
          <w:rFonts w:asciiTheme="minorBidi" w:hAnsiTheme="minorBidi" w:cstheme="minorBidi"/>
          <w:i/>
          <w:iCs/>
        </w:rPr>
        <w:t>African Journal of Plant Science</w:t>
      </w:r>
      <w:r w:rsidRPr="00442061">
        <w:rPr>
          <w:rFonts w:asciiTheme="minorBidi" w:hAnsiTheme="minorBidi" w:cstheme="minorBidi"/>
        </w:rPr>
        <w:t xml:space="preserve">, </w:t>
      </w:r>
      <w:r w:rsidRPr="00442061">
        <w:rPr>
          <w:rFonts w:asciiTheme="minorBidi" w:hAnsiTheme="minorBidi" w:cstheme="minorBidi"/>
          <w:i/>
          <w:iCs/>
        </w:rPr>
        <w:t>4</w:t>
      </w:r>
      <w:r w:rsidRPr="00442061">
        <w:rPr>
          <w:rFonts w:asciiTheme="minorBidi" w:hAnsiTheme="minorBidi" w:cstheme="minorBidi"/>
        </w:rPr>
        <w:t>(8), 270-279.</w:t>
      </w:r>
      <w:r w:rsidRPr="00442061">
        <w:rPr>
          <w:rFonts w:asciiTheme="minorBidi" w:hAnsiTheme="minorBidi" w:cstheme="minorBidi"/>
          <w:rtl/>
        </w:rPr>
        <w:t>‏</w:t>
      </w:r>
    </w:p>
    <w:p w14:paraId="375AC984" w14:textId="77777777" w:rsidR="00856710" w:rsidRPr="00442061" w:rsidRDefault="00856710" w:rsidP="00856710">
      <w:pPr>
        <w:pStyle w:val="NormalWeb"/>
        <w:spacing w:before="0" w:beforeAutospacing="0" w:after="0" w:afterAutospacing="0" w:line="276" w:lineRule="auto"/>
        <w:ind w:left="720" w:hanging="720"/>
        <w:rPr>
          <w:rFonts w:asciiTheme="minorBidi" w:hAnsiTheme="minorBidi" w:cstheme="minorBidi"/>
          <w:sz w:val="20"/>
          <w:szCs w:val="20"/>
        </w:rPr>
      </w:pPr>
      <w:r w:rsidRPr="00442061">
        <w:rPr>
          <w:rFonts w:asciiTheme="minorBidi" w:hAnsiTheme="minorBidi" w:cstheme="minorBidi"/>
          <w:sz w:val="20"/>
          <w:szCs w:val="20"/>
        </w:rPr>
        <w:t xml:space="preserve">Muhie, S. H., &amp; Yimer, H. S. (2023). Growth and yield performance of carrot (Daucus carota L.) as influenced by plant population density under irrigation conditions. </w:t>
      </w:r>
      <w:r w:rsidRPr="00442061">
        <w:rPr>
          <w:rFonts w:asciiTheme="minorBidi" w:hAnsiTheme="minorBidi" w:cstheme="minorBidi"/>
          <w:i/>
          <w:iCs/>
          <w:sz w:val="20"/>
          <w:szCs w:val="20"/>
        </w:rPr>
        <w:t>Advances in Horticultural Science</w:t>
      </w:r>
      <w:r w:rsidRPr="00442061">
        <w:rPr>
          <w:rFonts w:asciiTheme="minorBidi" w:hAnsiTheme="minorBidi" w:cstheme="minorBidi"/>
          <w:sz w:val="20"/>
          <w:szCs w:val="20"/>
        </w:rPr>
        <w:t xml:space="preserve">, </w:t>
      </w:r>
      <w:r w:rsidRPr="00442061">
        <w:rPr>
          <w:rFonts w:asciiTheme="minorBidi" w:hAnsiTheme="minorBidi" w:cstheme="minorBidi"/>
          <w:i/>
          <w:iCs/>
          <w:sz w:val="20"/>
          <w:szCs w:val="20"/>
        </w:rPr>
        <w:t>37</w:t>
      </w:r>
      <w:r w:rsidRPr="00442061">
        <w:rPr>
          <w:rFonts w:asciiTheme="minorBidi" w:hAnsiTheme="minorBidi" w:cstheme="minorBidi"/>
          <w:sz w:val="20"/>
          <w:szCs w:val="20"/>
        </w:rPr>
        <w:t xml:space="preserve">(3), 307–315. </w:t>
      </w:r>
      <w:hyperlink r:id="rId19" w:history="1">
        <w:r w:rsidRPr="00442061">
          <w:rPr>
            <w:rStyle w:val="Hyperlink"/>
            <w:rFonts w:asciiTheme="minorBidi" w:hAnsiTheme="minorBidi" w:cstheme="minorBidi"/>
            <w:sz w:val="20"/>
            <w:szCs w:val="20"/>
          </w:rPr>
          <w:t>https://doi.org/10.36253/ahsc-14158</w:t>
        </w:r>
      </w:hyperlink>
    </w:p>
    <w:p w14:paraId="30F18C1E"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E. A., Okolie, H., Obasi, C., Ndukwe, O. O., </w:t>
      </w:r>
      <w:proofErr w:type="spellStart"/>
      <w:r w:rsidRPr="00442061">
        <w:rPr>
          <w:rFonts w:asciiTheme="minorBidi" w:hAnsiTheme="minorBidi" w:cstheme="minorBidi"/>
        </w:rPr>
        <w:t>Muojiama</w:t>
      </w:r>
      <w:proofErr w:type="spellEnd"/>
      <w:r w:rsidRPr="00442061">
        <w:rPr>
          <w:rFonts w:asciiTheme="minorBidi" w:hAnsiTheme="minorBidi" w:cstheme="minorBidi"/>
        </w:rPr>
        <w:t xml:space="preserve">, S., Eche, P., &amp; Umeh, O. A. (2023, March). Effect of Planting Methods on the Growth and Yield of Carrot (Daucus carota L) in Humid Tropical Zone. In </w:t>
      </w:r>
      <w:r w:rsidRPr="00442061">
        <w:rPr>
          <w:rFonts w:asciiTheme="minorBidi" w:hAnsiTheme="minorBidi" w:cstheme="minorBidi"/>
          <w:i/>
          <w:iCs/>
        </w:rPr>
        <w:t>e-Proceedings of the Faculty of Agriculture International Conference</w:t>
      </w:r>
      <w:r w:rsidRPr="00442061">
        <w:rPr>
          <w:rFonts w:asciiTheme="minorBidi" w:hAnsiTheme="minorBidi" w:cstheme="minorBidi"/>
        </w:rPr>
        <w:t xml:space="preserve"> (pp. 84-90).</w:t>
      </w:r>
    </w:p>
    <w:p w14:paraId="3D99397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Oliva, R. N., </w:t>
      </w:r>
      <w:proofErr w:type="spellStart"/>
      <w:r w:rsidRPr="00442061">
        <w:rPr>
          <w:rFonts w:asciiTheme="minorBidi" w:hAnsiTheme="minorBidi" w:cstheme="minorBidi"/>
        </w:rPr>
        <w:t>Tissaoui</w:t>
      </w:r>
      <w:proofErr w:type="spellEnd"/>
      <w:r w:rsidRPr="00442061">
        <w:rPr>
          <w:rFonts w:asciiTheme="minorBidi" w:hAnsiTheme="minorBidi" w:cstheme="minorBidi"/>
        </w:rPr>
        <w:t xml:space="preserve">, T., &amp; Bradford, K. J. (1988). Relationships of Plant Density and Harvest Index to Seed Yield and Quality in Carrot. </w:t>
      </w:r>
      <w:r w:rsidRPr="00442061">
        <w:rPr>
          <w:rFonts w:asciiTheme="minorBidi" w:hAnsiTheme="minorBidi" w:cstheme="minorBidi"/>
          <w:i/>
          <w:iCs/>
        </w:rPr>
        <w:t>Journal of the American Society for Horticultural Science</w:t>
      </w:r>
      <w:r w:rsidRPr="00442061">
        <w:rPr>
          <w:rFonts w:asciiTheme="minorBidi" w:hAnsiTheme="minorBidi" w:cstheme="minorBidi"/>
        </w:rPr>
        <w:t xml:space="preserve">, </w:t>
      </w:r>
      <w:r w:rsidRPr="00442061">
        <w:rPr>
          <w:rFonts w:asciiTheme="minorBidi" w:hAnsiTheme="minorBidi" w:cstheme="minorBidi"/>
          <w:i/>
          <w:iCs/>
        </w:rPr>
        <w:t>113</w:t>
      </w:r>
      <w:r w:rsidRPr="00442061">
        <w:rPr>
          <w:rFonts w:asciiTheme="minorBidi" w:hAnsiTheme="minorBidi" w:cstheme="minorBidi"/>
        </w:rPr>
        <w:t xml:space="preserve">(4), 532-537. </w:t>
      </w:r>
      <w:hyperlink r:id="rId20" w:history="1">
        <w:r w:rsidRPr="00442061">
          <w:rPr>
            <w:rStyle w:val="Hyperlink"/>
            <w:rFonts w:asciiTheme="minorBidi" w:hAnsiTheme="minorBidi" w:cstheme="minorBidi"/>
          </w:rPr>
          <w:t>https://www.doi.org/10.21273/JASHS.113.4.532</w:t>
        </w:r>
      </w:hyperlink>
    </w:p>
    <w:p w14:paraId="3A3E202F" w14:textId="77777777"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lastRenderedPageBreak/>
        <w:t>Prohens</w:t>
      </w:r>
      <w:proofErr w:type="spellEnd"/>
      <w:r w:rsidRPr="00442061">
        <w:rPr>
          <w:rFonts w:asciiTheme="minorBidi" w:hAnsiTheme="minorBidi" w:cstheme="minorBidi"/>
        </w:rPr>
        <w:t xml:space="preserve">, J., &amp; Nuez, F. (Eds.). (2008). Vegetables II: Fabaceae, </w:t>
      </w:r>
      <w:proofErr w:type="spellStart"/>
      <w:r w:rsidRPr="00442061">
        <w:rPr>
          <w:rFonts w:asciiTheme="minorBidi" w:hAnsiTheme="minorBidi" w:cstheme="minorBidi"/>
        </w:rPr>
        <w:t>Liliaceae</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Solanaceae</w:t>
      </w:r>
      <w:proofErr w:type="spellEnd"/>
      <w:r w:rsidRPr="00442061">
        <w:rPr>
          <w:rFonts w:asciiTheme="minorBidi" w:hAnsiTheme="minorBidi" w:cstheme="minorBidi"/>
        </w:rPr>
        <w:t xml:space="preserv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(Vol. 2). Springer. </w:t>
      </w:r>
      <w:r w:rsidRPr="00442061">
        <w:rPr>
          <w:rStyle w:val="Hyperlink"/>
          <w:rFonts w:asciiTheme="minorBidi" w:hAnsiTheme="minorBidi" w:cstheme="minorBidi"/>
        </w:rPr>
        <w:t>https://doi.org/10.1007/978-0-387-74110-9</w:t>
      </w:r>
    </w:p>
    <w:p w14:paraId="7C658D60" w14:textId="77777777"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t>Rubatzky</w:t>
      </w:r>
      <w:proofErr w:type="spellEnd"/>
      <w:r w:rsidRPr="00442061">
        <w:rPr>
          <w:rFonts w:asciiTheme="minorBidi" w:hAnsiTheme="minorBidi" w:cstheme="minorBidi"/>
        </w:rPr>
        <w:t xml:space="preserve">, V. E., Quiros, C. F., &amp; Simon, P. W. (1999). Carrots and related vegetables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CABI Publishing. </w:t>
      </w:r>
      <w:r w:rsidRPr="00442061">
        <w:rPr>
          <w:rStyle w:val="Hyperlink"/>
          <w:rFonts w:asciiTheme="minorBidi" w:hAnsiTheme="minorBidi" w:cstheme="minorBidi"/>
        </w:rPr>
        <w:t xml:space="preserve">https://www.cabidigitallibrary.org/ </w:t>
      </w:r>
      <w:proofErr w:type="spellStart"/>
      <w:r w:rsidRPr="00442061">
        <w:rPr>
          <w:rStyle w:val="Hyperlink"/>
          <w:rFonts w:asciiTheme="minorBidi" w:hAnsiTheme="minorBidi" w:cstheme="minorBidi"/>
        </w:rPr>
        <w:t>doi</w:t>
      </w:r>
      <w:proofErr w:type="spellEnd"/>
      <w:r w:rsidRPr="00442061">
        <w:rPr>
          <w:rStyle w:val="Hyperlink"/>
          <w:rFonts w:asciiTheme="minorBidi" w:hAnsiTheme="minorBidi" w:cstheme="minorBidi"/>
        </w:rPr>
        <w:t xml:space="preserve">/full/10.5555/ 19990309628 </w:t>
      </w:r>
    </w:p>
    <w:p w14:paraId="5EEDA810"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Salter, P. J., Currah, I. E., &amp; Fellows, J. R. (1979). The effects of plant density, spatial arrangement and time of harvest on yield and root size in carrots. </w:t>
      </w:r>
      <w:r w:rsidRPr="00442061">
        <w:rPr>
          <w:rFonts w:asciiTheme="minorBidi" w:hAnsiTheme="minorBidi" w:cstheme="minorBidi"/>
          <w:i/>
          <w:iCs/>
        </w:rPr>
        <w:t>The Journal of Agricultural Science</w:t>
      </w:r>
      <w:r w:rsidRPr="00442061">
        <w:rPr>
          <w:rFonts w:asciiTheme="minorBidi" w:hAnsiTheme="minorBidi" w:cstheme="minorBidi"/>
        </w:rPr>
        <w:t xml:space="preserve">, </w:t>
      </w:r>
      <w:r w:rsidRPr="00442061">
        <w:rPr>
          <w:rFonts w:asciiTheme="minorBidi" w:hAnsiTheme="minorBidi" w:cstheme="minorBidi"/>
          <w:i/>
          <w:iCs/>
        </w:rPr>
        <w:t>93</w:t>
      </w:r>
      <w:r w:rsidRPr="00442061">
        <w:rPr>
          <w:rFonts w:asciiTheme="minorBidi" w:hAnsiTheme="minorBidi" w:cstheme="minorBidi"/>
        </w:rPr>
        <w:t>(2), 431-440.</w:t>
      </w:r>
    </w:p>
    <w:p w14:paraId="5E5568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(2000). Domestication, historical development, and modern breeding of carrot. </w:t>
      </w:r>
      <w:r w:rsidRPr="00442061">
        <w:rPr>
          <w:rFonts w:asciiTheme="minorBidi" w:hAnsiTheme="minorBidi" w:cstheme="minorBidi"/>
          <w:i/>
          <w:iCs/>
        </w:rPr>
        <w:t>Plant breeding reviews</w:t>
      </w:r>
      <w:r w:rsidRPr="00442061">
        <w:rPr>
          <w:rFonts w:asciiTheme="minorBidi" w:hAnsiTheme="minorBidi" w:cstheme="minorBidi"/>
        </w:rPr>
        <w:t>, 157-190.</w:t>
      </w:r>
    </w:p>
    <w:p w14:paraId="0D8FEAF5"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Freeman, R. E., Vieira, J. V., Boiteux, L. S., Briard, M., Nothnagel, T., ... &amp; Kwon, Y. S. (2008). Carrot. In Vegetables II: Fabaceae, </w:t>
      </w:r>
      <w:proofErr w:type="spellStart"/>
      <w:r w:rsidRPr="00442061">
        <w:rPr>
          <w:rFonts w:asciiTheme="minorBidi" w:hAnsiTheme="minorBidi" w:cstheme="minorBidi"/>
        </w:rPr>
        <w:t>Liliaceae</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Solanaceae</w:t>
      </w:r>
      <w:proofErr w:type="spellEnd"/>
      <w:r w:rsidRPr="00442061">
        <w:rPr>
          <w:rFonts w:asciiTheme="minorBidi" w:hAnsiTheme="minorBidi" w:cstheme="minorBidi"/>
        </w:rPr>
        <w:t xml:space="preserv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(pp. 327-357). New York, NY: Springer New York.</w:t>
      </w:r>
    </w:p>
    <w:p w14:paraId="653572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Singh, R.K. and Chaudhary, B.D. (1985) Biometrical Method in Quantitative Genetics Analysis. Kalyani Publishers, New Delhi.</w:t>
      </w:r>
    </w:p>
    <w:p w14:paraId="4E6FB244"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Stintzing</w:t>
      </w:r>
      <w:proofErr w:type="spellEnd"/>
      <w:r w:rsidRPr="00442061">
        <w:rPr>
          <w:rFonts w:asciiTheme="minorBidi" w:hAnsiTheme="minorBidi" w:cstheme="minorBidi"/>
        </w:rPr>
        <w:t xml:space="preserve">, F. C., &amp; Carle, R. (2004). Functional properties of </w:t>
      </w:r>
      <w:proofErr w:type="spellStart"/>
      <w:r w:rsidRPr="00442061">
        <w:rPr>
          <w:rFonts w:asciiTheme="minorBidi" w:hAnsiTheme="minorBidi" w:cstheme="minorBidi"/>
        </w:rPr>
        <w:t>anthocyanins</w:t>
      </w:r>
      <w:proofErr w:type="spellEnd"/>
      <w:r w:rsidRPr="00442061">
        <w:rPr>
          <w:rFonts w:asciiTheme="minorBidi" w:hAnsiTheme="minorBidi" w:cstheme="minorBidi"/>
        </w:rPr>
        <w:t xml:space="preserve"> and </w:t>
      </w:r>
      <w:proofErr w:type="spellStart"/>
      <w:r w:rsidRPr="00442061">
        <w:rPr>
          <w:rFonts w:asciiTheme="minorBidi" w:hAnsiTheme="minorBidi" w:cstheme="minorBidi"/>
        </w:rPr>
        <w:t>betalains</w:t>
      </w:r>
      <w:proofErr w:type="spellEnd"/>
      <w:r w:rsidRPr="00442061">
        <w:rPr>
          <w:rFonts w:asciiTheme="minorBidi" w:hAnsiTheme="minorBidi" w:cstheme="minorBidi"/>
        </w:rPr>
        <w:t xml:space="preserve"> in plants, food, and in human nutrition. </w:t>
      </w:r>
      <w:r w:rsidRPr="00442061">
        <w:rPr>
          <w:rFonts w:asciiTheme="minorBidi" w:hAnsiTheme="minorBidi" w:cstheme="minorBidi"/>
          <w:i/>
          <w:iCs/>
        </w:rPr>
        <w:t>Trends in Food Science &amp; Technology</w:t>
      </w:r>
      <w:r w:rsidRPr="00442061">
        <w:rPr>
          <w:rFonts w:asciiTheme="minorBidi" w:hAnsiTheme="minorBidi" w:cstheme="minorBidi"/>
        </w:rPr>
        <w:t xml:space="preserve">, </w:t>
      </w:r>
      <w:r w:rsidRPr="00442061">
        <w:rPr>
          <w:rFonts w:asciiTheme="minorBidi" w:hAnsiTheme="minorBidi" w:cstheme="minorBidi"/>
          <w:i/>
          <w:iCs/>
        </w:rPr>
        <w:t>15</w:t>
      </w:r>
      <w:r w:rsidRPr="00442061">
        <w:rPr>
          <w:rFonts w:asciiTheme="minorBidi" w:hAnsiTheme="minorBidi" w:cstheme="minorBidi"/>
        </w:rPr>
        <w:t xml:space="preserve">(1), 19–38. </w:t>
      </w:r>
      <w:r w:rsidRPr="00442061">
        <w:rPr>
          <w:rStyle w:val="Hyperlink"/>
          <w:rFonts w:asciiTheme="minorBidi" w:hAnsiTheme="minorBidi" w:cstheme="minorBidi"/>
        </w:rPr>
        <w:t>https://doi.org/10.1016/j.tifs.2003.07.004</w:t>
      </w:r>
    </w:p>
    <w:p w14:paraId="2E16CBEC"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Stolarczyk, J., &amp; Janick, J. (2011). Carrot: History and iconography. </w:t>
      </w:r>
      <w:proofErr w:type="spellStart"/>
      <w:r w:rsidRPr="00442061">
        <w:rPr>
          <w:rFonts w:asciiTheme="minorBidi" w:hAnsiTheme="minorBidi" w:cstheme="minorBidi"/>
          <w:i/>
          <w:iCs/>
        </w:rPr>
        <w:t>Chronica</w:t>
      </w:r>
      <w:proofErr w:type="spellEnd"/>
      <w:r w:rsidRPr="00442061">
        <w:rPr>
          <w:rFonts w:asciiTheme="minorBidi" w:hAnsiTheme="minorBidi" w:cstheme="minorBidi"/>
          <w:i/>
          <w:iCs/>
        </w:rPr>
        <w:t xml:space="preserve"> </w:t>
      </w:r>
      <w:proofErr w:type="spellStart"/>
      <w:r w:rsidRPr="00442061">
        <w:rPr>
          <w:rFonts w:asciiTheme="minorBidi" w:hAnsiTheme="minorBidi" w:cstheme="minorBidi"/>
          <w:i/>
          <w:iCs/>
        </w:rPr>
        <w:t>Horticulturae</w:t>
      </w:r>
      <w:proofErr w:type="spellEnd"/>
      <w:r w:rsidRPr="00442061">
        <w:rPr>
          <w:rFonts w:asciiTheme="minorBidi" w:hAnsiTheme="minorBidi" w:cstheme="minorBidi"/>
        </w:rPr>
        <w:t xml:space="preserve">, </w:t>
      </w:r>
      <w:r w:rsidRPr="00442061">
        <w:rPr>
          <w:rFonts w:asciiTheme="minorBidi" w:hAnsiTheme="minorBidi" w:cstheme="minorBidi"/>
          <w:i/>
          <w:iCs/>
        </w:rPr>
        <w:t>51</w:t>
      </w:r>
      <w:r w:rsidRPr="00442061">
        <w:rPr>
          <w:rFonts w:asciiTheme="minorBidi" w:hAnsiTheme="minorBidi" w:cstheme="minorBidi"/>
        </w:rPr>
        <w:t xml:space="preserve">(2), 13–18. </w:t>
      </w:r>
      <w:hyperlink r:id="rId21" w:anchor="page=13" w:history="1">
        <w:r w:rsidRPr="00442061">
          <w:rPr>
            <w:rStyle w:val="Hyperlink"/>
            <w:rFonts w:asciiTheme="minorBidi" w:hAnsiTheme="minorBidi" w:cstheme="minorBidi"/>
          </w:rPr>
          <w:t>https://www.actahort.org/chronica/pdf/ch5102.pdf#page=13</w:t>
        </w:r>
      </w:hyperlink>
    </w:p>
    <w:p w14:paraId="3B99E1D2" w14:textId="77777777"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S. L., &amp; Talvitie, H. (1997). The effects of ridging, row-spacing and seeding rate on carrot yield. </w:t>
      </w:r>
      <w:r w:rsidRPr="00442061">
        <w:rPr>
          <w:rFonts w:asciiTheme="minorBidi" w:hAnsiTheme="minorBidi" w:cstheme="minorBidi"/>
          <w:i/>
          <w:iCs/>
        </w:rPr>
        <w:t>Agricultural and Food Science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(5-6), 363-369.</w:t>
      </w:r>
    </w:p>
    <w:p w14:paraId="1978FAE6"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Tegen, H., &amp; Jembere, M. (2021). Influences of spacing on yield and root size of carrot (</w:t>
      </w:r>
      <w:r w:rsidRPr="00442061">
        <w:rPr>
          <w:rFonts w:asciiTheme="minorBidi" w:hAnsiTheme="minorBidi" w:cstheme="minorBidi"/>
          <w:i/>
          <w:iCs/>
        </w:rPr>
        <w:t>Daucus carota</w:t>
      </w:r>
      <w:r w:rsidRPr="00442061">
        <w:rPr>
          <w:rFonts w:asciiTheme="minorBidi" w:hAnsiTheme="minorBidi" w:cstheme="minorBidi"/>
        </w:rPr>
        <w:t xml:space="preserve"> L.) under ridge-furrow production. </w:t>
      </w:r>
      <w:r w:rsidRPr="00442061">
        <w:rPr>
          <w:rFonts w:asciiTheme="minorBidi" w:hAnsiTheme="minorBidi" w:cstheme="minorBidi"/>
          <w:i/>
          <w:iCs/>
        </w:rPr>
        <w:t>Open Agriculture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(1), 826-835.</w:t>
      </w:r>
    </w:p>
    <w:p w14:paraId="513E1994"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Van den Berg, H., Faulks, R., Granado, H., Hirschberg, J., </w:t>
      </w:r>
      <w:proofErr w:type="spellStart"/>
      <w:r w:rsidRPr="00442061">
        <w:rPr>
          <w:rFonts w:asciiTheme="minorBidi" w:hAnsiTheme="minorBidi" w:cstheme="minorBidi"/>
        </w:rPr>
        <w:t>Olmedilla</w:t>
      </w:r>
      <w:proofErr w:type="spellEnd"/>
      <w:r w:rsidRPr="00442061">
        <w:rPr>
          <w:rFonts w:asciiTheme="minorBidi" w:hAnsiTheme="minorBidi" w:cstheme="minorBidi"/>
        </w:rPr>
        <w:t xml:space="preserve">, B., Sandmann, G., </w:t>
      </w:r>
      <w:proofErr w:type="spellStart"/>
      <w:r w:rsidRPr="00442061">
        <w:rPr>
          <w:rFonts w:asciiTheme="minorBidi" w:hAnsiTheme="minorBidi" w:cstheme="minorBidi"/>
        </w:rPr>
        <w:t>Southon</w:t>
      </w:r>
      <w:proofErr w:type="spellEnd"/>
      <w:r w:rsidRPr="00442061">
        <w:rPr>
          <w:rFonts w:asciiTheme="minorBidi" w:hAnsiTheme="minorBidi" w:cstheme="minorBidi"/>
        </w:rPr>
        <w:t xml:space="preserve">, S., &amp; Stahl, W. (2000). The potential for the improvement of carotenoid levels in foods and the likely systemic effects. </w:t>
      </w:r>
      <w:r w:rsidRPr="00442061">
        <w:rPr>
          <w:rFonts w:asciiTheme="minorBidi" w:hAnsiTheme="minorBidi" w:cstheme="minorBidi"/>
          <w:i/>
          <w:iCs/>
        </w:rPr>
        <w:t>Journal of the Science of Food and Agriculture</w:t>
      </w:r>
      <w:r w:rsidRPr="00442061">
        <w:rPr>
          <w:rFonts w:asciiTheme="minorBidi" w:hAnsiTheme="minorBidi" w:cstheme="minorBidi"/>
        </w:rPr>
        <w:t xml:space="preserve">, </w:t>
      </w:r>
      <w:r w:rsidRPr="00442061">
        <w:rPr>
          <w:rFonts w:asciiTheme="minorBidi" w:hAnsiTheme="minorBidi" w:cstheme="minorBidi"/>
          <w:i/>
          <w:iCs/>
        </w:rPr>
        <w:t>80</w:t>
      </w:r>
      <w:r w:rsidRPr="00442061">
        <w:rPr>
          <w:rFonts w:asciiTheme="minorBidi" w:hAnsiTheme="minorBidi" w:cstheme="minorBidi"/>
        </w:rPr>
        <w:t xml:space="preserve">(7), 880–912.  </w:t>
      </w:r>
    </w:p>
    <w:p w14:paraId="56681C4E" w14:textId="77777777" w:rsidR="00856710" w:rsidRPr="00442061" w:rsidRDefault="00856710" w:rsidP="00856710">
      <w:pPr>
        <w:spacing w:line="276" w:lineRule="auto"/>
        <w:ind w:left="720" w:hanging="720"/>
        <w:jc w:val="both"/>
        <w:rPr>
          <w:rFonts w:asciiTheme="minorBidi" w:hAnsiTheme="minorBidi" w:cstheme="minorBidi"/>
        </w:rPr>
      </w:pPr>
    </w:p>
    <w:p w14:paraId="7312B87F" w14:textId="77777777" w:rsidR="00856710" w:rsidRPr="00442061" w:rsidRDefault="00856710" w:rsidP="00856710">
      <w:pPr>
        <w:spacing w:line="276" w:lineRule="auto"/>
        <w:ind w:left="720" w:hanging="720"/>
        <w:jc w:val="both"/>
        <w:rPr>
          <w:rFonts w:asciiTheme="minorBidi" w:hAnsiTheme="minorBidi" w:cstheme="minorBidi"/>
        </w:rPr>
      </w:pPr>
    </w:p>
    <w:p w14:paraId="303CCA03" w14:textId="77777777" w:rsidR="00856710" w:rsidRPr="00442061" w:rsidRDefault="00856710" w:rsidP="00856710">
      <w:pPr>
        <w:spacing w:line="276" w:lineRule="auto"/>
        <w:ind w:left="720" w:hanging="720"/>
        <w:jc w:val="both"/>
        <w:rPr>
          <w:rFonts w:asciiTheme="minorBidi" w:hAnsiTheme="minorBidi" w:cstheme="minorBidi"/>
        </w:rPr>
      </w:pPr>
    </w:p>
    <w:p w14:paraId="271EA1E5" w14:textId="77777777" w:rsidR="00790ADA" w:rsidRPr="00FB3A86" w:rsidRDefault="00790ADA" w:rsidP="00441B6F">
      <w:pPr>
        <w:pStyle w:val="ReferHead"/>
        <w:spacing w:after="0"/>
        <w:jc w:val="both"/>
        <w:rPr>
          <w:rFonts w:ascii="Arial" w:hAnsi="Arial" w:cs="Arial"/>
        </w:rPr>
      </w:pPr>
    </w:p>
    <w:sectPr w:rsidR="00790ADA" w:rsidRPr="00FB3A86" w:rsidSect="00876EBB">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adi" w:date="2025-07-22T14:48:00Z" w:initials="A">
    <w:p w14:paraId="4A929C7A" w14:textId="421E736C" w:rsidR="00C7430D" w:rsidRDefault="00C7430D">
      <w:pPr>
        <w:pStyle w:val="CommentText"/>
      </w:pPr>
      <w:r>
        <w:rPr>
          <w:rStyle w:val="CommentReference"/>
        </w:rPr>
        <w:annotationRef/>
      </w:r>
      <w:r>
        <w:t>No need to mention name of place in the title</w:t>
      </w:r>
    </w:p>
  </w:comment>
  <w:comment w:id="1" w:author="Asadi" w:date="2025-07-22T14:56:00Z" w:initials="A">
    <w:p w14:paraId="34A3D349" w14:textId="2C134153" w:rsidR="00D10CFB" w:rsidRDefault="00D10CFB">
      <w:pPr>
        <w:pStyle w:val="CommentText"/>
      </w:pPr>
      <w:r>
        <w:rPr>
          <w:rStyle w:val="CommentReference"/>
        </w:rPr>
        <w:annotationRef/>
      </w:r>
      <w:r>
        <w:t>It is recommended that the abstract be made more concise</w:t>
      </w:r>
    </w:p>
  </w:comment>
  <w:comment w:id="2" w:author="Asadi" w:date="2025-07-22T14:55:00Z" w:initials="A">
    <w:p w14:paraId="253EC3F0" w14:textId="671B8807" w:rsidR="00C7430D" w:rsidRDefault="00C7430D" w:rsidP="00C7430D">
      <w:pPr>
        <w:pStyle w:val="CommentText"/>
      </w:pPr>
      <w:r>
        <w:rPr>
          <w:rStyle w:val="CommentReference"/>
        </w:rPr>
        <w:annotationRef/>
      </w:r>
      <w:r>
        <w:t xml:space="preserve">Should be written in </w:t>
      </w:r>
      <w:r>
        <w:rPr>
          <w:lang w:val="en-US" w:bidi="fa-IR"/>
        </w:rPr>
        <w:t xml:space="preserve">the </w:t>
      </w:r>
      <w:r>
        <w:t>method and materials section</w:t>
      </w:r>
    </w:p>
  </w:comment>
  <w:comment w:id="3" w:author="Asadi" w:date="2025-07-22T14:57:00Z" w:initials="A">
    <w:p w14:paraId="79BDE497" w14:textId="242D33CE" w:rsidR="00D10CFB" w:rsidRPr="00D10CFB" w:rsidRDefault="00D10CFB">
      <w:pPr>
        <w:pStyle w:val="CommentText"/>
        <w:rPr>
          <w:lang w:val="en-US"/>
        </w:rPr>
      </w:pPr>
      <w:r>
        <w:rPr>
          <w:rStyle w:val="CommentReference"/>
        </w:rPr>
        <w:annotationRef/>
      </w:r>
      <w:r>
        <w:rPr>
          <w:lang w:val="en-US"/>
        </w:rPr>
        <w:t>Too many</w:t>
      </w:r>
    </w:p>
  </w:comment>
  <w:comment w:id="4" w:author="Asadi" w:date="2025-07-22T14:59:00Z" w:initials="A">
    <w:p w14:paraId="75292812" w14:textId="01A0C611" w:rsidR="00D10CFB" w:rsidRDefault="00D10CFB">
      <w:pPr>
        <w:pStyle w:val="CommentText"/>
      </w:pPr>
      <w:r>
        <w:rPr>
          <w:rStyle w:val="CommentReference"/>
        </w:rPr>
        <w:annotationRef/>
      </w:r>
      <w:r>
        <w:t>Please add the unit to the vertical axis</w:t>
      </w:r>
      <w:bookmarkStart w:id="5" w:name="_GoBack"/>
      <w:bookmarkEnd w:id="5"/>
    </w:p>
  </w:comment>
  <w:comment w:id="6" w:author="Asadi" w:date="2025-07-22T14:47:00Z" w:initials="A">
    <w:p w14:paraId="29BA677B" w14:textId="0F79B147" w:rsidR="00C7430D" w:rsidRDefault="00C7430D">
      <w:pPr>
        <w:pStyle w:val="CommentText"/>
      </w:pPr>
      <w:r>
        <w:rPr>
          <w:rStyle w:val="CommentReference"/>
        </w:rPr>
        <w:annotationRef/>
      </w:r>
      <w:r>
        <w:t>All scientific names should be Italic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7B2B" w14:textId="77777777" w:rsidR="00485C3D" w:rsidRDefault="00485C3D" w:rsidP="00C37E61">
      <w:r>
        <w:separator/>
      </w:r>
    </w:p>
  </w:endnote>
  <w:endnote w:type="continuationSeparator" w:id="0">
    <w:p w14:paraId="08D396D4" w14:textId="77777777" w:rsidR="00485C3D" w:rsidRDefault="00485C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4475" w14:textId="77777777" w:rsidR="003F73AA" w:rsidRDefault="003F7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4F54B" w14:textId="77777777" w:rsidR="003F73AA" w:rsidRDefault="003F7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14BB" w14:textId="77777777" w:rsidR="001C5E87" w:rsidRDefault="001C5E87">
    <w:pPr>
      <w:pStyle w:val="Footer"/>
      <w:rPr>
        <w:rFonts w:ascii="Arial" w:hAnsi="Arial" w:cs="Arial"/>
        <w:sz w:val="16"/>
      </w:rPr>
    </w:pPr>
  </w:p>
  <w:p w14:paraId="25BD4558" w14:textId="77777777" w:rsidR="001C5E87" w:rsidRDefault="001C5E8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19FAA9" w14:textId="77777777" w:rsidR="001C5E87" w:rsidRDefault="001C5E87">
    <w:pPr>
      <w:pStyle w:val="Footer"/>
      <w:rPr>
        <w:rFonts w:ascii="Arial" w:hAnsi="Arial" w:cs="Arial"/>
        <w:sz w:val="16"/>
      </w:rPr>
    </w:pPr>
  </w:p>
  <w:p w14:paraId="24B2205B" w14:textId="77777777" w:rsidR="001C5E87" w:rsidRPr="009E048A" w:rsidRDefault="001C5E8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7C213" w14:textId="77777777" w:rsidR="00485C3D" w:rsidRDefault="00485C3D" w:rsidP="00C37E61">
      <w:r>
        <w:separator/>
      </w:r>
    </w:p>
  </w:footnote>
  <w:footnote w:type="continuationSeparator" w:id="0">
    <w:p w14:paraId="1420A82D" w14:textId="77777777" w:rsidR="00485C3D" w:rsidRDefault="00485C3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1632" w14:textId="1E2BCB83" w:rsidR="003F73AA" w:rsidRDefault="00485C3D">
    <w:pPr>
      <w:pStyle w:val="Header"/>
    </w:pPr>
    <w:r>
      <w:rPr>
        <w:noProof/>
      </w:rPr>
      <w:pict w14:anchorId="39A23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1FCF7" w14:textId="1A428F02" w:rsidR="003F73AA" w:rsidRDefault="00485C3D">
    <w:pPr>
      <w:pStyle w:val="Header"/>
    </w:pPr>
    <w:r>
      <w:rPr>
        <w:noProof/>
      </w:rPr>
      <w:pict w14:anchorId="3C621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94E3" w14:textId="66AC0ED3" w:rsidR="001C5E87" w:rsidRPr="00296529" w:rsidRDefault="00485C3D" w:rsidP="00296529">
    <w:pPr>
      <w:ind w:left="2160"/>
      <w:jc w:val="center"/>
      <w:rPr>
        <w:rFonts w:ascii="Times New Roman" w:eastAsia="Calibri" w:hAnsi="Times New Roman"/>
        <w:i/>
        <w:sz w:val="18"/>
        <w:szCs w:val="22"/>
      </w:rPr>
    </w:pPr>
    <w:r>
      <w:rPr>
        <w:noProof/>
      </w:rPr>
      <w:pict w14:anchorId="5451F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7EB4E3" w14:textId="77777777" w:rsidR="001C5E87" w:rsidRPr="00296529" w:rsidRDefault="001C5E8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EE3BEF" w14:textId="77777777" w:rsidR="001C5E87" w:rsidRPr="00296529" w:rsidRDefault="001C5E8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7E2700" w14:textId="77777777" w:rsidR="001C5E87" w:rsidRPr="00296529" w:rsidRDefault="001C5E8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AB096A" w14:textId="77777777" w:rsidR="001C5E87" w:rsidRDefault="001C5E8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94D5E3" w14:textId="77777777" w:rsidR="001C5E87" w:rsidRDefault="001C5E8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DE5004" w14:textId="77777777" w:rsidR="001C5E87" w:rsidRDefault="001C5E87">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4453"/>
    <w:rsid w:val="00030174"/>
    <w:rsid w:val="0004579C"/>
    <w:rsid w:val="000475A9"/>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5E87"/>
    <w:rsid w:val="001D3A51"/>
    <w:rsid w:val="001D6B52"/>
    <w:rsid w:val="001E10D2"/>
    <w:rsid w:val="001E25B4"/>
    <w:rsid w:val="001E26D3"/>
    <w:rsid w:val="001E44FE"/>
    <w:rsid w:val="00200595"/>
    <w:rsid w:val="00204835"/>
    <w:rsid w:val="00217AB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BAF"/>
    <w:rsid w:val="003E2904"/>
    <w:rsid w:val="003F73AA"/>
    <w:rsid w:val="003F77E0"/>
    <w:rsid w:val="00401927"/>
    <w:rsid w:val="0041027F"/>
    <w:rsid w:val="00412475"/>
    <w:rsid w:val="00423789"/>
    <w:rsid w:val="0042653D"/>
    <w:rsid w:val="00440F43"/>
    <w:rsid w:val="00441B6F"/>
    <w:rsid w:val="00446221"/>
    <w:rsid w:val="00450E62"/>
    <w:rsid w:val="004539DB"/>
    <w:rsid w:val="00471A80"/>
    <w:rsid w:val="00485C3D"/>
    <w:rsid w:val="004D305E"/>
    <w:rsid w:val="004D4277"/>
    <w:rsid w:val="00502516"/>
    <w:rsid w:val="00505F06"/>
    <w:rsid w:val="00506828"/>
    <w:rsid w:val="0053056E"/>
    <w:rsid w:val="00554FDA"/>
    <w:rsid w:val="005A34C1"/>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728"/>
    <w:rsid w:val="006B57D0"/>
    <w:rsid w:val="006D30FF"/>
    <w:rsid w:val="006D6940"/>
    <w:rsid w:val="006E4C27"/>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6710"/>
    <w:rsid w:val="0085710E"/>
    <w:rsid w:val="00860000"/>
    <w:rsid w:val="00863BD3"/>
    <w:rsid w:val="008641ED"/>
    <w:rsid w:val="00866D66"/>
    <w:rsid w:val="008671C6"/>
    <w:rsid w:val="00875803"/>
    <w:rsid w:val="00876EBB"/>
    <w:rsid w:val="008A1E99"/>
    <w:rsid w:val="008B459E"/>
    <w:rsid w:val="008E13AE"/>
    <w:rsid w:val="008E1506"/>
    <w:rsid w:val="008E710C"/>
    <w:rsid w:val="008F69D6"/>
    <w:rsid w:val="00902823"/>
    <w:rsid w:val="00915CA6"/>
    <w:rsid w:val="00927834"/>
    <w:rsid w:val="009500A6"/>
    <w:rsid w:val="00951BC7"/>
    <w:rsid w:val="00957C18"/>
    <w:rsid w:val="009622F0"/>
    <w:rsid w:val="009659BA"/>
    <w:rsid w:val="009709D1"/>
    <w:rsid w:val="009810B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622"/>
    <w:rsid w:val="00A51431"/>
    <w:rsid w:val="00A539AD"/>
    <w:rsid w:val="00A94063"/>
    <w:rsid w:val="00AA6219"/>
    <w:rsid w:val="00AA74E0"/>
    <w:rsid w:val="00AB703F"/>
    <w:rsid w:val="00AC6BB8"/>
    <w:rsid w:val="00AE008F"/>
    <w:rsid w:val="00B01FCD"/>
    <w:rsid w:val="00B1776C"/>
    <w:rsid w:val="00B52583"/>
    <w:rsid w:val="00B52896"/>
    <w:rsid w:val="00B642FA"/>
    <w:rsid w:val="00B95236"/>
    <w:rsid w:val="00B96BD9"/>
    <w:rsid w:val="00BA1B01"/>
    <w:rsid w:val="00BA2641"/>
    <w:rsid w:val="00BA7CA3"/>
    <w:rsid w:val="00BB37AA"/>
    <w:rsid w:val="00BC53A0"/>
    <w:rsid w:val="00BD5DFE"/>
    <w:rsid w:val="00BE62AD"/>
    <w:rsid w:val="00BF121F"/>
    <w:rsid w:val="00BF1F80"/>
    <w:rsid w:val="00C166EF"/>
    <w:rsid w:val="00C17EB0"/>
    <w:rsid w:val="00C27F5F"/>
    <w:rsid w:val="00C30A0F"/>
    <w:rsid w:val="00C3242B"/>
    <w:rsid w:val="00C37E61"/>
    <w:rsid w:val="00C70F1B"/>
    <w:rsid w:val="00C71A47"/>
    <w:rsid w:val="00C7430D"/>
    <w:rsid w:val="00C7464C"/>
    <w:rsid w:val="00C85588"/>
    <w:rsid w:val="00CD6755"/>
    <w:rsid w:val="00CD6856"/>
    <w:rsid w:val="00CE0089"/>
    <w:rsid w:val="00CE793C"/>
    <w:rsid w:val="00CF193C"/>
    <w:rsid w:val="00D10CFB"/>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2BB"/>
    <w:rsid w:val="00EE52CB"/>
    <w:rsid w:val="00EF581D"/>
    <w:rsid w:val="00EF7FD8"/>
    <w:rsid w:val="00F06F59"/>
    <w:rsid w:val="00F17988"/>
    <w:rsid w:val="00F469F0"/>
    <w:rsid w:val="00F53273"/>
    <w:rsid w:val="00F5495B"/>
    <w:rsid w:val="00F755E4"/>
    <w:rsid w:val="00F77D02"/>
    <w:rsid w:val="00F826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8A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9622F0"/>
    <w:pPr>
      <w:spacing w:after="120"/>
    </w:pPr>
  </w:style>
  <w:style w:type="character" w:customStyle="1" w:styleId="BodyTextChar">
    <w:name w:val="Body Text Char"/>
    <w:basedOn w:val="DefaultParagraphFont"/>
    <w:link w:val="BodyText"/>
    <w:semiHidden/>
    <w:rsid w:val="009622F0"/>
    <w:rPr>
      <w:rFonts w:ascii="Helvetica" w:hAnsi="Helvetica"/>
    </w:rPr>
  </w:style>
  <w:style w:type="paragraph" w:styleId="NormalWeb">
    <w:name w:val="Normal (Web)"/>
    <w:basedOn w:val="Normal"/>
    <w:uiPriority w:val="99"/>
    <w:unhideWhenUsed/>
    <w:rsid w:val="006E4C27"/>
    <w:pPr>
      <w:spacing w:before="100" w:beforeAutospacing="1" w:after="100" w:afterAutospacing="1"/>
    </w:pPr>
    <w:rPr>
      <w:rFonts w:ascii="Times New Roman" w:hAnsi="Times New Roman"/>
      <w:sz w:val="24"/>
      <w:szCs w:val="24"/>
    </w:rPr>
  </w:style>
  <w:style w:type="character" w:customStyle="1" w:styleId="italic0">
    <w:name w:val="italic"/>
    <w:basedOn w:val="DefaultParagraphFont"/>
    <w:rsid w:val="006E4C27"/>
  </w:style>
  <w:style w:type="character" w:customStyle="1" w:styleId="ng-star-inserted">
    <w:name w:val="ng-star-inserted"/>
    <w:basedOn w:val="DefaultParagraphFont"/>
    <w:rsid w:val="00856710"/>
  </w:style>
  <w:style w:type="character" w:customStyle="1" w:styleId="UnresolvedMention">
    <w:name w:val="Unresolved Mention"/>
    <w:basedOn w:val="DefaultParagraphFont"/>
    <w:uiPriority w:val="99"/>
    <w:semiHidden/>
    <w:unhideWhenUsed/>
    <w:rsid w:val="00BA7CA3"/>
    <w:rPr>
      <w:color w:val="605E5C"/>
      <w:shd w:val="clear" w:color="auto" w:fill="E1DFDD"/>
    </w:rPr>
  </w:style>
  <w:style w:type="paragraph" w:styleId="ListParagraph">
    <w:name w:val="List Paragraph"/>
    <w:basedOn w:val="Normal"/>
    <w:uiPriority w:val="34"/>
    <w:qFormat/>
    <w:rsid w:val="00F5495B"/>
    <w:pPr>
      <w:ind w:left="720"/>
      <w:contextualSpacing/>
    </w:pPr>
  </w:style>
  <w:style w:type="paragraph" w:styleId="CommentSubject">
    <w:name w:val="annotation subject"/>
    <w:basedOn w:val="CommentText"/>
    <w:next w:val="CommentText"/>
    <w:link w:val="CommentSubjectChar"/>
    <w:semiHidden/>
    <w:unhideWhenUsed/>
    <w:rsid w:val="00C7430D"/>
    <w:rPr>
      <w:rFonts w:ascii="Helvetica" w:hAnsi="Helvetica"/>
      <w:b/>
      <w:bCs/>
      <w:lang w:val="en-US" w:eastAsia="en-US"/>
    </w:rPr>
  </w:style>
  <w:style w:type="character" w:customStyle="1" w:styleId="CommentSubjectChar">
    <w:name w:val="Comment Subject Char"/>
    <w:basedOn w:val="CommentTextChar"/>
    <w:link w:val="CommentSubject"/>
    <w:semiHidden/>
    <w:rsid w:val="00C7430D"/>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9622F0"/>
    <w:pPr>
      <w:spacing w:after="120"/>
    </w:pPr>
  </w:style>
  <w:style w:type="character" w:customStyle="1" w:styleId="BodyTextChar">
    <w:name w:val="Body Text Char"/>
    <w:basedOn w:val="DefaultParagraphFont"/>
    <w:link w:val="BodyText"/>
    <w:semiHidden/>
    <w:rsid w:val="009622F0"/>
    <w:rPr>
      <w:rFonts w:ascii="Helvetica" w:hAnsi="Helvetica"/>
    </w:rPr>
  </w:style>
  <w:style w:type="paragraph" w:styleId="NormalWeb">
    <w:name w:val="Normal (Web)"/>
    <w:basedOn w:val="Normal"/>
    <w:uiPriority w:val="99"/>
    <w:unhideWhenUsed/>
    <w:rsid w:val="006E4C27"/>
    <w:pPr>
      <w:spacing w:before="100" w:beforeAutospacing="1" w:after="100" w:afterAutospacing="1"/>
    </w:pPr>
    <w:rPr>
      <w:rFonts w:ascii="Times New Roman" w:hAnsi="Times New Roman"/>
      <w:sz w:val="24"/>
      <w:szCs w:val="24"/>
    </w:rPr>
  </w:style>
  <w:style w:type="character" w:customStyle="1" w:styleId="italic0">
    <w:name w:val="italic"/>
    <w:basedOn w:val="DefaultParagraphFont"/>
    <w:rsid w:val="006E4C27"/>
  </w:style>
  <w:style w:type="character" w:customStyle="1" w:styleId="ng-star-inserted">
    <w:name w:val="ng-star-inserted"/>
    <w:basedOn w:val="DefaultParagraphFont"/>
    <w:rsid w:val="00856710"/>
  </w:style>
  <w:style w:type="character" w:customStyle="1" w:styleId="UnresolvedMention">
    <w:name w:val="Unresolved Mention"/>
    <w:basedOn w:val="DefaultParagraphFont"/>
    <w:uiPriority w:val="99"/>
    <w:semiHidden/>
    <w:unhideWhenUsed/>
    <w:rsid w:val="00BA7CA3"/>
    <w:rPr>
      <w:color w:val="605E5C"/>
      <w:shd w:val="clear" w:color="auto" w:fill="E1DFDD"/>
    </w:rPr>
  </w:style>
  <w:style w:type="paragraph" w:styleId="ListParagraph">
    <w:name w:val="List Paragraph"/>
    <w:basedOn w:val="Normal"/>
    <w:uiPriority w:val="34"/>
    <w:qFormat/>
    <w:rsid w:val="00F5495B"/>
    <w:pPr>
      <w:ind w:left="720"/>
      <w:contextualSpacing/>
    </w:pPr>
  </w:style>
  <w:style w:type="paragraph" w:styleId="CommentSubject">
    <w:name w:val="annotation subject"/>
    <w:basedOn w:val="CommentText"/>
    <w:next w:val="CommentText"/>
    <w:link w:val="CommentSubjectChar"/>
    <w:semiHidden/>
    <w:unhideWhenUsed/>
    <w:rsid w:val="00C7430D"/>
    <w:rPr>
      <w:rFonts w:ascii="Helvetica" w:hAnsi="Helvetica"/>
      <w:b/>
      <w:bCs/>
      <w:lang w:val="en-US" w:eastAsia="en-US"/>
    </w:rPr>
  </w:style>
  <w:style w:type="character" w:customStyle="1" w:styleId="CommentSubjectChar">
    <w:name w:val="Comment Subject Char"/>
    <w:basedOn w:val="CommentTextChar"/>
    <w:link w:val="CommentSubject"/>
    <w:semiHidden/>
    <w:rsid w:val="00C7430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4060/cc2211en" TargetMode="External"/><Relationship Id="rId3" Type="http://schemas.openxmlformats.org/officeDocument/2006/relationships/styles" Target="styles.xml"/><Relationship Id="rId21" Type="http://schemas.openxmlformats.org/officeDocument/2006/relationships/hyperlink" Target="https://www.actahort.org/chronica/pdf/ch5102.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21/jf000595h"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doi.org/10.21273/JASHS.113.4.5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36253/ahsc-14158"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hraf%20Shegedi\Desktop\Carrot%20manuscript\climate%20graph%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 Temp (°C)</c:v>
                </c:pt>
              </c:strCache>
            </c:strRef>
          </c:tx>
          <c:spPr>
            <a:solidFill>
              <a:schemeClr val="accent1"/>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Sheet1!$G$5:$G$16</c:f>
              <c:numCache>
                <c:formatCode>General</c:formatCode>
                <c:ptCount val="12"/>
                <c:pt idx="0">
                  <c:v>23</c:v>
                </c:pt>
                <c:pt idx="1">
                  <c:v>22</c:v>
                </c:pt>
                <c:pt idx="2">
                  <c:v>21</c:v>
                </c:pt>
                <c:pt idx="3">
                  <c:v>23</c:v>
                </c:pt>
                <c:pt idx="4">
                  <c:v>25</c:v>
                </c:pt>
                <c:pt idx="5">
                  <c:v>28</c:v>
                </c:pt>
                <c:pt idx="6">
                  <c:v>28.1</c:v>
                </c:pt>
                <c:pt idx="7">
                  <c:v>24.5</c:v>
                </c:pt>
                <c:pt idx="8">
                  <c:v>23.2</c:v>
                </c:pt>
                <c:pt idx="9">
                  <c:v>25</c:v>
                </c:pt>
                <c:pt idx="10">
                  <c:v>28.7</c:v>
                </c:pt>
                <c:pt idx="11">
                  <c:v>31.9</c:v>
                </c:pt>
              </c:numCache>
            </c:numRef>
          </c:val>
          <c:extLst xmlns:c16r2="http://schemas.microsoft.com/office/drawing/2015/06/chart">
            <c:ext xmlns:c16="http://schemas.microsoft.com/office/drawing/2014/chart" uri="{C3380CC4-5D6E-409C-BE32-E72D297353CC}">
              <c16:uniqueId val="{00000000-3BB4-49BC-9830-4ADB0CECB1F6}"/>
            </c:ext>
          </c:extLst>
        </c:ser>
        <c:ser>
          <c:idx val="1"/>
          <c:order val="1"/>
          <c:tx>
            <c:strRef>
              <c:f>Sheet1!$H$4</c:f>
              <c:strCache>
                <c:ptCount val="1"/>
                <c:pt idx="0">
                  <c:v>Min Temp (°C)</c:v>
                </c:pt>
              </c:strCache>
            </c:strRef>
          </c:tx>
          <c:spPr>
            <a:solidFill>
              <a:schemeClr val="accent2"/>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Sheet1!$H$5:$H$16</c:f>
              <c:numCache>
                <c:formatCode>General</c:formatCode>
                <c:ptCount val="12"/>
                <c:pt idx="0">
                  <c:v>20.100000000000001</c:v>
                </c:pt>
                <c:pt idx="1">
                  <c:v>16.100000000000001</c:v>
                </c:pt>
                <c:pt idx="2">
                  <c:v>14.7</c:v>
                </c:pt>
                <c:pt idx="3">
                  <c:v>15.1</c:v>
                </c:pt>
                <c:pt idx="4">
                  <c:v>18</c:v>
                </c:pt>
                <c:pt idx="5">
                  <c:v>21.7</c:v>
                </c:pt>
                <c:pt idx="6">
                  <c:v>21</c:v>
                </c:pt>
                <c:pt idx="7">
                  <c:v>17</c:v>
                </c:pt>
                <c:pt idx="8">
                  <c:v>15.6</c:v>
                </c:pt>
                <c:pt idx="9">
                  <c:v>16.8</c:v>
                </c:pt>
                <c:pt idx="10">
                  <c:v>20.3</c:v>
                </c:pt>
                <c:pt idx="11">
                  <c:v>24.1</c:v>
                </c:pt>
              </c:numCache>
            </c:numRef>
          </c:val>
          <c:extLst xmlns:c16r2="http://schemas.microsoft.com/office/drawing/2015/06/chart">
            <c:ext xmlns:c16="http://schemas.microsoft.com/office/drawing/2014/chart" uri="{C3380CC4-5D6E-409C-BE32-E72D297353CC}">
              <c16:uniqueId val="{00000001-3BB4-49BC-9830-4ADB0CECB1F6}"/>
            </c:ext>
          </c:extLst>
        </c:ser>
        <c:ser>
          <c:idx val="2"/>
          <c:order val="2"/>
          <c:tx>
            <c:strRef>
              <c:f>Sheet1!$I$4</c:f>
              <c:strCache>
                <c:ptCount val="1"/>
                <c:pt idx="0">
                  <c:v>Max Temp (°C)</c:v>
                </c:pt>
              </c:strCache>
            </c:strRef>
          </c:tx>
          <c:spPr>
            <a:solidFill>
              <a:schemeClr val="accent3"/>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Sheet1!$I$5:$I$16</c:f>
              <c:numCache>
                <c:formatCode>General</c:formatCode>
                <c:ptCount val="12"/>
                <c:pt idx="0">
                  <c:v>35</c:v>
                </c:pt>
                <c:pt idx="1">
                  <c:v>31.9</c:v>
                </c:pt>
                <c:pt idx="2">
                  <c:v>30.5</c:v>
                </c:pt>
                <c:pt idx="3">
                  <c:v>31.9</c:v>
                </c:pt>
                <c:pt idx="4">
                  <c:v>35.5</c:v>
                </c:pt>
                <c:pt idx="5">
                  <c:v>39.700000000000003</c:v>
                </c:pt>
                <c:pt idx="6">
                  <c:v>35.200000000000003</c:v>
                </c:pt>
                <c:pt idx="7">
                  <c:v>31.7</c:v>
                </c:pt>
                <c:pt idx="8">
                  <c:v>30.7</c:v>
                </c:pt>
                <c:pt idx="9">
                  <c:v>32.6</c:v>
                </c:pt>
                <c:pt idx="10">
                  <c:v>36.5</c:v>
                </c:pt>
                <c:pt idx="11">
                  <c:v>40.4</c:v>
                </c:pt>
              </c:numCache>
            </c:numRef>
          </c:val>
          <c:extLst xmlns:c16r2="http://schemas.microsoft.com/office/drawing/2015/06/chart">
            <c:ext xmlns:c16="http://schemas.microsoft.com/office/drawing/2014/chart" uri="{C3380CC4-5D6E-409C-BE32-E72D297353CC}">
              <c16:uniqueId val="{00000002-3BB4-49BC-9830-4ADB0CECB1F6}"/>
            </c:ext>
          </c:extLst>
        </c:ser>
        <c:ser>
          <c:idx val="3"/>
          <c:order val="3"/>
          <c:tx>
            <c:strRef>
              <c:f>Sheet1!$J$4</c:f>
              <c:strCache>
                <c:ptCount val="1"/>
                <c:pt idx="0">
                  <c:v>Rainfall (mm)</c:v>
                </c:pt>
              </c:strCache>
            </c:strRef>
          </c:tx>
          <c:spPr>
            <a:solidFill>
              <a:schemeClr val="accent4"/>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Sheet1!$J$5:$J$16</c:f>
              <c:numCache>
                <c:formatCode>General</c:formatCode>
                <c:ptCount val="12"/>
                <c:pt idx="0">
                  <c:v>0</c:v>
                </c:pt>
                <c:pt idx="1">
                  <c:v>0</c:v>
                </c:pt>
                <c:pt idx="2">
                  <c:v>0</c:v>
                </c:pt>
                <c:pt idx="3">
                  <c:v>0</c:v>
                </c:pt>
                <c:pt idx="4">
                  <c:v>0</c:v>
                </c:pt>
                <c:pt idx="5">
                  <c:v>1</c:v>
                </c:pt>
                <c:pt idx="6">
                  <c:v>0.7</c:v>
                </c:pt>
                <c:pt idx="7">
                  <c:v>0</c:v>
                </c:pt>
                <c:pt idx="8">
                  <c:v>0</c:v>
                </c:pt>
                <c:pt idx="9">
                  <c:v>0</c:v>
                </c:pt>
                <c:pt idx="10">
                  <c:v>0.1</c:v>
                </c:pt>
                <c:pt idx="11">
                  <c:v>0</c:v>
                </c:pt>
              </c:numCache>
            </c:numRef>
          </c:val>
          <c:extLst xmlns:c16r2="http://schemas.microsoft.com/office/drawing/2015/06/chart">
            <c:ext xmlns:c16="http://schemas.microsoft.com/office/drawing/2014/chart" uri="{C3380CC4-5D6E-409C-BE32-E72D297353CC}">
              <c16:uniqueId val="{00000003-3BB4-49BC-9830-4ADB0CECB1F6}"/>
            </c:ext>
          </c:extLst>
        </c:ser>
        <c:ser>
          <c:idx val="4"/>
          <c:order val="4"/>
          <c:tx>
            <c:strRef>
              <c:f>Sheet1!$K$4</c:f>
              <c:strCache>
                <c:ptCount val="1"/>
                <c:pt idx="0">
                  <c:v>RH (%)</c:v>
                </c:pt>
              </c:strCache>
            </c:strRef>
          </c:tx>
          <c:spPr>
            <a:solidFill>
              <a:schemeClr val="accent5"/>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Sheet1!$K$5:$K$16</c:f>
              <c:numCache>
                <c:formatCode>General</c:formatCode>
                <c:ptCount val="12"/>
                <c:pt idx="0">
                  <c:v>36</c:v>
                </c:pt>
                <c:pt idx="1">
                  <c:v>34</c:v>
                </c:pt>
                <c:pt idx="2">
                  <c:v>27</c:v>
                </c:pt>
                <c:pt idx="3">
                  <c:v>29</c:v>
                </c:pt>
                <c:pt idx="4">
                  <c:v>21</c:v>
                </c:pt>
                <c:pt idx="5">
                  <c:v>35</c:v>
                </c:pt>
                <c:pt idx="6">
                  <c:v>38</c:v>
                </c:pt>
                <c:pt idx="7">
                  <c:v>35</c:v>
                </c:pt>
                <c:pt idx="8">
                  <c:v>22</c:v>
                </c:pt>
                <c:pt idx="9">
                  <c:v>28</c:v>
                </c:pt>
                <c:pt idx="10">
                  <c:v>36</c:v>
                </c:pt>
                <c:pt idx="11">
                  <c:v>30</c:v>
                </c:pt>
              </c:numCache>
            </c:numRef>
          </c:val>
          <c:extLst xmlns:c16r2="http://schemas.microsoft.com/office/drawing/2015/06/chart">
            <c:ext xmlns:c16="http://schemas.microsoft.com/office/drawing/2014/chart" uri="{C3380CC4-5D6E-409C-BE32-E72D297353CC}">
              <c16:uniqueId val="{00000004-3BB4-49BC-9830-4ADB0CECB1F6}"/>
            </c:ext>
          </c:extLst>
        </c:ser>
        <c:dLbls>
          <c:showLegendKey val="0"/>
          <c:showVal val="0"/>
          <c:showCatName val="0"/>
          <c:showSerName val="0"/>
          <c:showPercent val="0"/>
          <c:showBubbleSize val="0"/>
        </c:dLbls>
        <c:gapWidth val="219"/>
        <c:overlap val="-27"/>
        <c:axId val="156213248"/>
        <c:axId val="156214784"/>
      </c:barChart>
      <c:catAx>
        <c:axId val="156213248"/>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56214784"/>
        <c:crosses val="autoZero"/>
        <c:auto val="1"/>
        <c:lblAlgn val="ctr"/>
        <c:lblOffset val="100"/>
        <c:noMultiLvlLbl val="0"/>
      </c:catAx>
      <c:valAx>
        <c:axId val="15621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213248"/>
        <c:crosses val="autoZero"/>
        <c:crossBetween val="between"/>
        <c:majorUnit val="2"/>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8C8B-68B6-449E-B610-7D1C9407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9</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Asadi</cp:lastModifiedBy>
  <cp:revision>39</cp:revision>
  <cp:lastPrinted>1999-07-06T11:00:00Z</cp:lastPrinted>
  <dcterms:created xsi:type="dcterms:W3CDTF">2025-07-21T08:18:00Z</dcterms:created>
  <dcterms:modified xsi:type="dcterms:W3CDTF">2025-07-22T13:59:00Z</dcterms:modified>
</cp:coreProperties>
</file>