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643" w:rsidRDefault="003A4F94">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Analysis of Genetic Variability, Heritability and Genetic Advance for Yield and Yield-related Traits of Sunflower (</w:t>
      </w:r>
      <w:r>
        <w:rPr>
          <w:rFonts w:ascii="Times New Roman" w:eastAsia="Times New Roman" w:hAnsi="Times New Roman" w:cs="Times New Roman"/>
          <w:b/>
          <w:i/>
          <w:sz w:val="24"/>
          <w:szCs w:val="24"/>
        </w:rPr>
        <w:t>Helianthus annuus</w:t>
      </w:r>
      <w:r>
        <w:rPr>
          <w:rFonts w:ascii="Times New Roman" w:eastAsia="Times New Roman" w:hAnsi="Times New Roman" w:cs="Times New Roman"/>
          <w:b/>
          <w:sz w:val="24"/>
          <w:szCs w:val="24"/>
        </w:rPr>
        <w:t xml:space="preserve"> L.)</w:t>
      </w:r>
    </w:p>
    <w:p w:rsidR="007036AC" w:rsidRPr="007036AC" w:rsidRDefault="007036AC">
      <w:pPr>
        <w:spacing w:after="0" w:line="360" w:lineRule="auto"/>
        <w:jc w:val="center"/>
        <w:rPr>
          <w:rFonts w:ascii="Times New Roman" w:eastAsia="Times New Roman" w:hAnsi="Times New Roman" w:cs="Times New Roman"/>
          <w:bCs/>
          <w:sz w:val="28"/>
          <w:szCs w:val="28"/>
        </w:rPr>
      </w:pPr>
    </w:p>
    <w:p w:rsidR="00174643" w:rsidRDefault="00174643">
      <w:pPr>
        <w:spacing w:after="0" w:line="360" w:lineRule="auto"/>
        <w:jc w:val="center"/>
        <w:rPr>
          <w:rFonts w:ascii="Times New Roman" w:eastAsia="Times New Roman" w:hAnsi="Times New Roman" w:cs="Times New Roman"/>
          <w:b/>
          <w:sz w:val="24"/>
          <w:szCs w:val="24"/>
        </w:rPr>
      </w:pPr>
    </w:p>
    <w:p w:rsidR="00174643" w:rsidRDefault="003A4F9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rsidR="00174643" w:rsidRDefault="003A4F9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 xml:space="preserve">A field experiment was conducted at Rajendranagar farm of ICAR-Indian Institute of Oilseeds Research, Hyderabad during </w:t>
      </w:r>
      <w:r>
        <w:rPr>
          <w:rFonts w:ascii="Times New Roman" w:eastAsia="Times New Roman" w:hAnsi="Times New Roman" w:cs="Times New Roman"/>
          <w:i/>
          <w:sz w:val="24"/>
          <w:szCs w:val="24"/>
        </w:rPr>
        <w:t>rabi</w:t>
      </w:r>
      <w:r>
        <w:rPr>
          <w:rFonts w:ascii="Times New Roman" w:eastAsia="Times New Roman" w:hAnsi="Times New Roman" w:cs="Times New Roman"/>
          <w:sz w:val="24"/>
          <w:szCs w:val="24"/>
        </w:rPr>
        <w:t>-2024-25. Thirty two sunflower genotypes were evaluated in Randomized block design with three replications. The aim</w:t>
      </w:r>
      <w:bookmarkStart w:id="0" w:name="_GoBack"/>
      <w:bookmarkEnd w:id="0"/>
      <w:r>
        <w:rPr>
          <w:rFonts w:ascii="Times New Roman" w:eastAsia="Times New Roman" w:hAnsi="Times New Roman" w:cs="Times New Roman"/>
          <w:sz w:val="24"/>
          <w:szCs w:val="24"/>
        </w:rPr>
        <w:t xml:space="preserve"> of the experiment was to determine the genetic variability for seed yield and oil content. The results of the study recorded a broad range of variability for all the characters under study. </w:t>
      </w:r>
      <w:r>
        <w:rPr>
          <w:rFonts w:ascii="Times New Roman" w:eastAsia="Times New Roman" w:hAnsi="Times New Roman" w:cs="Times New Roman"/>
          <w:color w:val="000000"/>
          <w:sz w:val="24"/>
          <w:szCs w:val="24"/>
        </w:rPr>
        <w:t>Low to high phenotypic coefficient of variation (PCV) and genotypic coefficient of variation (GCV) were recorded.</w:t>
      </w:r>
      <w:r>
        <w:rPr>
          <w:rFonts w:ascii="Times New Roman" w:eastAsia="Times New Roman" w:hAnsi="Times New Roman" w:cs="Times New Roman"/>
          <w:sz w:val="24"/>
          <w:szCs w:val="24"/>
        </w:rPr>
        <w:t xml:space="preserve">The traits seed yield per plant (54.4% and 56.3%) followed by linoleic acid (49.9% and 52.9%), oleic acid (46.7% and 49.5%), plant height (23.9% and 24.5%), head diameter (21.7% and 23.2%) and 100 seed weight (21.2% and 27.1%), respectively, recorded high phenotypic and genotypic coefficients of variation. </w:t>
      </w:r>
      <w:r w:rsidRPr="00ED6A13">
        <w:rPr>
          <w:rFonts w:ascii="Times New Roman" w:eastAsia="Times New Roman" w:hAnsi="Times New Roman" w:cs="Times New Roman"/>
          <w:strike/>
          <w:sz w:val="24"/>
          <w:szCs w:val="24"/>
        </w:rPr>
        <w:t>h</w:t>
      </w:r>
      <w:r w:rsidR="00ED6A13" w:rsidRPr="00ED6A13">
        <w:rPr>
          <w:rFonts w:ascii="Times New Roman" w:eastAsia="Times New Roman" w:hAnsi="Times New Roman" w:cs="Times New Roman"/>
          <w:color w:val="FF0000"/>
          <w:sz w:val="24"/>
          <w:szCs w:val="24"/>
        </w:rPr>
        <w:t>H</w:t>
      </w:r>
      <w:r>
        <w:rPr>
          <w:rFonts w:ascii="Times New Roman" w:eastAsia="Times New Roman" w:hAnsi="Times New Roman" w:cs="Times New Roman"/>
          <w:sz w:val="24"/>
          <w:szCs w:val="24"/>
        </w:rPr>
        <w:t>igh heritability coupled with high genetic advance as a percentage of the mean were recorded for seed yield per plant, plant height, head diameter, no of leaves per plant, seed length, 100 seed weight, volume weight, stearic acid, palmitic acid, oleic acid and linoleic acid, indicating the predominance of additive gene action for these characters and therefore, provides the most effective condition for selection and these traits should be used in future sunflower improvement programmes.</w:t>
      </w:r>
    </w:p>
    <w:p w:rsidR="00174643" w:rsidRDefault="003A4F94">
      <w:pPr>
        <w:spacing w:after="0" w:line="360" w:lineRule="auto"/>
        <w:jc w:val="both"/>
        <w:rPr>
          <w:rFonts w:ascii="Times New Roman" w:eastAsia="Times New Roman" w:hAnsi="Times New Roman" w:cs="Times New Roman"/>
          <w:b/>
          <w:color w:val="000000"/>
          <w:sz w:val="36"/>
          <w:szCs w:val="36"/>
        </w:rPr>
      </w:pPr>
      <w:r>
        <w:rPr>
          <w:rFonts w:ascii="Times New Roman" w:eastAsia="Times New Roman" w:hAnsi="Times New Roman" w:cs="Times New Roman"/>
          <w:b/>
          <w:i/>
          <w:color w:val="000000"/>
          <w:sz w:val="24"/>
          <w:szCs w:val="24"/>
        </w:rPr>
        <w:t>Keywords</w:t>
      </w:r>
      <w:r>
        <w:rPr>
          <w:rFonts w:ascii="Times New Roman" w:eastAsia="Times New Roman" w:hAnsi="Times New Roman" w:cs="Times New Roman"/>
          <w:b/>
          <w:color w:val="000000"/>
          <w:sz w:val="24"/>
          <w:szCs w:val="24"/>
        </w:rPr>
        <w:t>:</w:t>
      </w:r>
      <w:r w:rsidRPr="00ED6A13">
        <w:rPr>
          <w:rFonts w:ascii="Times New Roman" w:eastAsia="Times New Roman" w:hAnsi="Times New Roman" w:cs="Times New Roman"/>
          <w:strike/>
          <w:sz w:val="24"/>
          <w:szCs w:val="24"/>
          <w:highlight w:val="white"/>
        </w:rPr>
        <w:t>Diversity</w:t>
      </w:r>
      <w:r>
        <w:rPr>
          <w:rFonts w:ascii="Times New Roman" w:eastAsia="Times New Roman" w:hAnsi="Times New Roman" w:cs="Times New Roman"/>
          <w:sz w:val="24"/>
          <w:szCs w:val="24"/>
          <w:highlight w:val="white"/>
        </w:rPr>
        <w:t xml:space="preserve">; </w:t>
      </w:r>
      <w:r w:rsidR="008D677D">
        <w:rPr>
          <w:rFonts w:ascii="Times New Roman" w:eastAsia="Times New Roman" w:hAnsi="Times New Roman" w:cs="Times New Roman"/>
          <w:sz w:val="24"/>
          <w:szCs w:val="24"/>
          <w:highlight w:val="white"/>
        </w:rPr>
        <w:t>Sunflower,</w:t>
      </w:r>
      <w:r w:rsidR="008D677D" w:rsidRPr="00024E49">
        <w:rPr>
          <w:rFonts w:ascii="Times New Roman" w:eastAsia="Times New Roman" w:hAnsi="Times New Roman" w:cs="Times New Roman"/>
          <w:color w:val="FF0000"/>
          <w:sz w:val="24"/>
          <w:szCs w:val="24"/>
          <w:highlight w:val="white"/>
        </w:rPr>
        <w:t xml:space="preserve"> </w:t>
      </w:r>
      <w:r w:rsidR="00024E49" w:rsidRPr="00024E49">
        <w:rPr>
          <w:rFonts w:ascii="Times New Roman" w:eastAsia="Times New Roman" w:hAnsi="Times New Roman" w:cs="Times New Roman"/>
          <w:color w:val="FF0000"/>
          <w:sz w:val="24"/>
          <w:szCs w:val="24"/>
          <w:highlight w:val="white"/>
        </w:rPr>
        <w:t>GCV</w:t>
      </w:r>
      <w:r w:rsidR="00024E49">
        <w:rPr>
          <w:rFonts w:ascii="Times New Roman" w:eastAsia="Times New Roman" w:hAnsi="Times New Roman" w:cs="Times New Roman"/>
          <w:sz w:val="24"/>
          <w:szCs w:val="24"/>
          <w:highlight w:val="white"/>
        </w:rPr>
        <w:t>,</w:t>
      </w:r>
      <w:r w:rsidR="00B02239">
        <w:rPr>
          <w:rFonts w:ascii="Times New Roman" w:eastAsia="Times New Roman" w:hAnsi="Times New Roman" w:cs="Times New Roman"/>
          <w:sz w:val="24"/>
          <w:szCs w:val="24"/>
          <w:highlight w:val="white"/>
        </w:rPr>
        <w:t xml:space="preserve"> </w:t>
      </w:r>
      <w:r w:rsidR="00B02239" w:rsidRPr="00B02239">
        <w:rPr>
          <w:rFonts w:ascii="Times New Roman" w:eastAsia="Times New Roman" w:hAnsi="Times New Roman" w:cs="Times New Roman"/>
          <w:color w:val="FF0000"/>
          <w:sz w:val="24"/>
          <w:szCs w:val="24"/>
          <w:highlight w:val="white"/>
        </w:rPr>
        <w:t>PCV</w:t>
      </w:r>
      <w:r w:rsidR="00B02239">
        <w:rPr>
          <w:rFonts w:ascii="Times New Roman" w:eastAsia="Times New Roman" w:hAnsi="Times New Roman" w:cs="Times New Roman"/>
          <w:sz w:val="24"/>
          <w:szCs w:val="24"/>
          <w:highlight w:val="white"/>
        </w:rPr>
        <w:t>,</w:t>
      </w:r>
      <w:r w:rsidR="00024E49">
        <w:rPr>
          <w:rFonts w:ascii="Times New Roman" w:eastAsia="Times New Roman" w:hAnsi="Times New Roman" w:cs="Times New Roman"/>
          <w:sz w:val="24"/>
          <w:szCs w:val="24"/>
          <w:highlight w:val="white"/>
        </w:rPr>
        <w:t xml:space="preserve"> </w:t>
      </w:r>
      <w:r w:rsidR="00BB3362" w:rsidRPr="00BB3362">
        <w:rPr>
          <w:rFonts w:ascii="Times New Roman" w:eastAsia="Times New Roman" w:hAnsi="Times New Roman" w:cs="Times New Roman"/>
          <w:color w:val="FF0000"/>
          <w:sz w:val="24"/>
          <w:szCs w:val="24"/>
          <w:highlight w:val="white"/>
        </w:rPr>
        <w:t>heritability</w:t>
      </w:r>
      <w:r w:rsidR="00BB3362">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genetic advance;; </w:t>
      </w:r>
      <w:r w:rsidRPr="00024E49">
        <w:rPr>
          <w:rFonts w:ascii="Times New Roman" w:eastAsia="Times New Roman" w:hAnsi="Times New Roman" w:cs="Times New Roman"/>
          <w:strike/>
          <w:sz w:val="24"/>
          <w:szCs w:val="24"/>
          <w:highlight w:val="white"/>
        </w:rPr>
        <w:t>variability</w:t>
      </w:r>
      <w:r>
        <w:rPr>
          <w:rFonts w:ascii="Times New Roman" w:eastAsia="Times New Roman" w:hAnsi="Times New Roman" w:cs="Times New Roman"/>
          <w:sz w:val="24"/>
          <w:szCs w:val="24"/>
          <w:highlight w:val="white"/>
        </w:rPr>
        <w:t>; yield</w:t>
      </w:r>
      <w:r w:rsidR="00024E49">
        <w:rPr>
          <w:rFonts w:ascii="Times New Roman" w:eastAsia="Times New Roman" w:hAnsi="Times New Roman" w:cs="Times New Roman"/>
          <w:sz w:val="24"/>
          <w:szCs w:val="24"/>
        </w:rPr>
        <w:t xml:space="preserve"> </w:t>
      </w:r>
      <w:r w:rsidR="00024E49" w:rsidRPr="00024E49">
        <w:rPr>
          <w:rFonts w:ascii="Times New Roman" w:eastAsia="Times New Roman" w:hAnsi="Times New Roman" w:cs="Times New Roman"/>
          <w:color w:val="FF0000"/>
          <w:sz w:val="24"/>
          <w:szCs w:val="24"/>
        </w:rPr>
        <w:t>attributes</w:t>
      </w:r>
    </w:p>
    <w:p w:rsidR="00174643" w:rsidRDefault="00174643">
      <w:pPr>
        <w:spacing w:after="0" w:line="360" w:lineRule="auto"/>
        <w:jc w:val="both"/>
        <w:rPr>
          <w:rFonts w:ascii="Times New Roman" w:eastAsia="Times New Roman" w:hAnsi="Times New Roman" w:cs="Times New Roman"/>
          <w:b/>
          <w:color w:val="000000"/>
          <w:sz w:val="24"/>
          <w:szCs w:val="24"/>
        </w:rPr>
      </w:pPr>
    </w:p>
    <w:p w:rsidR="00174643" w:rsidRDefault="003A4F94">
      <w:pPr>
        <w:numPr>
          <w:ilvl w:val="0"/>
          <w:numId w:val="1"/>
        </w:numPr>
        <w:pBdr>
          <w:top w:val="nil"/>
          <w:left w:val="nil"/>
          <w:bottom w:val="nil"/>
          <w:right w:val="nil"/>
          <w:between w:val="nil"/>
        </w:pBdr>
        <w:spacing w:after="0" w:line="36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INTRODUCTION</w:t>
      </w:r>
    </w:p>
    <w:p w:rsidR="00174643" w:rsidRDefault="003A4F94">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Sunflower (</w:t>
      </w:r>
      <w:r>
        <w:rPr>
          <w:rFonts w:ascii="Times New Roman" w:eastAsia="Times New Roman" w:hAnsi="Times New Roman" w:cs="Times New Roman"/>
          <w:i/>
          <w:sz w:val="24"/>
          <w:szCs w:val="24"/>
        </w:rPr>
        <w:t>Helianthus annuus</w:t>
      </w:r>
      <w:r>
        <w:rPr>
          <w:rFonts w:ascii="Times New Roman" w:eastAsia="Times New Roman" w:hAnsi="Times New Roman" w:cs="Times New Roman"/>
          <w:sz w:val="24"/>
          <w:szCs w:val="24"/>
        </w:rPr>
        <w:t xml:space="preserve"> L.), a member of the family </w:t>
      </w:r>
      <w:r>
        <w:rPr>
          <w:rFonts w:ascii="Times New Roman" w:eastAsia="Times New Roman" w:hAnsi="Times New Roman" w:cs="Times New Roman"/>
          <w:i/>
          <w:sz w:val="24"/>
          <w:szCs w:val="24"/>
        </w:rPr>
        <w:t>Compositae</w:t>
      </w:r>
      <w:r>
        <w:rPr>
          <w:rFonts w:ascii="Times New Roman" w:eastAsia="Times New Roman" w:hAnsi="Times New Roman" w:cs="Times New Roman"/>
          <w:sz w:val="24"/>
          <w:szCs w:val="24"/>
        </w:rPr>
        <w:t xml:space="preserve">, is a major oilseed crop primarily cultivated for its edible oil. The genus </w:t>
      </w:r>
      <w:r>
        <w:rPr>
          <w:rFonts w:ascii="Times New Roman" w:eastAsia="Times New Roman" w:hAnsi="Times New Roman" w:cs="Times New Roman"/>
          <w:i/>
          <w:sz w:val="24"/>
          <w:szCs w:val="24"/>
        </w:rPr>
        <w:t>Helianthus</w:t>
      </w:r>
      <w:r>
        <w:rPr>
          <w:rFonts w:ascii="Times New Roman" w:eastAsia="Times New Roman" w:hAnsi="Times New Roman" w:cs="Times New Roman"/>
          <w:sz w:val="24"/>
          <w:szCs w:val="24"/>
        </w:rPr>
        <w:t xml:space="preserve"> includes 52 species encompassing 67 taxa (</w:t>
      </w:r>
      <w:r>
        <w:rPr>
          <w:rFonts w:ascii="Times New Roman" w:eastAsia="Times New Roman" w:hAnsi="Times New Roman" w:cs="Times New Roman"/>
          <w:color w:val="0000CC"/>
          <w:sz w:val="24"/>
          <w:szCs w:val="24"/>
        </w:rPr>
        <w:t>Schilling 2006; Stebbins et al. 2013</w:t>
      </w:r>
      <w:r>
        <w:rPr>
          <w:rFonts w:ascii="Times New Roman" w:eastAsia="Times New Roman" w:hAnsi="Times New Roman" w:cs="Times New Roman"/>
          <w:sz w:val="24"/>
          <w:szCs w:val="24"/>
        </w:rPr>
        <w:t>). Sunflower was introduced to India in late 1960s (</w:t>
      </w:r>
      <w:r>
        <w:rPr>
          <w:rFonts w:ascii="Times New Roman" w:eastAsia="Times New Roman" w:hAnsi="Times New Roman" w:cs="Times New Roman"/>
          <w:color w:val="0000FF"/>
          <w:sz w:val="24"/>
          <w:szCs w:val="24"/>
        </w:rPr>
        <w:t>Meena et al. 2013</w:t>
      </w:r>
      <w:r>
        <w:rPr>
          <w:rFonts w:ascii="Times New Roman" w:eastAsia="Times New Roman" w:hAnsi="Times New Roman" w:cs="Times New Roman"/>
          <w:sz w:val="24"/>
          <w:szCs w:val="24"/>
        </w:rPr>
        <w:t xml:space="preserve">). In India, sunflower is grown during the </w:t>
      </w:r>
      <w:r>
        <w:rPr>
          <w:rFonts w:ascii="Times New Roman" w:eastAsia="Times New Roman" w:hAnsi="Times New Roman" w:cs="Times New Roman"/>
          <w:i/>
          <w:sz w:val="24"/>
          <w:szCs w:val="24"/>
        </w:rPr>
        <w:t>kharif</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rabi</w:t>
      </w:r>
      <w:r>
        <w:rPr>
          <w:rFonts w:ascii="Times New Roman" w:eastAsia="Times New Roman" w:hAnsi="Times New Roman" w:cs="Times New Roman"/>
          <w:sz w:val="24"/>
          <w:szCs w:val="24"/>
        </w:rPr>
        <w:t>, and spring seasons, making it one of the fastest growing oilseed crop</w:t>
      </w:r>
      <w:r w:rsidRPr="000A2FB3">
        <w:rPr>
          <w:rFonts w:ascii="Times New Roman" w:eastAsia="Times New Roman" w:hAnsi="Times New Roman" w:cs="Times New Roman"/>
          <w:strike/>
          <w:sz w:val="24"/>
          <w:szCs w:val="24"/>
        </w:rPr>
        <w:t>s</w:t>
      </w:r>
      <w:r>
        <w:rPr>
          <w:rFonts w:ascii="Times New Roman" w:eastAsia="Times New Roman" w:hAnsi="Times New Roman" w:cs="Times New Roman"/>
          <w:sz w:val="24"/>
          <w:szCs w:val="24"/>
        </w:rPr>
        <w:t>. Karnataka, Andhra Pradesh, Maharashtra, West Bengal, Odisha and Punjab are the major sunflower growing states. Presently, it is cultivated over 2.69 lakh hectares, with an annual production of 2.79 lakh tons and an average productivity of 1037 kg/ha (</w:t>
      </w:r>
      <w:r>
        <w:rPr>
          <w:rFonts w:ascii="Times New Roman" w:eastAsia="Times New Roman" w:hAnsi="Times New Roman" w:cs="Times New Roman"/>
          <w:color w:val="0000CC"/>
          <w:sz w:val="24"/>
          <w:szCs w:val="24"/>
        </w:rPr>
        <w:t>Directorate of Economics and Statistics 2023</w:t>
      </w:r>
      <w:r>
        <w:rPr>
          <w:rFonts w:ascii="Times New Roman" w:eastAsia="Times New Roman" w:hAnsi="Times New Roman" w:cs="Times New Roman"/>
          <w:sz w:val="24"/>
          <w:szCs w:val="24"/>
        </w:rPr>
        <w:t xml:space="preserve">). Presently, the area of sunflower crop is reduced it may be due to the fact that </w:t>
      </w:r>
      <w:r>
        <w:rPr>
          <w:rFonts w:ascii="Times New Roman" w:eastAsia="Times New Roman" w:hAnsi="Times New Roman" w:cs="Times New Roman"/>
          <w:sz w:val="24"/>
          <w:szCs w:val="24"/>
        </w:rPr>
        <w:lastRenderedPageBreak/>
        <w:t xml:space="preserve">unavailability of the </w:t>
      </w:r>
      <w:r w:rsidR="000A2FB3" w:rsidRPr="000A2FB3">
        <w:rPr>
          <w:rFonts w:ascii="Times New Roman" w:eastAsia="Times New Roman" w:hAnsi="Times New Roman" w:cs="Times New Roman"/>
          <w:color w:val="FF0000"/>
          <w:sz w:val="24"/>
          <w:szCs w:val="24"/>
        </w:rPr>
        <w:t>high yielding</w:t>
      </w:r>
      <w:r w:rsidR="000A2FB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genotypes</w:t>
      </w:r>
      <w:r w:rsidR="008D677D">
        <w:rPr>
          <w:rFonts w:ascii="Times New Roman" w:eastAsia="Times New Roman" w:hAnsi="Times New Roman" w:cs="Times New Roman"/>
          <w:sz w:val="24"/>
          <w:szCs w:val="24"/>
        </w:rPr>
        <w:t xml:space="preserve">, </w:t>
      </w:r>
      <w:r w:rsidR="008D677D" w:rsidRPr="008D677D">
        <w:rPr>
          <w:rFonts w:ascii="Times New Roman" w:eastAsia="Times New Roman" w:hAnsi="Times New Roman" w:cs="Times New Roman"/>
          <w:color w:val="FF0000"/>
          <w:sz w:val="24"/>
          <w:szCs w:val="24"/>
        </w:rPr>
        <w:t>quality seeds</w:t>
      </w:r>
      <w:r>
        <w:rPr>
          <w:rFonts w:ascii="Times New Roman" w:eastAsia="Times New Roman" w:hAnsi="Times New Roman" w:cs="Times New Roman"/>
          <w:sz w:val="24"/>
          <w:szCs w:val="24"/>
        </w:rPr>
        <w:t xml:space="preserve"> </w:t>
      </w:r>
      <w:r w:rsidRPr="00AC05B3">
        <w:rPr>
          <w:rFonts w:ascii="Times New Roman" w:eastAsia="Times New Roman" w:hAnsi="Times New Roman" w:cs="Times New Roman"/>
          <w:strike/>
          <w:sz w:val="24"/>
          <w:szCs w:val="24"/>
        </w:rPr>
        <w:t>can yield more than 3.0 tons/ha</w:t>
      </w:r>
      <w:r>
        <w:rPr>
          <w:rFonts w:ascii="Times New Roman" w:eastAsia="Times New Roman" w:hAnsi="Times New Roman" w:cs="Times New Roman"/>
          <w:sz w:val="24"/>
          <w:szCs w:val="24"/>
        </w:rPr>
        <w:t>,</w:t>
      </w:r>
      <w:r w:rsidR="00AC05B3">
        <w:rPr>
          <w:rFonts w:ascii="Times New Roman" w:eastAsia="Times New Roman" w:hAnsi="Times New Roman" w:cs="Times New Roman"/>
          <w:sz w:val="24"/>
          <w:szCs w:val="24"/>
        </w:rPr>
        <w:t xml:space="preserve"> </w:t>
      </w:r>
      <w:r w:rsidR="00AC05B3" w:rsidRPr="00AC05B3">
        <w:rPr>
          <w:rFonts w:ascii="Times New Roman" w:eastAsia="Times New Roman" w:hAnsi="Times New Roman" w:cs="Times New Roman"/>
          <w:color w:val="FF0000"/>
          <w:sz w:val="24"/>
          <w:szCs w:val="24"/>
        </w:rPr>
        <w:t>urbanisation,</w:t>
      </w:r>
      <w:r>
        <w:rPr>
          <w:rFonts w:ascii="Times New Roman" w:eastAsia="Times New Roman" w:hAnsi="Times New Roman" w:cs="Times New Roman"/>
          <w:sz w:val="24"/>
          <w:szCs w:val="24"/>
        </w:rPr>
        <w:t xml:space="preserve"> price fluctuations, shift in cropping pattern, profitability of other crops compared to sunflower, withdrawal of private players from sunflower research, bird damage and menace of diseases such as alternaria, powdery mildew, sunflower necrosis and sunflower leaf curl virus disease (</w:t>
      </w:r>
      <w:r>
        <w:rPr>
          <w:rFonts w:ascii="Times New Roman" w:eastAsia="Times New Roman" w:hAnsi="Times New Roman" w:cs="Times New Roman"/>
          <w:color w:val="0000FF"/>
          <w:sz w:val="24"/>
          <w:szCs w:val="24"/>
        </w:rPr>
        <w:t>Dudhe et al. 2019</w:t>
      </w:r>
      <w:r>
        <w:rPr>
          <w:rFonts w:ascii="Times New Roman" w:eastAsia="Times New Roman" w:hAnsi="Times New Roman" w:cs="Times New Roman"/>
          <w:sz w:val="24"/>
          <w:szCs w:val="24"/>
        </w:rPr>
        <w:t>).</w:t>
      </w:r>
    </w:p>
    <w:p w:rsidR="00174643" w:rsidRDefault="003A4F94">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success of any plant breeding program depends on the genetic variability and selection skill of plant breeder (</w:t>
      </w:r>
      <w:r>
        <w:rPr>
          <w:rFonts w:ascii="Times New Roman" w:eastAsia="Times New Roman" w:hAnsi="Times New Roman" w:cs="Times New Roman"/>
          <w:color w:val="0000FF"/>
          <w:sz w:val="24"/>
          <w:szCs w:val="24"/>
        </w:rPr>
        <w:t>Adhikari et al. 2018</w:t>
      </w:r>
      <w:r>
        <w:rPr>
          <w:rFonts w:ascii="Times New Roman" w:eastAsia="Times New Roman" w:hAnsi="Times New Roman" w:cs="Times New Roman"/>
          <w:sz w:val="24"/>
          <w:szCs w:val="24"/>
        </w:rPr>
        <w:t>). The knowledge of the magnitude of genetic variability present in a crop species for the traits is insignificant for the success of any plant breeding program.</w:t>
      </w:r>
      <w:r w:rsidR="00AC05B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Assessing the extent of variability helps breeders make informed decisions when selecting superior genotypes. </w:t>
      </w:r>
      <w:r>
        <w:rPr>
          <w:sz w:val="24"/>
          <w:szCs w:val="24"/>
        </w:rPr>
        <w:t>The p</w:t>
      </w:r>
      <w:r>
        <w:rPr>
          <w:rFonts w:ascii="Times New Roman" w:eastAsia="Times New Roman" w:hAnsi="Times New Roman" w:cs="Times New Roman"/>
          <w:sz w:val="24"/>
          <w:szCs w:val="24"/>
        </w:rPr>
        <w:t xml:space="preserve">henotypic and genotypic coefficients of </w:t>
      </w:r>
      <w:r w:rsidRPr="00DB42AD">
        <w:rPr>
          <w:rFonts w:ascii="Times New Roman" w:eastAsia="Times New Roman" w:hAnsi="Times New Roman" w:cs="Times New Roman"/>
          <w:strike/>
          <w:sz w:val="24"/>
          <w:szCs w:val="24"/>
        </w:rPr>
        <w:t>variability</w:t>
      </w:r>
      <w:r w:rsidR="00DB42AD">
        <w:rPr>
          <w:rFonts w:ascii="Times New Roman" w:eastAsia="Times New Roman" w:hAnsi="Times New Roman" w:cs="Times New Roman"/>
          <w:sz w:val="24"/>
          <w:szCs w:val="24"/>
        </w:rPr>
        <w:t xml:space="preserve"> </w:t>
      </w:r>
      <w:r w:rsidR="00DB42AD" w:rsidRPr="00DB42AD">
        <w:rPr>
          <w:rFonts w:ascii="Times New Roman" w:eastAsia="Times New Roman" w:hAnsi="Times New Roman" w:cs="Times New Roman"/>
          <w:color w:val="FF0000"/>
          <w:sz w:val="24"/>
          <w:szCs w:val="24"/>
        </w:rPr>
        <w:t>variation</w:t>
      </w:r>
      <w:r>
        <w:rPr>
          <w:rFonts w:ascii="Times New Roman" w:eastAsia="Times New Roman" w:hAnsi="Times New Roman" w:cs="Times New Roman"/>
          <w:sz w:val="24"/>
          <w:szCs w:val="24"/>
        </w:rPr>
        <w:t xml:space="preserve"> are helpful in exploring the nature of variability in the breeding populations and to quantify and compare variability across different traits. Heritability estimates provide insights into the proportion of total variation that is genetically inherited, aiding in effective selection. Genetic advance shows the difference between the mean genotypic values of selected population and the original population from which these were selected.</w:t>
      </w:r>
      <w:r w:rsidR="008D677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When combined with genetic advance, these estimates become valuable predictors of expected improvement under selection. Heritability estimates along with genetic advance is more precise in predicting the genetic gain under selection.</w:t>
      </w:r>
      <w:r w:rsidR="008E7C3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Assessment of variability for yield and other characters becomes absolutely essential before planning for an appropriate breeding strategy for genetic improvement (</w:t>
      </w:r>
      <w:bookmarkStart w:id="1" w:name="52xmjxpnfbcn" w:colFirst="0" w:colLast="0"/>
      <w:bookmarkEnd w:id="1"/>
      <w:r w:rsidR="001606BF">
        <w:fldChar w:fldCharType="begin"/>
      </w:r>
      <w:r>
        <w:instrText>HYPERLINK "https://www.sciencedirect.com/science/article/pii/S2096242820300403" \l "bib16" \h</w:instrText>
      </w:r>
      <w:r w:rsidR="001606BF">
        <w:fldChar w:fldCharType="separate"/>
      </w:r>
      <w:r>
        <w:rPr>
          <w:rFonts w:ascii="Times New Roman" w:eastAsia="Times New Roman" w:hAnsi="Times New Roman" w:cs="Times New Roman"/>
          <w:color w:val="0000FF"/>
          <w:sz w:val="24"/>
          <w:szCs w:val="24"/>
        </w:rPr>
        <w:t>Kumar et al. 2019</w:t>
      </w:r>
      <w:r w:rsidR="001606BF">
        <w:fldChar w:fldCharType="end"/>
      </w:r>
      <w:r>
        <w:rPr>
          <w:rFonts w:ascii="Times New Roman" w:eastAsia="Times New Roman" w:hAnsi="Times New Roman" w:cs="Times New Roman"/>
          <w:sz w:val="24"/>
          <w:szCs w:val="24"/>
        </w:rPr>
        <w:t>). Therefore the present study was carried out with the objective to</w:t>
      </w:r>
      <w:r w:rsidRPr="008E7C39">
        <w:rPr>
          <w:rFonts w:ascii="Times New Roman" w:eastAsia="Times New Roman" w:hAnsi="Times New Roman" w:cs="Times New Roman"/>
          <w:strike/>
          <w:sz w:val="24"/>
          <w:szCs w:val="24"/>
        </w:rPr>
        <w:t xml:space="preserve"> identify</w:t>
      </w:r>
      <w:r w:rsidR="008E7C39">
        <w:rPr>
          <w:rFonts w:ascii="Times New Roman" w:eastAsia="Times New Roman" w:hAnsi="Times New Roman" w:cs="Times New Roman"/>
          <w:sz w:val="24"/>
          <w:szCs w:val="24"/>
        </w:rPr>
        <w:t xml:space="preserve"> </w:t>
      </w:r>
      <w:r w:rsidR="008E7C39" w:rsidRPr="008E7C39">
        <w:rPr>
          <w:rFonts w:ascii="Times New Roman" w:eastAsia="Times New Roman" w:hAnsi="Times New Roman" w:cs="Times New Roman"/>
          <w:color w:val="FF0000"/>
          <w:sz w:val="24"/>
          <w:szCs w:val="24"/>
        </w:rPr>
        <w:t>estimate</w:t>
      </w:r>
      <w:r>
        <w:rPr>
          <w:rFonts w:ascii="Times New Roman" w:eastAsia="Times New Roman" w:hAnsi="Times New Roman" w:cs="Times New Roman"/>
          <w:sz w:val="24"/>
          <w:szCs w:val="24"/>
        </w:rPr>
        <w:t xml:space="preserve"> genetic variability and </w:t>
      </w:r>
      <w:hyperlink r:id="rId7">
        <w:r>
          <w:rPr>
            <w:rFonts w:ascii="Times New Roman" w:eastAsia="Times New Roman" w:hAnsi="Times New Roman" w:cs="Times New Roman"/>
            <w:sz w:val="24"/>
            <w:szCs w:val="24"/>
          </w:rPr>
          <w:t>heritability</w:t>
        </w:r>
      </w:hyperlink>
      <w:r>
        <w:rPr>
          <w:rFonts w:ascii="Times New Roman" w:eastAsia="Times New Roman" w:hAnsi="Times New Roman" w:cs="Times New Roman"/>
          <w:sz w:val="24"/>
          <w:szCs w:val="24"/>
        </w:rPr>
        <w:t> of the desirable traits among sunflower genotypes for future breeding program.</w:t>
      </w:r>
    </w:p>
    <w:p w:rsidR="00174643" w:rsidRDefault="00174643">
      <w:pPr>
        <w:spacing w:after="0" w:line="360" w:lineRule="auto"/>
        <w:ind w:firstLine="720"/>
        <w:jc w:val="both"/>
        <w:rPr>
          <w:rFonts w:ascii="Times New Roman" w:eastAsia="Times New Roman" w:hAnsi="Times New Roman" w:cs="Times New Roman"/>
          <w:sz w:val="24"/>
          <w:szCs w:val="24"/>
        </w:rPr>
      </w:pPr>
    </w:p>
    <w:p w:rsidR="00174643" w:rsidRDefault="003A4F94">
      <w:pPr>
        <w:jc w:val="both"/>
        <w:rPr>
          <w:rFonts w:ascii="Times New Roman" w:eastAsia="Times New Roman" w:hAnsi="Times New Roman" w:cs="Times New Roman"/>
          <w:color w:val="1F1F22"/>
          <w:sz w:val="24"/>
          <w:szCs w:val="24"/>
        </w:rPr>
      </w:pPr>
      <w:r>
        <w:rPr>
          <w:rFonts w:ascii="Times New Roman" w:eastAsia="Times New Roman" w:hAnsi="Times New Roman" w:cs="Times New Roman"/>
          <w:b/>
          <w:sz w:val="24"/>
          <w:szCs w:val="24"/>
        </w:rPr>
        <w:t>2. MATERIAL AND METHODS</w:t>
      </w:r>
    </w:p>
    <w:p w:rsidR="00174643" w:rsidRDefault="003A4F94">
      <w:pPr>
        <w:spacing w:after="0"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2.1 Location of study </w:t>
      </w:r>
    </w:p>
    <w:p w:rsidR="00174643" w:rsidRDefault="003A4F94">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present investigation was conducted at Research Farm, Rajendranagar of ICAR-Indian Institute of Oilseeds Research, Hyderabad, (India) during </w:t>
      </w:r>
      <w:r>
        <w:rPr>
          <w:rFonts w:ascii="Times New Roman" w:eastAsia="Times New Roman" w:hAnsi="Times New Roman" w:cs="Times New Roman"/>
          <w:i/>
          <w:sz w:val="24"/>
          <w:szCs w:val="24"/>
        </w:rPr>
        <w:t>Rabi</w:t>
      </w:r>
      <w:r>
        <w:rPr>
          <w:rFonts w:ascii="Times New Roman" w:eastAsia="Times New Roman" w:hAnsi="Times New Roman" w:cs="Times New Roman"/>
          <w:sz w:val="24"/>
          <w:szCs w:val="24"/>
        </w:rPr>
        <w:t xml:space="preserve"> season 2024-25,which is located at a latitude of 17º 15' 16” N, longitude 78º 18’ 30” E and altitude 536 meters above MSL in Telangana State.</w:t>
      </w:r>
      <w:r w:rsidR="00E675F3">
        <w:rPr>
          <w:rFonts w:ascii="Times New Roman" w:eastAsia="Times New Roman" w:hAnsi="Times New Roman" w:cs="Times New Roman"/>
          <w:sz w:val="24"/>
          <w:szCs w:val="24"/>
        </w:rPr>
        <w:t xml:space="preserve"> (</w:t>
      </w:r>
      <w:r w:rsidR="00E675F3" w:rsidRPr="00E675F3">
        <w:rPr>
          <w:rFonts w:ascii="Times New Roman" w:eastAsia="Times New Roman" w:hAnsi="Times New Roman" w:cs="Times New Roman"/>
          <w:color w:val="FF0000"/>
          <w:sz w:val="24"/>
          <w:szCs w:val="24"/>
        </w:rPr>
        <w:t>Mention the genotype name and source</w:t>
      </w:r>
      <w:r w:rsidR="00E675F3">
        <w:rPr>
          <w:rFonts w:ascii="Times New Roman" w:eastAsia="Times New Roman" w:hAnsi="Times New Roman" w:cs="Times New Roman"/>
          <w:sz w:val="24"/>
          <w:szCs w:val="24"/>
        </w:rPr>
        <w:t>)</w:t>
      </w:r>
    </w:p>
    <w:p w:rsidR="00174643" w:rsidRDefault="003A4F94">
      <w:pPr>
        <w:spacing w:before="120" w:after="0"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2.2 Experiment Design and Procedure </w:t>
      </w:r>
    </w:p>
    <w:p w:rsidR="00174643" w:rsidRDefault="003A4F94">
      <w:pPr>
        <w:spacing w:after="0" w:line="360" w:lineRule="auto"/>
        <w:jc w:val="both"/>
        <w:rPr>
          <w:rFonts w:ascii="Times New Roman" w:eastAsia="Times New Roman" w:hAnsi="Times New Roman" w:cs="Times New Roman"/>
          <w:sz w:val="32"/>
          <w:szCs w:val="32"/>
        </w:rPr>
      </w:pPr>
      <w:r>
        <w:rPr>
          <w:rFonts w:ascii="Times New Roman" w:eastAsia="Times New Roman" w:hAnsi="Times New Roman" w:cs="Times New Roman"/>
          <w:sz w:val="24"/>
          <w:szCs w:val="24"/>
        </w:rPr>
        <w:t>A total of 32 sunflower genotypes including 4 maintainer lines, 5 restorer lines, twenty F</w:t>
      </w:r>
      <w:r>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 xml:space="preserve"> hybrids three checks (DRSH-1, KBSH-44 and TilhanTech-SUNH-1) were sown in a </w:t>
      </w:r>
      <w:r w:rsidR="00EC6C12" w:rsidRPr="00EC6C12">
        <w:rPr>
          <w:rFonts w:ascii="Times New Roman" w:eastAsia="Times New Roman" w:hAnsi="Times New Roman" w:cs="Times New Roman"/>
          <w:strike/>
          <w:sz w:val="24"/>
          <w:szCs w:val="24"/>
        </w:rPr>
        <w:t>R</w:t>
      </w:r>
      <w:r w:rsidR="00EC6C12" w:rsidRPr="00EC6C12">
        <w:rPr>
          <w:rFonts w:ascii="Times New Roman" w:eastAsia="Times New Roman" w:hAnsi="Times New Roman" w:cs="Times New Roman"/>
          <w:color w:val="FF0000"/>
          <w:sz w:val="24"/>
          <w:szCs w:val="24"/>
        </w:rPr>
        <w:t>r</w:t>
      </w:r>
      <w:r>
        <w:rPr>
          <w:rFonts w:ascii="Times New Roman" w:eastAsia="Times New Roman" w:hAnsi="Times New Roman" w:cs="Times New Roman"/>
          <w:sz w:val="24"/>
          <w:szCs w:val="24"/>
        </w:rPr>
        <w:t xml:space="preserve">andomized </w:t>
      </w:r>
      <w:r w:rsidR="00EC6C12" w:rsidRPr="00EC6C12">
        <w:rPr>
          <w:rFonts w:ascii="Times New Roman" w:eastAsia="Times New Roman" w:hAnsi="Times New Roman" w:cs="Times New Roman"/>
          <w:strike/>
          <w:sz w:val="24"/>
          <w:szCs w:val="24"/>
        </w:rPr>
        <w:t>B</w:t>
      </w:r>
      <w:r w:rsidR="00EC6C12" w:rsidRPr="00EC6C12">
        <w:rPr>
          <w:rFonts w:ascii="Times New Roman" w:eastAsia="Times New Roman" w:hAnsi="Times New Roman" w:cs="Times New Roman"/>
          <w:color w:val="FF0000"/>
          <w:sz w:val="24"/>
          <w:szCs w:val="24"/>
        </w:rPr>
        <w:t>b</w:t>
      </w:r>
      <w:r>
        <w:rPr>
          <w:rFonts w:ascii="Times New Roman" w:eastAsia="Times New Roman" w:hAnsi="Times New Roman" w:cs="Times New Roman"/>
          <w:sz w:val="24"/>
          <w:szCs w:val="24"/>
        </w:rPr>
        <w:t xml:space="preserve">locked </w:t>
      </w:r>
      <w:r w:rsidR="00EC6C12" w:rsidRPr="00EC6C12">
        <w:rPr>
          <w:rFonts w:ascii="Times New Roman" w:eastAsia="Times New Roman" w:hAnsi="Times New Roman" w:cs="Times New Roman"/>
          <w:strike/>
          <w:sz w:val="24"/>
          <w:szCs w:val="24"/>
        </w:rPr>
        <w:t>D</w:t>
      </w:r>
      <w:r w:rsidR="00EC6C12" w:rsidRPr="00EC6C12">
        <w:rPr>
          <w:rFonts w:ascii="Times New Roman" w:eastAsia="Times New Roman" w:hAnsi="Times New Roman" w:cs="Times New Roman"/>
          <w:color w:val="FF0000"/>
          <w:sz w:val="24"/>
          <w:szCs w:val="24"/>
        </w:rPr>
        <w:t>d</w:t>
      </w:r>
      <w:r>
        <w:rPr>
          <w:rFonts w:ascii="Times New Roman" w:eastAsia="Times New Roman" w:hAnsi="Times New Roman" w:cs="Times New Roman"/>
          <w:sz w:val="24"/>
          <w:szCs w:val="24"/>
        </w:rPr>
        <w:t xml:space="preserve">esign with three replications for genetic variability studies for </w:t>
      </w:r>
      <w:r>
        <w:rPr>
          <w:rFonts w:ascii="Times New Roman" w:eastAsia="Times New Roman" w:hAnsi="Times New Roman" w:cs="Times New Roman"/>
          <w:sz w:val="24"/>
          <w:szCs w:val="24"/>
        </w:rPr>
        <w:lastRenderedPageBreak/>
        <w:t xml:space="preserve">fifteen quantitative traits </w:t>
      </w:r>
      <w:r>
        <w:rPr>
          <w:rFonts w:ascii="Times New Roman" w:eastAsia="Times New Roman" w:hAnsi="Times New Roman" w:cs="Times New Roman"/>
          <w:i/>
          <w:sz w:val="24"/>
          <w:szCs w:val="24"/>
        </w:rPr>
        <w:t>viz.,</w:t>
      </w:r>
      <w:r>
        <w:rPr>
          <w:rFonts w:ascii="Times New Roman" w:eastAsia="Times New Roman" w:hAnsi="Times New Roman" w:cs="Times New Roman"/>
          <w:sz w:val="24"/>
          <w:szCs w:val="24"/>
        </w:rPr>
        <w:t xml:space="preserve"> days to 50 per cent flowering, days to maturity, plant height (cm), head diameter (cm), number of leaves per plant, seed yield per plant (g), seed width (mm), seed length (mm), 100 seed weight (g), volume weight (g/100 ml), oil content (%), oleic content (%), linoleic acid (%), stearic acid (%) and palmitic acid (%). The experimental materials were sown in 2 rows each of 3.0 m length. Standard agronomic practices were performed uniformly for all the experimental units.</w:t>
      </w:r>
      <w:r w:rsidR="00EC6C1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Sowing was done with a maintained space of 60 cm x 30 cm between row to row and plant to plant, respectively. To maintain the optimum plant population, thinning was done after 15 days of sowing. At maturity five plants from each accession were selected randomly for recording of data on yield and its related characters. The observations on days to 50 per cent flowering were recorded on plot basis.The oil content (%) was estimated by using the NMR method, while fatty acid profile was analysed using Gas Chromatography (GC).</w:t>
      </w:r>
    </w:p>
    <w:p w:rsidR="00174643" w:rsidRDefault="003A4F94">
      <w:pPr>
        <w:spacing w:before="120" w:after="0"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2.3 Statistical Analysis </w:t>
      </w:r>
    </w:p>
    <w:p w:rsidR="00174643" w:rsidRDefault="003A4F94">
      <w:pPr>
        <w:spacing w:before="12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mean over replication of each character was subjected to statistical analysis.The parameters, genotypic coefficient (GCV) and phenotypic coefficient of variation (PCV) were calculated by the formula given by </w:t>
      </w:r>
      <w:r>
        <w:rPr>
          <w:rFonts w:ascii="Times New Roman" w:eastAsia="Times New Roman" w:hAnsi="Times New Roman" w:cs="Times New Roman"/>
          <w:color w:val="0000FF"/>
          <w:sz w:val="24"/>
          <w:szCs w:val="24"/>
        </w:rPr>
        <w:t xml:space="preserve">Burton (1952), </w:t>
      </w:r>
      <w:r>
        <w:rPr>
          <w:rFonts w:ascii="Times New Roman" w:eastAsia="Times New Roman" w:hAnsi="Times New Roman" w:cs="Times New Roman"/>
          <w:sz w:val="24"/>
          <w:szCs w:val="24"/>
        </w:rPr>
        <w:t>estimation of heritability in broad sense (h</w:t>
      </w:r>
      <w:r w:rsidRPr="00ED6A13">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expressed as the percentage of the ratio of the genotypic variance (g) to the phenotypic variance (p) and was estimated on genotype mean basis as described by </w:t>
      </w:r>
      <w:r>
        <w:rPr>
          <w:rFonts w:ascii="Times New Roman" w:eastAsia="Times New Roman" w:hAnsi="Times New Roman" w:cs="Times New Roman"/>
          <w:color w:val="0000FF"/>
          <w:sz w:val="24"/>
          <w:szCs w:val="24"/>
        </w:rPr>
        <w:t xml:space="preserve">Allard (1960), </w:t>
      </w:r>
      <w:r>
        <w:rPr>
          <w:rFonts w:ascii="Times New Roman" w:eastAsia="Times New Roman" w:hAnsi="Times New Roman" w:cs="Times New Roman"/>
          <w:sz w:val="24"/>
          <w:szCs w:val="24"/>
        </w:rPr>
        <w:t xml:space="preserve">and genetic advance (GA) and the percentage of the mean (GAM) assuming selection of the superior 5% of the genotypes was estimated in accordance with the methods illustrated by </w:t>
      </w:r>
      <w:r>
        <w:rPr>
          <w:rFonts w:ascii="Times New Roman" w:eastAsia="Times New Roman" w:hAnsi="Times New Roman" w:cs="Times New Roman"/>
          <w:color w:val="0000FF"/>
          <w:sz w:val="24"/>
          <w:szCs w:val="24"/>
        </w:rPr>
        <w:t>Johnson et al. (1955)</w:t>
      </w:r>
      <w:r>
        <w:rPr>
          <w:rFonts w:ascii="Times New Roman" w:eastAsia="Times New Roman" w:hAnsi="Times New Roman" w:cs="Times New Roman"/>
          <w:sz w:val="24"/>
          <w:szCs w:val="24"/>
        </w:rPr>
        <w:t xml:space="preserve">. Phenotypic coefficient of variation (PCV) and genotypic coefficient of variation (PCV) were categorized </w:t>
      </w:r>
      <w:r w:rsidRPr="00B2142E">
        <w:rPr>
          <w:rFonts w:ascii="Times New Roman" w:eastAsia="Times New Roman" w:hAnsi="Times New Roman" w:cs="Times New Roman"/>
          <w:sz w:val="24"/>
          <w:szCs w:val="24"/>
        </w:rPr>
        <w:t>in the range of</w:t>
      </w:r>
      <w:r w:rsidRPr="00B2142E">
        <w:rPr>
          <w:rFonts w:ascii="Times New Roman" w:eastAsia="Times New Roman" w:hAnsi="Times New Roman" w:cs="Times New Roman"/>
          <w:color w:val="FF0000"/>
          <w:sz w:val="24"/>
          <w:szCs w:val="24"/>
        </w:rPr>
        <w:t xml:space="preserve"> </w:t>
      </w:r>
      <w:r w:rsidR="00B2142E">
        <w:rPr>
          <w:rFonts w:ascii="Times New Roman" w:eastAsia="Times New Roman" w:hAnsi="Times New Roman" w:cs="Times New Roman"/>
          <w:color w:val="FF0000"/>
          <w:sz w:val="24"/>
          <w:szCs w:val="24"/>
        </w:rPr>
        <w:t xml:space="preserve"> above </w:t>
      </w:r>
      <w:r w:rsidRPr="00B2142E">
        <w:rPr>
          <w:rFonts w:ascii="Times New Roman" w:eastAsia="Times New Roman" w:hAnsi="Times New Roman" w:cs="Times New Roman"/>
          <w:sz w:val="24"/>
          <w:szCs w:val="24"/>
        </w:rPr>
        <w:t>20%</w:t>
      </w:r>
      <w:r w:rsidRPr="00B2142E">
        <w:rPr>
          <w:rFonts w:ascii="Times New Roman" w:eastAsia="Times New Roman" w:hAnsi="Times New Roman" w:cs="Times New Roman"/>
          <w:color w:val="FF0000"/>
          <w:sz w:val="24"/>
          <w:szCs w:val="24"/>
        </w:rPr>
        <w:t xml:space="preserve">: </w:t>
      </w:r>
      <w:r w:rsidRPr="00B2142E">
        <w:rPr>
          <w:rFonts w:ascii="Times New Roman" w:eastAsia="Times New Roman" w:hAnsi="Times New Roman" w:cs="Times New Roman"/>
          <w:sz w:val="24"/>
          <w:szCs w:val="24"/>
        </w:rPr>
        <w:t>High, 10-20%: Moderate, and</w:t>
      </w:r>
      <w:r w:rsidRPr="00B2142E">
        <w:rPr>
          <w:rFonts w:ascii="Times New Roman" w:eastAsia="Times New Roman" w:hAnsi="Times New Roman" w:cs="Times New Roman"/>
          <w:color w:val="FF0000"/>
          <w:sz w:val="24"/>
          <w:szCs w:val="24"/>
        </w:rPr>
        <w:t xml:space="preserve"> </w:t>
      </w:r>
      <w:r w:rsidR="00B2142E">
        <w:rPr>
          <w:rFonts w:ascii="Times New Roman" w:eastAsia="Times New Roman" w:hAnsi="Times New Roman" w:cs="Times New Roman"/>
          <w:color w:val="FF0000"/>
          <w:sz w:val="24"/>
          <w:szCs w:val="24"/>
        </w:rPr>
        <w:t xml:space="preserve"> below 1</w:t>
      </w:r>
      <w:r w:rsidRPr="00B2142E">
        <w:rPr>
          <w:rFonts w:ascii="Times New Roman" w:eastAsia="Times New Roman" w:hAnsi="Times New Roman" w:cs="Times New Roman"/>
          <w:color w:val="FF0000"/>
          <w:sz w:val="24"/>
          <w:szCs w:val="24"/>
        </w:rPr>
        <w:t xml:space="preserve">0%: </w:t>
      </w:r>
      <w:r w:rsidRPr="00B2142E">
        <w:rPr>
          <w:rFonts w:ascii="Times New Roman" w:eastAsia="Times New Roman" w:hAnsi="Times New Roman" w:cs="Times New Roman"/>
          <w:strike/>
          <w:sz w:val="24"/>
          <w:szCs w:val="24"/>
        </w:rPr>
        <w:t>High</w:t>
      </w:r>
      <w:r w:rsidR="00B2142E">
        <w:rPr>
          <w:rFonts w:ascii="Times New Roman" w:eastAsia="Times New Roman" w:hAnsi="Times New Roman" w:cs="Times New Roman"/>
          <w:color w:val="FF0000"/>
          <w:sz w:val="24"/>
          <w:szCs w:val="24"/>
        </w:rPr>
        <w:t xml:space="preserve"> low</w:t>
      </w:r>
      <w:r w:rsidR="00B2142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by </w:t>
      </w:r>
      <w:r>
        <w:rPr>
          <w:rFonts w:ascii="Times New Roman" w:eastAsia="Times New Roman" w:hAnsi="Times New Roman" w:cs="Times New Roman"/>
          <w:color w:val="0000FF"/>
          <w:sz w:val="24"/>
          <w:szCs w:val="24"/>
        </w:rPr>
        <w:t xml:space="preserve">Sivasubramanian and Madhavamenon (1973). Johanson et al. (1955) </w:t>
      </w:r>
      <w:r>
        <w:rPr>
          <w:rFonts w:ascii="Times New Roman" w:eastAsia="Times New Roman" w:hAnsi="Times New Roman" w:cs="Times New Roman"/>
          <w:sz w:val="24"/>
          <w:szCs w:val="24"/>
        </w:rPr>
        <w:t xml:space="preserve">classified heritability (h²) estimates as Low: 0-30%, Medium: 30-60%, and High: Above 60%. The categorization of genetic advance as percentage of mean estimates as 20%: High by </w:t>
      </w:r>
      <w:r>
        <w:rPr>
          <w:rFonts w:ascii="Times New Roman" w:eastAsia="Times New Roman" w:hAnsi="Times New Roman" w:cs="Times New Roman"/>
          <w:color w:val="0000FF"/>
          <w:sz w:val="24"/>
          <w:szCs w:val="24"/>
        </w:rPr>
        <w:t xml:space="preserve">Johanson et al. (1955). </w:t>
      </w:r>
      <w:r>
        <w:rPr>
          <w:rFonts w:ascii="Times New Roman" w:eastAsia="Times New Roman" w:hAnsi="Times New Roman" w:cs="Times New Roman"/>
          <w:sz w:val="24"/>
          <w:szCs w:val="24"/>
        </w:rPr>
        <w:t>All statistical analyses were performed by using R-software.</w:t>
      </w:r>
    </w:p>
    <w:p w:rsidR="00174643" w:rsidRDefault="003A4F94">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RESULTS AND DISCUSSION </w:t>
      </w:r>
    </w:p>
    <w:p w:rsidR="00174643" w:rsidRDefault="003A4F94">
      <w:pPr>
        <w:spacing w:before="120"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3.1 Analysis of Variance</w:t>
      </w:r>
    </w:p>
    <w:p w:rsidR="00174643" w:rsidRDefault="003A4F9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Analysis of variance for the randomized block design (RBD) with respect to 32 genotypes of sunflower revealed significant differences among the material used in the present investigation for all the fourteen traits </w:t>
      </w:r>
      <w:r>
        <w:rPr>
          <w:rFonts w:ascii="Times New Roman" w:eastAsia="Times New Roman" w:hAnsi="Times New Roman" w:cs="Times New Roman"/>
          <w:i/>
          <w:sz w:val="24"/>
          <w:szCs w:val="24"/>
        </w:rPr>
        <w:t>viz.,</w:t>
      </w:r>
      <w:r>
        <w:rPr>
          <w:rFonts w:ascii="Times New Roman" w:eastAsia="Times New Roman" w:hAnsi="Times New Roman" w:cs="Times New Roman"/>
          <w:sz w:val="24"/>
          <w:szCs w:val="24"/>
        </w:rPr>
        <w:t xml:space="preserve"> days to 50 per cent flowering, days to maturity, plant height (cm), head diameter (cm), number of leaves per plant, seed yield per plant (g), seed length (mm), 100 seed weight (g), volume weight (g/100 ml), oil content (%), oleic </w:t>
      </w:r>
      <w:r>
        <w:rPr>
          <w:rFonts w:ascii="Times New Roman" w:eastAsia="Times New Roman" w:hAnsi="Times New Roman" w:cs="Times New Roman"/>
          <w:sz w:val="24"/>
          <w:szCs w:val="24"/>
        </w:rPr>
        <w:lastRenderedPageBreak/>
        <w:t>content (%), linoleic acid (%), stearic acid (%) and palmitic acid (%) except seed width (mm), indicating the presence of considerable genetic variability among the experimental material under study, which is essential for effective selection and hybrid development.  Thus, there is plenty of scope for improvement of different traits through selection.</w:t>
      </w:r>
      <w:r>
        <w:rPr>
          <w:rFonts w:ascii="Times New Roman" w:eastAsia="Times New Roman" w:hAnsi="Times New Roman" w:cs="Times New Roman"/>
          <w:color w:val="0000FF"/>
          <w:sz w:val="24"/>
          <w:szCs w:val="24"/>
        </w:rPr>
        <w:t>Tyagi and Tyagi (2011), Dasari Mohan Vamsi et al. (2022)</w:t>
      </w:r>
      <w:r>
        <w:rPr>
          <w:rFonts w:ascii="Times New Roman" w:eastAsia="Times New Roman" w:hAnsi="Times New Roman" w:cs="Times New Roman"/>
          <w:sz w:val="24"/>
          <w:szCs w:val="24"/>
        </w:rPr>
        <w:t xml:space="preserve"> and </w:t>
      </w:r>
      <w:r>
        <w:rPr>
          <w:rFonts w:ascii="Times New Roman" w:eastAsia="Times New Roman" w:hAnsi="Times New Roman" w:cs="Times New Roman"/>
          <w:color w:val="0000FF"/>
          <w:sz w:val="24"/>
          <w:szCs w:val="24"/>
          <w:highlight w:val="white"/>
        </w:rPr>
        <w:t>Zade et al. (2025)</w:t>
      </w:r>
      <w:r>
        <w:rPr>
          <w:rFonts w:ascii="Times New Roman" w:eastAsia="Times New Roman" w:hAnsi="Times New Roman" w:cs="Times New Roman"/>
          <w:sz w:val="24"/>
          <w:szCs w:val="24"/>
        </w:rPr>
        <w:t>also reported significant differences for all the characters studied.The results are displayed in Table 1.</w:t>
      </w:r>
    </w:p>
    <w:p w:rsidR="00174643" w:rsidRDefault="003A4F94">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Table 1. Mean sum of squares </w:t>
      </w:r>
      <w:r w:rsidRPr="00B2142E">
        <w:rPr>
          <w:rFonts w:ascii="Times New Roman" w:eastAsia="Times New Roman" w:hAnsi="Times New Roman" w:cs="Times New Roman"/>
          <w:b/>
          <w:strike/>
          <w:sz w:val="24"/>
          <w:szCs w:val="24"/>
        </w:rPr>
        <w:t>and their significance from analysis of variance</w:t>
      </w:r>
      <w:r>
        <w:rPr>
          <w:rFonts w:ascii="Times New Roman" w:eastAsia="Times New Roman" w:hAnsi="Times New Roman" w:cs="Times New Roman"/>
          <w:b/>
          <w:sz w:val="24"/>
          <w:szCs w:val="24"/>
        </w:rPr>
        <w:t xml:space="preserve"> (ANOVA) of fifteen plant characters in sunflower</w:t>
      </w:r>
    </w:p>
    <w:tbl>
      <w:tblPr>
        <w:tblStyle w:val="a"/>
        <w:tblW w:w="89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539"/>
        <w:gridCol w:w="1985"/>
        <w:gridCol w:w="1842"/>
        <w:gridCol w:w="1560"/>
      </w:tblGrid>
      <w:tr w:rsidR="00174643">
        <w:tc>
          <w:tcPr>
            <w:tcW w:w="3539" w:type="dxa"/>
            <w:vMerge w:val="restart"/>
          </w:tcPr>
          <w:p w:rsidR="00174643" w:rsidRDefault="003A4F9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Characters</w:t>
            </w:r>
          </w:p>
        </w:tc>
        <w:tc>
          <w:tcPr>
            <w:tcW w:w="5387" w:type="dxa"/>
            <w:gridSpan w:val="3"/>
          </w:tcPr>
          <w:p w:rsidR="00174643" w:rsidRDefault="003A4F9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Mean sum of squares</w:t>
            </w:r>
          </w:p>
        </w:tc>
      </w:tr>
      <w:tr w:rsidR="00174643">
        <w:tc>
          <w:tcPr>
            <w:tcW w:w="3539" w:type="dxa"/>
            <w:vMerge/>
          </w:tcPr>
          <w:p w:rsidR="00174643" w:rsidRDefault="00174643">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985" w:type="dxa"/>
          </w:tcPr>
          <w:p w:rsidR="00174643" w:rsidRDefault="003A4F9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Replication</w:t>
            </w:r>
          </w:p>
        </w:tc>
        <w:tc>
          <w:tcPr>
            <w:tcW w:w="1842" w:type="dxa"/>
          </w:tcPr>
          <w:p w:rsidR="00174643" w:rsidRDefault="003A4F9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Treatments</w:t>
            </w:r>
          </w:p>
        </w:tc>
        <w:tc>
          <w:tcPr>
            <w:tcW w:w="1560" w:type="dxa"/>
          </w:tcPr>
          <w:p w:rsidR="00174643" w:rsidRDefault="003A4F9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Error</w:t>
            </w:r>
          </w:p>
        </w:tc>
      </w:tr>
      <w:tr w:rsidR="00174643">
        <w:tc>
          <w:tcPr>
            <w:tcW w:w="3539" w:type="dxa"/>
            <w:vMerge/>
          </w:tcPr>
          <w:p w:rsidR="00174643" w:rsidRDefault="00174643">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985" w:type="dxa"/>
          </w:tcPr>
          <w:p w:rsidR="00174643" w:rsidRDefault="003A4F9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42" w:type="dxa"/>
          </w:tcPr>
          <w:p w:rsidR="00174643" w:rsidRDefault="003A4F9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31</w:t>
            </w:r>
          </w:p>
        </w:tc>
        <w:tc>
          <w:tcPr>
            <w:tcW w:w="1560" w:type="dxa"/>
          </w:tcPr>
          <w:p w:rsidR="00174643" w:rsidRDefault="003A4F9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62</w:t>
            </w:r>
          </w:p>
        </w:tc>
      </w:tr>
      <w:tr w:rsidR="00174643">
        <w:tc>
          <w:tcPr>
            <w:tcW w:w="3539" w:type="dxa"/>
          </w:tcPr>
          <w:p w:rsidR="00174643" w:rsidRDefault="003A4F9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Plant height (cm)</w:t>
            </w:r>
          </w:p>
        </w:tc>
        <w:tc>
          <w:tcPr>
            <w:tcW w:w="1985"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128.82</w:t>
            </w:r>
          </w:p>
        </w:tc>
        <w:tc>
          <w:tcPr>
            <w:tcW w:w="1842"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1451.55**</w:t>
            </w:r>
          </w:p>
        </w:tc>
        <w:tc>
          <w:tcPr>
            <w:tcW w:w="1560"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38.49</w:t>
            </w:r>
          </w:p>
        </w:tc>
      </w:tr>
      <w:tr w:rsidR="00174643">
        <w:tc>
          <w:tcPr>
            <w:tcW w:w="3539" w:type="dxa"/>
          </w:tcPr>
          <w:p w:rsidR="00174643" w:rsidRDefault="003A4F9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Head diameter (cm)</w:t>
            </w:r>
          </w:p>
        </w:tc>
        <w:tc>
          <w:tcPr>
            <w:tcW w:w="1985"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0.70</w:t>
            </w:r>
          </w:p>
        </w:tc>
        <w:tc>
          <w:tcPr>
            <w:tcW w:w="1842"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16.79**</w:t>
            </w:r>
          </w:p>
        </w:tc>
        <w:tc>
          <w:tcPr>
            <w:tcW w:w="1560"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1.14</w:t>
            </w:r>
          </w:p>
        </w:tc>
      </w:tr>
      <w:tr w:rsidR="00174643">
        <w:tc>
          <w:tcPr>
            <w:tcW w:w="3539" w:type="dxa"/>
          </w:tcPr>
          <w:p w:rsidR="00174643" w:rsidRDefault="003A4F9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of leaves per plant</w:t>
            </w:r>
          </w:p>
        </w:tc>
        <w:tc>
          <w:tcPr>
            <w:tcW w:w="1985"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151.60**</w:t>
            </w:r>
          </w:p>
        </w:tc>
        <w:tc>
          <w:tcPr>
            <w:tcW w:w="1842"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26.87**</w:t>
            </w:r>
          </w:p>
        </w:tc>
        <w:tc>
          <w:tcPr>
            <w:tcW w:w="1560"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5.43</w:t>
            </w:r>
          </w:p>
        </w:tc>
      </w:tr>
      <w:tr w:rsidR="00174643">
        <w:tc>
          <w:tcPr>
            <w:tcW w:w="3539" w:type="dxa"/>
          </w:tcPr>
          <w:p w:rsidR="00174643" w:rsidRDefault="003A4F9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Seed length (mm)</w:t>
            </w:r>
          </w:p>
        </w:tc>
        <w:tc>
          <w:tcPr>
            <w:tcW w:w="1985"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0.02</w:t>
            </w:r>
          </w:p>
        </w:tc>
        <w:tc>
          <w:tcPr>
            <w:tcW w:w="1842"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0.045**</w:t>
            </w:r>
          </w:p>
        </w:tc>
        <w:tc>
          <w:tcPr>
            <w:tcW w:w="1560"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0.01</w:t>
            </w:r>
          </w:p>
        </w:tc>
      </w:tr>
      <w:tr w:rsidR="00174643">
        <w:tc>
          <w:tcPr>
            <w:tcW w:w="3539" w:type="dxa"/>
          </w:tcPr>
          <w:p w:rsidR="00174643" w:rsidRDefault="003A4F9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Seed width (mm)</w:t>
            </w:r>
          </w:p>
        </w:tc>
        <w:tc>
          <w:tcPr>
            <w:tcW w:w="1985"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0.01</w:t>
            </w:r>
          </w:p>
        </w:tc>
        <w:tc>
          <w:tcPr>
            <w:tcW w:w="1842"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0.02</w:t>
            </w:r>
          </w:p>
        </w:tc>
        <w:tc>
          <w:tcPr>
            <w:tcW w:w="1560"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0.02</w:t>
            </w:r>
          </w:p>
        </w:tc>
      </w:tr>
      <w:tr w:rsidR="00174643">
        <w:tc>
          <w:tcPr>
            <w:tcW w:w="3539" w:type="dxa"/>
          </w:tcPr>
          <w:p w:rsidR="00174643" w:rsidRDefault="003A4F9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Days to 50% flowering</w:t>
            </w:r>
          </w:p>
        </w:tc>
        <w:tc>
          <w:tcPr>
            <w:tcW w:w="1985"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0.39</w:t>
            </w:r>
          </w:p>
        </w:tc>
        <w:tc>
          <w:tcPr>
            <w:tcW w:w="1842"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16.77**</w:t>
            </w:r>
          </w:p>
        </w:tc>
        <w:tc>
          <w:tcPr>
            <w:tcW w:w="1560"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1.20</w:t>
            </w:r>
          </w:p>
        </w:tc>
      </w:tr>
      <w:tr w:rsidR="00174643">
        <w:tc>
          <w:tcPr>
            <w:tcW w:w="3539" w:type="dxa"/>
          </w:tcPr>
          <w:p w:rsidR="00174643" w:rsidRDefault="003A4F9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 seed weight (g)</w:t>
            </w:r>
          </w:p>
        </w:tc>
        <w:tc>
          <w:tcPr>
            <w:tcW w:w="1985"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0.44</w:t>
            </w:r>
          </w:p>
        </w:tc>
        <w:tc>
          <w:tcPr>
            <w:tcW w:w="1842"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2.77**</w:t>
            </w:r>
          </w:p>
        </w:tc>
        <w:tc>
          <w:tcPr>
            <w:tcW w:w="1560"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0.67</w:t>
            </w:r>
          </w:p>
        </w:tc>
      </w:tr>
      <w:tr w:rsidR="00174643">
        <w:tc>
          <w:tcPr>
            <w:tcW w:w="3539" w:type="dxa"/>
          </w:tcPr>
          <w:p w:rsidR="00174643" w:rsidRDefault="003A4F9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Seed yield per plant (g)</w:t>
            </w:r>
          </w:p>
        </w:tc>
        <w:tc>
          <w:tcPr>
            <w:tcW w:w="1985"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0.42</w:t>
            </w:r>
          </w:p>
        </w:tc>
        <w:tc>
          <w:tcPr>
            <w:tcW w:w="1842"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372.49**</w:t>
            </w:r>
          </w:p>
        </w:tc>
        <w:tc>
          <w:tcPr>
            <w:tcW w:w="1560"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12.94</w:t>
            </w:r>
          </w:p>
        </w:tc>
      </w:tr>
      <w:tr w:rsidR="00174643">
        <w:tc>
          <w:tcPr>
            <w:tcW w:w="3539" w:type="dxa"/>
          </w:tcPr>
          <w:p w:rsidR="00174643" w:rsidRDefault="003A4F9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Days to maturity</w:t>
            </w:r>
          </w:p>
        </w:tc>
        <w:tc>
          <w:tcPr>
            <w:tcW w:w="1985"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0.39</w:t>
            </w:r>
          </w:p>
        </w:tc>
        <w:tc>
          <w:tcPr>
            <w:tcW w:w="1842"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20.66**</w:t>
            </w:r>
          </w:p>
        </w:tc>
        <w:tc>
          <w:tcPr>
            <w:tcW w:w="1560"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0.71</w:t>
            </w:r>
          </w:p>
        </w:tc>
      </w:tr>
      <w:tr w:rsidR="00174643">
        <w:tc>
          <w:tcPr>
            <w:tcW w:w="3539" w:type="dxa"/>
          </w:tcPr>
          <w:p w:rsidR="00174643" w:rsidRDefault="003A4F9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Volume weight (g/100 ml)</w:t>
            </w:r>
          </w:p>
        </w:tc>
        <w:tc>
          <w:tcPr>
            <w:tcW w:w="1985"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0.01</w:t>
            </w:r>
          </w:p>
        </w:tc>
        <w:tc>
          <w:tcPr>
            <w:tcW w:w="1842"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44.83**</w:t>
            </w:r>
          </w:p>
        </w:tc>
        <w:tc>
          <w:tcPr>
            <w:tcW w:w="1560"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1.02</w:t>
            </w:r>
          </w:p>
        </w:tc>
      </w:tr>
      <w:tr w:rsidR="00174643">
        <w:tc>
          <w:tcPr>
            <w:tcW w:w="3539" w:type="dxa"/>
          </w:tcPr>
          <w:p w:rsidR="00174643" w:rsidRDefault="003A4F9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Oil content (%)</w:t>
            </w:r>
          </w:p>
        </w:tc>
        <w:tc>
          <w:tcPr>
            <w:tcW w:w="1985"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w:t>
            </w:r>
          </w:p>
        </w:tc>
        <w:tc>
          <w:tcPr>
            <w:tcW w:w="1842"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20.43**</w:t>
            </w:r>
          </w:p>
        </w:tc>
        <w:tc>
          <w:tcPr>
            <w:tcW w:w="1560"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1.45</w:t>
            </w:r>
          </w:p>
        </w:tc>
      </w:tr>
      <w:tr w:rsidR="00174643">
        <w:tc>
          <w:tcPr>
            <w:tcW w:w="3539" w:type="dxa"/>
          </w:tcPr>
          <w:p w:rsidR="00174643" w:rsidRDefault="003A4F9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Stearic acid (%)</w:t>
            </w:r>
          </w:p>
        </w:tc>
        <w:tc>
          <w:tcPr>
            <w:tcW w:w="1985"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1.57*</w:t>
            </w:r>
          </w:p>
        </w:tc>
        <w:tc>
          <w:tcPr>
            <w:tcW w:w="1842"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1.90**</w:t>
            </w:r>
          </w:p>
        </w:tc>
        <w:tc>
          <w:tcPr>
            <w:tcW w:w="1560"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0.28</w:t>
            </w:r>
          </w:p>
        </w:tc>
      </w:tr>
      <w:tr w:rsidR="00174643">
        <w:tc>
          <w:tcPr>
            <w:tcW w:w="3539" w:type="dxa"/>
          </w:tcPr>
          <w:p w:rsidR="00174643" w:rsidRDefault="003A4F9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Palmitic acid (%)</w:t>
            </w:r>
          </w:p>
        </w:tc>
        <w:tc>
          <w:tcPr>
            <w:tcW w:w="1985"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1.63**</w:t>
            </w:r>
          </w:p>
        </w:tc>
        <w:tc>
          <w:tcPr>
            <w:tcW w:w="1842"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0.55**</w:t>
            </w:r>
          </w:p>
        </w:tc>
        <w:tc>
          <w:tcPr>
            <w:tcW w:w="1560"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0.15</w:t>
            </w:r>
          </w:p>
        </w:tc>
      </w:tr>
      <w:tr w:rsidR="00174643">
        <w:tc>
          <w:tcPr>
            <w:tcW w:w="3539" w:type="dxa"/>
          </w:tcPr>
          <w:p w:rsidR="00174643" w:rsidRDefault="003A4F9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Oleic acid (%)</w:t>
            </w:r>
          </w:p>
        </w:tc>
        <w:tc>
          <w:tcPr>
            <w:tcW w:w="1985"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409.61*</w:t>
            </w:r>
          </w:p>
        </w:tc>
        <w:tc>
          <w:tcPr>
            <w:tcW w:w="1842"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1075.15**</w:t>
            </w:r>
          </w:p>
        </w:tc>
        <w:tc>
          <w:tcPr>
            <w:tcW w:w="1560"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63.0</w:t>
            </w:r>
          </w:p>
        </w:tc>
      </w:tr>
      <w:tr w:rsidR="00174643">
        <w:tc>
          <w:tcPr>
            <w:tcW w:w="3539" w:type="dxa"/>
          </w:tcPr>
          <w:p w:rsidR="00174643" w:rsidRDefault="003A4F9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Linoleic acid (%)</w:t>
            </w:r>
          </w:p>
        </w:tc>
        <w:tc>
          <w:tcPr>
            <w:tcW w:w="1985"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429.42*</w:t>
            </w:r>
          </w:p>
        </w:tc>
        <w:tc>
          <w:tcPr>
            <w:tcW w:w="1842"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975.96**</w:t>
            </w:r>
          </w:p>
        </w:tc>
        <w:tc>
          <w:tcPr>
            <w:tcW w:w="1560"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58.67</w:t>
            </w:r>
          </w:p>
        </w:tc>
      </w:tr>
    </w:tbl>
    <w:p w:rsidR="00174643" w:rsidRDefault="00174643">
      <w:pPr>
        <w:spacing w:after="0" w:line="360" w:lineRule="auto"/>
        <w:ind w:firstLine="720"/>
        <w:jc w:val="both"/>
        <w:rPr>
          <w:rFonts w:ascii="Times New Roman" w:eastAsia="Times New Roman" w:hAnsi="Times New Roman" w:cs="Times New Roman"/>
          <w:color w:val="0000CC"/>
          <w:sz w:val="24"/>
          <w:szCs w:val="24"/>
        </w:rPr>
      </w:pPr>
    </w:p>
    <w:p w:rsidR="00174643" w:rsidRDefault="003A4F94">
      <w:pPr>
        <w:tabs>
          <w:tab w:val="left" w:pos="8300"/>
        </w:tabs>
        <w:spacing w:after="0"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3.2 Range and Mean of Fifteen Traits</w:t>
      </w:r>
      <w:r>
        <w:rPr>
          <w:rFonts w:ascii="Times New Roman" w:eastAsia="Times New Roman" w:hAnsi="Times New Roman" w:cs="Times New Roman"/>
          <w:b/>
          <w:i/>
          <w:sz w:val="24"/>
          <w:szCs w:val="24"/>
        </w:rPr>
        <w:tab/>
      </w:r>
    </w:p>
    <w:p w:rsidR="00174643" w:rsidRDefault="003A4F94">
      <w:pPr>
        <w:spacing w:after="0" w:line="36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 xml:space="preserve">The per se performance of sunflower genotype revealed that there was a substantial variability among genotypes for all the characters. The range value of mean among 32 genotypes for fifteen quantitative traits is 0.3-177.6. The results were presented in Table 2 and Fig 1. For days to flowering, the range values from 49.0-59.5 with a mean value is 53.8.The results indicated that there is a variation (37.5 days) for this trait and earliness can be created by selecting best genotype that will ultimately lead to early maturity.The mean value of plant height is 50.8-177.6 with a mean of 114.2 cm. The result indicated that there is great variation for this trait and dwarf genotype can be developed by selecting best genotypes. The head diameter was recorded as a mean of 12.9 with ranges from 3.3-17.1. Number of leaves per plant was recorded range values from 16.1-33.9 with a mean of 23.1. The seed length was recorded as a mean of 1.0 mm with ranges from 0.8-1.4 mm. On the </w:t>
      </w:r>
      <w:r>
        <w:rPr>
          <w:rFonts w:ascii="Times New Roman" w:eastAsia="Times New Roman" w:hAnsi="Times New Roman" w:cs="Times New Roman"/>
          <w:sz w:val="24"/>
          <w:szCs w:val="24"/>
        </w:rPr>
        <w:lastRenderedPageBreak/>
        <w:t xml:space="preserve">other hand, the range values of mean for the number of seed yield per plant (4.0-53.4), seed width (0.3-0.9 mm), 100 seeds weight (1.8-6.7), oil content (28.9-41.4), days to maturity (77.5-89.5 days),stearic acid (3.5-7.2), palmitic acid (2.6-4.5), oleic acid (22.6-86.4) and linoleic acid (6.5-68.2) with mean values of 24.7, 0.5, 4.8, 35.3, 83.9, 5.3, 3.5, 48.2 and 42.9, respectively. This shows as there is great variation among the studied genotypes for various traits, so higher seed yielding and higher oleic </w:t>
      </w:r>
      <w:r w:rsidR="00A570AA" w:rsidRPr="00A570AA">
        <w:rPr>
          <w:rFonts w:ascii="Times New Roman" w:eastAsia="Times New Roman" w:hAnsi="Times New Roman" w:cs="Times New Roman"/>
          <w:color w:val="FF0000"/>
          <w:sz w:val="24"/>
          <w:szCs w:val="24"/>
        </w:rPr>
        <w:t>acid</w:t>
      </w:r>
      <w:r w:rsidR="00A570A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content hybrids can be developed </w:t>
      </w:r>
      <w:r w:rsidR="002F5696">
        <w:rPr>
          <w:rFonts w:ascii="Times New Roman" w:eastAsia="Times New Roman" w:hAnsi="Times New Roman" w:cs="Times New Roman"/>
          <w:sz w:val="24"/>
          <w:szCs w:val="24"/>
        </w:rPr>
        <w:t>(</w:t>
      </w:r>
      <w:r w:rsidR="002F5696" w:rsidRPr="002F5696">
        <w:rPr>
          <w:rFonts w:ascii="Times New Roman" w:eastAsia="Times New Roman" w:hAnsi="Times New Roman" w:cs="Times New Roman"/>
          <w:color w:val="FF0000"/>
          <w:sz w:val="24"/>
          <w:szCs w:val="24"/>
        </w:rPr>
        <w:t>Development hybrids need evaluation of “A” lines or female lines, so change this sentence in this context</w:t>
      </w:r>
      <w:r w:rsidR="002F569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through selection. Comparable results were found in the study by </w:t>
      </w:r>
      <w:r>
        <w:rPr>
          <w:rFonts w:ascii="Times New Roman" w:eastAsia="Times New Roman" w:hAnsi="Times New Roman" w:cs="Times New Roman"/>
          <w:color w:val="0000FF"/>
          <w:sz w:val="24"/>
          <w:szCs w:val="24"/>
        </w:rPr>
        <w:t xml:space="preserve">Mohan et al. (2020) </w:t>
      </w:r>
      <w:r>
        <w:rPr>
          <w:rFonts w:ascii="Times New Roman" w:eastAsia="Times New Roman" w:hAnsi="Times New Roman" w:cs="Times New Roman"/>
          <w:sz w:val="24"/>
          <w:szCs w:val="24"/>
        </w:rPr>
        <w:t xml:space="preserve">for majority of the traits. </w:t>
      </w:r>
    </w:p>
    <w:p w:rsidR="00174643" w:rsidRDefault="003A4F94">
      <w:pPr>
        <w:spacing w:after="0" w:line="360" w:lineRule="auto"/>
        <w:jc w:val="both"/>
        <w:rPr>
          <w:rFonts w:ascii="Times New Roman" w:eastAsia="Times New Roman" w:hAnsi="Times New Roman" w:cs="Times New Roman"/>
          <w:b/>
          <w:sz w:val="24"/>
          <w:szCs w:val="24"/>
        </w:rPr>
      </w:pPr>
      <w:r>
        <w:rPr>
          <w:noProof/>
          <w:lang w:eastAsia="en-IN"/>
        </w:rPr>
        <w:drawing>
          <wp:inline distT="0" distB="0" distL="0" distR="0">
            <wp:extent cx="5762445" cy="2743200"/>
            <wp:effectExtent l="0" t="0" r="1016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74643" w:rsidRDefault="003A4F94">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Fig. 1. Mean and range for 15 traits in sunflower</w:t>
      </w:r>
    </w:p>
    <w:p w:rsidR="00174643" w:rsidRDefault="00174643">
      <w:pPr>
        <w:spacing w:after="0" w:line="360" w:lineRule="auto"/>
        <w:jc w:val="both"/>
        <w:rPr>
          <w:rFonts w:ascii="Times New Roman" w:eastAsia="Times New Roman" w:hAnsi="Times New Roman" w:cs="Times New Roman"/>
          <w:b/>
          <w:sz w:val="24"/>
          <w:szCs w:val="24"/>
        </w:rPr>
      </w:pPr>
    </w:p>
    <w:p w:rsidR="00174643" w:rsidRDefault="003A4F94">
      <w:pPr>
        <w:spacing w:after="0"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3.3 Phenotypic and Genotypic Coefficient of </w:t>
      </w:r>
      <w:r w:rsidRPr="00EC6C12">
        <w:rPr>
          <w:rFonts w:ascii="Times New Roman" w:eastAsia="Times New Roman" w:hAnsi="Times New Roman" w:cs="Times New Roman"/>
          <w:b/>
          <w:i/>
          <w:strike/>
          <w:sz w:val="24"/>
          <w:szCs w:val="24"/>
        </w:rPr>
        <w:t>Variability</w:t>
      </w:r>
      <w:r>
        <w:rPr>
          <w:rFonts w:ascii="Times New Roman" w:eastAsia="Times New Roman" w:hAnsi="Times New Roman" w:cs="Times New Roman"/>
          <w:b/>
          <w:i/>
          <w:sz w:val="24"/>
          <w:szCs w:val="24"/>
        </w:rPr>
        <w:t xml:space="preserve"> </w:t>
      </w:r>
      <w:r w:rsidR="00EC6C12" w:rsidRPr="00EC6C12">
        <w:rPr>
          <w:rFonts w:ascii="Times New Roman" w:eastAsia="Times New Roman" w:hAnsi="Times New Roman" w:cs="Times New Roman"/>
          <w:b/>
          <w:i/>
          <w:color w:val="FF0000"/>
          <w:sz w:val="24"/>
          <w:szCs w:val="24"/>
        </w:rPr>
        <w:t>Variation</w:t>
      </w:r>
    </w:p>
    <w:p w:rsidR="00174643" w:rsidRDefault="003A4F94">
      <w:pPr>
        <w:spacing w:after="0" w:line="360" w:lineRule="auto"/>
        <w:ind w:firstLine="720"/>
        <w:jc w:val="both"/>
        <w:rPr>
          <w:rFonts w:ascii="Times New Roman" w:eastAsia="Times New Roman" w:hAnsi="Times New Roman" w:cs="Times New Roman"/>
          <w:color w:val="0000FF"/>
          <w:sz w:val="24"/>
          <w:szCs w:val="24"/>
        </w:rPr>
      </w:pPr>
      <w:r>
        <w:rPr>
          <w:rFonts w:ascii="Times New Roman" w:eastAsia="Times New Roman" w:hAnsi="Times New Roman" w:cs="Times New Roman"/>
          <w:sz w:val="24"/>
          <w:szCs w:val="24"/>
        </w:rPr>
        <w:t xml:space="preserve">The genetic variability parameters for different traits </w:t>
      </w:r>
      <w:r>
        <w:rPr>
          <w:rFonts w:ascii="Times New Roman" w:eastAsia="Times New Roman" w:hAnsi="Times New Roman" w:cs="Times New Roman"/>
          <w:i/>
          <w:sz w:val="24"/>
          <w:szCs w:val="24"/>
        </w:rPr>
        <w:t>viz.,</w:t>
      </w:r>
      <w:r>
        <w:rPr>
          <w:rFonts w:ascii="Times New Roman" w:eastAsia="Times New Roman" w:hAnsi="Times New Roman" w:cs="Times New Roman"/>
          <w:sz w:val="24"/>
          <w:szCs w:val="24"/>
        </w:rPr>
        <w:t xml:space="preserve"> genotypic coefficient of variation (GCV) and phenotypic coefficient variances (PCV) are displayed in (Table 2 and Fig. 1). For all the traits considered under the present investigation the values of phenotypic coefficient of variation is slightly higher than the genotypic coefficient of variation for all the characters studied,indicating that the apparent variation is not only genetic but also influenced by the growing environment in the expression of the traits.The variation observed in the characters studied in the present investigation were classified as, low (&lt;10%), moderate (10-20%) and high (&gt;20%) phenotypic and genotypic coefficients of variation (</w:t>
      </w:r>
      <w:r>
        <w:rPr>
          <w:rFonts w:ascii="Times New Roman" w:eastAsia="Times New Roman" w:hAnsi="Times New Roman" w:cs="Times New Roman"/>
          <w:color w:val="0000FF"/>
          <w:sz w:val="24"/>
          <w:szCs w:val="24"/>
        </w:rPr>
        <w:t>Deshmukh et al. 1986</w:t>
      </w:r>
      <w:r>
        <w:rPr>
          <w:rFonts w:ascii="Times New Roman" w:eastAsia="Times New Roman" w:hAnsi="Times New Roman" w:cs="Times New Roman"/>
          <w:sz w:val="24"/>
          <w:szCs w:val="24"/>
        </w:rPr>
        <w:t xml:space="preserve">). The highest GCV was recorded for seed yield per plant (54.37%), linoleic acid (49.87%), and oleic acid (46.67%) followed by plant height (23.94%), head diameter (21.67%), and 100 seed weight (21.16%). These values indicate that these traits are </w:t>
      </w:r>
      <w:r>
        <w:rPr>
          <w:rFonts w:ascii="Times New Roman" w:eastAsia="Times New Roman" w:hAnsi="Times New Roman" w:cs="Times New Roman"/>
          <w:sz w:val="24"/>
          <w:szCs w:val="24"/>
        </w:rPr>
        <w:lastRenderedPageBreak/>
        <w:t xml:space="preserve">genetically variable and potentially under additive gene control. Moderate to low GCV was observed for traits such as days to 50% flowering (5.19%) and seed width (13.54%). These results are consistent with the earlier reports of </w:t>
      </w:r>
      <w:r>
        <w:rPr>
          <w:rFonts w:ascii="Times New Roman" w:eastAsia="Times New Roman" w:hAnsi="Times New Roman" w:cs="Times New Roman"/>
          <w:color w:val="0000FF"/>
          <w:sz w:val="24"/>
          <w:szCs w:val="24"/>
        </w:rPr>
        <w:t xml:space="preserve">Reddy and Reddy (2006) </w:t>
      </w:r>
      <w:r>
        <w:rPr>
          <w:rFonts w:ascii="Times New Roman" w:eastAsia="Times New Roman" w:hAnsi="Times New Roman" w:cs="Times New Roman"/>
          <w:color w:val="000000"/>
          <w:sz w:val="24"/>
          <w:szCs w:val="24"/>
        </w:rPr>
        <w:t xml:space="preserve">and </w:t>
      </w:r>
      <w:r>
        <w:rPr>
          <w:rFonts w:ascii="Times New Roman" w:eastAsia="Times New Roman" w:hAnsi="Times New Roman" w:cs="Times New Roman"/>
          <w:color w:val="0000FF"/>
          <w:sz w:val="24"/>
          <w:szCs w:val="24"/>
        </w:rPr>
        <w:t xml:space="preserve">Kalukhe et al. (2010). </w:t>
      </w:r>
      <w:r>
        <w:rPr>
          <w:rFonts w:ascii="Times New Roman" w:eastAsia="Times New Roman" w:hAnsi="Times New Roman" w:cs="Times New Roman"/>
          <w:sz w:val="24"/>
          <w:szCs w:val="24"/>
        </w:rPr>
        <w:t xml:space="preserve">The highest GCV and PCV values were found particularly for seed yield per plant (54.4% and 56.3%) followed by linoleic acid (49.9% and 52.9%), oleic acid (46.7% and 49.5%), plant height (23.9% and 24.5%), head diameter (21.7% and 23.2%) and 100 seed weight (21.2% and 27.1%), respectively (Table 2). Characters those exhibited highest value of PCV and GCV, indicates that there is high level of variability and possibility of effective selection for the character improvement. The highest genotypic coefficient of variation was observed for seed yield per plant (36.03%) was observed by </w:t>
      </w:r>
      <w:r>
        <w:rPr>
          <w:rFonts w:ascii="Times New Roman" w:eastAsia="Times New Roman" w:hAnsi="Times New Roman" w:cs="Times New Roman"/>
          <w:color w:val="0000FF"/>
          <w:sz w:val="24"/>
          <w:szCs w:val="24"/>
        </w:rPr>
        <w:t>Baraiya et al. (2018).</w:t>
      </w:r>
      <w:r>
        <w:rPr>
          <w:rFonts w:ascii="Times New Roman" w:eastAsia="Times New Roman" w:hAnsi="Times New Roman" w:cs="Times New Roman"/>
          <w:sz w:val="24"/>
          <w:szCs w:val="24"/>
        </w:rPr>
        <w:t>Moderate GCV and PCV were recorded for stearic acid (16.9% and 19.6%), number of leaves per plant (14.2% and 17.4%), seed length (13.6% and 16.0%), volume weight (13.5% and 13.8%) and palmitic acid (12.9% and 17.0%), respectively. Moderate GCV and high PCV (13.5% and 28.8%, respectively) revealed the seed width, which indicates that the trait is more influenced by the environment. Low GCV and PCV for days to maturity (3.8% and 3.9%), days to 50% flowering (5.2% and 5.5%) and oil content (8.7% and 9.4%), respectively, indicating less variability exists in these characters and highly influenced by the environments. Moderate to low variability indicates the need for improvement of the base population.</w:t>
      </w:r>
      <w:r w:rsidR="002F569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results of both phenotypic and genotypic coefficients of variation were similar with </w:t>
      </w:r>
      <w:r>
        <w:rPr>
          <w:rFonts w:ascii="Times New Roman" w:eastAsia="Times New Roman" w:hAnsi="Times New Roman" w:cs="Times New Roman"/>
          <w:color w:val="0000FF"/>
          <w:sz w:val="24"/>
          <w:szCs w:val="24"/>
        </w:rPr>
        <w:t>Mamta et al. (2017)</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FF"/>
          <w:sz w:val="24"/>
          <w:szCs w:val="24"/>
        </w:rPr>
        <w:t>Reena et al. (2019),</w:t>
      </w:r>
      <w:r>
        <w:rPr>
          <w:rFonts w:ascii="Times New Roman" w:eastAsia="Times New Roman" w:hAnsi="Times New Roman" w:cs="Times New Roman"/>
          <w:color w:val="0000FF"/>
          <w:sz w:val="24"/>
          <w:szCs w:val="24"/>
          <w:highlight w:val="white"/>
        </w:rPr>
        <w:t xml:space="preserve"> Lakshman et al. (2021), </w:t>
      </w:r>
      <w:r>
        <w:rPr>
          <w:rFonts w:ascii="Times New Roman" w:eastAsia="Times New Roman" w:hAnsi="Times New Roman" w:cs="Times New Roman"/>
          <w:color w:val="0000FF"/>
          <w:sz w:val="24"/>
          <w:szCs w:val="24"/>
        </w:rPr>
        <w:t xml:space="preserve">Sandhya sree et al. (2022), </w:t>
      </w:r>
      <w:r>
        <w:rPr>
          <w:rFonts w:ascii="Times New Roman" w:eastAsia="Times New Roman" w:hAnsi="Times New Roman" w:cs="Times New Roman"/>
          <w:color w:val="0000FF"/>
          <w:sz w:val="24"/>
          <w:szCs w:val="24"/>
          <w:highlight w:val="white"/>
        </w:rPr>
        <w:t>Anuradha et al.(2023)</w:t>
      </w:r>
      <w:r>
        <w:rPr>
          <w:rFonts w:ascii="Times New Roman" w:eastAsia="Times New Roman" w:hAnsi="Times New Roman" w:cs="Times New Roman"/>
          <w:sz w:val="24"/>
          <w:szCs w:val="24"/>
        </w:rPr>
        <w:t xml:space="preserve"> and </w:t>
      </w:r>
      <w:r>
        <w:rPr>
          <w:rFonts w:ascii="Times New Roman" w:eastAsia="Times New Roman" w:hAnsi="Times New Roman" w:cs="Times New Roman"/>
          <w:color w:val="0000FF"/>
          <w:sz w:val="24"/>
          <w:szCs w:val="24"/>
        </w:rPr>
        <w:t xml:space="preserve">Mohan et al. (2022). </w:t>
      </w:r>
    </w:p>
    <w:p w:rsidR="00174643" w:rsidRDefault="003A4F94">
      <w:pPr>
        <w:spacing w:line="360" w:lineRule="auto"/>
        <w:jc w:val="both"/>
        <w:rPr>
          <w:rFonts w:ascii="Times New Roman" w:eastAsia="Times New Roman" w:hAnsi="Times New Roman" w:cs="Times New Roman"/>
          <w:sz w:val="24"/>
          <w:szCs w:val="24"/>
        </w:rPr>
      </w:pPr>
      <w:r>
        <w:rPr>
          <w:noProof/>
          <w:lang w:eastAsia="en-IN"/>
        </w:rPr>
        <w:drawing>
          <wp:inline distT="0" distB="0" distL="0" distR="0">
            <wp:extent cx="5756564" cy="2916382"/>
            <wp:effectExtent l="0" t="0" r="15875" b="1778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74643" w:rsidRDefault="003A4F94">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Fig. 2. Phenotypic and genotypic coefficient of variation of 15 traits in sunflower</w:t>
      </w:r>
    </w:p>
    <w:p w:rsidR="00174643" w:rsidRDefault="00174643">
      <w:pPr>
        <w:spacing w:after="0" w:line="360" w:lineRule="auto"/>
        <w:jc w:val="center"/>
        <w:rPr>
          <w:rFonts w:ascii="Times New Roman" w:eastAsia="Times New Roman" w:hAnsi="Times New Roman" w:cs="Times New Roman"/>
          <w:b/>
          <w:sz w:val="24"/>
          <w:szCs w:val="24"/>
        </w:rPr>
      </w:pPr>
    </w:p>
    <w:p w:rsidR="00174643" w:rsidRDefault="003A4F94">
      <w:pPr>
        <w:spacing w:after="0"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3.4 Heritability (H</w:t>
      </w:r>
      <w:r>
        <w:rPr>
          <w:rFonts w:ascii="Times New Roman" w:eastAsia="Times New Roman" w:hAnsi="Times New Roman" w:cs="Times New Roman"/>
          <w:b/>
          <w:i/>
          <w:sz w:val="24"/>
          <w:szCs w:val="24"/>
          <w:vertAlign w:val="superscript"/>
        </w:rPr>
        <w:t>2</w:t>
      </w:r>
      <w:r>
        <w:rPr>
          <w:rFonts w:ascii="Times New Roman" w:eastAsia="Times New Roman" w:hAnsi="Times New Roman" w:cs="Times New Roman"/>
          <w:b/>
          <w:i/>
          <w:sz w:val="24"/>
          <w:szCs w:val="24"/>
        </w:rPr>
        <w:t xml:space="preserve">bs) and Genetic Advance as Per cent Mean </w:t>
      </w:r>
    </w:p>
    <w:p w:rsidR="00174643" w:rsidRDefault="003A4F94">
      <w:pPr>
        <w:spacing w:after="0" w:line="360" w:lineRule="auto"/>
        <w:ind w:firstLine="720"/>
        <w:jc w:val="both"/>
        <w:rPr>
          <w:rFonts w:ascii="Times New Roman" w:eastAsia="Times New Roman" w:hAnsi="Times New Roman" w:cs="Times New Roman"/>
          <w:sz w:val="32"/>
          <w:szCs w:val="32"/>
        </w:rPr>
      </w:pPr>
      <w:r>
        <w:rPr>
          <w:rFonts w:ascii="Times New Roman" w:eastAsia="Times New Roman" w:hAnsi="Times New Roman" w:cs="Times New Roman"/>
          <w:sz w:val="24"/>
          <w:szCs w:val="24"/>
        </w:rPr>
        <w:t>Heritability is a good indicator of the transmission of characters from parents to their offsprings. It also gives an estimate of genetic advance a breeder can expect from selection applied to a population and help in deciding on a crop breeding method to choose (</w:t>
      </w:r>
      <w:r>
        <w:rPr>
          <w:rFonts w:ascii="Times New Roman" w:eastAsia="Times New Roman" w:hAnsi="Times New Roman" w:cs="Times New Roman"/>
          <w:color w:val="0000FF"/>
          <w:sz w:val="24"/>
          <w:szCs w:val="24"/>
        </w:rPr>
        <w:t>Gatti et al. 2005</w:t>
      </w:r>
      <w:r>
        <w:rPr>
          <w:rFonts w:ascii="Times New Roman" w:eastAsia="Times New Roman" w:hAnsi="Times New Roman" w:cs="Times New Roman"/>
          <w:sz w:val="24"/>
          <w:szCs w:val="24"/>
        </w:rPr>
        <w:t xml:space="preserve">).The estimates of heritability help the plant breeder in selection of genotypes from diverse genetic population. Therefore, high heritability helps in the effective selection of a particular trait. Heritability in the broad sense ranged from low to high. According to </w:t>
      </w:r>
      <w:r>
        <w:rPr>
          <w:rFonts w:ascii="Times New Roman" w:eastAsia="Times New Roman" w:hAnsi="Times New Roman" w:cs="Times New Roman"/>
          <w:color w:val="0000FF"/>
          <w:sz w:val="24"/>
          <w:szCs w:val="24"/>
        </w:rPr>
        <w:t xml:space="preserve">Singh (2000), </w:t>
      </w:r>
      <w:r>
        <w:rPr>
          <w:rFonts w:ascii="Times New Roman" w:eastAsia="Times New Roman" w:hAnsi="Times New Roman" w:cs="Times New Roman"/>
          <w:sz w:val="24"/>
          <w:szCs w:val="24"/>
        </w:rPr>
        <w:t xml:space="preserve">heritability values greater than 80% are very high, values 60-79% are moderately high, values from 40 to 59% are medium and values less than 40% are low. Therefore, the traits under study (Table 2) fall into the low to high category since heritability </w:t>
      </w:r>
      <w:r w:rsidRPr="00DC6D46">
        <w:rPr>
          <w:rFonts w:ascii="Times New Roman" w:eastAsia="Times New Roman" w:hAnsi="Times New Roman" w:cs="Times New Roman"/>
          <w:strike/>
          <w:sz w:val="24"/>
          <w:szCs w:val="24"/>
        </w:rPr>
        <w:t>&gt;</w:t>
      </w:r>
      <w:r w:rsidR="00DC6D46">
        <w:rPr>
          <w:rFonts w:ascii="Times New Roman" w:eastAsia="Times New Roman" w:hAnsi="Times New Roman" w:cs="Times New Roman"/>
          <w:sz w:val="24"/>
          <w:szCs w:val="24"/>
        </w:rPr>
        <w:t xml:space="preserve"> </w:t>
      </w:r>
      <w:r w:rsidR="00DC6D46" w:rsidRPr="00DC6D46">
        <w:rPr>
          <w:rFonts w:ascii="Times New Roman" w:eastAsia="Times New Roman" w:hAnsi="Times New Roman" w:cs="Times New Roman"/>
          <w:color w:val="FF0000"/>
          <w:sz w:val="24"/>
          <w:szCs w:val="24"/>
        </w:rPr>
        <w:t xml:space="preserve">&lt; </w:t>
      </w:r>
      <w:r>
        <w:rPr>
          <w:rFonts w:ascii="Times New Roman" w:eastAsia="Times New Roman" w:hAnsi="Times New Roman" w:cs="Times New Roman"/>
          <w:sz w:val="24"/>
          <w:szCs w:val="24"/>
        </w:rPr>
        <w:t xml:space="preserve">22%. Most of the characters in this study were manifested moderately high to very high (57.4% - 95.6%), while lowest heritability (22.04%) revealed only for seed width.The highest broad sense heritability value manifested for volume weight (95.56%) followed by plant height (94.83%), seed yield per plant (93.28%), days to maturity (93.33%), oil content (86.71%), days to 50% flowering (86.68%) and oleic acid (88.93%) (Table 2 and Fig. 2),indicate that phenotypic expression is mostly due to genetic factors and selection for studied traits can be performed in earlier generations.Recently, </w:t>
      </w:r>
      <w:r>
        <w:rPr>
          <w:rFonts w:ascii="Times New Roman" w:eastAsia="Times New Roman" w:hAnsi="Times New Roman" w:cs="Times New Roman"/>
          <w:color w:val="0000FF"/>
          <w:sz w:val="24"/>
          <w:szCs w:val="24"/>
          <w:highlight w:val="white"/>
        </w:rPr>
        <w:t xml:space="preserve">Narkhede et al. (2025) </w:t>
      </w:r>
      <w:r>
        <w:rPr>
          <w:rFonts w:ascii="Times New Roman" w:eastAsia="Times New Roman" w:hAnsi="Times New Roman" w:cs="Times New Roman"/>
          <w:sz w:val="24"/>
          <w:szCs w:val="24"/>
          <w:highlight w:val="white"/>
        </w:rPr>
        <w:t xml:space="preserve">recorded high broad sense heritability for days to 50% flowering, days to maturity,  head  diameter,  100  seed weight,  volume  weight, oil content (83.48%) and seed yield/plant. </w:t>
      </w:r>
      <w:r>
        <w:rPr>
          <w:rFonts w:ascii="Times New Roman" w:eastAsia="Times New Roman" w:hAnsi="Times New Roman" w:cs="Times New Roman"/>
          <w:sz w:val="24"/>
          <w:szCs w:val="24"/>
        </w:rPr>
        <w:t xml:space="preserve">Similar results were reported by </w:t>
      </w:r>
      <w:r>
        <w:rPr>
          <w:rFonts w:ascii="Times New Roman" w:eastAsia="Times New Roman" w:hAnsi="Times New Roman" w:cs="Times New Roman"/>
          <w:color w:val="0000FF"/>
          <w:sz w:val="24"/>
          <w:szCs w:val="24"/>
        </w:rPr>
        <w:t>Kalukhe et al. (2010), Supriya et al. (2016).</w:t>
      </w:r>
      <w:r>
        <w:rPr>
          <w:rFonts w:ascii="Times New Roman" w:eastAsia="Times New Roman" w:hAnsi="Times New Roman" w:cs="Times New Roman"/>
          <w:sz w:val="24"/>
          <w:szCs w:val="24"/>
        </w:rPr>
        <w:t xml:space="preserve">On the contrary, seed width showed the lowest heritability (22.04%). These observations confirm that traits with high heritability can be reliably selected in early generations. This result is in accordance with </w:t>
      </w:r>
      <w:r>
        <w:rPr>
          <w:rFonts w:ascii="Times New Roman" w:eastAsia="Times New Roman" w:hAnsi="Times New Roman" w:cs="Times New Roman"/>
          <w:color w:val="0000FF"/>
          <w:sz w:val="24"/>
          <w:szCs w:val="24"/>
        </w:rPr>
        <w:t xml:space="preserve">Makane et al. (2011). </w:t>
      </w:r>
    </w:p>
    <w:p w:rsidR="00174643" w:rsidRDefault="003A4F94">
      <w:pPr>
        <w:spacing w:after="0" w:line="360" w:lineRule="auto"/>
        <w:ind w:firstLine="720"/>
        <w:jc w:val="both"/>
        <w:rPr>
          <w:rFonts w:ascii="Times New Roman" w:eastAsia="Times New Roman" w:hAnsi="Times New Roman" w:cs="Times New Roman"/>
          <w:sz w:val="32"/>
          <w:szCs w:val="32"/>
        </w:rPr>
      </w:pPr>
      <w:bookmarkStart w:id="2" w:name="_st6xtcps2voh" w:colFirst="0" w:colLast="0"/>
      <w:bookmarkEnd w:id="2"/>
      <w:r>
        <w:rPr>
          <w:rFonts w:ascii="Times New Roman" w:eastAsia="Times New Roman" w:hAnsi="Times New Roman" w:cs="Times New Roman"/>
          <w:sz w:val="24"/>
          <w:szCs w:val="24"/>
        </w:rPr>
        <w:t>The genetic advance is a useful indicator of the effective and efficient selection progress that can be expected as a result of exercising selection on the base population.Johnson et al. (1955) classified genetic advance as a percentage of the mean; values 0-10% are low, 10-20% are moderate and 20</w:t>
      </w:r>
      <w:r w:rsidR="00DC6D4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and above are high. In this study, high heritability coupled with high genetic advance as a percentage of the mean (&gt;20) were recorded for seed yield per plant, plant height, head diameter, no of leaves per plant, seed length, 100 seed weight, volume weight, stearic acid, palmitic acid, oleic acid and linoleic acid, indicating the predominance of additive gene action for these characters and therefore, provides the most effective condition for selection. Similar results were matched with </w:t>
      </w:r>
      <w:r>
        <w:rPr>
          <w:rFonts w:ascii="Times New Roman" w:eastAsia="Times New Roman" w:hAnsi="Times New Roman" w:cs="Times New Roman"/>
          <w:color w:val="0000FF"/>
          <w:sz w:val="24"/>
          <w:szCs w:val="24"/>
        </w:rPr>
        <w:t>Neelima et al. (2016), Mamta et al. (2017)</w:t>
      </w:r>
      <w:r>
        <w:rPr>
          <w:rFonts w:ascii="Times New Roman" w:eastAsia="Times New Roman" w:hAnsi="Times New Roman" w:cs="Times New Roman"/>
          <w:sz w:val="24"/>
          <w:szCs w:val="24"/>
        </w:rPr>
        <w:t xml:space="preserve"> and </w:t>
      </w:r>
      <w:r>
        <w:rPr>
          <w:rFonts w:ascii="Times New Roman" w:eastAsia="Times New Roman" w:hAnsi="Times New Roman" w:cs="Times New Roman"/>
          <w:color w:val="0000FF"/>
          <w:sz w:val="24"/>
          <w:szCs w:val="24"/>
        </w:rPr>
        <w:t xml:space="preserve">Mallik et al. (2020). </w:t>
      </w:r>
      <w:r>
        <w:rPr>
          <w:rFonts w:ascii="Times New Roman" w:eastAsia="Times New Roman" w:hAnsi="Times New Roman" w:cs="Times New Roman"/>
          <w:color w:val="212121"/>
          <w:sz w:val="24"/>
          <w:szCs w:val="24"/>
          <w:highlight w:val="white"/>
        </w:rPr>
        <w:t xml:space="preserve">High heritability coupled with high genetic advance was recorded for seed yield per plot, yield per hectare, oil yield, </w:t>
      </w:r>
      <w:r>
        <w:rPr>
          <w:rFonts w:ascii="Times New Roman" w:eastAsia="Times New Roman" w:hAnsi="Times New Roman" w:cs="Times New Roman"/>
          <w:color w:val="212121"/>
          <w:sz w:val="24"/>
          <w:szCs w:val="24"/>
          <w:highlight w:val="white"/>
        </w:rPr>
        <w:lastRenderedPageBreak/>
        <w:t xml:space="preserve">seed number per plant head and yield per plant head by </w:t>
      </w:r>
      <w:r>
        <w:rPr>
          <w:rFonts w:ascii="Times New Roman" w:eastAsia="Times New Roman" w:hAnsi="Times New Roman" w:cs="Times New Roman"/>
          <w:color w:val="0000FF"/>
          <w:sz w:val="24"/>
          <w:szCs w:val="24"/>
          <w:highlight w:val="white"/>
        </w:rPr>
        <w:t>Mola et al. (2024)</w:t>
      </w:r>
      <w:r>
        <w:rPr>
          <w:rFonts w:ascii="Times New Roman" w:eastAsia="Times New Roman" w:hAnsi="Times New Roman" w:cs="Times New Roman"/>
          <w:color w:val="212121"/>
          <w:sz w:val="24"/>
          <w:szCs w:val="24"/>
          <w:highlight w:val="white"/>
        </w:rPr>
        <w:t xml:space="preserve">. </w:t>
      </w:r>
      <w:r>
        <w:rPr>
          <w:rFonts w:ascii="Times New Roman" w:eastAsia="Times New Roman" w:hAnsi="Times New Roman" w:cs="Times New Roman"/>
          <w:sz w:val="24"/>
          <w:szCs w:val="24"/>
        </w:rPr>
        <w:t xml:space="preserve">On the other hand, high heritability with low genetic advance as percentage of the mean was revealed for days to 50% flowering and days to maturity which indicates that these traits were governed by non-additive genes. Only oil content was recorded high heritability coupled with moderate genetic advance as percentage of the mean indicating the significance of dominance and epistatic effects in the inheritance of this character and selection for this trait would be less effective. It suggests that these traits can be improved by selective breeding efforts. Further, low heritability coupled with low genetic advance as percentage of the mean was revealed for seed width indicating that improvement of this trait is not possible with any of the breeding methods. </w:t>
      </w:r>
      <w:r>
        <w:rPr>
          <w:rFonts w:ascii="Times New Roman" w:eastAsia="Times New Roman" w:hAnsi="Times New Roman" w:cs="Times New Roman"/>
          <w:sz w:val="24"/>
          <w:szCs w:val="24"/>
          <w:highlight w:val="white"/>
        </w:rPr>
        <w:t xml:space="preserve">These results are in line with </w:t>
      </w:r>
      <w:r>
        <w:rPr>
          <w:rFonts w:ascii="Times New Roman" w:eastAsia="Times New Roman" w:hAnsi="Times New Roman" w:cs="Times New Roman"/>
          <w:color w:val="0000FF"/>
          <w:sz w:val="24"/>
          <w:szCs w:val="24"/>
          <w:highlight w:val="white"/>
        </w:rPr>
        <w:t>Varshitha et al. (2023)</w:t>
      </w:r>
      <w:r>
        <w:rPr>
          <w:rFonts w:ascii="Times New Roman" w:eastAsia="Times New Roman" w:hAnsi="Times New Roman" w:cs="Times New Roman"/>
          <w:sz w:val="24"/>
          <w:szCs w:val="24"/>
          <w:highlight w:val="white"/>
        </w:rPr>
        <w:t xml:space="preserve"> and </w:t>
      </w:r>
      <w:r>
        <w:rPr>
          <w:rFonts w:ascii="Times New Roman" w:eastAsia="Times New Roman" w:hAnsi="Times New Roman" w:cs="Times New Roman"/>
          <w:color w:val="0000FF"/>
          <w:sz w:val="24"/>
          <w:szCs w:val="24"/>
          <w:highlight w:val="white"/>
        </w:rPr>
        <w:t>Mariyam et al. (2024)</w:t>
      </w:r>
      <w:r>
        <w:rPr>
          <w:rFonts w:ascii="Times New Roman" w:eastAsia="Times New Roman" w:hAnsi="Times New Roman" w:cs="Times New Roman"/>
          <w:sz w:val="24"/>
          <w:szCs w:val="24"/>
          <w:highlight w:val="white"/>
        </w:rPr>
        <w:t>.</w:t>
      </w:r>
    </w:p>
    <w:p w:rsidR="00174643" w:rsidRDefault="003A4F94">
      <w:pPr>
        <w:spacing w:line="360" w:lineRule="auto"/>
        <w:jc w:val="both"/>
        <w:rPr>
          <w:rFonts w:ascii="Times New Roman" w:eastAsia="Times New Roman" w:hAnsi="Times New Roman" w:cs="Times New Roman"/>
          <w:b/>
          <w:sz w:val="28"/>
          <w:szCs w:val="28"/>
        </w:rPr>
      </w:pPr>
      <w:r>
        <w:rPr>
          <w:noProof/>
          <w:lang w:eastAsia="en-IN"/>
        </w:rPr>
        <w:drawing>
          <wp:inline distT="0" distB="0" distL="0" distR="0">
            <wp:extent cx="5770418" cy="2930236"/>
            <wp:effectExtent l="0" t="0" r="1905" b="381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74643" w:rsidRDefault="003A4F94">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Fig. 3. Heritability (broad sense) and genetic advance as percentage of the mean for 15 traits in sunflower</w:t>
      </w:r>
    </w:p>
    <w:p w:rsidR="00174643" w:rsidRDefault="00174643">
      <w:pPr>
        <w:spacing w:after="0" w:line="360" w:lineRule="auto"/>
        <w:jc w:val="center"/>
        <w:rPr>
          <w:rFonts w:ascii="Times New Roman" w:eastAsia="Times New Roman" w:hAnsi="Times New Roman" w:cs="Times New Roman"/>
          <w:b/>
          <w:sz w:val="24"/>
          <w:szCs w:val="24"/>
        </w:rPr>
        <w:sectPr w:rsidR="0017464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709" w:gutter="0"/>
          <w:pgNumType w:start="1"/>
          <w:cols w:space="720"/>
        </w:sectPr>
      </w:pPr>
    </w:p>
    <w:p w:rsidR="00174643" w:rsidRDefault="003A4F94">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Table 2. Estimation of genetic variability parameters</w:t>
      </w:r>
    </w:p>
    <w:tbl>
      <w:tblPr>
        <w:tblStyle w:val="a0"/>
        <w:tblpPr w:leftFromText="180" w:rightFromText="180" w:vertAnchor="page" w:horzAnchor="page" w:tblpX="808" w:tblpY="1846"/>
        <w:tblW w:w="148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085"/>
        <w:gridCol w:w="992"/>
        <w:gridCol w:w="1134"/>
        <w:gridCol w:w="1074"/>
        <w:gridCol w:w="1053"/>
        <w:gridCol w:w="992"/>
        <w:gridCol w:w="1701"/>
        <w:gridCol w:w="1134"/>
        <w:gridCol w:w="1134"/>
        <w:gridCol w:w="992"/>
        <w:gridCol w:w="1559"/>
      </w:tblGrid>
      <w:tr w:rsidR="00174643">
        <w:trPr>
          <w:trHeight w:val="132"/>
        </w:trPr>
        <w:tc>
          <w:tcPr>
            <w:tcW w:w="3085" w:type="dxa"/>
            <w:vMerge w:val="restart"/>
          </w:tcPr>
          <w:p w:rsidR="00174643" w:rsidRDefault="003A4F9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Characters</w:t>
            </w:r>
          </w:p>
        </w:tc>
        <w:tc>
          <w:tcPr>
            <w:tcW w:w="2126" w:type="dxa"/>
            <w:gridSpan w:val="2"/>
          </w:tcPr>
          <w:p w:rsidR="00174643" w:rsidRDefault="003A4F9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Range</w:t>
            </w:r>
          </w:p>
        </w:tc>
        <w:tc>
          <w:tcPr>
            <w:tcW w:w="1074" w:type="dxa"/>
            <w:vMerge w:val="restart"/>
          </w:tcPr>
          <w:p w:rsidR="00174643" w:rsidRDefault="003A4F9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Mean</w:t>
            </w:r>
          </w:p>
        </w:tc>
        <w:tc>
          <w:tcPr>
            <w:tcW w:w="2045" w:type="dxa"/>
            <w:gridSpan w:val="2"/>
          </w:tcPr>
          <w:p w:rsidR="00174643" w:rsidRDefault="003A4F9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Variability</w:t>
            </w:r>
          </w:p>
        </w:tc>
        <w:tc>
          <w:tcPr>
            <w:tcW w:w="2835" w:type="dxa"/>
            <w:gridSpan w:val="2"/>
          </w:tcPr>
          <w:p w:rsidR="00174643" w:rsidRDefault="003A4F9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Coefficient of variability</w:t>
            </w:r>
          </w:p>
        </w:tc>
        <w:tc>
          <w:tcPr>
            <w:tcW w:w="1134" w:type="dxa"/>
            <w:vMerge w:val="restart"/>
          </w:tcPr>
          <w:p w:rsidR="00174643" w:rsidRDefault="003A4F9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w:t>
            </w:r>
            <w:r>
              <w:rPr>
                <w:rFonts w:ascii="Times New Roman" w:eastAsia="Times New Roman" w:hAnsi="Times New Roman" w:cs="Times New Roman"/>
                <w:b/>
                <w:sz w:val="24"/>
                <w:szCs w:val="24"/>
                <w:vertAlign w:val="superscript"/>
              </w:rPr>
              <w:t>2</w:t>
            </w:r>
          </w:p>
        </w:tc>
        <w:tc>
          <w:tcPr>
            <w:tcW w:w="992" w:type="dxa"/>
            <w:vMerge w:val="restart"/>
          </w:tcPr>
          <w:p w:rsidR="00174643" w:rsidRDefault="003A4F9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GA</w:t>
            </w:r>
          </w:p>
        </w:tc>
        <w:tc>
          <w:tcPr>
            <w:tcW w:w="1559" w:type="dxa"/>
            <w:vMerge w:val="restart"/>
          </w:tcPr>
          <w:p w:rsidR="00174643" w:rsidRDefault="003A4F9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GAM</w:t>
            </w:r>
          </w:p>
        </w:tc>
      </w:tr>
      <w:tr w:rsidR="00174643">
        <w:tc>
          <w:tcPr>
            <w:tcW w:w="3085" w:type="dxa"/>
            <w:vMerge/>
          </w:tcPr>
          <w:p w:rsidR="00174643" w:rsidRDefault="00174643">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992" w:type="dxa"/>
          </w:tcPr>
          <w:p w:rsidR="00174643" w:rsidRDefault="003A4F9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Min</w:t>
            </w:r>
          </w:p>
        </w:tc>
        <w:tc>
          <w:tcPr>
            <w:tcW w:w="1134" w:type="dxa"/>
          </w:tcPr>
          <w:p w:rsidR="00174643" w:rsidRDefault="003A4F9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Max</w:t>
            </w:r>
          </w:p>
        </w:tc>
        <w:tc>
          <w:tcPr>
            <w:tcW w:w="1074" w:type="dxa"/>
            <w:vMerge/>
          </w:tcPr>
          <w:p w:rsidR="00174643" w:rsidRDefault="00174643">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53" w:type="dxa"/>
          </w:tcPr>
          <w:p w:rsidR="00174643" w:rsidRDefault="003A4F9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GV</w:t>
            </w:r>
          </w:p>
        </w:tc>
        <w:tc>
          <w:tcPr>
            <w:tcW w:w="992" w:type="dxa"/>
          </w:tcPr>
          <w:p w:rsidR="00174643" w:rsidRDefault="003A4F9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PV</w:t>
            </w:r>
          </w:p>
        </w:tc>
        <w:tc>
          <w:tcPr>
            <w:tcW w:w="1701" w:type="dxa"/>
          </w:tcPr>
          <w:p w:rsidR="00174643" w:rsidRDefault="003A4F9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GCV</w:t>
            </w:r>
          </w:p>
        </w:tc>
        <w:tc>
          <w:tcPr>
            <w:tcW w:w="1134" w:type="dxa"/>
          </w:tcPr>
          <w:p w:rsidR="00174643" w:rsidRDefault="003A4F9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PCV</w:t>
            </w:r>
          </w:p>
        </w:tc>
        <w:tc>
          <w:tcPr>
            <w:tcW w:w="1134" w:type="dxa"/>
            <w:vMerge/>
          </w:tcPr>
          <w:p w:rsidR="00174643" w:rsidRDefault="00174643">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992" w:type="dxa"/>
            <w:vMerge/>
          </w:tcPr>
          <w:p w:rsidR="00174643" w:rsidRDefault="00174643">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559" w:type="dxa"/>
            <w:vMerge/>
          </w:tcPr>
          <w:p w:rsidR="00174643" w:rsidRDefault="00174643">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r>
      <w:tr w:rsidR="00174643">
        <w:tc>
          <w:tcPr>
            <w:tcW w:w="3085" w:type="dxa"/>
          </w:tcPr>
          <w:p w:rsidR="00174643" w:rsidRDefault="003A4F9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Plant height (cm)</w:t>
            </w:r>
          </w:p>
        </w:tc>
        <w:tc>
          <w:tcPr>
            <w:tcW w:w="992"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50.8</w:t>
            </w:r>
          </w:p>
        </w:tc>
        <w:tc>
          <w:tcPr>
            <w:tcW w:w="1134"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177.6</w:t>
            </w:r>
          </w:p>
        </w:tc>
        <w:tc>
          <w:tcPr>
            <w:tcW w:w="1074"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111.0</w:t>
            </w:r>
          </w:p>
        </w:tc>
        <w:tc>
          <w:tcPr>
            <w:tcW w:w="1053"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706.5</w:t>
            </w:r>
          </w:p>
        </w:tc>
        <w:tc>
          <w:tcPr>
            <w:tcW w:w="992"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745.0</w:t>
            </w:r>
          </w:p>
        </w:tc>
        <w:tc>
          <w:tcPr>
            <w:tcW w:w="1701"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23.9</w:t>
            </w:r>
          </w:p>
        </w:tc>
        <w:tc>
          <w:tcPr>
            <w:tcW w:w="1134"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24.5</w:t>
            </w:r>
          </w:p>
        </w:tc>
        <w:tc>
          <w:tcPr>
            <w:tcW w:w="1134"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94.8</w:t>
            </w:r>
          </w:p>
        </w:tc>
        <w:tc>
          <w:tcPr>
            <w:tcW w:w="992"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53.3</w:t>
            </w:r>
          </w:p>
        </w:tc>
        <w:tc>
          <w:tcPr>
            <w:tcW w:w="1559"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48.0</w:t>
            </w:r>
          </w:p>
        </w:tc>
      </w:tr>
      <w:tr w:rsidR="00174643">
        <w:tc>
          <w:tcPr>
            <w:tcW w:w="3085" w:type="dxa"/>
          </w:tcPr>
          <w:p w:rsidR="00174643" w:rsidRDefault="003A4F9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Head diameter (cm)</w:t>
            </w:r>
          </w:p>
        </w:tc>
        <w:tc>
          <w:tcPr>
            <w:tcW w:w="992"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1134"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17.1</w:t>
            </w:r>
          </w:p>
        </w:tc>
        <w:tc>
          <w:tcPr>
            <w:tcW w:w="1074"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12.9</w:t>
            </w:r>
          </w:p>
        </w:tc>
        <w:tc>
          <w:tcPr>
            <w:tcW w:w="1053"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7.8</w:t>
            </w:r>
          </w:p>
        </w:tc>
        <w:tc>
          <w:tcPr>
            <w:tcW w:w="992"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8.9</w:t>
            </w:r>
          </w:p>
        </w:tc>
        <w:tc>
          <w:tcPr>
            <w:tcW w:w="1701"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21.7</w:t>
            </w:r>
          </w:p>
        </w:tc>
        <w:tc>
          <w:tcPr>
            <w:tcW w:w="1134"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23.2</w:t>
            </w:r>
          </w:p>
        </w:tc>
        <w:tc>
          <w:tcPr>
            <w:tcW w:w="1134"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87.2</w:t>
            </w:r>
          </w:p>
        </w:tc>
        <w:tc>
          <w:tcPr>
            <w:tcW w:w="992"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1559"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41.7</w:t>
            </w:r>
          </w:p>
        </w:tc>
      </w:tr>
      <w:tr w:rsidR="00174643">
        <w:tc>
          <w:tcPr>
            <w:tcW w:w="3085" w:type="dxa"/>
          </w:tcPr>
          <w:p w:rsidR="00174643" w:rsidRDefault="003A4F9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of leaves per plant</w:t>
            </w:r>
          </w:p>
        </w:tc>
        <w:tc>
          <w:tcPr>
            <w:tcW w:w="992"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16.1</w:t>
            </w:r>
          </w:p>
        </w:tc>
        <w:tc>
          <w:tcPr>
            <w:tcW w:w="1134"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33.9</w:t>
            </w:r>
          </w:p>
        </w:tc>
        <w:tc>
          <w:tcPr>
            <w:tcW w:w="1074"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23.1</w:t>
            </w:r>
          </w:p>
        </w:tc>
        <w:tc>
          <w:tcPr>
            <w:tcW w:w="1053"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10.7</w:t>
            </w:r>
          </w:p>
        </w:tc>
        <w:tc>
          <w:tcPr>
            <w:tcW w:w="992"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16.1</w:t>
            </w:r>
          </w:p>
        </w:tc>
        <w:tc>
          <w:tcPr>
            <w:tcW w:w="1701"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14.2</w:t>
            </w:r>
          </w:p>
        </w:tc>
        <w:tc>
          <w:tcPr>
            <w:tcW w:w="1134"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17.4</w:t>
            </w:r>
          </w:p>
        </w:tc>
        <w:tc>
          <w:tcPr>
            <w:tcW w:w="1134"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66.4</w:t>
            </w:r>
          </w:p>
        </w:tc>
        <w:tc>
          <w:tcPr>
            <w:tcW w:w="992"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1559"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23.7</w:t>
            </w:r>
          </w:p>
        </w:tc>
      </w:tr>
      <w:tr w:rsidR="00174643">
        <w:tc>
          <w:tcPr>
            <w:tcW w:w="3085" w:type="dxa"/>
          </w:tcPr>
          <w:p w:rsidR="00174643" w:rsidRDefault="003A4F9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Seed length (mm)</w:t>
            </w:r>
          </w:p>
        </w:tc>
        <w:tc>
          <w:tcPr>
            <w:tcW w:w="992"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w:t>
            </w:r>
          </w:p>
        </w:tc>
        <w:tc>
          <w:tcPr>
            <w:tcW w:w="1134" w:type="dxa"/>
          </w:tcPr>
          <w:p w:rsidR="00174643" w:rsidRDefault="003A4F9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1074"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053"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0.02</w:t>
            </w:r>
          </w:p>
        </w:tc>
        <w:tc>
          <w:tcPr>
            <w:tcW w:w="992"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0.03</w:t>
            </w:r>
          </w:p>
        </w:tc>
        <w:tc>
          <w:tcPr>
            <w:tcW w:w="1701"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13.6</w:t>
            </w:r>
          </w:p>
        </w:tc>
        <w:tc>
          <w:tcPr>
            <w:tcW w:w="1134"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16.0</w:t>
            </w:r>
          </w:p>
        </w:tc>
        <w:tc>
          <w:tcPr>
            <w:tcW w:w="1134"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70.2</w:t>
            </w:r>
          </w:p>
        </w:tc>
        <w:tc>
          <w:tcPr>
            <w:tcW w:w="992"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c>
          <w:tcPr>
            <w:tcW w:w="1559"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23.6</w:t>
            </w:r>
          </w:p>
        </w:tc>
      </w:tr>
      <w:tr w:rsidR="00174643">
        <w:tc>
          <w:tcPr>
            <w:tcW w:w="3085" w:type="dxa"/>
          </w:tcPr>
          <w:p w:rsidR="00174643" w:rsidRDefault="003A4F9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Seed width (mm)</w:t>
            </w:r>
          </w:p>
        </w:tc>
        <w:tc>
          <w:tcPr>
            <w:tcW w:w="992" w:type="dxa"/>
          </w:tcPr>
          <w:p w:rsidR="00174643" w:rsidRDefault="003A4F9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p>
        </w:tc>
        <w:tc>
          <w:tcPr>
            <w:tcW w:w="1134"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w:t>
            </w:r>
          </w:p>
        </w:tc>
        <w:tc>
          <w:tcPr>
            <w:tcW w:w="1074"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1053"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0.01</w:t>
            </w:r>
          </w:p>
        </w:tc>
        <w:tc>
          <w:tcPr>
            <w:tcW w:w="992"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0.02</w:t>
            </w:r>
          </w:p>
        </w:tc>
        <w:tc>
          <w:tcPr>
            <w:tcW w:w="1701"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13.5</w:t>
            </w:r>
          </w:p>
        </w:tc>
        <w:tc>
          <w:tcPr>
            <w:tcW w:w="1134"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28.8</w:t>
            </w:r>
          </w:p>
        </w:tc>
        <w:tc>
          <w:tcPr>
            <w:tcW w:w="1134"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22.0</w:t>
            </w:r>
          </w:p>
        </w:tc>
        <w:tc>
          <w:tcPr>
            <w:tcW w:w="992"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1559"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13.1</w:t>
            </w:r>
          </w:p>
        </w:tc>
      </w:tr>
      <w:tr w:rsidR="00174643">
        <w:tc>
          <w:tcPr>
            <w:tcW w:w="3085" w:type="dxa"/>
          </w:tcPr>
          <w:p w:rsidR="00174643" w:rsidRDefault="003A4F9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Days to 50% flowering</w:t>
            </w:r>
          </w:p>
        </w:tc>
        <w:tc>
          <w:tcPr>
            <w:tcW w:w="992"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49.0</w:t>
            </w:r>
          </w:p>
        </w:tc>
        <w:tc>
          <w:tcPr>
            <w:tcW w:w="1134"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59.5</w:t>
            </w:r>
          </w:p>
        </w:tc>
        <w:tc>
          <w:tcPr>
            <w:tcW w:w="1074"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53.8</w:t>
            </w:r>
          </w:p>
        </w:tc>
        <w:tc>
          <w:tcPr>
            <w:tcW w:w="1053"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7.8</w:t>
            </w:r>
          </w:p>
        </w:tc>
        <w:tc>
          <w:tcPr>
            <w:tcW w:w="992"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8.9</w:t>
            </w:r>
          </w:p>
        </w:tc>
        <w:tc>
          <w:tcPr>
            <w:tcW w:w="1701"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1134"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1134"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86.7</w:t>
            </w:r>
          </w:p>
        </w:tc>
        <w:tc>
          <w:tcPr>
            <w:tcW w:w="992"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1559"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r>
      <w:tr w:rsidR="00174643">
        <w:tc>
          <w:tcPr>
            <w:tcW w:w="3085" w:type="dxa"/>
          </w:tcPr>
          <w:p w:rsidR="00174643" w:rsidRDefault="003A4F9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 seed weight (g)</w:t>
            </w:r>
          </w:p>
        </w:tc>
        <w:tc>
          <w:tcPr>
            <w:tcW w:w="992"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134"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tc>
        <w:tc>
          <w:tcPr>
            <w:tcW w:w="1074"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1053"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1.05</w:t>
            </w:r>
          </w:p>
        </w:tc>
        <w:tc>
          <w:tcPr>
            <w:tcW w:w="992"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1701"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21.2</w:t>
            </w:r>
          </w:p>
        </w:tc>
        <w:tc>
          <w:tcPr>
            <w:tcW w:w="1134"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27.1</w:t>
            </w:r>
          </w:p>
        </w:tc>
        <w:tc>
          <w:tcPr>
            <w:tcW w:w="1134"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60.9</w:t>
            </w:r>
          </w:p>
        </w:tc>
        <w:tc>
          <w:tcPr>
            <w:tcW w:w="992"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1559"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34.0</w:t>
            </w:r>
          </w:p>
        </w:tc>
      </w:tr>
      <w:tr w:rsidR="00174643">
        <w:tc>
          <w:tcPr>
            <w:tcW w:w="3085" w:type="dxa"/>
          </w:tcPr>
          <w:p w:rsidR="00174643" w:rsidRDefault="003A4F9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Seed yield per plant (g)</w:t>
            </w:r>
          </w:p>
        </w:tc>
        <w:tc>
          <w:tcPr>
            <w:tcW w:w="992"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1134"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53.4</w:t>
            </w:r>
          </w:p>
        </w:tc>
        <w:tc>
          <w:tcPr>
            <w:tcW w:w="1074"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24.7</w:t>
            </w:r>
          </w:p>
        </w:tc>
        <w:tc>
          <w:tcPr>
            <w:tcW w:w="1053"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179.8</w:t>
            </w:r>
          </w:p>
        </w:tc>
        <w:tc>
          <w:tcPr>
            <w:tcW w:w="992"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192.7</w:t>
            </w:r>
          </w:p>
        </w:tc>
        <w:tc>
          <w:tcPr>
            <w:tcW w:w="1701"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54.4</w:t>
            </w:r>
          </w:p>
        </w:tc>
        <w:tc>
          <w:tcPr>
            <w:tcW w:w="1134"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56.3</w:t>
            </w:r>
          </w:p>
        </w:tc>
        <w:tc>
          <w:tcPr>
            <w:tcW w:w="1134"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93.3</w:t>
            </w:r>
          </w:p>
        </w:tc>
        <w:tc>
          <w:tcPr>
            <w:tcW w:w="992"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26.7</w:t>
            </w:r>
          </w:p>
        </w:tc>
        <w:tc>
          <w:tcPr>
            <w:tcW w:w="1559"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108.2</w:t>
            </w:r>
          </w:p>
        </w:tc>
      </w:tr>
      <w:tr w:rsidR="00174643">
        <w:tc>
          <w:tcPr>
            <w:tcW w:w="3085" w:type="dxa"/>
          </w:tcPr>
          <w:p w:rsidR="00174643" w:rsidRDefault="003A4F9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Days to maturity</w:t>
            </w:r>
          </w:p>
        </w:tc>
        <w:tc>
          <w:tcPr>
            <w:tcW w:w="992"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77.5</w:t>
            </w:r>
          </w:p>
        </w:tc>
        <w:tc>
          <w:tcPr>
            <w:tcW w:w="1134"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89.5</w:t>
            </w:r>
          </w:p>
        </w:tc>
        <w:tc>
          <w:tcPr>
            <w:tcW w:w="1074"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83.9</w:t>
            </w:r>
          </w:p>
        </w:tc>
        <w:tc>
          <w:tcPr>
            <w:tcW w:w="1053"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c>
          <w:tcPr>
            <w:tcW w:w="992"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10.7</w:t>
            </w:r>
          </w:p>
        </w:tc>
        <w:tc>
          <w:tcPr>
            <w:tcW w:w="1701"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1134"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1134"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93.3</w:t>
            </w:r>
          </w:p>
        </w:tc>
        <w:tc>
          <w:tcPr>
            <w:tcW w:w="992"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1559"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r>
      <w:tr w:rsidR="00174643">
        <w:tc>
          <w:tcPr>
            <w:tcW w:w="3085" w:type="dxa"/>
          </w:tcPr>
          <w:p w:rsidR="00174643" w:rsidRDefault="003A4F9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Volume weight (g/100 ml)</w:t>
            </w:r>
          </w:p>
        </w:tc>
        <w:tc>
          <w:tcPr>
            <w:tcW w:w="992"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28.0</w:t>
            </w:r>
          </w:p>
        </w:tc>
        <w:tc>
          <w:tcPr>
            <w:tcW w:w="1134"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54.0</w:t>
            </w:r>
          </w:p>
        </w:tc>
        <w:tc>
          <w:tcPr>
            <w:tcW w:w="1074"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34.8</w:t>
            </w:r>
          </w:p>
        </w:tc>
        <w:tc>
          <w:tcPr>
            <w:tcW w:w="1053"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21.9</w:t>
            </w:r>
          </w:p>
        </w:tc>
        <w:tc>
          <w:tcPr>
            <w:tcW w:w="992"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22.9</w:t>
            </w:r>
          </w:p>
        </w:tc>
        <w:tc>
          <w:tcPr>
            <w:tcW w:w="1701"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13.5</w:t>
            </w:r>
          </w:p>
        </w:tc>
        <w:tc>
          <w:tcPr>
            <w:tcW w:w="1134"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13.8</w:t>
            </w:r>
          </w:p>
        </w:tc>
        <w:tc>
          <w:tcPr>
            <w:tcW w:w="1134"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95.6</w:t>
            </w:r>
          </w:p>
        </w:tc>
        <w:tc>
          <w:tcPr>
            <w:tcW w:w="992"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p>
        </w:tc>
        <w:tc>
          <w:tcPr>
            <w:tcW w:w="1559"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27.1</w:t>
            </w:r>
          </w:p>
        </w:tc>
      </w:tr>
      <w:tr w:rsidR="00174643">
        <w:tc>
          <w:tcPr>
            <w:tcW w:w="3085" w:type="dxa"/>
          </w:tcPr>
          <w:p w:rsidR="00174643" w:rsidRDefault="003A4F9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Oil content (%)</w:t>
            </w:r>
          </w:p>
        </w:tc>
        <w:tc>
          <w:tcPr>
            <w:tcW w:w="992"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28.9</w:t>
            </w:r>
          </w:p>
        </w:tc>
        <w:tc>
          <w:tcPr>
            <w:tcW w:w="1134"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41.4</w:t>
            </w:r>
          </w:p>
        </w:tc>
        <w:tc>
          <w:tcPr>
            <w:tcW w:w="1074"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35.3</w:t>
            </w:r>
          </w:p>
        </w:tc>
        <w:tc>
          <w:tcPr>
            <w:tcW w:w="1053"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tc>
        <w:tc>
          <w:tcPr>
            <w:tcW w:w="992"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10.9</w:t>
            </w:r>
          </w:p>
        </w:tc>
        <w:tc>
          <w:tcPr>
            <w:tcW w:w="1701"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8.7</w:t>
            </w:r>
          </w:p>
        </w:tc>
        <w:tc>
          <w:tcPr>
            <w:tcW w:w="1134"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p>
        </w:tc>
        <w:tc>
          <w:tcPr>
            <w:tcW w:w="1134"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86.7</w:t>
            </w:r>
          </w:p>
        </w:tc>
        <w:tc>
          <w:tcPr>
            <w:tcW w:w="992"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c>
          <w:tcPr>
            <w:tcW w:w="1559"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16.7</w:t>
            </w:r>
          </w:p>
        </w:tc>
      </w:tr>
      <w:tr w:rsidR="00174643">
        <w:tc>
          <w:tcPr>
            <w:tcW w:w="3085" w:type="dxa"/>
          </w:tcPr>
          <w:p w:rsidR="00174643" w:rsidRDefault="003A4F9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Stearic acid (%)</w:t>
            </w:r>
          </w:p>
        </w:tc>
        <w:tc>
          <w:tcPr>
            <w:tcW w:w="992"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1134"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1074"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1053"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w:t>
            </w:r>
          </w:p>
        </w:tc>
        <w:tc>
          <w:tcPr>
            <w:tcW w:w="992"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701"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16.9</w:t>
            </w:r>
          </w:p>
        </w:tc>
        <w:tc>
          <w:tcPr>
            <w:tcW w:w="1134"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19.6</w:t>
            </w:r>
          </w:p>
        </w:tc>
        <w:tc>
          <w:tcPr>
            <w:tcW w:w="1134"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74.7</w:t>
            </w:r>
          </w:p>
        </w:tc>
        <w:tc>
          <w:tcPr>
            <w:tcW w:w="992"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1559"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30.2</w:t>
            </w:r>
          </w:p>
        </w:tc>
      </w:tr>
      <w:tr w:rsidR="00174643">
        <w:tc>
          <w:tcPr>
            <w:tcW w:w="3085" w:type="dxa"/>
          </w:tcPr>
          <w:p w:rsidR="00174643" w:rsidRDefault="003A4F9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Palmitic acid (%)</w:t>
            </w:r>
          </w:p>
        </w:tc>
        <w:tc>
          <w:tcPr>
            <w:tcW w:w="992"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1134"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1074"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1053"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c>
          <w:tcPr>
            <w:tcW w:w="992"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p>
        </w:tc>
        <w:tc>
          <w:tcPr>
            <w:tcW w:w="1701"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12.9</w:t>
            </w:r>
          </w:p>
        </w:tc>
        <w:tc>
          <w:tcPr>
            <w:tcW w:w="1134"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17.0</w:t>
            </w:r>
          </w:p>
        </w:tc>
        <w:tc>
          <w:tcPr>
            <w:tcW w:w="1134"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57.4</w:t>
            </w:r>
          </w:p>
        </w:tc>
        <w:tc>
          <w:tcPr>
            <w:tcW w:w="992"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w:t>
            </w:r>
          </w:p>
        </w:tc>
        <w:tc>
          <w:tcPr>
            <w:tcW w:w="1559"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p>
        </w:tc>
      </w:tr>
      <w:tr w:rsidR="00174643">
        <w:tc>
          <w:tcPr>
            <w:tcW w:w="3085" w:type="dxa"/>
          </w:tcPr>
          <w:p w:rsidR="00174643" w:rsidRDefault="003A4F9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Oleic acid (%)</w:t>
            </w:r>
          </w:p>
        </w:tc>
        <w:tc>
          <w:tcPr>
            <w:tcW w:w="992"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22.8</w:t>
            </w:r>
          </w:p>
        </w:tc>
        <w:tc>
          <w:tcPr>
            <w:tcW w:w="1134"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86.4</w:t>
            </w:r>
          </w:p>
        </w:tc>
        <w:tc>
          <w:tcPr>
            <w:tcW w:w="1074"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48.2</w:t>
            </w:r>
          </w:p>
        </w:tc>
        <w:tc>
          <w:tcPr>
            <w:tcW w:w="1053"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506.1</w:t>
            </w:r>
          </w:p>
        </w:tc>
        <w:tc>
          <w:tcPr>
            <w:tcW w:w="992"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569.6</w:t>
            </w:r>
          </w:p>
        </w:tc>
        <w:tc>
          <w:tcPr>
            <w:tcW w:w="1701"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46.7</w:t>
            </w:r>
          </w:p>
        </w:tc>
        <w:tc>
          <w:tcPr>
            <w:tcW w:w="1134"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49.5</w:t>
            </w:r>
          </w:p>
        </w:tc>
        <w:tc>
          <w:tcPr>
            <w:tcW w:w="1134"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88.9</w:t>
            </w:r>
          </w:p>
        </w:tc>
        <w:tc>
          <w:tcPr>
            <w:tcW w:w="992"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43.7</w:t>
            </w:r>
          </w:p>
        </w:tc>
        <w:tc>
          <w:tcPr>
            <w:tcW w:w="1559"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90.6</w:t>
            </w:r>
          </w:p>
        </w:tc>
      </w:tr>
      <w:tr w:rsidR="00174643">
        <w:tc>
          <w:tcPr>
            <w:tcW w:w="3085" w:type="dxa"/>
          </w:tcPr>
          <w:p w:rsidR="00174643" w:rsidRDefault="003A4F9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Linoleic acid (%)</w:t>
            </w:r>
          </w:p>
        </w:tc>
        <w:tc>
          <w:tcPr>
            <w:tcW w:w="992"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1134"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68.2</w:t>
            </w:r>
          </w:p>
        </w:tc>
        <w:tc>
          <w:tcPr>
            <w:tcW w:w="1074"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42.9</w:t>
            </w:r>
          </w:p>
        </w:tc>
        <w:tc>
          <w:tcPr>
            <w:tcW w:w="1053"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458.6</w:t>
            </w:r>
          </w:p>
        </w:tc>
        <w:tc>
          <w:tcPr>
            <w:tcW w:w="992"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517.3</w:t>
            </w:r>
          </w:p>
        </w:tc>
        <w:tc>
          <w:tcPr>
            <w:tcW w:w="1701"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49.9</w:t>
            </w:r>
          </w:p>
        </w:tc>
        <w:tc>
          <w:tcPr>
            <w:tcW w:w="1134"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52.9</w:t>
            </w:r>
          </w:p>
        </w:tc>
        <w:tc>
          <w:tcPr>
            <w:tcW w:w="1134"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88.7</w:t>
            </w:r>
          </w:p>
        </w:tc>
        <w:tc>
          <w:tcPr>
            <w:tcW w:w="992"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41.5</w:t>
            </w:r>
          </w:p>
        </w:tc>
        <w:tc>
          <w:tcPr>
            <w:tcW w:w="1559" w:type="dxa"/>
          </w:tcPr>
          <w:p w:rsidR="00174643" w:rsidRDefault="003A4F9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96.7</w:t>
            </w:r>
          </w:p>
        </w:tc>
      </w:tr>
    </w:tbl>
    <w:p w:rsidR="00174643" w:rsidRDefault="00174643">
      <w:pPr>
        <w:spacing w:after="0"/>
        <w:jc w:val="both"/>
        <w:rPr>
          <w:rFonts w:ascii="Times New Roman" w:eastAsia="Times New Roman" w:hAnsi="Times New Roman" w:cs="Times New Roman"/>
          <w:b/>
          <w:sz w:val="24"/>
          <w:szCs w:val="24"/>
        </w:rPr>
        <w:sectPr w:rsidR="00174643">
          <w:pgSz w:w="16838" w:h="11906" w:orient="landscape"/>
          <w:pgMar w:top="1440" w:right="1440" w:bottom="1440" w:left="1440" w:header="709" w:footer="709" w:gutter="0"/>
          <w:cols w:space="720"/>
        </w:sectPr>
      </w:pPr>
    </w:p>
    <w:p w:rsidR="00174643" w:rsidRDefault="00174643">
      <w:pPr>
        <w:spacing w:after="0" w:line="360" w:lineRule="auto"/>
        <w:jc w:val="center"/>
        <w:rPr>
          <w:rFonts w:ascii="Times New Roman" w:eastAsia="Times New Roman" w:hAnsi="Times New Roman" w:cs="Times New Roman"/>
          <w:b/>
          <w:sz w:val="24"/>
          <w:szCs w:val="24"/>
        </w:rPr>
      </w:pPr>
    </w:p>
    <w:p w:rsidR="00174643" w:rsidRDefault="003A4F94">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 CONCLUSION </w:t>
      </w:r>
    </w:p>
    <w:p w:rsidR="00174643" w:rsidRDefault="003A4F94">
      <w:pPr>
        <w:spacing w:after="0" w:line="360" w:lineRule="auto"/>
        <w:ind w:firstLine="720"/>
        <w:jc w:val="both"/>
        <w:rPr>
          <w:rFonts w:ascii="Times New Roman" w:eastAsia="Times New Roman" w:hAnsi="Times New Roman" w:cs="Times New Roman"/>
          <w:sz w:val="28"/>
          <w:szCs w:val="28"/>
        </w:rPr>
      </w:pPr>
      <w:bookmarkStart w:id="3" w:name="_9n9pab6cxutr" w:colFirst="0" w:colLast="0"/>
      <w:bookmarkEnd w:id="3"/>
      <w:r>
        <w:rPr>
          <w:rFonts w:ascii="Times New Roman" w:eastAsia="Times New Roman" w:hAnsi="Times New Roman" w:cs="Times New Roman"/>
          <w:sz w:val="24"/>
          <w:szCs w:val="24"/>
        </w:rPr>
        <w:t>The present study reveals that there is a significant amount of variability among all the genotypes for all the traits studied. The highest seed yield per plant followed by linoleic acid, oleic acid, plant height, head diameter and 100 seed weight, respectively. Low GCV and PCV were recorded for days to maturity, days to 50% flowering and oil content, indicating less variability exists in these characters and highly influenced by the environments..High heritability values indicate that the characters under study are less influenced by environment and breeder may make his/her selection on the basis of phenotypic expression of these characters in the individual plant by adopting simple selection methods. High heritability traits coupled with moderate to high genetic advance in per cent of mean was offered scope of the traits for improvement through selection, so these characters could be improved more easily than the other traits. Generally, the breeder should adopt suitable breeding methodology to utilize in the future breeding program especially in case of sunflower.</w:t>
      </w:r>
    </w:p>
    <w:p w:rsidR="00174643" w:rsidRDefault="003A4F94">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DISCLAIMER (ARTIFICIAL INTELLIGENCE) </w:t>
      </w:r>
    </w:p>
    <w:p w:rsidR="00174643" w:rsidRDefault="003A4F9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Author(s) hereby declare that NO generative AI technologies such as Large Language Models (ChatGPT, COPILOT, etc) and text-to-image generators have been used during writing or editing of this manuscript. </w:t>
      </w:r>
    </w:p>
    <w:p w:rsidR="00174643" w:rsidRDefault="003A4F94">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p>
    <w:p w:rsidR="00174643" w:rsidRDefault="003A4F94">
      <w:pPr>
        <w:spacing w:after="0" w:line="360" w:lineRule="auto"/>
        <w:ind w:left="426" w:hanging="426"/>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Adhikari BN, Shrestha J, Dhakal B, Joshi BP, Bhatta NR. Agronomic performance and genotypic diversity for morphological traits among early maize genotypes. International Journal of Applied Biology. 2018;2(2):33-43.</w:t>
      </w:r>
    </w:p>
    <w:p w:rsidR="00174643" w:rsidRDefault="003A4F94">
      <w:pPr>
        <w:spacing w:after="0" w:line="360" w:lineRule="auto"/>
        <w:ind w:left="426" w:hanging="426"/>
        <w:jc w:val="both"/>
        <w:rPr>
          <w:rFonts w:ascii="Times New Roman" w:eastAsia="Times New Roman" w:hAnsi="Times New Roman" w:cs="Times New Roman"/>
          <w:color w:val="0000FF"/>
          <w:sz w:val="24"/>
          <w:szCs w:val="24"/>
        </w:rPr>
      </w:pPr>
      <w:r>
        <w:rPr>
          <w:rFonts w:ascii="Times New Roman" w:eastAsia="Times New Roman" w:hAnsi="Times New Roman" w:cs="Times New Roman"/>
          <w:sz w:val="24"/>
          <w:szCs w:val="24"/>
        </w:rPr>
        <w:t>Allard RW (1960) Principles of Plant Breeding. John Wiley and Sons Inc, New York, NY, USA.</w:t>
      </w:r>
    </w:p>
    <w:p w:rsidR="00174643" w:rsidRDefault="003A4F94">
      <w:pPr>
        <w:spacing w:after="0" w:line="360" w:lineRule="auto"/>
        <w:ind w:left="425" w:hanging="42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Anuradha B, Manivannan N, Sasikala R, Harish S, Senthivelu M.  Genetic variability and association studies in BC</w:t>
      </w:r>
      <w:r>
        <w:rPr>
          <w:rFonts w:ascii="Times New Roman" w:eastAsia="Times New Roman" w:hAnsi="Times New Roman" w:cs="Times New Roman"/>
          <w:sz w:val="24"/>
          <w:szCs w:val="24"/>
          <w:highlight w:val="white"/>
          <w:vertAlign w:val="subscript"/>
        </w:rPr>
        <w:t>3</w:t>
      </w:r>
      <w:r>
        <w:rPr>
          <w:rFonts w:ascii="Times New Roman" w:eastAsia="Times New Roman" w:hAnsi="Times New Roman" w:cs="Times New Roman"/>
          <w:sz w:val="24"/>
          <w:szCs w:val="24"/>
          <w:highlight w:val="white"/>
        </w:rPr>
        <w:t>F</w:t>
      </w:r>
      <w:r>
        <w:rPr>
          <w:rFonts w:ascii="Times New Roman" w:eastAsia="Times New Roman" w:hAnsi="Times New Roman" w:cs="Times New Roman"/>
          <w:sz w:val="24"/>
          <w:szCs w:val="24"/>
          <w:highlight w:val="white"/>
          <w:vertAlign w:val="subscript"/>
        </w:rPr>
        <w:t>1</w:t>
      </w:r>
      <w:r>
        <w:rPr>
          <w:rFonts w:ascii="Times New Roman" w:eastAsia="Times New Roman" w:hAnsi="Times New Roman" w:cs="Times New Roman"/>
          <w:sz w:val="24"/>
          <w:szCs w:val="24"/>
          <w:highlight w:val="white"/>
        </w:rPr>
        <w:t xml:space="preserve"> population of sunflower (</w:t>
      </w:r>
      <w:r>
        <w:rPr>
          <w:rFonts w:ascii="Times New Roman" w:eastAsia="Times New Roman" w:hAnsi="Times New Roman" w:cs="Times New Roman"/>
          <w:i/>
          <w:sz w:val="24"/>
          <w:szCs w:val="24"/>
          <w:highlight w:val="white"/>
        </w:rPr>
        <w:t>Helianthus  annuus</w:t>
      </w:r>
      <w:r>
        <w:rPr>
          <w:rFonts w:ascii="Times New Roman" w:eastAsia="Times New Roman" w:hAnsi="Times New Roman" w:cs="Times New Roman"/>
          <w:sz w:val="24"/>
          <w:szCs w:val="24"/>
          <w:highlight w:val="white"/>
        </w:rPr>
        <w:t xml:space="preserve"> L.). Electronic Journal of Plant Breeding, 2023;14(3):923-927.</w:t>
      </w:r>
    </w:p>
    <w:p w:rsidR="00174643" w:rsidRDefault="003A4F94">
      <w:pPr>
        <w:spacing w:after="0" w:line="36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Baraiya VK, Jagtap PK, Patel HR. Genetic variability, heritability and genetic advance for seed yield in sunflower (</w:t>
      </w:r>
      <w:r>
        <w:rPr>
          <w:rFonts w:ascii="Times New Roman" w:eastAsia="Times New Roman" w:hAnsi="Times New Roman" w:cs="Times New Roman"/>
          <w:i/>
          <w:sz w:val="24"/>
          <w:szCs w:val="24"/>
        </w:rPr>
        <w:t>Helianthus annuus</w:t>
      </w:r>
      <w:r>
        <w:rPr>
          <w:rFonts w:ascii="Times New Roman" w:eastAsia="Times New Roman" w:hAnsi="Times New Roman" w:cs="Times New Roman"/>
          <w:sz w:val="24"/>
          <w:szCs w:val="24"/>
        </w:rPr>
        <w:t xml:space="preserve"> L.). Int J Chem Stud 2018;6(5):2141-2143.</w:t>
      </w:r>
    </w:p>
    <w:p w:rsidR="00174643" w:rsidRDefault="003A4F94">
      <w:pPr>
        <w:spacing w:after="0" w:line="36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Burton GW. Quantitative inheritance in grasses. Proceedings of the 6th International Grassland Congress</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1952;1:277-283.</w:t>
      </w:r>
    </w:p>
    <w:p w:rsidR="00174643" w:rsidRDefault="003A4F94">
      <w:pPr>
        <w:spacing w:after="0" w:line="36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Deshmukh SNN, Basu MS, Reddy PS. Genetic variability, character association and path coefficients of quantitative traits in Virginia bunch varieties of groundnut. Indian Journal of Agricultural Sciences. 1986;56:816-821.</w:t>
      </w:r>
    </w:p>
    <w:p w:rsidR="00174643" w:rsidRDefault="003A4F94">
      <w:pPr>
        <w:spacing w:after="0" w:line="36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Directorate of Economics and Statistics. https://ecostat.telangana.gov.in/telangana 2023 </w:t>
      </w:r>
    </w:p>
    <w:p w:rsidR="00174643" w:rsidRDefault="003A4F94">
      <w:pPr>
        <w:spacing w:after="0" w:line="36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Dudhe MY, Sujatha M, Meena HP, Ranganatha ARG, Varaprasad KS, Vishnuvardhan Reddy A. Genetic variability, diversity and identification of trait-specific accessions from the conserved sunflower germplasm for exploitation in the breeding program. Agricultural Research. 2019;3:16.</w:t>
      </w:r>
    </w:p>
    <w:p w:rsidR="00174643" w:rsidRDefault="003A4F94">
      <w:pPr>
        <w:spacing w:after="0" w:line="36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Gatti I, Anido FL, Vanina C, Asprelli P, Country E. Heritability and expected selection response for yield traits in blanched asparagus. Genet Mole Res. 2005;4(1):67-73.</w:t>
      </w:r>
    </w:p>
    <w:p w:rsidR="00174643" w:rsidRDefault="003A4F94">
      <w:pPr>
        <w:spacing w:after="0" w:line="36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Johnson HW, Robinson HF, Comstock RE. Estimates of genetic and environmental variability in soybeans. Agronomy Journal. 1955;47(7):314-318. </w:t>
      </w:r>
    </w:p>
    <w:p w:rsidR="00174643" w:rsidRDefault="003A4F94">
      <w:pPr>
        <w:spacing w:after="0" w:line="36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Kalukhe RD, Gaikwad AP, Gokhale DN. Genetic variability and correlation studies in sunflower. Journal of Maharashtra Agricultural Universities. 2010;35(3):365-368.</w:t>
      </w:r>
    </w:p>
    <w:p w:rsidR="00174643" w:rsidRDefault="003A4F94">
      <w:pPr>
        <w:spacing w:after="0" w:line="36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Kumar S,  Ram S,  Chakraborty M,  Ahmad E,  Verma N,  Lal HC,  Prasad Y,  Kumar K,  Bhushan S ,  Choudhary AK. Role of genetic variability for seed yield and its attributes in linseed (</w:t>
      </w:r>
      <w:r>
        <w:rPr>
          <w:rFonts w:ascii="Times New Roman" w:eastAsia="Times New Roman" w:hAnsi="Times New Roman" w:cs="Times New Roman"/>
          <w:i/>
          <w:sz w:val="24"/>
          <w:szCs w:val="24"/>
        </w:rPr>
        <w:t>Linumusitatissimum</w:t>
      </w:r>
      <w:r>
        <w:rPr>
          <w:rFonts w:ascii="Times New Roman" w:eastAsia="Times New Roman" w:hAnsi="Times New Roman" w:cs="Times New Roman"/>
          <w:sz w:val="24"/>
          <w:szCs w:val="24"/>
        </w:rPr>
        <w:t xml:space="preserve"> L.) improvement. J. Pharmacogn. Phytochem. 2019;266-268.</w:t>
      </w:r>
    </w:p>
    <w:p w:rsidR="00174643" w:rsidRDefault="003A4F94">
      <w:pPr>
        <w:spacing w:after="0" w:line="360" w:lineRule="auto"/>
        <w:ind w:left="425" w:hanging="42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Lakshman  SS,  Chakraborty  N R,  Debnath S, Kant  A. Genetic variability, character    association    and    divergence studies  in  sunflower  (</w:t>
      </w:r>
      <w:r>
        <w:rPr>
          <w:rFonts w:ascii="Times New Roman" w:eastAsia="Times New Roman" w:hAnsi="Times New Roman" w:cs="Times New Roman"/>
          <w:i/>
          <w:sz w:val="24"/>
          <w:szCs w:val="24"/>
          <w:highlight w:val="white"/>
        </w:rPr>
        <w:t>Helianthus  annuus</w:t>
      </w:r>
      <w:r>
        <w:rPr>
          <w:rFonts w:ascii="Times New Roman" w:eastAsia="Times New Roman" w:hAnsi="Times New Roman" w:cs="Times New Roman"/>
          <w:sz w:val="24"/>
          <w:szCs w:val="24"/>
          <w:highlight w:val="white"/>
        </w:rPr>
        <w:t xml:space="preserve"> L.)  for improvement  in  oil  yield. African Journal of Biological Sciences. 2021;3(1):129-145.</w:t>
      </w:r>
    </w:p>
    <w:p w:rsidR="00174643" w:rsidRDefault="003A4F94">
      <w:pPr>
        <w:spacing w:after="0" w:line="36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Makane VG, Patel PR, Patel KG. Genetic variability, heritability and genetic advance in sunflower. Research on Crops. 2011;12(2):449-451.</w:t>
      </w:r>
    </w:p>
    <w:p w:rsidR="00174643" w:rsidRDefault="003A4F94">
      <w:pPr>
        <w:spacing w:after="0" w:line="36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Mallik SK, Patro TSSK, Mishra PK. Genetic analysis of yield and oil traits in sunflower. International Journal of Current Microbiology and Applied Sciences. 2020;9(9):2367-2373.</w:t>
      </w:r>
    </w:p>
    <w:p w:rsidR="00174643" w:rsidRDefault="003A4F94">
      <w:pPr>
        <w:spacing w:after="0" w:line="36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Mamta S, Ramesh S, Dadhwal M. Genetic variability, heritability and genetic advance in sunflower (</w:t>
      </w:r>
      <w:r>
        <w:rPr>
          <w:rFonts w:ascii="Times New Roman" w:eastAsia="Times New Roman" w:hAnsi="Times New Roman" w:cs="Times New Roman"/>
          <w:i/>
          <w:sz w:val="24"/>
          <w:szCs w:val="24"/>
        </w:rPr>
        <w:t>Helianthus annuus</w:t>
      </w:r>
      <w:r>
        <w:rPr>
          <w:rFonts w:ascii="Times New Roman" w:eastAsia="Times New Roman" w:hAnsi="Times New Roman" w:cs="Times New Roman"/>
          <w:sz w:val="24"/>
          <w:szCs w:val="24"/>
        </w:rPr>
        <w:t xml:space="preserve"> L.). International Journal of Agriculture Sciences. 2017;9(6):3850-3852.</w:t>
      </w:r>
    </w:p>
    <w:p w:rsidR="00174643" w:rsidRDefault="003A4F94">
      <w:pPr>
        <w:spacing w:after="0" w:line="360" w:lineRule="auto"/>
        <w:ind w:left="425" w:hanging="42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Mariyam N, Kulkarni  VV, Sujatha M, Tembhurne BV, Poornima  B. Assessment   of   geneticvariability   and character associations in sunflower (</w:t>
      </w:r>
      <w:r>
        <w:rPr>
          <w:rFonts w:ascii="Times New Roman" w:eastAsia="Times New Roman" w:hAnsi="Times New Roman" w:cs="Times New Roman"/>
          <w:i/>
          <w:sz w:val="24"/>
          <w:szCs w:val="24"/>
          <w:highlight w:val="white"/>
        </w:rPr>
        <w:t>Helianthus  annuus</w:t>
      </w:r>
      <w:r>
        <w:rPr>
          <w:rFonts w:ascii="Times New Roman" w:eastAsia="Times New Roman" w:hAnsi="Times New Roman" w:cs="Times New Roman"/>
          <w:sz w:val="24"/>
          <w:szCs w:val="24"/>
          <w:highlight w:val="white"/>
        </w:rPr>
        <w:t xml:space="preserve"> L.) yield  related  traits. Asian Journal of Soil Science and Plant Nutrition, 2024;10(1):320-327.</w:t>
      </w:r>
    </w:p>
    <w:p w:rsidR="00174643" w:rsidRDefault="003A4F94">
      <w:pPr>
        <w:spacing w:after="0" w:line="36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Meena HP, Sujatha M, Varaprasad KS. Achievements and bottlenecks of heterosis breeding of sunflower (</w:t>
      </w:r>
      <w:r>
        <w:rPr>
          <w:rFonts w:ascii="Times New Roman" w:eastAsia="Times New Roman" w:hAnsi="Times New Roman" w:cs="Times New Roman"/>
          <w:i/>
          <w:sz w:val="24"/>
          <w:szCs w:val="24"/>
        </w:rPr>
        <w:t>Helianthus annuus</w:t>
      </w:r>
      <w:r>
        <w:rPr>
          <w:rFonts w:ascii="Times New Roman" w:eastAsia="Times New Roman" w:hAnsi="Times New Roman" w:cs="Times New Roman"/>
          <w:sz w:val="24"/>
          <w:szCs w:val="24"/>
        </w:rPr>
        <w:t xml:space="preserve"> L.) in India. Indian Journal of Genetics and Plant Breeding. 2013;73(2):123-130.</w:t>
      </w:r>
    </w:p>
    <w:p w:rsidR="00174643" w:rsidRDefault="003A4F94">
      <w:pPr>
        <w:spacing w:after="0" w:line="36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Mohan VD, Meena HP, Sandhyasree G, Payasi SK. Assessment of genetic variability, heritability and genetic advance in sunflower (</w:t>
      </w:r>
      <w:r>
        <w:rPr>
          <w:rFonts w:ascii="Times New Roman" w:eastAsia="Times New Roman" w:hAnsi="Times New Roman" w:cs="Times New Roman"/>
          <w:i/>
          <w:sz w:val="24"/>
          <w:szCs w:val="24"/>
        </w:rPr>
        <w:t>Helianthus annuus</w:t>
      </w:r>
      <w:r>
        <w:rPr>
          <w:rFonts w:ascii="Times New Roman" w:eastAsia="Times New Roman" w:hAnsi="Times New Roman" w:cs="Times New Roman"/>
          <w:sz w:val="24"/>
          <w:szCs w:val="24"/>
        </w:rPr>
        <w:t xml:space="preserve"> L.) genotypes for seed yield and other agronomic traits. Environment and Ecology. 2022;40(2A):451-457. </w:t>
      </w:r>
    </w:p>
    <w:p w:rsidR="00174643" w:rsidRDefault="003A4F94">
      <w:pPr>
        <w:spacing w:after="0" w:line="36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Mohan VD, Sandhyasree G, Meena HP, Payasi SK. Estimation of mean performance and genetic association of yield and yield components traits under rainfed condition in sunflower (</w:t>
      </w:r>
      <w:r>
        <w:rPr>
          <w:rFonts w:ascii="Times New Roman" w:eastAsia="Times New Roman" w:hAnsi="Times New Roman" w:cs="Times New Roman"/>
          <w:i/>
          <w:sz w:val="24"/>
          <w:szCs w:val="24"/>
        </w:rPr>
        <w:t>Helianthus annuus</w:t>
      </w:r>
      <w:r>
        <w:rPr>
          <w:rFonts w:ascii="Times New Roman" w:eastAsia="Times New Roman" w:hAnsi="Times New Roman" w:cs="Times New Roman"/>
          <w:sz w:val="24"/>
          <w:szCs w:val="24"/>
        </w:rPr>
        <w:t xml:space="preserve"> L.). International Journal of Agricultural Invention. 2020;5(2):203-207.</w:t>
      </w:r>
    </w:p>
    <w:p w:rsidR="00174643" w:rsidRDefault="003A4F94">
      <w:pPr>
        <w:spacing w:after="0" w:line="360" w:lineRule="auto"/>
        <w:ind w:left="426" w:hanging="426"/>
        <w:jc w:val="both"/>
        <w:rPr>
          <w:rFonts w:ascii="Times New Roman" w:eastAsia="Times New Roman" w:hAnsi="Times New Roman" w:cs="Times New Roman"/>
          <w:sz w:val="32"/>
          <w:szCs w:val="32"/>
        </w:rPr>
      </w:pPr>
      <w:r>
        <w:rPr>
          <w:rFonts w:ascii="Times New Roman" w:eastAsia="Times New Roman" w:hAnsi="Times New Roman" w:cs="Times New Roman"/>
          <w:color w:val="212121"/>
          <w:sz w:val="24"/>
          <w:szCs w:val="24"/>
          <w:highlight w:val="white"/>
        </w:rPr>
        <w:t>Mola T, Nepir G, Jarso M. Genetic variability, heritability andgenetic advance for seed yield and yield related traits of sunflower (</w:t>
      </w:r>
      <w:r>
        <w:rPr>
          <w:rFonts w:ascii="Times New Roman" w:eastAsia="Times New Roman" w:hAnsi="Times New Roman" w:cs="Times New Roman"/>
          <w:i/>
          <w:color w:val="212121"/>
          <w:sz w:val="24"/>
          <w:szCs w:val="24"/>
          <w:highlight w:val="white"/>
        </w:rPr>
        <w:t>Helianthus annuus</w:t>
      </w:r>
      <w:r>
        <w:rPr>
          <w:rFonts w:ascii="Times New Roman" w:eastAsia="Times New Roman" w:hAnsi="Times New Roman" w:cs="Times New Roman"/>
          <w:color w:val="212121"/>
          <w:sz w:val="24"/>
          <w:szCs w:val="24"/>
          <w:highlight w:val="white"/>
        </w:rPr>
        <w:t xml:space="preserve"> L.) genotypes in central highlands of ethiopia. </w:t>
      </w:r>
      <w:r>
        <w:rPr>
          <w:rFonts w:ascii="Times New Roman" w:eastAsia="Times New Roman" w:hAnsi="Times New Roman" w:cs="Times New Roman"/>
          <w:sz w:val="24"/>
          <w:szCs w:val="24"/>
        </w:rPr>
        <w:t>Advances in Crop Science and Technology. 2024;</w:t>
      </w:r>
      <w:r>
        <w:rPr>
          <w:rFonts w:ascii="Times New Roman" w:eastAsia="Times New Roman" w:hAnsi="Times New Roman" w:cs="Times New Roman"/>
          <w:color w:val="212121"/>
          <w:sz w:val="24"/>
          <w:szCs w:val="24"/>
          <w:highlight w:val="white"/>
        </w:rPr>
        <w:t>12:667.</w:t>
      </w:r>
    </w:p>
    <w:p w:rsidR="00174643" w:rsidRDefault="003A4F94">
      <w:pPr>
        <w:spacing w:after="0" w:line="360" w:lineRule="auto"/>
        <w:ind w:left="425"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Narkhede TA, Pole SP, Singh G, Zade PS, Mirkad SB. Studies on variability, heritability, genetic advance and character association for yield and yield attributes in sunflower (</w:t>
      </w:r>
      <w:r>
        <w:rPr>
          <w:rFonts w:ascii="Times New Roman" w:eastAsia="Times New Roman" w:hAnsi="Times New Roman" w:cs="Times New Roman"/>
          <w:i/>
          <w:sz w:val="24"/>
          <w:szCs w:val="24"/>
          <w:highlight w:val="white"/>
        </w:rPr>
        <w:t>Helianthus annuus</w:t>
      </w:r>
      <w:r>
        <w:rPr>
          <w:rFonts w:ascii="Times New Roman" w:eastAsia="Times New Roman" w:hAnsi="Times New Roman" w:cs="Times New Roman"/>
          <w:sz w:val="24"/>
          <w:szCs w:val="24"/>
          <w:highlight w:val="white"/>
        </w:rPr>
        <w:t xml:space="preserve"> L.) inbreds. Journal of Advances in Biology &amp; Biotechnology 2025;28(7):1487-1496.</w:t>
      </w:r>
    </w:p>
    <w:p w:rsidR="00174643" w:rsidRDefault="003A4F94">
      <w:pPr>
        <w:spacing w:after="0" w:line="36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Neelima TL, Reddy TP, Srinivas T. Estimation of genetic parameters for yield and quality traits in sunflower. Research Journal of Agricultural Sciences. 2016;7(1):54-57.</w:t>
      </w:r>
    </w:p>
    <w:p w:rsidR="00174643" w:rsidRDefault="003A4F94">
      <w:pPr>
        <w:spacing w:after="0" w:line="36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Reddy TD, Reddy BM. Studies on genetic variability, heritability and genetic advance in sunflower. Research on Crops. 2006;7(2):480-482.</w:t>
      </w:r>
    </w:p>
    <w:p w:rsidR="00174643" w:rsidRDefault="003A4F94">
      <w:pPr>
        <w:spacing w:after="0" w:line="36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Reena P, Venkateswarlu O, Raghavaiah CV. Variability studies in sunflower (</w:t>
      </w:r>
      <w:r>
        <w:rPr>
          <w:rFonts w:ascii="Times New Roman" w:eastAsia="Times New Roman" w:hAnsi="Times New Roman" w:cs="Times New Roman"/>
          <w:i/>
          <w:sz w:val="24"/>
          <w:szCs w:val="24"/>
        </w:rPr>
        <w:t>Helianthus annuus</w:t>
      </w:r>
      <w:r>
        <w:rPr>
          <w:rFonts w:ascii="Times New Roman" w:eastAsia="Times New Roman" w:hAnsi="Times New Roman" w:cs="Times New Roman"/>
          <w:sz w:val="24"/>
          <w:szCs w:val="24"/>
        </w:rPr>
        <w:t xml:space="preserve"> L.). International Journal of Chemical Studies. 2019;7(2):208-212.</w:t>
      </w:r>
    </w:p>
    <w:p w:rsidR="00174643" w:rsidRDefault="003A4F94">
      <w:pPr>
        <w:spacing w:after="0" w:line="36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Sandhya Sree P, Venkateshwarlu O, Shanker G. Estimation of genetic variability and trait associations in sunflower (</w:t>
      </w:r>
      <w:r>
        <w:rPr>
          <w:rFonts w:ascii="Times New Roman" w:eastAsia="Times New Roman" w:hAnsi="Times New Roman" w:cs="Times New Roman"/>
          <w:i/>
          <w:sz w:val="24"/>
          <w:szCs w:val="24"/>
        </w:rPr>
        <w:t>Helianthus annuus</w:t>
      </w:r>
      <w:r>
        <w:rPr>
          <w:rFonts w:ascii="Times New Roman" w:eastAsia="Times New Roman" w:hAnsi="Times New Roman" w:cs="Times New Roman"/>
          <w:sz w:val="24"/>
          <w:szCs w:val="24"/>
        </w:rPr>
        <w:t xml:space="preserve"> L.). International Journal of Plant Sciences. 2022;17(1):78-82.</w:t>
      </w:r>
    </w:p>
    <w:p w:rsidR="00174643" w:rsidRDefault="003A4F94">
      <w:pPr>
        <w:spacing w:after="0" w:line="36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Schilling EE. Taxonomy of </w:t>
      </w:r>
      <w:r>
        <w:rPr>
          <w:rFonts w:ascii="Times New Roman" w:eastAsia="Times New Roman" w:hAnsi="Times New Roman" w:cs="Times New Roman"/>
          <w:i/>
          <w:sz w:val="24"/>
          <w:szCs w:val="24"/>
        </w:rPr>
        <w:t>Helianthus</w:t>
      </w:r>
      <w:r>
        <w:rPr>
          <w:rFonts w:ascii="Times New Roman" w:eastAsia="Times New Roman" w:hAnsi="Times New Roman" w:cs="Times New Roman"/>
          <w:sz w:val="24"/>
          <w:szCs w:val="24"/>
        </w:rPr>
        <w:t>. Plant Systematics and Evolution. 2006;261(3):193-199.</w:t>
      </w:r>
    </w:p>
    <w:p w:rsidR="00174643" w:rsidRDefault="003A4F94">
      <w:pPr>
        <w:spacing w:after="0" w:line="360" w:lineRule="auto"/>
        <w:ind w:left="426" w:hanging="426"/>
        <w:jc w:val="both"/>
        <w:rPr>
          <w:rFonts w:ascii="Times New Roman" w:eastAsia="Times New Roman" w:hAnsi="Times New Roman" w:cs="Times New Roman"/>
          <w:color w:val="0000FF"/>
          <w:sz w:val="24"/>
          <w:szCs w:val="24"/>
        </w:rPr>
      </w:pPr>
      <w:r>
        <w:rPr>
          <w:rFonts w:ascii="Times New Roman" w:eastAsia="Times New Roman" w:hAnsi="Times New Roman" w:cs="Times New Roman"/>
          <w:sz w:val="24"/>
          <w:szCs w:val="24"/>
        </w:rPr>
        <w:t>Singh BD. Plant Breeding Principles and Methods. 6th edn. Kalyani Publishers, New Dehli, India 2000.</w:t>
      </w:r>
    </w:p>
    <w:p w:rsidR="00174643" w:rsidRDefault="003A4F94">
      <w:pPr>
        <w:spacing w:after="0" w:line="36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SivaSubramanian V, Madhava MP. Path analysis for yield eld and yield components of rice. Madras Agricultural Journal. 1973;60:1217-1221.</w:t>
      </w:r>
    </w:p>
    <w:p w:rsidR="00174643" w:rsidRDefault="003A4F94">
      <w:pPr>
        <w:spacing w:after="0" w:line="36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Stebbins GL, Clausen J, Hiesey WM. The evolution and taxonomy of sunflower. Botanical Gazette. 2013;174(1):31-40.</w:t>
      </w:r>
    </w:p>
    <w:p w:rsidR="00174643" w:rsidRDefault="003A4F94">
      <w:pPr>
        <w:spacing w:after="0" w:line="360" w:lineRule="auto"/>
        <w:ind w:left="426" w:hanging="426"/>
        <w:jc w:val="both"/>
        <w:rPr>
          <w:rFonts w:ascii="Times New Roman" w:eastAsia="Times New Roman" w:hAnsi="Times New Roman" w:cs="Times New Roman"/>
          <w:color w:val="0000FF"/>
          <w:sz w:val="24"/>
          <w:szCs w:val="24"/>
        </w:rPr>
      </w:pPr>
      <w:r>
        <w:rPr>
          <w:rFonts w:ascii="Times New Roman" w:eastAsia="Times New Roman" w:hAnsi="Times New Roman" w:cs="Times New Roman"/>
          <w:sz w:val="24"/>
          <w:szCs w:val="24"/>
        </w:rPr>
        <w:t>Supriya SM, Kulkarni VV, Goud IS, Lokesha R, Govindappa MR. Genetic variability studies for yield and yield components in sunflower (</w:t>
      </w:r>
      <w:r>
        <w:rPr>
          <w:rFonts w:ascii="Times New Roman" w:eastAsia="Times New Roman" w:hAnsi="Times New Roman" w:cs="Times New Roman"/>
          <w:i/>
          <w:sz w:val="24"/>
          <w:szCs w:val="24"/>
        </w:rPr>
        <w:t>Helianthus annuus</w:t>
      </w:r>
      <w:r>
        <w:rPr>
          <w:rFonts w:ascii="Times New Roman" w:eastAsia="Times New Roman" w:hAnsi="Times New Roman" w:cs="Times New Roman"/>
          <w:sz w:val="24"/>
          <w:szCs w:val="24"/>
        </w:rPr>
        <w:t xml:space="preserve"> L.). Electronic Journal of Plant Breeding. 2016;7(3):737-741.</w:t>
      </w:r>
    </w:p>
    <w:p w:rsidR="00174643" w:rsidRDefault="003A4F94">
      <w:pPr>
        <w:spacing w:after="0" w:line="36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Tyagi SD, Tyagi JP. Variability studies in some quantitative characters in sunflower (</w:t>
      </w:r>
      <w:r>
        <w:rPr>
          <w:rFonts w:ascii="Times New Roman" w:eastAsia="Times New Roman" w:hAnsi="Times New Roman" w:cs="Times New Roman"/>
          <w:i/>
          <w:sz w:val="24"/>
          <w:szCs w:val="24"/>
        </w:rPr>
        <w:t>Helianthus annuus</w:t>
      </w:r>
      <w:r>
        <w:rPr>
          <w:rFonts w:ascii="Times New Roman" w:eastAsia="Times New Roman" w:hAnsi="Times New Roman" w:cs="Times New Roman"/>
          <w:sz w:val="24"/>
          <w:szCs w:val="24"/>
        </w:rPr>
        <w:t xml:space="preserve"> L.). Indian Journal of Plant Genetic Resources. 2011;24(2):240-242.</w:t>
      </w:r>
    </w:p>
    <w:p w:rsidR="00174643" w:rsidRDefault="003A4F94">
      <w:pPr>
        <w:spacing w:after="0" w:line="360" w:lineRule="auto"/>
        <w:ind w:left="425" w:hanging="425"/>
        <w:jc w:val="both"/>
        <w:rPr>
          <w:rFonts w:ascii="Times New Roman" w:eastAsia="Times New Roman" w:hAnsi="Times New Roman" w:cs="Times New Roman"/>
          <w:sz w:val="40"/>
          <w:szCs w:val="40"/>
        </w:rPr>
      </w:pPr>
      <w:r>
        <w:rPr>
          <w:rFonts w:ascii="Times New Roman" w:eastAsia="Times New Roman" w:hAnsi="Times New Roman" w:cs="Times New Roman"/>
          <w:sz w:val="24"/>
          <w:szCs w:val="24"/>
          <w:highlight w:val="white"/>
        </w:rPr>
        <w:t>Varshitha V, Prabhavathi K,  Meena HP, Yadav P. Study    of    genetic variability  for  yield  and  quality  parameters in  newly  developed  sunflower  (</w:t>
      </w:r>
      <w:r>
        <w:rPr>
          <w:rFonts w:ascii="Times New Roman" w:eastAsia="Times New Roman" w:hAnsi="Times New Roman" w:cs="Times New Roman"/>
          <w:i/>
          <w:sz w:val="24"/>
          <w:szCs w:val="24"/>
          <w:highlight w:val="white"/>
        </w:rPr>
        <w:t>Helianthus annuus</w:t>
      </w:r>
      <w:r>
        <w:rPr>
          <w:rFonts w:ascii="Times New Roman" w:eastAsia="Times New Roman" w:hAnsi="Times New Roman" w:cs="Times New Roman"/>
          <w:sz w:val="24"/>
          <w:szCs w:val="24"/>
          <w:highlight w:val="white"/>
        </w:rPr>
        <w:t xml:space="preserve"> L.) interspecific derivatives  over two    seasons. International Journal of Environment and Climate Change. 2023;13(10):3226-3234.</w:t>
      </w:r>
    </w:p>
    <w:p w:rsidR="00174643" w:rsidRDefault="003A4F94">
      <w:pPr>
        <w:spacing w:after="0" w:line="36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Zade PS, Pole SP, Singh G, Narkhede TA, Rathod ST. Studies on genetic variability in sunflower (</w:t>
      </w:r>
      <w:r>
        <w:rPr>
          <w:rFonts w:ascii="Times New Roman" w:eastAsia="Times New Roman" w:hAnsi="Times New Roman" w:cs="Times New Roman"/>
          <w:i/>
          <w:sz w:val="24"/>
          <w:szCs w:val="24"/>
        </w:rPr>
        <w:t>Helianthus annuus</w:t>
      </w:r>
      <w:r>
        <w:rPr>
          <w:rFonts w:ascii="Times New Roman" w:eastAsia="Times New Roman" w:hAnsi="Times New Roman" w:cs="Times New Roman"/>
          <w:sz w:val="24"/>
          <w:szCs w:val="24"/>
        </w:rPr>
        <w:t xml:space="preserve"> L.). International Journal of Plant and Soil Science. 2025;37(8):153-160. </w:t>
      </w:r>
    </w:p>
    <w:sectPr w:rsidR="00174643" w:rsidSect="003E1FCB">
      <w:pgSz w:w="11906" w:h="16838"/>
      <w:pgMar w:top="1440" w:right="1440" w:bottom="1440" w:left="1440"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7970" w:rsidRDefault="00E47970" w:rsidP="00101191">
      <w:pPr>
        <w:spacing w:after="0" w:line="240" w:lineRule="auto"/>
      </w:pPr>
      <w:r>
        <w:separator/>
      </w:r>
    </w:p>
  </w:endnote>
  <w:endnote w:type="continuationSeparator" w:id="1">
    <w:p w:rsidR="00E47970" w:rsidRDefault="00E47970" w:rsidP="001011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191" w:rsidRDefault="0010119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191" w:rsidRDefault="0010119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191" w:rsidRDefault="001011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7970" w:rsidRDefault="00E47970" w:rsidP="00101191">
      <w:pPr>
        <w:spacing w:after="0" w:line="240" w:lineRule="auto"/>
      </w:pPr>
      <w:r>
        <w:separator/>
      </w:r>
    </w:p>
  </w:footnote>
  <w:footnote w:type="continuationSeparator" w:id="1">
    <w:p w:rsidR="00E47970" w:rsidRDefault="00E47970" w:rsidP="001011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191" w:rsidRDefault="001606B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3132938"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191" w:rsidRDefault="001606B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3132939"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191" w:rsidRDefault="001606B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3132937"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4A4475"/>
    <w:multiLevelType w:val="multilevel"/>
    <w:tmpl w:val="F39C31E8"/>
    <w:lvl w:ilvl="0">
      <w:start w:val="1"/>
      <w:numFmt w:val="decimal"/>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8194"/>
    <o:shapelayout v:ext="edit">
      <o:idmap v:ext="edit" data="2"/>
    </o:shapelayout>
  </w:hdrShapeDefaults>
  <w:footnotePr>
    <w:footnote w:id="0"/>
    <w:footnote w:id="1"/>
  </w:footnotePr>
  <w:endnotePr>
    <w:endnote w:id="0"/>
    <w:endnote w:id="1"/>
  </w:endnotePr>
  <w:compat/>
  <w:rsids>
    <w:rsidRoot w:val="00174643"/>
    <w:rsid w:val="00024E49"/>
    <w:rsid w:val="000A2FB3"/>
    <w:rsid w:val="000F2D27"/>
    <w:rsid w:val="00101191"/>
    <w:rsid w:val="001606BF"/>
    <w:rsid w:val="00174643"/>
    <w:rsid w:val="002F5696"/>
    <w:rsid w:val="003A4F94"/>
    <w:rsid w:val="003E1FCB"/>
    <w:rsid w:val="004E797F"/>
    <w:rsid w:val="007036AC"/>
    <w:rsid w:val="008D677D"/>
    <w:rsid w:val="008E7C39"/>
    <w:rsid w:val="00A556B3"/>
    <w:rsid w:val="00A570AA"/>
    <w:rsid w:val="00AC05B3"/>
    <w:rsid w:val="00B02239"/>
    <w:rsid w:val="00B2142E"/>
    <w:rsid w:val="00B615A6"/>
    <w:rsid w:val="00BA22EC"/>
    <w:rsid w:val="00BB3362"/>
    <w:rsid w:val="00C306B9"/>
    <w:rsid w:val="00DB42AD"/>
    <w:rsid w:val="00DC6D46"/>
    <w:rsid w:val="00E04969"/>
    <w:rsid w:val="00E47970"/>
    <w:rsid w:val="00E639BC"/>
    <w:rsid w:val="00E675F3"/>
    <w:rsid w:val="00EC6C12"/>
    <w:rsid w:val="00ED6A13"/>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FCB"/>
  </w:style>
  <w:style w:type="paragraph" w:styleId="Heading1">
    <w:name w:val="heading 1"/>
    <w:basedOn w:val="Normal"/>
    <w:next w:val="Normal"/>
    <w:uiPriority w:val="9"/>
    <w:qFormat/>
    <w:rsid w:val="003E1FCB"/>
    <w:pPr>
      <w:keepNext/>
      <w:keepLines/>
      <w:spacing w:before="360" w:after="80" w:line="278" w:lineRule="auto"/>
      <w:outlineLvl w:val="0"/>
    </w:pPr>
    <w:rPr>
      <w:color w:val="2F5496"/>
      <w:sz w:val="40"/>
      <w:szCs w:val="40"/>
    </w:rPr>
  </w:style>
  <w:style w:type="paragraph" w:styleId="Heading2">
    <w:name w:val="heading 2"/>
    <w:basedOn w:val="Normal"/>
    <w:next w:val="Normal"/>
    <w:uiPriority w:val="9"/>
    <w:semiHidden/>
    <w:unhideWhenUsed/>
    <w:qFormat/>
    <w:rsid w:val="003E1FCB"/>
    <w:pPr>
      <w:keepNext/>
      <w:keepLines/>
      <w:spacing w:before="160" w:after="80" w:line="278" w:lineRule="auto"/>
      <w:outlineLvl w:val="1"/>
    </w:pPr>
    <w:rPr>
      <w:color w:val="2F5496"/>
      <w:sz w:val="32"/>
      <w:szCs w:val="32"/>
    </w:rPr>
  </w:style>
  <w:style w:type="paragraph" w:styleId="Heading3">
    <w:name w:val="heading 3"/>
    <w:basedOn w:val="Normal"/>
    <w:next w:val="Normal"/>
    <w:uiPriority w:val="9"/>
    <w:semiHidden/>
    <w:unhideWhenUsed/>
    <w:qFormat/>
    <w:rsid w:val="003E1FCB"/>
    <w:pPr>
      <w:keepNext/>
      <w:keepLines/>
      <w:spacing w:before="160" w:after="80" w:line="278" w:lineRule="auto"/>
      <w:outlineLvl w:val="2"/>
    </w:pPr>
    <w:rPr>
      <w:color w:val="2F5496"/>
      <w:sz w:val="28"/>
      <w:szCs w:val="28"/>
    </w:rPr>
  </w:style>
  <w:style w:type="paragraph" w:styleId="Heading4">
    <w:name w:val="heading 4"/>
    <w:basedOn w:val="Normal"/>
    <w:next w:val="Normal"/>
    <w:uiPriority w:val="9"/>
    <w:semiHidden/>
    <w:unhideWhenUsed/>
    <w:qFormat/>
    <w:rsid w:val="003E1FCB"/>
    <w:pPr>
      <w:keepNext/>
      <w:keepLines/>
      <w:spacing w:before="80" w:after="40" w:line="278" w:lineRule="auto"/>
      <w:outlineLvl w:val="3"/>
    </w:pPr>
    <w:rPr>
      <w:i/>
      <w:color w:val="2F5496"/>
      <w:sz w:val="24"/>
      <w:szCs w:val="24"/>
    </w:rPr>
  </w:style>
  <w:style w:type="paragraph" w:styleId="Heading5">
    <w:name w:val="heading 5"/>
    <w:basedOn w:val="Normal"/>
    <w:next w:val="Normal"/>
    <w:uiPriority w:val="9"/>
    <w:semiHidden/>
    <w:unhideWhenUsed/>
    <w:qFormat/>
    <w:rsid w:val="003E1FCB"/>
    <w:pPr>
      <w:keepNext/>
      <w:keepLines/>
      <w:spacing w:before="80" w:after="40" w:line="278" w:lineRule="auto"/>
      <w:outlineLvl w:val="4"/>
    </w:pPr>
    <w:rPr>
      <w:color w:val="2F5496"/>
      <w:sz w:val="24"/>
      <w:szCs w:val="24"/>
    </w:rPr>
  </w:style>
  <w:style w:type="paragraph" w:styleId="Heading6">
    <w:name w:val="heading 6"/>
    <w:basedOn w:val="Normal"/>
    <w:next w:val="Normal"/>
    <w:uiPriority w:val="9"/>
    <w:semiHidden/>
    <w:unhideWhenUsed/>
    <w:qFormat/>
    <w:rsid w:val="003E1FCB"/>
    <w:pPr>
      <w:keepNext/>
      <w:keepLines/>
      <w:spacing w:before="40" w:after="0" w:line="278" w:lineRule="auto"/>
      <w:outlineLvl w:val="5"/>
    </w:pPr>
    <w:rPr>
      <w:i/>
      <w:color w:val="595959"/>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rsid w:val="003E1FCB"/>
    <w:tblPr>
      <w:tblCellMar>
        <w:top w:w="0" w:type="dxa"/>
        <w:left w:w="0" w:type="dxa"/>
        <w:bottom w:w="0" w:type="dxa"/>
        <w:right w:w="0" w:type="dxa"/>
      </w:tblCellMar>
    </w:tblPr>
  </w:style>
  <w:style w:type="paragraph" w:styleId="Title">
    <w:name w:val="Title"/>
    <w:basedOn w:val="Normal"/>
    <w:next w:val="Normal"/>
    <w:uiPriority w:val="10"/>
    <w:qFormat/>
    <w:rsid w:val="003E1FCB"/>
    <w:pPr>
      <w:spacing w:after="80" w:line="240" w:lineRule="auto"/>
    </w:pPr>
    <w:rPr>
      <w:sz w:val="56"/>
      <w:szCs w:val="56"/>
    </w:rPr>
  </w:style>
  <w:style w:type="paragraph" w:styleId="Subtitle">
    <w:name w:val="Subtitle"/>
    <w:basedOn w:val="Normal"/>
    <w:next w:val="Normal"/>
    <w:uiPriority w:val="11"/>
    <w:qFormat/>
    <w:rsid w:val="003E1FCB"/>
    <w:pPr>
      <w:spacing w:after="160" w:line="278" w:lineRule="auto"/>
    </w:pPr>
    <w:rPr>
      <w:color w:val="595959"/>
      <w:sz w:val="28"/>
      <w:szCs w:val="28"/>
    </w:rPr>
  </w:style>
  <w:style w:type="table" w:customStyle="1" w:styleId="a">
    <w:basedOn w:val="TableNormal0"/>
    <w:rsid w:val="003E1FCB"/>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0"/>
    <w:rsid w:val="003E1FCB"/>
    <w:pPr>
      <w:spacing w:after="0" w:line="240" w:lineRule="auto"/>
    </w:pPr>
    <w:tblPr>
      <w:tblStyleRowBandSize w:val="1"/>
      <w:tblStyleColBandSize w:val="1"/>
      <w:tblCellMar>
        <w:top w:w="0" w:type="dxa"/>
        <w:left w:w="108" w:type="dxa"/>
        <w:bottom w:w="0" w:type="dxa"/>
        <w:right w:w="108" w:type="dxa"/>
      </w:tblCellMar>
    </w:tblPr>
  </w:style>
  <w:style w:type="paragraph" w:styleId="Header">
    <w:name w:val="header"/>
    <w:basedOn w:val="Normal"/>
    <w:link w:val="HeaderChar"/>
    <w:uiPriority w:val="99"/>
    <w:unhideWhenUsed/>
    <w:rsid w:val="001011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1191"/>
  </w:style>
  <w:style w:type="paragraph" w:styleId="Footer">
    <w:name w:val="footer"/>
    <w:basedOn w:val="Normal"/>
    <w:link w:val="FooterChar"/>
    <w:uiPriority w:val="99"/>
    <w:unhideWhenUsed/>
    <w:rsid w:val="001011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119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ciencedirect.com/topics/agricultural-and-biological-sciences/heritability"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IN"/>
  <c:chart>
    <c:plotArea>
      <c:layout>
        <c:manualLayout>
          <c:layoutTarget val="inner"/>
          <c:xMode val="edge"/>
          <c:yMode val="edge"/>
          <c:x val="6.829045656834902E-2"/>
          <c:y val="3.7511665208515642E-2"/>
          <c:w val="0.90470329868658284"/>
          <c:h val="0.84650845727617485"/>
        </c:manualLayout>
      </c:layout>
      <c:barChart>
        <c:barDir val="col"/>
        <c:grouping val="clustered"/>
        <c:ser>
          <c:idx val="0"/>
          <c:order val="0"/>
          <c:tx>
            <c:strRef>
              <c:f>Sheet1!$C$20</c:f>
              <c:strCache>
                <c:ptCount val="1"/>
                <c:pt idx="0">
                  <c:v>Minimum</c:v>
                </c:pt>
              </c:strCache>
            </c:strRef>
          </c:tx>
          <c:cat>
            <c:strRef>
              <c:f>Sheet1!$B$21:$B$35</c:f>
              <c:strCache>
                <c:ptCount val="15"/>
                <c:pt idx="0">
                  <c:v>PH</c:v>
                </c:pt>
                <c:pt idx="1">
                  <c:v>HD</c:v>
                </c:pt>
                <c:pt idx="2">
                  <c:v>NL</c:v>
                </c:pt>
                <c:pt idx="3">
                  <c:v>SL</c:v>
                </c:pt>
                <c:pt idx="4">
                  <c:v>SW</c:v>
                </c:pt>
                <c:pt idx="5">
                  <c:v>DF</c:v>
                </c:pt>
                <c:pt idx="6">
                  <c:v>SW</c:v>
                </c:pt>
                <c:pt idx="7">
                  <c:v>SY</c:v>
                </c:pt>
                <c:pt idx="8">
                  <c:v>DM</c:v>
                </c:pt>
                <c:pt idx="9">
                  <c:v>VW</c:v>
                </c:pt>
                <c:pt idx="10">
                  <c:v>OC</c:v>
                </c:pt>
                <c:pt idx="11">
                  <c:v>SA</c:v>
                </c:pt>
                <c:pt idx="12">
                  <c:v>PA</c:v>
                </c:pt>
                <c:pt idx="13">
                  <c:v>OA</c:v>
                </c:pt>
                <c:pt idx="14">
                  <c:v>LA</c:v>
                </c:pt>
              </c:strCache>
            </c:strRef>
          </c:cat>
          <c:val>
            <c:numRef>
              <c:f>Sheet1!$C$21:$C$35</c:f>
              <c:numCache>
                <c:formatCode>General</c:formatCode>
                <c:ptCount val="15"/>
                <c:pt idx="0">
                  <c:v>50.8</c:v>
                </c:pt>
                <c:pt idx="1">
                  <c:v>3.3</c:v>
                </c:pt>
                <c:pt idx="2">
                  <c:v>16.100000000000001</c:v>
                </c:pt>
                <c:pt idx="3">
                  <c:v>0.8</c:v>
                </c:pt>
                <c:pt idx="4">
                  <c:v>0.30000000000000032</c:v>
                </c:pt>
                <c:pt idx="5">
                  <c:v>49</c:v>
                </c:pt>
                <c:pt idx="6">
                  <c:v>1.8</c:v>
                </c:pt>
                <c:pt idx="7">
                  <c:v>4</c:v>
                </c:pt>
                <c:pt idx="8">
                  <c:v>77.5</c:v>
                </c:pt>
                <c:pt idx="9">
                  <c:v>28</c:v>
                </c:pt>
                <c:pt idx="10">
                  <c:v>28.9</c:v>
                </c:pt>
                <c:pt idx="11">
                  <c:v>3.5</c:v>
                </c:pt>
                <c:pt idx="12">
                  <c:v>2.6</c:v>
                </c:pt>
                <c:pt idx="13">
                  <c:v>22.8</c:v>
                </c:pt>
                <c:pt idx="14">
                  <c:v>6.5</c:v>
                </c:pt>
              </c:numCache>
            </c:numRef>
          </c:val>
          <c:extLst xmlns:c16r2="http://schemas.microsoft.com/office/drawing/2015/06/chart">
            <c:ext xmlns:c16="http://schemas.microsoft.com/office/drawing/2014/chart" uri="{C3380CC4-5D6E-409C-BE32-E72D297353CC}">
              <c16:uniqueId val="{00000000-82AF-413A-90F3-A7F02CAACF27}"/>
            </c:ext>
          </c:extLst>
        </c:ser>
        <c:ser>
          <c:idx val="1"/>
          <c:order val="1"/>
          <c:tx>
            <c:strRef>
              <c:f>Sheet1!$D$20</c:f>
              <c:strCache>
                <c:ptCount val="1"/>
                <c:pt idx="0">
                  <c:v>Maximum</c:v>
                </c:pt>
              </c:strCache>
            </c:strRef>
          </c:tx>
          <c:cat>
            <c:strRef>
              <c:f>Sheet1!$B$21:$B$35</c:f>
              <c:strCache>
                <c:ptCount val="15"/>
                <c:pt idx="0">
                  <c:v>PH</c:v>
                </c:pt>
                <c:pt idx="1">
                  <c:v>HD</c:v>
                </c:pt>
                <c:pt idx="2">
                  <c:v>NL</c:v>
                </c:pt>
                <c:pt idx="3">
                  <c:v>SL</c:v>
                </c:pt>
                <c:pt idx="4">
                  <c:v>SW</c:v>
                </c:pt>
                <c:pt idx="5">
                  <c:v>DF</c:v>
                </c:pt>
                <c:pt idx="6">
                  <c:v>SW</c:v>
                </c:pt>
                <c:pt idx="7">
                  <c:v>SY</c:v>
                </c:pt>
                <c:pt idx="8">
                  <c:v>DM</c:v>
                </c:pt>
                <c:pt idx="9">
                  <c:v>VW</c:v>
                </c:pt>
                <c:pt idx="10">
                  <c:v>OC</c:v>
                </c:pt>
                <c:pt idx="11">
                  <c:v>SA</c:v>
                </c:pt>
                <c:pt idx="12">
                  <c:v>PA</c:v>
                </c:pt>
                <c:pt idx="13">
                  <c:v>OA</c:v>
                </c:pt>
                <c:pt idx="14">
                  <c:v>LA</c:v>
                </c:pt>
              </c:strCache>
            </c:strRef>
          </c:cat>
          <c:val>
            <c:numRef>
              <c:f>Sheet1!$D$21:$D$35</c:f>
              <c:numCache>
                <c:formatCode>General</c:formatCode>
                <c:ptCount val="15"/>
                <c:pt idx="0">
                  <c:v>177.6</c:v>
                </c:pt>
                <c:pt idx="1">
                  <c:v>17.100000000000001</c:v>
                </c:pt>
                <c:pt idx="2">
                  <c:v>33.9</c:v>
                </c:pt>
                <c:pt idx="3">
                  <c:v>1.4</c:v>
                </c:pt>
                <c:pt idx="4">
                  <c:v>0.9</c:v>
                </c:pt>
                <c:pt idx="5">
                  <c:v>59.5</c:v>
                </c:pt>
                <c:pt idx="6">
                  <c:v>6.7</c:v>
                </c:pt>
                <c:pt idx="7">
                  <c:v>53.4</c:v>
                </c:pt>
                <c:pt idx="8">
                  <c:v>89.5</c:v>
                </c:pt>
                <c:pt idx="9">
                  <c:v>54</c:v>
                </c:pt>
                <c:pt idx="10">
                  <c:v>41.4</c:v>
                </c:pt>
                <c:pt idx="11">
                  <c:v>7.2</c:v>
                </c:pt>
                <c:pt idx="12">
                  <c:v>4.5</c:v>
                </c:pt>
                <c:pt idx="13">
                  <c:v>86.4</c:v>
                </c:pt>
                <c:pt idx="14">
                  <c:v>68.2</c:v>
                </c:pt>
              </c:numCache>
            </c:numRef>
          </c:val>
          <c:extLst xmlns:c16r2="http://schemas.microsoft.com/office/drawing/2015/06/chart">
            <c:ext xmlns:c16="http://schemas.microsoft.com/office/drawing/2014/chart" uri="{C3380CC4-5D6E-409C-BE32-E72D297353CC}">
              <c16:uniqueId val="{00000001-82AF-413A-90F3-A7F02CAACF27}"/>
            </c:ext>
          </c:extLst>
        </c:ser>
        <c:ser>
          <c:idx val="2"/>
          <c:order val="2"/>
          <c:tx>
            <c:strRef>
              <c:f>Sheet1!$E$20</c:f>
              <c:strCache>
                <c:ptCount val="1"/>
                <c:pt idx="0">
                  <c:v>Mean</c:v>
                </c:pt>
              </c:strCache>
            </c:strRef>
          </c:tx>
          <c:cat>
            <c:strRef>
              <c:f>Sheet1!$B$21:$B$35</c:f>
              <c:strCache>
                <c:ptCount val="15"/>
                <c:pt idx="0">
                  <c:v>PH</c:v>
                </c:pt>
                <c:pt idx="1">
                  <c:v>HD</c:v>
                </c:pt>
                <c:pt idx="2">
                  <c:v>NL</c:v>
                </c:pt>
                <c:pt idx="3">
                  <c:v>SL</c:v>
                </c:pt>
                <c:pt idx="4">
                  <c:v>SW</c:v>
                </c:pt>
                <c:pt idx="5">
                  <c:v>DF</c:v>
                </c:pt>
                <c:pt idx="6">
                  <c:v>SW</c:v>
                </c:pt>
                <c:pt idx="7">
                  <c:v>SY</c:v>
                </c:pt>
                <c:pt idx="8">
                  <c:v>DM</c:v>
                </c:pt>
                <c:pt idx="9">
                  <c:v>VW</c:v>
                </c:pt>
                <c:pt idx="10">
                  <c:v>OC</c:v>
                </c:pt>
                <c:pt idx="11">
                  <c:v>SA</c:v>
                </c:pt>
                <c:pt idx="12">
                  <c:v>PA</c:v>
                </c:pt>
                <c:pt idx="13">
                  <c:v>OA</c:v>
                </c:pt>
                <c:pt idx="14">
                  <c:v>LA</c:v>
                </c:pt>
              </c:strCache>
            </c:strRef>
          </c:cat>
          <c:val>
            <c:numRef>
              <c:f>Sheet1!$E$21:$E$35</c:f>
              <c:numCache>
                <c:formatCode>General</c:formatCode>
                <c:ptCount val="15"/>
                <c:pt idx="1">
                  <c:v>12.9</c:v>
                </c:pt>
                <c:pt idx="2">
                  <c:v>23.1</c:v>
                </c:pt>
                <c:pt idx="3">
                  <c:v>1</c:v>
                </c:pt>
                <c:pt idx="4">
                  <c:v>0.5</c:v>
                </c:pt>
                <c:pt idx="5">
                  <c:v>53.8</c:v>
                </c:pt>
                <c:pt idx="6">
                  <c:v>4.8</c:v>
                </c:pt>
                <c:pt idx="7">
                  <c:v>24.7</c:v>
                </c:pt>
                <c:pt idx="8">
                  <c:v>83.9</c:v>
                </c:pt>
                <c:pt idx="9">
                  <c:v>34.800000000000004</c:v>
                </c:pt>
                <c:pt idx="10">
                  <c:v>35.300000000000004</c:v>
                </c:pt>
                <c:pt idx="11">
                  <c:v>5.3</c:v>
                </c:pt>
                <c:pt idx="12">
                  <c:v>3.5</c:v>
                </c:pt>
                <c:pt idx="13">
                  <c:v>48.2</c:v>
                </c:pt>
                <c:pt idx="14">
                  <c:v>42.9</c:v>
                </c:pt>
              </c:numCache>
            </c:numRef>
          </c:val>
          <c:extLst xmlns:c16r2="http://schemas.microsoft.com/office/drawing/2015/06/chart">
            <c:ext xmlns:c16="http://schemas.microsoft.com/office/drawing/2014/chart" uri="{C3380CC4-5D6E-409C-BE32-E72D297353CC}">
              <c16:uniqueId val="{00000002-82AF-413A-90F3-A7F02CAACF27}"/>
            </c:ext>
          </c:extLst>
        </c:ser>
        <c:axId val="63143936"/>
        <c:axId val="63145856"/>
      </c:barChart>
      <c:catAx>
        <c:axId val="63143936"/>
        <c:scaling>
          <c:orientation val="minMax"/>
        </c:scaling>
        <c:axPos val="b"/>
        <c:numFmt formatCode="General" sourceLinked="1"/>
        <c:tickLblPos val="nextTo"/>
        <c:txPr>
          <a:bodyPr/>
          <a:lstStyle/>
          <a:p>
            <a:pPr>
              <a:defRPr lang="en-US" sz="1100" b="1">
                <a:latin typeface="Times New Roman" pitchFamily="18" charset="0"/>
                <a:cs typeface="Times New Roman" pitchFamily="18" charset="0"/>
              </a:defRPr>
            </a:pPr>
            <a:endParaRPr lang="en-US"/>
          </a:p>
        </c:txPr>
        <c:crossAx val="63145856"/>
        <c:crosses val="autoZero"/>
        <c:auto val="1"/>
        <c:lblAlgn val="ctr"/>
        <c:lblOffset val="100"/>
      </c:catAx>
      <c:valAx>
        <c:axId val="63145856"/>
        <c:scaling>
          <c:orientation val="minMax"/>
        </c:scaling>
        <c:axPos val="l"/>
        <c:numFmt formatCode="General" sourceLinked="1"/>
        <c:tickLblPos val="nextTo"/>
        <c:txPr>
          <a:bodyPr/>
          <a:lstStyle/>
          <a:p>
            <a:pPr>
              <a:defRPr lang="en-US" sz="1100" b="1">
                <a:latin typeface="Times New Roman" pitchFamily="18" charset="0"/>
                <a:cs typeface="Times New Roman" pitchFamily="18" charset="0"/>
              </a:defRPr>
            </a:pPr>
            <a:endParaRPr lang="en-US"/>
          </a:p>
        </c:txPr>
        <c:crossAx val="63143936"/>
        <c:crosses val="autoZero"/>
        <c:crossBetween val="between"/>
      </c:valAx>
    </c:plotArea>
    <c:legend>
      <c:legendPos val="r"/>
      <c:layout>
        <c:manualLayout>
          <c:xMode val="edge"/>
          <c:yMode val="edge"/>
          <c:x val="0.32298807190350709"/>
          <c:y val="3.1831437736949596E-2"/>
          <c:w val="0.41033693163231932"/>
          <c:h val="0.10300342665500146"/>
        </c:manualLayout>
      </c:layout>
      <c:txPr>
        <a:bodyPr/>
        <a:lstStyle/>
        <a:p>
          <a:pPr rtl="0">
            <a:defRPr lang="en-US" sz="1100" b="1">
              <a:latin typeface="Times New Roman" pitchFamily="18" charset="0"/>
              <a:cs typeface="Times New Roman" pitchFamily="18" charset="0"/>
            </a:defRPr>
          </a:pPr>
          <a:endParaRPr lang="en-US"/>
        </a:p>
      </c:txP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IN"/>
  <c:chart>
    <c:autoTitleDeleted val="1"/>
    <c:plotArea>
      <c:layout/>
      <c:barChart>
        <c:barDir val="col"/>
        <c:grouping val="clustered"/>
        <c:ser>
          <c:idx val="0"/>
          <c:order val="0"/>
          <c:tx>
            <c:strRef>
              <c:f>Sheet6!$C$21</c:f>
              <c:strCache>
                <c:ptCount val="1"/>
                <c:pt idx="0">
                  <c:v>GCV</c:v>
                </c:pt>
              </c:strCache>
            </c:strRef>
          </c:tx>
          <c:spPr>
            <a:solidFill>
              <a:schemeClr val="accent1"/>
            </a:solidFill>
            <a:ln>
              <a:noFill/>
            </a:ln>
            <a:effectLst/>
          </c:spPr>
          <c:cat>
            <c:strRef>
              <c:f>Sheet6!$B$22:$B$36</c:f>
              <c:strCache>
                <c:ptCount val="15"/>
                <c:pt idx="0">
                  <c:v>PH</c:v>
                </c:pt>
                <c:pt idx="1">
                  <c:v>HD</c:v>
                </c:pt>
                <c:pt idx="2">
                  <c:v>NL</c:v>
                </c:pt>
                <c:pt idx="3">
                  <c:v>SL</c:v>
                </c:pt>
                <c:pt idx="4">
                  <c:v>SW</c:v>
                </c:pt>
                <c:pt idx="5">
                  <c:v>DF</c:v>
                </c:pt>
                <c:pt idx="6">
                  <c:v>SW</c:v>
                </c:pt>
                <c:pt idx="7">
                  <c:v>SY</c:v>
                </c:pt>
                <c:pt idx="8">
                  <c:v>DM</c:v>
                </c:pt>
                <c:pt idx="9">
                  <c:v>VW</c:v>
                </c:pt>
                <c:pt idx="10">
                  <c:v>OC</c:v>
                </c:pt>
                <c:pt idx="11">
                  <c:v>SA</c:v>
                </c:pt>
                <c:pt idx="12">
                  <c:v>PA</c:v>
                </c:pt>
                <c:pt idx="13">
                  <c:v>OA</c:v>
                </c:pt>
                <c:pt idx="14">
                  <c:v>LA</c:v>
                </c:pt>
              </c:strCache>
            </c:strRef>
          </c:cat>
          <c:val>
            <c:numRef>
              <c:f>Sheet6!$C$22:$C$36</c:f>
              <c:numCache>
                <c:formatCode>General</c:formatCode>
                <c:ptCount val="15"/>
                <c:pt idx="0">
                  <c:v>23.9</c:v>
                </c:pt>
                <c:pt idx="1">
                  <c:v>21.7</c:v>
                </c:pt>
                <c:pt idx="2">
                  <c:v>14.2</c:v>
                </c:pt>
                <c:pt idx="3">
                  <c:v>13.6</c:v>
                </c:pt>
                <c:pt idx="4">
                  <c:v>13.5</c:v>
                </c:pt>
                <c:pt idx="5">
                  <c:v>5.2</c:v>
                </c:pt>
                <c:pt idx="6">
                  <c:v>21.2</c:v>
                </c:pt>
                <c:pt idx="7">
                  <c:v>54.4</c:v>
                </c:pt>
                <c:pt idx="8">
                  <c:v>3.8</c:v>
                </c:pt>
                <c:pt idx="9">
                  <c:v>13.5</c:v>
                </c:pt>
                <c:pt idx="10">
                  <c:v>8.7000000000000011</c:v>
                </c:pt>
                <c:pt idx="11">
                  <c:v>16.899999999999999</c:v>
                </c:pt>
                <c:pt idx="12">
                  <c:v>12.9</c:v>
                </c:pt>
                <c:pt idx="13">
                  <c:v>46.7</c:v>
                </c:pt>
                <c:pt idx="14">
                  <c:v>49.9</c:v>
                </c:pt>
              </c:numCache>
            </c:numRef>
          </c:val>
          <c:extLst xmlns:c16r2="http://schemas.microsoft.com/office/drawing/2015/06/chart">
            <c:ext xmlns:c16="http://schemas.microsoft.com/office/drawing/2014/chart" uri="{C3380CC4-5D6E-409C-BE32-E72D297353CC}">
              <c16:uniqueId val="{00000000-5CAA-42A6-8C1E-4080B51F5D8F}"/>
            </c:ext>
          </c:extLst>
        </c:ser>
        <c:ser>
          <c:idx val="1"/>
          <c:order val="1"/>
          <c:tx>
            <c:strRef>
              <c:f>Sheet6!$D$21</c:f>
              <c:strCache>
                <c:ptCount val="1"/>
                <c:pt idx="0">
                  <c:v>PCV</c:v>
                </c:pt>
              </c:strCache>
            </c:strRef>
          </c:tx>
          <c:spPr>
            <a:solidFill>
              <a:schemeClr val="accent2"/>
            </a:solidFill>
            <a:ln>
              <a:noFill/>
            </a:ln>
            <a:effectLst/>
          </c:spPr>
          <c:cat>
            <c:strRef>
              <c:f>Sheet6!$B$22:$B$36</c:f>
              <c:strCache>
                <c:ptCount val="15"/>
                <c:pt idx="0">
                  <c:v>PH</c:v>
                </c:pt>
                <c:pt idx="1">
                  <c:v>HD</c:v>
                </c:pt>
                <c:pt idx="2">
                  <c:v>NL</c:v>
                </c:pt>
                <c:pt idx="3">
                  <c:v>SL</c:v>
                </c:pt>
                <c:pt idx="4">
                  <c:v>SW</c:v>
                </c:pt>
                <c:pt idx="5">
                  <c:v>DF</c:v>
                </c:pt>
                <c:pt idx="6">
                  <c:v>SW</c:v>
                </c:pt>
                <c:pt idx="7">
                  <c:v>SY</c:v>
                </c:pt>
                <c:pt idx="8">
                  <c:v>DM</c:v>
                </c:pt>
                <c:pt idx="9">
                  <c:v>VW</c:v>
                </c:pt>
                <c:pt idx="10">
                  <c:v>OC</c:v>
                </c:pt>
                <c:pt idx="11">
                  <c:v>SA</c:v>
                </c:pt>
                <c:pt idx="12">
                  <c:v>PA</c:v>
                </c:pt>
                <c:pt idx="13">
                  <c:v>OA</c:v>
                </c:pt>
                <c:pt idx="14">
                  <c:v>LA</c:v>
                </c:pt>
              </c:strCache>
            </c:strRef>
          </c:cat>
          <c:val>
            <c:numRef>
              <c:f>Sheet6!$D$22:$D$36</c:f>
              <c:numCache>
                <c:formatCode>General</c:formatCode>
                <c:ptCount val="15"/>
                <c:pt idx="0">
                  <c:v>24.5</c:v>
                </c:pt>
                <c:pt idx="1">
                  <c:v>23.2</c:v>
                </c:pt>
                <c:pt idx="2">
                  <c:v>17.399999999999999</c:v>
                </c:pt>
                <c:pt idx="3">
                  <c:v>16</c:v>
                </c:pt>
                <c:pt idx="4">
                  <c:v>28.8</c:v>
                </c:pt>
                <c:pt idx="5">
                  <c:v>5.5</c:v>
                </c:pt>
                <c:pt idx="6">
                  <c:v>27.1</c:v>
                </c:pt>
                <c:pt idx="7">
                  <c:v>56.3</c:v>
                </c:pt>
                <c:pt idx="8">
                  <c:v>3.9</c:v>
                </c:pt>
                <c:pt idx="9">
                  <c:v>13.8</c:v>
                </c:pt>
                <c:pt idx="10">
                  <c:v>9.4</c:v>
                </c:pt>
                <c:pt idx="11">
                  <c:v>19.600000000000001</c:v>
                </c:pt>
                <c:pt idx="12">
                  <c:v>17</c:v>
                </c:pt>
                <c:pt idx="13">
                  <c:v>49.5</c:v>
                </c:pt>
                <c:pt idx="14">
                  <c:v>52.9</c:v>
                </c:pt>
              </c:numCache>
            </c:numRef>
          </c:val>
          <c:extLst xmlns:c16r2="http://schemas.microsoft.com/office/drawing/2015/06/chart">
            <c:ext xmlns:c16="http://schemas.microsoft.com/office/drawing/2014/chart" uri="{C3380CC4-5D6E-409C-BE32-E72D297353CC}">
              <c16:uniqueId val="{00000001-5CAA-42A6-8C1E-4080B51F5D8F}"/>
            </c:ext>
          </c:extLst>
        </c:ser>
        <c:gapWidth val="219"/>
        <c:overlap val="-27"/>
        <c:axId val="67315584"/>
        <c:axId val="67334912"/>
      </c:barChart>
      <c:catAx>
        <c:axId val="6731558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7334912"/>
        <c:crosses val="autoZero"/>
        <c:auto val="1"/>
        <c:lblAlgn val="ctr"/>
        <c:lblOffset val="100"/>
      </c:catAx>
      <c:valAx>
        <c:axId val="67334912"/>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1200" b="1">
                    <a:latin typeface="Times New Roman" panose="02020603050405020304" pitchFamily="18" charset="0"/>
                    <a:cs typeface="Times New Roman" panose="02020603050405020304" pitchFamily="18" charset="0"/>
                  </a:rPr>
                  <a:t>Percentage</a:t>
                </a:r>
                <a:r>
                  <a:rPr lang="en-IN" sz="1200" b="1" baseline="0">
                    <a:latin typeface="Times New Roman" panose="02020603050405020304" pitchFamily="18" charset="0"/>
                    <a:cs typeface="Times New Roman" panose="02020603050405020304" pitchFamily="18" charset="0"/>
                  </a:rPr>
                  <a:t> </a:t>
                </a:r>
                <a:endParaRPr lang="en-IN" sz="1200" b="1">
                  <a:latin typeface="Times New Roman" panose="02020603050405020304" pitchFamily="18" charset="0"/>
                  <a:cs typeface="Times New Roman" panose="02020603050405020304" pitchFamily="18" charset="0"/>
                </a:endParaRPr>
              </a:p>
            </c:rich>
          </c:tx>
          <c:layout>
            <c:manualLayout>
              <c:xMode val="edge"/>
              <c:yMode val="edge"/>
              <c:x val="1.765030336458908E-2"/>
              <c:y val="0.27604083788306977"/>
            </c:manualLayout>
          </c:layout>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lang="en-US"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7315584"/>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en-US"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IN"/>
  <c:chart>
    <c:autoTitleDeleted val="1"/>
    <c:plotArea>
      <c:layout/>
      <c:barChart>
        <c:barDir val="col"/>
        <c:grouping val="clustered"/>
        <c:ser>
          <c:idx val="0"/>
          <c:order val="0"/>
          <c:tx>
            <c:strRef>
              <c:f>Sheet6!$C$21</c:f>
              <c:strCache>
                <c:ptCount val="1"/>
                <c:pt idx="0">
                  <c:v>H2 bs</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cat>
            <c:strRef>
              <c:f>Sheet6!$B$22:$B$36</c:f>
              <c:strCache>
                <c:ptCount val="15"/>
                <c:pt idx="0">
                  <c:v>PH</c:v>
                </c:pt>
                <c:pt idx="1">
                  <c:v>HD</c:v>
                </c:pt>
                <c:pt idx="2">
                  <c:v>NL</c:v>
                </c:pt>
                <c:pt idx="3">
                  <c:v>SL</c:v>
                </c:pt>
                <c:pt idx="4">
                  <c:v>SW</c:v>
                </c:pt>
                <c:pt idx="5">
                  <c:v>DF</c:v>
                </c:pt>
                <c:pt idx="6">
                  <c:v>SW</c:v>
                </c:pt>
                <c:pt idx="7">
                  <c:v>SY</c:v>
                </c:pt>
                <c:pt idx="8">
                  <c:v>DM</c:v>
                </c:pt>
                <c:pt idx="9">
                  <c:v>VW</c:v>
                </c:pt>
                <c:pt idx="10">
                  <c:v>OC</c:v>
                </c:pt>
                <c:pt idx="11">
                  <c:v>SA</c:v>
                </c:pt>
                <c:pt idx="12">
                  <c:v>PA</c:v>
                </c:pt>
                <c:pt idx="13">
                  <c:v>OA</c:v>
                </c:pt>
                <c:pt idx="14">
                  <c:v>LA</c:v>
                </c:pt>
              </c:strCache>
            </c:strRef>
          </c:cat>
          <c:val>
            <c:numRef>
              <c:f>Sheet6!$C$22:$C$36</c:f>
              <c:numCache>
                <c:formatCode>General</c:formatCode>
                <c:ptCount val="15"/>
                <c:pt idx="1">
                  <c:v>87.2</c:v>
                </c:pt>
                <c:pt idx="2">
                  <c:v>66.400000000000006</c:v>
                </c:pt>
                <c:pt idx="3">
                  <c:v>70.2</c:v>
                </c:pt>
                <c:pt idx="4">
                  <c:v>22</c:v>
                </c:pt>
                <c:pt idx="5">
                  <c:v>86.7</c:v>
                </c:pt>
                <c:pt idx="6">
                  <c:v>60.9</c:v>
                </c:pt>
                <c:pt idx="7">
                  <c:v>93.3</c:v>
                </c:pt>
                <c:pt idx="8">
                  <c:v>93.3</c:v>
                </c:pt>
                <c:pt idx="9">
                  <c:v>95.6</c:v>
                </c:pt>
                <c:pt idx="10">
                  <c:v>86.7</c:v>
                </c:pt>
                <c:pt idx="11">
                  <c:v>74.7</c:v>
                </c:pt>
                <c:pt idx="12">
                  <c:v>57.4</c:v>
                </c:pt>
                <c:pt idx="13">
                  <c:v>88.9</c:v>
                </c:pt>
                <c:pt idx="14">
                  <c:v>88.7</c:v>
                </c:pt>
              </c:numCache>
            </c:numRef>
          </c:val>
          <c:extLst xmlns:c16r2="http://schemas.microsoft.com/office/drawing/2015/06/chart">
            <c:ext xmlns:c16="http://schemas.microsoft.com/office/drawing/2014/chart" uri="{C3380CC4-5D6E-409C-BE32-E72D297353CC}">
              <c16:uniqueId val="{00000000-FE80-4EBE-8F97-99E241564426}"/>
            </c:ext>
          </c:extLst>
        </c:ser>
        <c:ser>
          <c:idx val="1"/>
          <c:order val="1"/>
          <c:tx>
            <c:strRef>
              <c:f>Sheet6!$D$21</c:f>
              <c:strCache>
                <c:ptCount val="1"/>
                <c:pt idx="0">
                  <c:v>GAM (%)</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cat>
            <c:strRef>
              <c:f>Sheet6!$B$22:$B$36</c:f>
              <c:strCache>
                <c:ptCount val="15"/>
                <c:pt idx="0">
                  <c:v>PH</c:v>
                </c:pt>
                <c:pt idx="1">
                  <c:v>HD</c:v>
                </c:pt>
                <c:pt idx="2">
                  <c:v>NL</c:v>
                </c:pt>
                <c:pt idx="3">
                  <c:v>SL</c:v>
                </c:pt>
                <c:pt idx="4">
                  <c:v>SW</c:v>
                </c:pt>
                <c:pt idx="5">
                  <c:v>DF</c:v>
                </c:pt>
                <c:pt idx="6">
                  <c:v>SW</c:v>
                </c:pt>
                <c:pt idx="7">
                  <c:v>SY</c:v>
                </c:pt>
                <c:pt idx="8">
                  <c:v>DM</c:v>
                </c:pt>
                <c:pt idx="9">
                  <c:v>VW</c:v>
                </c:pt>
                <c:pt idx="10">
                  <c:v>OC</c:v>
                </c:pt>
                <c:pt idx="11">
                  <c:v>SA</c:v>
                </c:pt>
                <c:pt idx="12">
                  <c:v>PA</c:v>
                </c:pt>
                <c:pt idx="13">
                  <c:v>OA</c:v>
                </c:pt>
                <c:pt idx="14">
                  <c:v>LA</c:v>
                </c:pt>
              </c:strCache>
            </c:strRef>
          </c:cat>
          <c:val>
            <c:numRef>
              <c:f>Sheet6!$D$22:$D$36</c:f>
              <c:numCache>
                <c:formatCode>General</c:formatCode>
                <c:ptCount val="15"/>
                <c:pt idx="1">
                  <c:v>41.7</c:v>
                </c:pt>
                <c:pt idx="2">
                  <c:v>23.7</c:v>
                </c:pt>
                <c:pt idx="3">
                  <c:v>23.6</c:v>
                </c:pt>
                <c:pt idx="4">
                  <c:v>13.1</c:v>
                </c:pt>
                <c:pt idx="5">
                  <c:v>9.9</c:v>
                </c:pt>
                <c:pt idx="6">
                  <c:v>34</c:v>
                </c:pt>
                <c:pt idx="7">
                  <c:v>108.2</c:v>
                </c:pt>
                <c:pt idx="8">
                  <c:v>7.5</c:v>
                </c:pt>
                <c:pt idx="9">
                  <c:v>27.1</c:v>
                </c:pt>
                <c:pt idx="10">
                  <c:v>16.7</c:v>
                </c:pt>
                <c:pt idx="11">
                  <c:v>30.2</c:v>
                </c:pt>
                <c:pt idx="12">
                  <c:v>20.2</c:v>
                </c:pt>
                <c:pt idx="13">
                  <c:v>90.6</c:v>
                </c:pt>
                <c:pt idx="14">
                  <c:v>96.7</c:v>
                </c:pt>
              </c:numCache>
            </c:numRef>
          </c:val>
          <c:extLst xmlns:c16r2="http://schemas.microsoft.com/office/drawing/2015/06/chart">
            <c:ext xmlns:c16="http://schemas.microsoft.com/office/drawing/2014/chart" uri="{C3380CC4-5D6E-409C-BE32-E72D297353CC}">
              <c16:uniqueId val="{00000001-FE80-4EBE-8F97-99E241564426}"/>
            </c:ext>
          </c:extLst>
        </c:ser>
        <c:gapWidth val="100"/>
        <c:overlap val="-24"/>
        <c:axId val="75591040"/>
        <c:axId val="75712000"/>
      </c:barChart>
      <c:catAx>
        <c:axId val="75591040"/>
        <c:scaling>
          <c:orientation val="minMax"/>
        </c:scaling>
        <c:axPos val="b"/>
        <c:numFmt formatCode="General" sourceLinked="1"/>
        <c:maj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lang="en-US" sz="1200" b="1"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crossAx val="75712000"/>
        <c:crosses val="autoZero"/>
        <c:auto val="1"/>
        <c:lblAlgn val="ctr"/>
        <c:lblOffset val="100"/>
      </c:catAx>
      <c:valAx>
        <c:axId val="75712000"/>
        <c:scaling>
          <c:orientation val="minMax"/>
        </c:scaling>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Percentage</a:t>
                </a: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lang="en-US" sz="1200" b="1"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crossAx val="75591040"/>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en-US" sz="1200" b="1"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13</Pages>
  <Words>4037</Words>
  <Characters>23013</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comp</cp:lastModifiedBy>
  <cp:revision>14</cp:revision>
  <dcterms:created xsi:type="dcterms:W3CDTF">2025-07-25T07:48:00Z</dcterms:created>
  <dcterms:modified xsi:type="dcterms:W3CDTF">2025-07-27T07:32:00Z</dcterms:modified>
</cp:coreProperties>
</file>