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F26C8" w14:textId="77777777" w:rsidR="00754C9A" w:rsidRDefault="00754C9A" w:rsidP="00441B6F">
      <w:pPr>
        <w:pStyle w:val="Title"/>
        <w:spacing w:after="0"/>
        <w:jc w:val="both"/>
        <w:rPr>
          <w:rFonts w:ascii="Arial" w:hAnsi="Arial" w:cs="Arial"/>
          <w:lang w:bidi="ar-IQ"/>
        </w:rPr>
      </w:pPr>
    </w:p>
    <w:p w14:paraId="7C5483CE" w14:textId="12EC9BE1" w:rsidR="00A258C3" w:rsidRDefault="00031181" w:rsidP="00A0233E">
      <w:pPr>
        <w:pStyle w:val="Author"/>
        <w:spacing w:line="240" w:lineRule="auto"/>
        <w:jc w:val="center"/>
        <w:rPr>
          <w:rFonts w:ascii="Arial" w:hAnsi="Arial" w:cs="Arial"/>
          <w:bCs/>
          <w:iCs/>
          <w:kern w:val="28"/>
          <w:sz w:val="36"/>
        </w:rPr>
        <w:pPrChange w:id="0" w:author="DR.Ahmed Saker 2o1O" w:date="2025-07-19T20:32:00Z">
          <w:pPr>
            <w:pStyle w:val="Author"/>
            <w:spacing w:line="240" w:lineRule="auto"/>
            <w:jc w:val="both"/>
          </w:pPr>
        </w:pPrChange>
      </w:pPr>
      <w:r w:rsidRPr="00031181">
        <w:rPr>
          <w:rFonts w:ascii="Arial" w:hAnsi="Arial" w:cs="Arial"/>
          <w:bCs/>
          <w:iCs/>
          <w:kern w:val="28"/>
          <w:sz w:val="36"/>
        </w:rPr>
        <w:t>Effect of green manuring on soil health and weed management</w:t>
      </w:r>
    </w:p>
    <w:p w14:paraId="0E50CDF0" w14:textId="77777777" w:rsidR="00DB6F9F" w:rsidRPr="00790ADA" w:rsidRDefault="00DB6F9F" w:rsidP="00441B6F">
      <w:pPr>
        <w:pStyle w:val="Author"/>
        <w:spacing w:line="240" w:lineRule="auto"/>
        <w:jc w:val="both"/>
        <w:rPr>
          <w:rFonts w:ascii="Arial" w:hAnsi="Arial" w:cs="Arial"/>
          <w:sz w:val="36"/>
        </w:rPr>
      </w:pPr>
    </w:p>
    <w:p w14:paraId="3BE53917" w14:textId="77777777" w:rsidR="00D90614" w:rsidRDefault="00D90614" w:rsidP="00B64337">
      <w:pPr>
        <w:pStyle w:val="Affiliation"/>
        <w:spacing w:after="0" w:line="240" w:lineRule="auto"/>
        <w:jc w:val="left"/>
        <w:rPr>
          <w:rFonts w:ascii="Arial" w:hAnsi="Arial" w:cs="Arial"/>
          <w:i/>
        </w:rPr>
      </w:pPr>
    </w:p>
    <w:p w14:paraId="070C494D" w14:textId="77777777" w:rsidR="00790ADA" w:rsidRDefault="00790ADA" w:rsidP="00441B6F">
      <w:pPr>
        <w:pStyle w:val="Affiliation"/>
        <w:spacing w:after="0" w:line="240" w:lineRule="auto"/>
        <w:jc w:val="both"/>
        <w:rPr>
          <w:rFonts w:ascii="Arial" w:hAnsi="Arial" w:cs="Arial"/>
        </w:rPr>
      </w:pPr>
    </w:p>
    <w:p w14:paraId="7D64BB8D" w14:textId="77777777" w:rsidR="002C57D2" w:rsidRPr="00FB3A86" w:rsidRDefault="002C57D2" w:rsidP="00441B6F">
      <w:pPr>
        <w:pStyle w:val="Affiliation"/>
        <w:spacing w:after="0" w:line="240" w:lineRule="auto"/>
        <w:jc w:val="both"/>
        <w:rPr>
          <w:rFonts w:ascii="Arial" w:hAnsi="Arial" w:cs="Arial"/>
        </w:rPr>
      </w:pPr>
    </w:p>
    <w:p w14:paraId="5EFF1260" w14:textId="3261612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A70CCE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E295415" w14:textId="77777777" w:rsidTr="001E44FE">
        <w:tc>
          <w:tcPr>
            <w:tcW w:w="9576" w:type="dxa"/>
            <w:shd w:val="clear" w:color="auto" w:fill="F2F2F2"/>
          </w:tcPr>
          <w:p w14:paraId="62F0C0E3" w14:textId="1F8D5FBA" w:rsidR="00031181" w:rsidRPr="00BA1B01" w:rsidRDefault="00BA1B01" w:rsidP="00031181">
            <w:pPr>
              <w:pStyle w:val="Body"/>
              <w:spacing w:after="0"/>
              <w:rPr>
                <w:rFonts w:ascii="Arial" w:eastAsia="Calibri" w:hAnsi="Arial" w:cs="Arial"/>
                <w:szCs w:val="22"/>
              </w:rPr>
            </w:pPr>
            <w:r w:rsidRPr="00BA1B01">
              <w:rPr>
                <w:rFonts w:ascii="Arial" w:eastAsia="Calibri" w:hAnsi="Arial" w:cs="Arial"/>
                <w:b/>
                <w:szCs w:val="22"/>
              </w:rPr>
              <w:t xml:space="preserve">Aims: </w:t>
            </w:r>
          </w:p>
          <w:p w14:paraId="41B9444E" w14:textId="41CF6016" w:rsidR="00BA1B01" w:rsidRPr="00BA1B01" w:rsidRDefault="00031181" w:rsidP="00441B6F">
            <w:pPr>
              <w:pStyle w:val="Body"/>
              <w:spacing w:after="0"/>
              <w:rPr>
                <w:rFonts w:ascii="Arial" w:eastAsia="Calibri" w:hAnsi="Arial" w:cs="Arial"/>
                <w:szCs w:val="22"/>
              </w:rPr>
            </w:pPr>
            <w:r w:rsidRPr="00031181">
              <w:rPr>
                <w:rFonts w:ascii="Arial" w:eastAsia="Calibri" w:hAnsi="Arial" w:cs="Arial"/>
                <w:szCs w:val="22"/>
              </w:rPr>
              <w:t xml:space="preserve">Green manuring is a sustainable agricultural practice that enhances soil fertility and aids in weed management, particularly in organic farming systems. The study aimed to assess the effect of green manure incorporation on soil physicochemical properties and weed density. The experimental soil, classified as sandy clay loam, showed significant improvement in fertility parameters after the incorporation of </w:t>
            </w:r>
            <w:proofErr w:type="spellStart"/>
            <w:r w:rsidRPr="00031181">
              <w:rPr>
                <w:rFonts w:ascii="Arial" w:eastAsia="Calibri" w:hAnsi="Arial" w:cs="Arial"/>
                <w:szCs w:val="22"/>
              </w:rPr>
              <w:t>dhaincha</w:t>
            </w:r>
            <w:proofErr w:type="spellEnd"/>
            <w:r w:rsidRPr="00031181">
              <w:rPr>
                <w:rFonts w:ascii="Arial" w:eastAsia="Calibri" w:hAnsi="Arial" w:cs="Arial"/>
                <w:szCs w:val="22"/>
              </w:rPr>
              <w:t xml:space="preserve"> biomass.</w:t>
            </w:r>
          </w:p>
          <w:p w14:paraId="62D28968" w14:textId="64537675" w:rsidR="00031181" w:rsidRDefault="00BA1B01" w:rsidP="00441B6F">
            <w:pPr>
              <w:pStyle w:val="Body"/>
              <w:spacing w:after="0"/>
              <w:rPr>
                <w:rFonts w:ascii="Arial" w:eastAsia="Calibri" w:hAnsi="Arial" w:cs="Arial"/>
                <w:b/>
                <w:bCs/>
                <w:szCs w:val="22"/>
              </w:rPr>
            </w:pPr>
            <w:r w:rsidRPr="00031181">
              <w:rPr>
                <w:rFonts w:ascii="Arial" w:eastAsia="Calibri" w:hAnsi="Arial" w:cs="Arial"/>
                <w:b/>
                <w:bCs/>
                <w:szCs w:val="22"/>
              </w:rPr>
              <w:t>Methodology</w:t>
            </w:r>
            <w:r w:rsidR="00031181">
              <w:rPr>
                <w:rFonts w:ascii="Arial" w:eastAsia="Calibri" w:hAnsi="Arial" w:cs="Arial"/>
                <w:szCs w:val="22"/>
              </w:rPr>
              <w:t xml:space="preserve">: </w:t>
            </w:r>
            <w:r w:rsidR="00031181" w:rsidRPr="00031181">
              <w:rPr>
                <w:rFonts w:ascii="Arial" w:eastAsia="Calibri" w:hAnsi="Arial" w:cs="Arial"/>
                <w:szCs w:val="22"/>
              </w:rPr>
              <w:t xml:space="preserve">This study was conducted at the Agricultural College and Research Institute, Madurai, to evaluate the impact of </w:t>
            </w:r>
            <w:proofErr w:type="spellStart"/>
            <w:r w:rsidR="00031181" w:rsidRPr="00031181">
              <w:rPr>
                <w:rFonts w:ascii="Arial" w:eastAsia="Calibri" w:hAnsi="Arial" w:cs="Arial"/>
                <w:szCs w:val="22"/>
              </w:rPr>
              <w:t>dhaincha</w:t>
            </w:r>
            <w:proofErr w:type="spellEnd"/>
            <w:r w:rsidR="00031181" w:rsidRPr="00031181">
              <w:rPr>
                <w:rFonts w:ascii="Arial" w:eastAsia="Calibri" w:hAnsi="Arial" w:cs="Arial"/>
                <w:szCs w:val="22"/>
              </w:rPr>
              <w:t xml:space="preserve"> (</w:t>
            </w:r>
            <w:proofErr w:type="spellStart"/>
            <w:r w:rsidR="00031181" w:rsidRPr="00316E4A">
              <w:rPr>
                <w:rFonts w:ascii="Arial" w:eastAsia="Calibri" w:hAnsi="Arial" w:cs="Arial"/>
                <w:i/>
                <w:iCs/>
                <w:szCs w:val="22"/>
              </w:rPr>
              <w:t>Sesbania</w:t>
            </w:r>
            <w:proofErr w:type="spellEnd"/>
            <w:r w:rsidR="00031181" w:rsidRPr="00316E4A">
              <w:rPr>
                <w:rFonts w:ascii="Arial" w:eastAsia="Calibri" w:hAnsi="Arial" w:cs="Arial"/>
                <w:i/>
                <w:iCs/>
                <w:szCs w:val="22"/>
              </w:rPr>
              <w:t xml:space="preserve"> </w:t>
            </w:r>
            <w:proofErr w:type="spellStart"/>
            <w:r w:rsidR="00031181" w:rsidRPr="00316E4A">
              <w:rPr>
                <w:rFonts w:ascii="Arial" w:eastAsia="Calibri" w:hAnsi="Arial" w:cs="Arial"/>
                <w:i/>
                <w:iCs/>
                <w:szCs w:val="22"/>
              </w:rPr>
              <w:t>aculeata</w:t>
            </w:r>
            <w:proofErr w:type="spellEnd"/>
            <w:r w:rsidR="00031181" w:rsidRPr="00031181">
              <w:rPr>
                <w:rFonts w:ascii="Arial" w:eastAsia="Calibri" w:hAnsi="Arial" w:cs="Arial"/>
                <w:szCs w:val="22"/>
              </w:rPr>
              <w:t>) green manuring on soil physicochemical properties and weed dynamics. The experimental soil, classified as sandy clay loam (</w:t>
            </w:r>
            <w:proofErr w:type="spellStart"/>
            <w:r w:rsidR="00031181" w:rsidRPr="00031181">
              <w:rPr>
                <w:rFonts w:ascii="Arial" w:eastAsia="Calibri" w:hAnsi="Arial" w:cs="Arial"/>
                <w:szCs w:val="22"/>
              </w:rPr>
              <w:t>Typic</w:t>
            </w:r>
            <w:proofErr w:type="spellEnd"/>
            <w:r w:rsidR="00031181" w:rsidRPr="00031181">
              <w:rPr>
                <w:rFonts w:ascii="Arial" w:eastAsia="Calibri" w:hAnsi="Arial" w:cs="Arial"/>
                <w:szCs w:val="22"/>
              </w:rPr>
              <w:t xml:space="preserve"> Udic </w:t>
            </w:r>
            <w:proofErr w:type="spellStart"/>
            <w:r w:rsidR="00031181" w:rsidRPr="00031181">
              <w:rPr>
                <w:rFonts w:ascii="Arial" w:eastAsia="Calibri" w:hAnsi="Arial" w:cs="Arial"/>
                <w:szCs w:val="22"/>
              </w:rPr>
              <w:t>Hapludalf</w:t>
            </w:r>
            <w:proofErr w:type="spellEnd"/>
            <w:r w:rsidR="00031181" w:rsidRPr="00031181">
              <w:rPr>
                <w:rFonts w:ascii="Arial" w:eastAsia="Calibri" w:hAnsi="Arial" w:cs="Arial"/>
                <w:szCs w:val="22"/>
              </w:rPr>
              <w:t>), was assessed before and after the incorporation of green manure</w:t>
            </w:r>
            <w:r w:rsidR="00031181" w:rsidRPr="00031181">
              <w:rPr>
                <w:rFonts w:ascii="Arial" w:eastAsia="Calibri" w:hAnsi="Arial" w:cs="Arial"/>
                <w:b/>
                <w:bCs/>
                <w:szCs w:val="22"/>
              </w:rPr>
              <w:t>.</w:t>
            </w:r>
          </w:p>
          <w:p w14:paraId="2296E7CB" w14:textId="6CA81B9F" w:rsidR="00031181" w:rsidRDefault="00BA1B01" w:rsidP="00031181">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031181" w:rsidRPr="00031181">
              <w:rPr>
                <w:rFonts w:ascii="Arial" w:eastAsia="Calibri" w:hAnsi="Arial" w:cs="Arial"/>
                <w:szCs w:val="22"/>
              </w:rPr>
              <w:t xml:space="preserve">The results revealed that green manuring significantly improved key soil parameters. The soil pH decreased from 7.8 to 7.5, indicating a </w:t>
            </w:r>
            <w:proofErr w:type="spellStart"/>
            <w:r w:rsidR="00456C56">
              <w:rPr>
                <w:rFonts w:ascii="Arial" w:eastAsia="Calibri" w:hAnsi="Arial" w:cs="Arial"/>
                <w:szCs w:val="22"/>
              </w:rPr>
              <w:t>favourable</w:t>
            </w:r>
            <w:proofErr w:type="spellEnd"/>
            <w:r w:rsidR="00031181" w:rsidRPr="00031181">
              <w:rPr>
                <w:rFonts w:ascii="Arial" w:eastAsia="Calibri" w:hAnsi="Arial" w:cs="Arial"/>
                <w:szCs w:val="22"/>
              </w:rPr>
              <w:t xml:space="preserve"> shift toward neutral conditions, while electrical conductivity increased from 0.33 to 0.47 </w:t>
            </w:r>
            <w:proofErr w:type="spellStart"/>
            <w:r w:rsidR="00031181" w:rsidRPr="00031181">
              <w:rPr>
                <w:rFonts w:ascii="Arial" w:eastAsia="Calibri" w:hAnsi="Arial" w:cs="Arial"/>
                <w:szCs w:val="22"/>
              </w:rPr>
              <w:t>dS</w:t>
            </w:r>
            <w:proofErr w:type="spellEnd"/>
            <w:r w:rsidR="00031181" w:rsidRPr="00031181">
              <w:rPr>
                <w:rFonts w:ascii="Arial" w:eastAsia="Calibri" w:hAnsi="Arial" w:cs="Arial"/>
                <w:szCs w:val="22"/>
              </w:rPr>
              <w:t xml:space="preserve">/m, suggesting enhanced nutrient availability. Organic carbon content rose slightly from 1.26% to 1.29%, highlighting improved microbial activity and organic matter status. Available nitrogen increased from 225.79 to 235.00 kg/ha, phosphorus from 31.36 to 33.60 kg/ha, and potassium from 251.00 to 256.12 kg/ha due to the nutrient-rich biomass and nitrogen-fixing ability of </w:t>
            </w:r>
            <w:proofErr w:type="spellStart"/>
            <w:r w:rsidR="00031181" w:rsidRPr="00031181">
              <w:rPr>
                <w:rFonts w:ascii="Arial" w:eastAsia="Calibri" w:hAnsi="Arial" w:cs="Arial"/>
                <w:szCs w:val="22"/>
              </w:rPr>
              <w:t>dhaincha</w:t>
            </w:r>
            <w:proofErr w:type="spellEnd"/>
            <w:r w:rsidR="00031181" w:rsidRPr="00031181">
              <w:rPr>
                <w:rFonts w:ascii="Arial" w:eastAsia="Calibri" w:hAnsi="Arial" w:cs="Arial"/>
                <w:szCs w:val="22"/>
              </w:rPr>
              <w:t>.</w:t>
            </w:r>
            <w:r w:rsidR="00031181">
              <w:rPr>
                <w:rFonts w:ascii="Arial" w:eastAsia="Calibri" w:hAnsi="Arial" w:cs="Arial"/>
                <w:szCs w:val="22"/>
              </w:rPr>
              <w:t xml:space="preserve"> </w:t>
            </w:r>
            <w:r w:rsidR="00031181" w:rsidRPr="00031181">
              <w:rPr>
                <w:rFonts w:ascii="Arial" w:eastAsia="Calibri" w:hAnsi="Arial" w:cs="Arial"/>
                <w:szCs w:val="22"/>
              </w:rPr>
              <w:t xml:space="preserve">Additionally, green manuring exerted a suppressive effect on weed populations, especially broadleaf species, due to allelopathic interactions and shading. Weed density for broadleaf weeds decreased markedly from 56 to 8 plants/m² after </w:t>
            </w:r>
            <w:proofErr w:type="spellStart"/>
            <w:r w:rsidR="00031181" w:rsidRPr="00031181">
              <w:rPr>
                <w:rFonts w:ascii="Arial" w:eastAsia="Calibri" w:hAnsi="Arial" w:cs="Arial"/>
                <w:szCs w:val="22"/>
              </w:rPr>
              <w:t>dhaincha</w:t>
            </w:r>
            <w:proofErr w:type="spellEnd"/>
            <w:r w:rsidR="00031181" w:rsidRPr="00031181">
              <w:rPr>
                <w:rFonts w:ascii="Arial" w:eastAsia="Calibri" w:hAnsi="Arial" w:cs="Arial"/>
                <w:szCs w:val="22"/>
              </w:rPr>
              <w:t xml:space="preserve"> incorporation.</w:t>
            </w:r>
          </w:p>
          <w:p w14:paraId="308374EC" w14:textId="2753753C" w:rsidR="00505F06" w:rsidRPr="00BA1B01" w:rsidRDefault="00BA1B01" w:rsidP="00031181">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31181" w:rsidRPr="00031181">
              <w:rPr>
                <w:rFonts w:ascii="Arial" w:eastAsia="Calibri" w:hAnsi="Arial" w:cs="Arial"/>
                <w:szCs w:val="22"/>
              </w:rPr>
              <w:t xml:space="preserve">The findings </w:t>
            </w:r>
            <w:r w:rsidR="00031181">
              <w:rPr>
                <w:rFonts w:ascii="Arial" w:eastAsia="Calibri" w:hAnsi="Arial" w:cs="Arial"/>
                <w:szCs w:val="22"/>
              </w:rPr>
              <w:t xml:space="preserve">support </w:t>
            </w:r>
            <w:r w:rsidR="00031181" w:rsidRPr="00031181">
              <w:rPr>
                <w:rFonts w:ascii="Arial" w:eastAsia="Calibri" w:hAnsi="Arial" w:cs="Arial"/>
                <w:szCs w:val="22"/>
              </w:rPr>
              <w:t xml:space="preserve">the value of green manuring in improving soil fertility, enhancing nutrient cycling, and managing weed infestations sustainably. Incorporating </w:t>
            </w:r>
            <w:proofErr w:type="spellStart"/>
            <w:r w:rsidR="00031181" w:rsidRPr="00031181">
              <w:rPr>
                <w:rFonts w:ascii="Arial" w:eastAsia="Calibri" w:hAnsi="Arial" w:cs="Arial"/>
                <w:szCs w:val="22"/>
              </w:rPr>
              <w:t>dhaincha</w:t>
            </w:r>
            <w:proofErr w:type="spellEnd"/>
            <w:r w:rsidR="00031181" w:rsidRPr="00031181">
              <w:rPr>
                <w:rFonts w:ascii="Arial" w:eastAsia="Calibri" w:hAnsi="Arial" w:cs="Arial"/>
                <w:szCs w:val="22"/>
              </w:rPr>
              <w:t xml:space="preserve"> as a green manure crop can thus serve as an effective strategy for maintaining soil health and supporting organic crop production.</w:t>
            </w:r>
          </w:p>
        </w:tc>
      </w:tr>
    </w:tbl>
    <w:p w14:paraId="528B7502" w14:textId="77777777" w:rsidR="00636EB2" w:rsidRDefault="00636EB2" w:rsidP="00441B6F">
      <w:pPr>
        <w:pStyle w:val="Body"/>
        <w:spacing w:after="0"/>
        <w:rPr>
          <w:rFonts w:ascii="Arial" w:hAnsi="Arial" w:cs="Arial"/>
          <w:i/>
        </w:rPr>
      </w:pPr>
    </w:p>
    <w:p w14:paraId="718DA864" w14:textId="77777777" w:rsidR="00001D55" w:rsidRDefault="00A24E7E" w:rsidP="00001D55">
      <w:pPr>
        <w:pStyle w:val="Body"/>
        <w:spacing w:after="0"/>
        <w:rPr>
          <w:rFonts w:ascii="Arial" w:hAnsi="Arial" w:cs="Arial"/>
          <w:i/>
        </w:rPr>
      </w:pPr>
      <w:r>
        <w:rPr>
          <w:rFonts w:ascii="Arial" w:hAnsi="Arial" w:cs="Arial"/>
          <w:i/>
        </w:rPr>
        <w:t xml:space="preserve">Keywords: </w:t>
      </w:r>
      <w:r w:rsidR="00031181" w:rsidRPr="00031181">
        <w:rPr>
          <w:rFonts w:ascii="Arial" w:hAnsi="Arial" w:cs="Arial"/>
          <w:i/>
        </w:rPr>
        <w:t xml:space="preserve">Green manuring, Soil fertility, </w:t>
      </w:r>
      <w:proofErr w:type="spellStart"/>
      <w:r w:rsidR="00031181" w:rsidRPr="00031181">
        <w:rPr>
          <w:rFonts w:ascii="Arial" w:hAnsi="Arial" w:cs="Arial"/>
          <w:i/>
        </w:rPr>
        <w:t>Dhaincha</w:t>
      </w:r>
      <w:proofErr w:type="spellEnd"/>
      <w:r w:rsidR="00031181" w:rsidRPr="00031181">
        <w:rPr>
          <w:rFonts w:ascii="Arial" w:hAnsi="Arial" w:cs="Arial"/>
          <w:i/>
        </w:rPr>
        <w:t xml:space="preserve"> (</w:t>
      </w:r>
      <w:proofErr w:type="spellStart"/>
      <w:r w:rsidR="00031181" w:rsidRPr="00031181">
        <w:rPr>
          <w:rFonts w:ascii="Arial" w:hAnsi="Arial" w:cs="Arial"/>
          <w:i/>
        </w:rPr>
        <w:t>Sesbania</w:t>
      </w:r>
      <w:proofErr w:type="spellEnd"/>
      <w:r w:rsidR="00031181" w:rsidRPr="00031181">
        <w:rPr>
          <w:rFonts w:ascii="Arial" w:hAnsi="Arial" w:cs="Arial"/>
          <w:i/>
        </w:rPr>
        <w:t xml:space="preserve"> </w:t>
      </w:r>
      <w:proofErr w:type="spellStart"/>
      <w:r w:rsidR="00031181" w:rsidRPr="00031181">
        <w:rPr>
          <w:rFonts w:ascii="Arial" w:hAnsi="Arial" w:cs="Arial"/>
          <w:i/>
        </w:rPr>
        <w:t>aculeata</w:t>
      </w:r>
      <w:proofErr w:type="spellEnd"/>
      <w:r w:rsidR="00031181" w:rsidRPr="00031181">
        <w:rPr>
          <w:rFonts w:ascii="Arial" w:hAnsi="Arial" w:cs="Arial"/>
          <w:i/>
        </w:rPr>
        <w:t>), Weed management and Organic farming</w:t>
      </w:r>
    </w:p>
    <w:p w14:paraId="44B4F49C" w14:textId="77777777" w:rsidR="00001D55" w:rsidRDefault="00001D55" w:rsidP="00001D55">
      <w:pPr>
        <w:pStyle w:val="Body"/>
        <w:spacing w:after="0"/>
        <w:rPr>
          <w:rFonts w:ascii="Arial" w:hAnsi="Arial" w:cs="Arial"/>
          <w:i/>
        </w:rPr>
      </w:pPr>
    </w:p>
    <w:p w14:paraId="77575B39" w14:textId="6288B1ED" w:rsidR="007F7B32" w:rsidRPr="00001D55" w:rsidRDefault="00902823" w:rsidP="00001D55">
      <w:pPr>
        <w:pStyle w:val="Body"/>
        <w:spacing w:after="0"/>
        <w:rPr>
          <w:rFonts w:ascii="Arial" w:hAnsi="Arial" w:cs="Arial"/>
          <w:b/>
          <w:bCs/>
          <w:i/>
          <w:sz w:val="18"/>
        </w:rPr>
      </w:pPr>
      <w:r w:rsidRPr="00001D55">
        <w:rPr>
          <w:rFonts w:ascii="Arial" w:hAnsi="Arial" w:cs="Arial"/>
          <w:b/>
          <w:bCs/>
        </w:rPr>
        <w:t xml:space="preserve">1. </w:t>
      </w:r>
      <w:commentRangeStart w:id="1"/>
      <w:r w:rsidR="00B01FCD" w:rsidRPr="00001D55">
        <w:rPr>
          <w:rFonts w:ascii="Arial" w:hAnsi="Arial" w:cs="Arial"/>
          <w:b/>
          <w:bCs/>
        </w:rPr>
        <w:t>INTRODUCTION</w:t>
      </w:r>
      <w:r w:rsidR="007F7B32" w:rsidRPr="00001D55">
        <w:rPr>
          <w:rFonts w:ascii="Arial" w:hAnsi="Arial" w:cs="Arial"/>
          <w:b/>
          <w:bCs/>
        </w:rPr>
        <w:t xml:space="preserve"> </w:t>
      </w:r>
      <w:commentRangeEnd w:id="1"/>
      <w:r w:rsidR="008D3276">
        <w:rPr>
          <w:rStyle w:val="CommentReference"/>
          <w:rFonts w:ascii="Times New Roman" w:hAnsi="Times New Roman"/>
          <w:lang w:val="nb-NO" w:eastAsia="nb-NO"/>
        </w:rPr>
        <w:commentReference w:id="1"/>
      </w:r>
    </w:p>
    <w:p w14:paraId="6D538CB8" w14:textId="77777777" w:rsidR="00790ADA" w:rsidRPr="00FB3A86" w:rsidRDefault="00790ADA" w:rsidP="00441B6F">
      <w:pPr>
        <w:pStyle w:val="AbstHead"/>
        <w:spacing w:after="0"/>
        <w:jc w:val="both"/>
        <w:rPr>
          <w:rFonts w:ascii="Arial" w:hAnsi="Arial" w:cs="Arial"/>
        </w:rPr>
      </w:pPr>
    </w:p>
    <w:p w14:paraId="54C615C3" w14:textId="565CF757" w:rsidR="00031181" w:rsidRPr="00031181" w:rsidRDefault="00031181" w:rsidP="00031181">
      <w:pPr>
        <w:pStyle w:val="AbstHead"/>
        <w:jc w:val="both"/>
        <w:rPr>
          <w:rFonts w:ascii="Arial" w:hAnsi="Arial" w:cs="Arial"/>
          <w:b w:val="0"/>
          <w:caps w:val="0"/>
          <w:sz w:val="20"/>
        </w:rPr>
      </w:pPr>
      <w:r w:rsidRPr="00031181">
        <w:rPr>
          <w:rFonts w:ascii="Arial" w:hAnsi="Arial" w:cs="Arial"/>
          <w:b w:val="0"/>
          <w:caps w:val="0"/>
          <w:sz w:val="20"/>
        </w:rPr>
        <w:t xml:space="preserve">Green manuring is a vital practice in organic farming that enhances soil fertility by incorporating fresh plant biomass into the soil. In India, about 6.7 million hectares or 4.5% of the net sown area is under green manuring by Meena </w:t>
      </w:r>
      <w:r w:rsidR="006B5495" w:rsidRPr="006B5495">
        <w:rPr>
          <w:rFonts w:ascii="Arial" w:hAnsi="Arial" w:cs="Arial"/>
          <w:b w:val="0"/>
          <w:i/>
          <w:iCs/>
          <w:caps w:val="0"/>
          <w:sz w:val="20"/>
        </w:rPr>
        <w:t>et al</w:t>
      </w:r>
      <w:r w:rsidRPr="00031181">
        <w:rPr>
          <w:rFonts w:ascii="Arial" w:hAnsi="Arial" w:cs="Arial"/>
          <w:b w:val="0"/>
          <w:caps w:val="0"/>
          <w:sz w:val="20"/>
        </w:rPr>
        <w:t xml:space="preserve">. (2018). This method is most common in rice-growing states like Andhra Pradesh, Uttar Pradesh, Karnataka, Punjab, and Odisha. Green manure crops, especially legumes, are grown and ploughed under the soil while green or just after flowering, to enrich soil organic matter and nitrogen. These crops can supply 80–100 kg N/ha within 40–50 days, significantly reducing the need for synthetic fertilizers by Das </w:t>
      </w:r>
      <w:r w:rsidR="006B5495" w:rsidRPr="006B5495">
        <w:rPr>
          <w:rFonts w:ascii="Arial" w:hAnsi="Arial" w:cs="Arial"/>
          <w:b w:val="0"/>
          <w:i/>
          <w:iCs/>
          <w:caps w:val="0"/>
          <w:sz w:val="20"/>
        </w:rPr>
        <w:t>et al</w:t>
      </w:r>
      <w:r w:rsidRPr="00031181">
        <w:rPr>
          <w:rFonts w:ascii="Arial" w:hAnsi="Arial" w:cs="Arial"/>
          <w:b w:val="0"/>
          <w:caps w:val="0"/>
          <w:sz w:val="20"/>
        </w:rPr>
        <w:t xml:space="preserve">. (2020). Green manuring is practiced in two major forms: green leaf manuring, using tree and shrub leaves from field bunds or forests, and in situ manuring, </w:t>
      </w:r>
      <w:r w:rsidRPr="00031181">
        <w:rPr>
          <w:rFonts w:ascii="Arial" w:hAnsi="Arial" w:cs="Arial"/>
          <w:b w:val="0"/>
          <w:caps w:val="0"/>
          <w:sz w:val="20"/>
        </w:rPr>
        <w:lastRenderedPageBreak/>
        <w:t xml:space="preserve">where legume crops are grown and incorporated directly into the same field. The effectiveness of green manures depends on species selection, soil conditions, climate, and crop age. Legumes like </w:t>
      </w:r>
      <w:proofErr w:type="spellStart"/>
      <w:r w:rsidRPr="00031181">
        <w:rPr>
          <w:rFonts w:ascii="Arial" w:hAnsi="Arial" w:cs="Arial"/>
          <w:b w:val="0"/>
          <w:caps w:val="0"/>
          <w:sz w:val="20"/>
        </w:rPr>
        <w:t>dhaincha</w:t>
      </w:r>
      <w:proofErr w:type="spellEnd"/>
      <w:r w:rsidRPr="00031181">
        <w:rPr>
          <w:rFonts w:ascii="Arial" w:hAnsi="Arial" w:cs="Arial"/>
          <w:b w:val="0"/>
          <w:caps w:val="0"/>
          <w:sz w:val="20"/>
        </w:rPr>
        <w:t xml:space="preserve">, </w:t>
      </w:r>
      <w:proofErr w:type="spellStart"/>
      <w:r w:rsidRPr="00031181">
        <w:rPr>
          <w:rFonts w:ascii="Arial" w:hAnsi="Arial" w:cs="Arial"/>
          <w:b w:val="0"/>
          <w:caps w:val="0"/>
          <w:sz w:val="20"/>
        </w:rPr>
        <w:t>sunhemp</w:t>
      </w:r>
      <w:proofErr w:type="spellEnd"/>
      <w:r w:rsidRPr="00031181">
        <w:rPr>
          <w:rFonts w:ascii="Arial" w:hAnsi="Arial" w:cs="Arial"/>
          <w:b w:val="0"/>
          <w:caps w:val="0"/>
          <w:sz w:val="20"/>
        </w:rPr>
        <w:t xml:space="preserve">, </w:t>
      </w:r>
      <w:proofErr w:type="spellStart"/>
      <w:r w:rsidRPr="00031181">
        <w:rPr>
          <w:rFonts w:ascii="Arial" w:hAnsi="Arial" w:cs="Arial"/>
          <w:b w:val="0"/>
          <w:caps w:val="0"/>
          <w:sz w:val="20"/>
        </w:rPr>
        <w:t>mungbean</w:t>
      </w:r>
      <w:proofErr w:type="spellEnd"/>
      <w:r w:rsidRPr="00031181">
        <w:rPr>
          <w:rFonts w:ascii="Arial" w:hAnsi="Arial" w:cs="Arial"/>
          <w:b w:val="0"/>
          <w:caps w:val="0"/>
          <w:sz w:val="20"/>
        </w:rPr>
        <w:t xml:space="preserve">, and cowpea are highly preferred for their nitrogen-fixing ability and biomass production. Weeds such as water hyacinth and Parthenium also offer high biomass and nutrient value and can be used for ex-situ manuring (Maitra </w:t>
      </w:r>
      <w:r w:rsidR="006B5495" w:rsidRPr="006B5495">
        <w:rPr>
          <w:rFonts w:ascii="Arial" w:hAnsi="Arial" w:cs="Arial"/>
          <w:b w:val="0"/>
          <w:i/>
          <w:iCs/>
          <w:caps w:val="0"/>
          <w:sz w:val="20"/>
        </w:rPr>
        <w:t>et al</w:t>
      </w:r>
      <w:r w:rsidRPr="00031181">
        <w:rPr>
          <w:rFonts w:ascii="Arial" w:hAnsi="Arial" w:cs="Arial"/>
          <w:b w:val="0"/>
          <w:caps w:val="0"/>
          <w:sz w:val="20"/>
        </w:rPr>
        <w:t>., 2018).</w:t>
      </w:r>
    </w:p>
    <w:p w14:paraId="223B4341" w14:textId="059EC372" w:rsidR="00031181" w:rsidRDefault="00031181" w:rsidP="00031181">
      <w:pPr>
        <w:pStyle w:val="AbstHead"/>
        <w:spacing w:after="0"/>
        <w:jc w:val="both"/>
        <w:rPr>
          <w:rFonts w:ascii="Arial" w:hAnsi="Arial" w:cs="Arial"/>
          <w:b w:val="0"/>
          <w:caps w:val="0"/>
          <w:sz w:val="20"/>
        </w:rPr>
      </w:pPr>
      <w:r w:rsidRPr="00031181">
        <w:rPr>
          <w:rFonts w:ascii="Arial" w:hAnsi="Arial" w:cs="Arial"/>
          <w:b w:val="0"/>
          <w:caps w:val="0"/>
          <w:sz w:val="20"/>
        </w:rPr>
        <w:t xml:space="preserve">Among green manure crops, </w:t>
      </w:r>
      <w:proofErr w:type="spellStart"/>
      <w:r w:rsidRPr="00031181">
        <w:rPr>
          <w:rFonts w:ascii="Arial" w:hAnsi="Arial" w:cs="Arial"/>
          <w:b w:val="0"/>
          <w:caps w:val="0"/>
          <w:sz w:val="20"/>
        </w:rPr>
        <w:t>Dhaincha</w:t>
      </w:r>
      <w:proofErr w:type="spellEnd"/>
      <w:r w:rsidRPr="00031181">
        <w:rPr>
          <w:rFonts w:ascii="Arial" w:hAnsi="Arial" w:cs="Arial"/>
          <w:b w:val="0"/>
          <w:caps w:val="0"/>
          <w:sz w:val="20"/>
        </w:rPr>
        <w:t xml:space="preserve"> (</w:t>
      </w:r>
      <w:proofErr w:type="spellStart"/>
      <w:r w:rsidRPr="00031181">
        <w:rPr>
          <w:rFonts w:ascii="Arial" w:hAnsi="Arial" w:cs="Arial"/>
          <w:b w:val="0"/>
          <w:caps w:val="0"/>
          <w:sz w:val="20"/>
        </w:rPr>
        <w:t>Sesbania</w:t>
      </w:r>
      <w:proofErr w:type="spellEnd"/>
      <w:r w:rsidRPr="00031181">
        <w:rPr>
          <w:rFonts w:ascii="Arial" w:hAnsi="Arial" w:cs="Arial"/>
          <w:b w:val="0"/>
          <w:caps w:val="0"/>
          <w:sz w:val="20"/>
        </w:rPr>
        <w:t xml:space="preserve"> </w:t>
      </w:r>
      <w:proofErr w:type="spellStart"/>
      <w:r w:rsidRPr="00031181">
        <w:rPr>
          <w:rFonts w:ascii="Arial" w:hAnsi="Arial" w:cs="Arial"/>
          <w:b w:val="0"/>
          <w:caps w:val="0"/>
          <w:sz w:val="20"/>
        </w:rPr>
        <w:t>aculeata</w:t>
      </w:r>
      <w:proofErr w:type="spellEnd"/>
      <w:r w:rsidRPr="00031181">
        <w:rPr>
          <w:rFonts w:ascii="Arial" w:hAnsi="Arial" w:cs="Arial"/>
          <w:b w:val="0"/>
          <w:caps w:val="0"/>
          <w:sz w:val="20"/>
        </w:rPr>
        <w:t xml:space="preserve">) is one of the most effective. It thrives in loamy and clayey soils and is tolerant to both drought and water stagnation. It performs well even in alkaline soils and can help correct soil alkalinity when grown repeatedly Singh </w:t>
      </w:r>
      <w:r w:rsidR="006B5495" w:rsidRPr="006B5495">
        <w:rPr>
          <w:rFonts w:ascii="Arial" w:hAnsi="Arial" w:cs="Arial"/>
          <w:b w:val="0"/>
          <w:i/>
          <w:iCs/>
          <w:caps w:val="0"/>
          <w:sz w:val="20"/>
        </w:rPr>
        <w:t>et al</w:t>
      </w:r>
      <w:r w:rsidRPr="00031181">
        <w:rPr>
          <w:rFonts w:ascii="Arial" w:hAnsi="Arial" w:cs="Arial"/>
          <w:b w:val="0"/>
          <w:i/>
          <w:iCs/>
          <w:caps w:val="0"/>
          <w:sz w:val="20"/>
        </w:rPr>
        <w:t>.</w:t>
      </w:r>
      <w:r w:rsidRPr="00031181">
        <w:rPr>
          <w:rFonts w:ascii="Arial" w:hAnsi="Arial" w:cs="Arial"/>
          <w:b w:val="0"/>
          <w:caps w:val="0"/>
          <w:sz w:val="20"/>
        </w:rPr>
        <w:t xml:space="preserve"> (1992). </w:t>
      </w:r>
      <w:proofErr w:type="spellStart"/>
      <w:r w:rsidRPr="00031181">
        <w:rPr>
          <w:rFonts w:ascii="Arial" w:hAnsi="Arial" w:cs="Arial"/>
          <w:b w:val="0"/>
          <w:caps w:val="0"/>
          <w:sz w:val="20"/>
        </w:rPr>
        <w:t>Dhaincha</w:t>
      </w:r>
      <w:proofErr w:type="spellEnd"/>
      <w:r w:rsidRPr="00031181">
        <w:rPr>
          <w:rFonts w:ascii="Arial" w:hAnsi="Arial" w:cs="Arial"/>
          <w:b w:val="0"/>
          <w:caps w:val="0"/>
          <w:sz w:val="20"/>
        </w:rPr>
        <w:t xml:space="preserve"> yields about 10 –15 </w:t>
      </w:r>
      <w:proofErr w:type="spellStart"/>
      <w:r w:rsidRPr="00031181">
        <w:rPr>
          <w:rFonts w:ascii="Arial" w:hAnsi="Arial" w:cs="Arial"/>
          <w:b w:val="0"/>
          <w:caps w:val="0"/>
          <w:sz w:val="20"/>
        </w:rPr>
        <w:t>tonnes</w:t>
      </w:r>
      <w:proofErr w:type="spellEnd"/>
      <w:r w:rsidRPr="00031181">
        <w:rPr>
          <w:rFonts w:ascii="Arial" w:hAnsi="Arial" w:cs="Arial"/>
          <w:b w:val="0"/>
          <w:caps w:val="0"/>
          <w:sz w:val="20"/>
        </w:rPr>
        <w:t xml:space="preserve"> of green biomass per hectare and fixes nitrogen at the rate of 1 kg/day when inoculated with efficient Rhizobium strains. For best results, green manure crops should be sown just after the monsoon or during April–May with irrigation, and buried before seed setting. Proper decomposition (typically 4–6 weeks) before the next crop ensures the release of nutrients and improved soil health. Green manuring, especially with crops like </w:t>
      </w:r>
      <w:proofErr w:type="spellStart"/>
      <w:r w:rsidRPr="00031181">
        <w:rPr>
          <w:rFonts w:ascii="Arial" w:hAnsi="Arial" w:cs="Arial"/>
          <w:b w:val="0"/>
          <w:caps w:val="0"/>
          <w:sz w:val="20"/>
        </w:rPr>
        <w:t>dhaincha</w:t>
      </w:r>
      <w:proofErr w:type="spellEnd"/>
      <w:r w:rsidRPr="00031181">
        <w:rPr>
          <w:rFonts w:ascii="Arial" w:hAnsi="Arial" w:cs="Arial"/>
          <w:b w:val="0"/>
          <w:caps w:val="0"/>
          <w:sz w:val="20"/>
        </w:rPr>
        <w:t>, offers a sustainable solution for boosting crop productivity and maintaining soil fertility under organic farming systems.</w:t>
      </w:r>
    </w:p>
    <w:p w14:paraId="1D44AA8C" w14:textId="77777777" w:rsidR="00031181" w:rsidRDefault="00031181" w:rsidP="00031181">
      <w:pPr>
        <w:pStyle w:val="AbstHead"/>
        <w:spacing w:after="0"/>
        <w:jc w:val="both"/>
        <w:rPr>
          <w:rFonts w:ascii="Arial" w:hAnsi="Arial" w:cs="Arial"/>
        </w:rPr>
      </w:pPr>
    </w:p>
    <w:p w14:paraId="01CB757F" w14:textId="13DB4A0D" w:rsidR="007F7B32" w:rsidRDefault="00902823" w:rsidP="00031181">
      <w:pPr>
        <w:pStyle w:val="AbstHead"/>
        <w:spacing w:after="0"/>
        <w:jc w:val="both"/>
        <w:rPr>
          <w:rFonts w:ascii="Arial" w:hAnsi="Arial" w:cs="Arial"/>
        </w:rPr>
      </w:pPr>
      <w:r>
        <w:rPr>
          <w:rFonts w:ascii="Arial" w:hAnsi="Arial" w:cs="Arial"/>
        </w:rPr>
        <w:t xml:space="preserve">2. </w:t>
      </w:r>
      <w:commentRangeStart w:id="2"/>
      <w:r>
        <w:rPr>
          <w:rFonts w:ascii="Arial" w:hAnsi="Arial" w:cs="Arial"/>
        </w:rPr>
        <w:t>material and method</w:t>
      </w:r>
      <w:r w:rsidR="00000F8F">
        <w:rPr>
          <w:rFonts w:ascii="Arial" w:hAnsi="Arial" w:cs="Arial"/>
        </w:rPr>
        <w:t>s</w:t>
      </w:r>
      <w:commentRangeEnd w:id="2"/>
      <w:r w:rsidR="008D3276">
        <w:rPr>
          <w:rStyle w:val="CommentReference"/>
          <w:rFonts w:ascii="Times New Roman" w:hAnsi="Times New Roman"/>
          <w:b w:val="0"/>
          <w:caps w:val="0"/>
          <w:lang w:val="nb-NO" w:eastAsia="nb-NO"/>
        </w:rPr>
        <w:commentReference w:id="2"/>
      </w:r>
    </w:p>
    <w:p w14:paraId="75673305" w14:textId="77777777" w:rsidR="00790ADA" w:rsidRPr="00FB3A86" w:rsidRDefault="00790ADA" w:rsidP="00441B6F">
      <w:pPr>
        <w:pStyle w:val="AbstHead"/>
        <w:spacing w:after="0"/>
        <w:jc w:val="both"/>
        <w:rPr>
          <w:rFonts w:ascii="Arial" w:hAnsi="Arial" w:cs="Arial"/>
        </w:rPr>
      </w:pPr>
    </w:p>
    <w:p w14:paraId="2215635E" w14:textId="77777777" w:rsidR="00031181" w:rsidRPr="00E02503" w:rsidRDefault="00031181" w:rsidP="00031181">
      <w:pPr>
        <w:pStyle w:val="Body"/>
        <w:rPr>
          <w:rFonts w:ascii="Arial" w:hAnsi="Arial" w:cs="Arial"/>
          <w:b/>
          <w:bCs/>
        </w:rPr>
      </w:pPr>
      <w:r w:rsidRPr="00E02503">
        <w:rPr>
          <w:rFonts w:ascii="Arial" w:hAnsi="Arial" w:cs="Arial"/>
          <w:b/>
          <w:bCs/>
        </w:rPr>
        <w:t>2.1 Location of the experimental site</w:t>
      </w:r>
    </w:p>
    <w:p w14:paraId="2991C8A5" w14:textId="1074C826" w:rsidR="00031181" w:rsidRPr="00031181" w:rsidRDefault="00031181" w:rsidP="00031181">
      <w:pPr>
        <w:pStyle w:val="Body"/>
        <w:rPr>
          <w:rFonts w:ascii="Arial" w:hAnsi="Arial" w:cs="Arial"/>
        </w:rPr>
      </w:pPr>
      <w:r w:rsidRPr="00031181">
        <w:rPr>
          <w:rFonts w:ascii="Arial" w:hAnsi="Arial" w:cs="Arial"/>
        </w:rPr>
        <w:t xml:space="preserve">The experiment was conducted in Field No. </w:t>
      </w:r>
      <w:r w:rsidR="00DE6DFC">
        <w:rPr>
          <w:rFonts w:ascii="Arial" w:hAnsi="Arial" w:cs="Arial"/>
        </w:rPr>
        <w:t>32</w:t>
      </w:r>
      <w:r w:rsidRPr="00031181">
        <w:rPr>
          <w:rFonts w:ascii="Arial" w:hAnsi="Arial" w:cs="Arial"/>
        </w:rPr>
        <w:t xml:space="preserve"> at the Department of </w:t>
      </w:r>
      <w:r w:rsidR="00DE6DFC">
        <w:rPr>
          <w:rFonts w:ascii="Arial" w:hAnsi="Arial" w:cs="Arial"/>
        </w:rPr>
        <w:t xml:space="preserve">Fruit Science, Horticultural College &amp; </w:t>
      </w:r>
      <w:r w:rsidRPr="00031181">
        <w:rPr>
          <w:rFonts w:ascii="Arial" w:hAnsi="Arial" w:cs="Arial"/>
        </w:rPr>
        <w:t xml:space="preserve">Research Institute, </w:t>
      </w:r>
      <w:proofErr w:type="spellStart"/>
      <w:r w:rsidR="00DE6DFC">
        <w:rPr>
          <w:rFonts w:ascii="Arial" w:hAnsi="Arial" w:cs="Arial"/>
        </w:rPr>
        <w:t>Periyakulam</w:t>
      </w:r>
      <w:proofErr w:type="spellEnd"/>
      <w:r w:rsidRPr="00031181">
        <w:rPr>
          <w:rFonts w:ascii="Arial" w:hAnsi="Arial" w:cs="Arial"/>
        </w:rPr>
        <w:t>. It comes under the southern agroclimatic zone of Tamil Nadu.</w:t>
      </w:r>
    </w:p>
    <w:p w14:paraId="58CB1DF5" w14:textId="77777777" w:rsidR="00031181" w:rsidRPr="00E02503" w:rsidRDefault="00031181" w:rsidP="00031181">
      <w:pPr>
        <w:pStyle w:val="Body"/>
        <w:rPr>
          <w:rFonts w:ascii="Arial" w:hAnsi="Arial" w:cs="Arial"/>
          <w:b/>
          <w:bCs/>
        </w:rPr>
      </w:pPr>
      <w:r w:rsidRPr="00E02503">
        <w:rPr>
          <w:rFonts w:ascii="Arial" w:hAnsi="Arial" w:cs="Arial"/>
          <w:b/>
          <w:bCs/>
        </w:rPr>
        <w:t>2.2 Soil Characteristics</w:t>
      </w:r>
    </w:p>
    <w:p w14:paraId="03492CCE" w14:textId="77777777" w:rsidR="00031181" w:rsidRDefault="00031181" w:rsidP="00031181">
      <w:pPr>
        <w:pStyle w:val="Body"/>
        <w:rPr>
          <w:rFonts w:ascii="Arial" w:hAnsi="Arial" w:cs="Arial"/>
        </w:rPr>
      </w:pPr>
      <w:r w:rsidRPr="00031181">
        <w:rPr>
          <w:rFonts w:ascii="Arial" w:hAnsi="Arial" w:cs="Arial"/>
        </w:rPr>
        <w:t xml:space="preserve">The soil of the experimental field was sandy clay loam in texture classified as </w:t>
      </w:r>
      <w:proofErr w:type="spellStart"/>
      <w:r w:rsidRPr="00031181">
        <w:rPr>
          <w:rFonts w:ascii="Arial" w:hAnsi="Arial" w:cs="Arial"/>
        </w:rPr>
        <w:t>Typic</w:t>
      </w:r>
      <w:proofErr w:type="spellEnd"/>
      <w:r w:rsidRPr="00031181">
        <w:rPr>
          <w:rFonts w:ascii="Arial" w:hAnsi="Arial" w:cs="Arial"/>
        </w:rPr>
        <w:t xml:space="preserve"> Udic </w:t>
      </w:r>
      <w:proofErr w:type="spellStart"/>
      <w:r w:rsidRPr="00031181">
        <w:rPr>
          <w:rFonts w:ascii="Arial" w:hAnsi="Arial" w:cs="Arial"/>
        </w:rPr>
        <w:t>Hapludalf</w:t>
      </w:r>
      <w:proofErr w:type="spellEnd"/>
      <w:r w:rsidRPr="00031181">
        <w:rPr>
          <w:rFonts w:ascii="Arial" w:hAnsi="Arial" w:cs="Arial"/>
        </w:rPr>
        <w:t>. The mechanical composition and physio chemical properties of the experimental fields are presented in table 1.</w:t>
      </w:r>
    </w:p>
    <w:p w14:paraId="3035D23F" w14:textId="77777777" w:rsidR="008F0B2D" w:rsidRDefault="008F0B2D" w:rsidP="00031181">
      <w:pPr>
        <w:pStyle w:val="Body"/>
        <w:rPr>
          <w:rFonts w:ascii="Arial" w:hAnsi="Arial" w:cs="Arial"/>
          <w:b/>
          <w:bCs/>
        </w:rPr>
      </w:pPr>
    </w:p>
    <w:p w14:paraId="1AD84A24" w14:textId="3401480C" w:rsidR="00031181" w:rsidRDefault="00031181" w:rsidP="00031181">
      <w:pPr>
        <w:pStyle w:val="Body"/>
        <w:rPr>
          <w:rFonts w:ascii="Arial" w:hAnsi="Arial" w:cs="Arial"/>
          <w:b/>
          <w:bCs/>
        </w:rPr>
      </w:pPr>
      <w:r w:rsidRPr="00031181">
        <w:rPr>
          <w:rFonts w:ascii="Arial" w:hAnsi="Arial" w:cs="Arial"/>
          <w:b/>
          <w:bCs/>
        </w:rPr>
        <w:t>Table: 1 Soil properties of the experimental field</w:t>
      </w: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394"/>
        <w:gridCol w:w="2410"/>
      </w:tblGrid>
      <w:tr w:rsidR="00031181" w:rsidRPr="0019330C" w14:paraId="2C5B932E" w14:textId="77777777" w:rsidTr="00B02A94">
        <w:tc>
          <w:tcPr>
            <w:tcW w:w="959" w:type="dxa"/>
          </w:tcPr>
          <w:p w14:paraId="54AAF2CC" w14:textId="77777777" w:rsidR="00031181" w:rsidRPr="00031181" w:rsidRDefault="00031181" w:rsidP="00B02A94">
            <w:pPr>
              <w:spacing w:line="360" w:lineRule="auto"/>
              <w:jc w:val="both"/>
              <w:rPr>
                <w:rFonts w:ascii="Arial" w:hAnsi="Arial" w:cs="Arial"/>
                <w:b/>
              </w:rPr>
            </w:pPr>
            <w:proofErr w:type="spellStart"/>
            <w:r w:rsidRPr="00031181">
              <w:rPr>
                <w:rFonts w:ascii="Arial" w:hAnsi="Arial" w:cs="Arial"/>
                <w:b/>
              </w:rPr>
              <w:t>S.No</w:t>
            </w:r>
            <w:proofErr w:type="spellEnd"/>
          </w:p>
        </w:tc>
        <w:tc>
          <w:tcPr>
            <w:tcW w:w="6804" w:type="dxa"/>
            <w:gridSpan w:val="2"/>
          </w:tcPr>
          <w:p w14:paraId="3D316E27" w14:textId="77777777" w:rsidR="00031181" w:rsidRPr="00031181" w:rsidRDefault="00031181" w:rsidP="00B02A94">
            <w:pPr>
              <w:spacing w:line="360" w:lineRule="auto"/>
              <w:jc w:val="both"/>
              <w:rPr>
                <w:rFonts w:ascii="Arial" w:hAnsi="Arial" w:cs="Arial"/>
                <w:b/>
              </w:rPr>
            </w:pPr>
            <w:r w:rsidRPr="00031181">
              <w:rPr>
                <w:rFonts w:ascii="Arial" w:hAnsi="Arial" w:cs="Arial"/>
                <w:b/>
              </w:rPr>
              <w:t xml:space="preserve">                                                  Parameters</w:t>
            </w:r>
          </w:p>
        </w:tc>
      </w:tr>
      <w:tr w:rsidR="00031181" w:rsidRPr="0019330C" w14:paraId="77DBF2D6" w14:textId="77777777" w:rsidTr="00B02A94">
        <w:tc>
          <w:tcPr>
            <w:tcW w:w="7763" w:type="dxa"/>
            <w:gridSpan w:val="3"/>
          </w:tcPr>
          <w:p w14:paraId="502A0A5A" w14:textId="77777777" w:rsidR="00031181" w:rsidRPr="00031181" w:rsidRDefault="00031181" w:rsidP="00B02A94">
            <w:pPr>
              <w:spacing w:line="360" w:lineRule="auto"/>
              <w:jc w:val="both"/>
              <w:rPr>
                <w:rFonts w:ascii="Arial" w:hAnsi="Arial" w:cs="Arial"/>
                <w:b/>
              </w:rPr>
            </w:pPr>
            <w:r w:rsidRPr="00031181">
              <w:rPr>
                <w:rFonts w:ascii="Arial" w:hAnsi="Arial" w:cs="Arial"/>
              </w:rPr>
              <w:t xml:space="preserve"> </w:t>
            </w:r>
            <w:r w:rsidRPr="00031181">
              <w:rPr>
                <w:rFonts w:ascii="Arial" w:hAnsi="Arial" w:cs="Arial"/>
                <w:b/>
              </w:rPr>
              <w:t>I Mechanical Properties</w:t>
            </w:r>
          </w:p>
        </w:tc>
      </w:tr>
      <w:tr w:rsidR="00031181" w:rsidRPr="0019330C" w14:paraId="0E563949" w14:textId="77777777" w:rsidTr="00B02A94">
        <w:tc>
          <w:tcPr>
            <w:tcW w:w="959" w:type="dxa"/>
          </w:tcPr>
          <w:p w14:paraId="4BFFFB45"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1.</w:t>
            </w:r>
          </w:p>
        </w:tc>
        <w:tc>
          <w:tcPr>
            <w:tcW w:w="4394" w:type="dxa"/>
          </w:tcPr>
          <w:p w14:paraId="365765E7" w14:textId="77777777" w:rsidR="00031181" w:rsidRPr="00031181" w:rsidRDefault="00031181" w:rsidP="00B02A94">
            <w:pPr>
              <w:spacing w:line="360" w:lineRule="auto"/>
              <w:jc w:val="both"/>
              <w:rPr>
                <w:rFonts w:ascii="Arial" w:hAnsi="Arial" w:cs="Arial"/>
              </w:rPr>
            </w:pPr>
            <w:r w:rsidRPr="00031181">
              <w:rPr>
                <w:rFonts w:ascii="Arial" w:hAnsi="Arial" w:cs="Arial"/>
              </w:rPr>
              <w:t>Clay (%)</w:t>
            </w:r>
          </w:p>
        </w:tc>
        <w:tc>
          <w:tcPr>
            <w:tcW w:w="2410" w:type="dxa"/>
          </w:tcPr>
          <w:p w14:paraId="51ED0E9B"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20.90</w:t>
            </w:r>
          </w:p>
        </w:tc>
      </w:tr>
      <w:tr w:rsidR="00031181" w:rsidRPr="0019330C" w14:paraId="224BF243" w14:textId="77777777" w:rsidTr="00B02A94">
        <w:tc>
          <w:tcPr>
            <w:tcW w:w="959" w:type="dxa"/>
          </w:tcPr>
          <w:p w14:paraId="1CE06B5B"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2.</w:t>
            </w:r>
          </w:p>
        </w:tc>
        <w:tc>
          <w:tcPr>
            <w:tcW w:w="4394" w:type="dxa"/>
          </w:tcPr>
          <w:p w14:paraId="6883409F" w14:textId="77777777" w:rsidR="00031181" w:rsidRPr="00031181" w:rsidRDefault="00031181" w:rsidP="00B02A94">
            <w:pPr>
              <w:spacing w:line="360" w:lineRule="auto"/>
              <w:jc w:val="both"/>
              <w:rPr>
                <w:rFonts w:ascii="Arial" w:hAnsi="Arial" w:cs="Arial"/>
              </w:rPr>
            </w:pPr>
            <w:r w:rsidRPr="00031181">
              <w:rPr>
                <w:rFonts w:ascii="Arial" w:hAnsi="Arial" w:cs="Arial"/>
              </w:rPr>
              <w:t>Silt (%)</w:t>
            </w:r>
          </w:p>
        </w:tc>
        <w:tc>
          <w:tcPr>
            <w:tcW w:w="2410" w:type="dxa"/>
          </w:tcPr>
          <w:p w14:paraId="0E53074E"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7.50</w:t>
            </w:r>
          </w:p>
        </w:tc>
      </w:tr>
      <w:tr w:rsidR="00031181" w:rsidRPr="0019330C" w14:paraId="204EA97D" w14:textId="77777777" w:rsidTr="00B02A94">
        <w:tc>
          <w:tcPr>
            <w:tcW w:w="959" w:type="dxa"/>
          </w:tcPr>
          <w:p w14:paraId="5699AD49"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3.</w:t>
            </w:r>
          </w:p>
        </w:tc>
        <w:tc>
          <w:tcPr>
            <w:tcW w:w="4394" w:type="dxa"/>
          </w:tcPr>
          <w:p w14:paraId="6099A528" w14:textId="77777777" w:rsidR="00031181" w:rsidRPr="00031181" w:rsidRDefault="00031181" w:rsidP="00B02A94">
            <w:pPr>
              <w:spacing w:line="360" w:lineRule="auto"/>
              <w:jc w:val="both"/>
              <w:rPr>
                <w:rFonts w:ascii="Arial" w:hAnsi="Arial" w:cs="Arial"/>
              </w:rPr>
            </w:pPr>
            <w:r w:rsidRPr="00031181">
              <w:rPr>
                <w:rFonts w:ascii="Arial" w:hAnsi="Arial" w:cs="Arial"/>
              </w:rPr>
              <w:t>Coarse sand (%)</w:t>
            </w:r>
          </w:p>
        </w:tc>
        <w:tc>
          <w:tcPr>
            <w:tcW w:w="2410" w:type="dxa"/>
          </w:tcPr>
          <w:p w14:paraId="0161CEFE"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20.40</w:t>
            </w:r>
          </w:p>
        </w:tc>
      </w:tr>
      <w:tr w:rsidR="00031181" w:rsidRPr="0019330C" w14:paraId="47853E27" w14:textId="77777777" w:rsidTr="00B02A94">
        <w:tc>
          <w:tcPr>
            <w:tcW w:w="959" w:type="dxa"/>
          </w:tcPr>
          <w:p w14:paraId="04C8D145"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4.</w:t>
            </w:r>
          </w:p>
        </w:tc>
        <w:tc>
          <w:tcPr>
            <w:tcW w:w="4394" w:type="dxa"/>
          </w:tcPr>
          <w:p w14:paraId="2710ED2B" w14:textId="77777777" w:rsidR="00031181" w:rsidRPr="00031181" w:rsidRDefault="00031181" w:rsidP="00B02A94">
            <w:pPr>
              <w:spacing w:line="360" w:lineRule="auto"/>
              <w:jc w:val="both"/>
              <w:rPr>
                <w:rFonts w:ascii="Arial" w:hAnsi="Arial" w:cs="Arial"/>
              </w:rPr>
            </w:pPr>
            <w:r w:rsidRPr="00031181">
              <w:rPr>
                <w:rFonts w:ascii="Arial" w:hAnsi="Arial" w:cs="Arial"/>
              </w:rPr>
              <w:t>Find sand (%)</w:t>
            </w:r>
          </w:p>
        </w:tc>
        <w:tc>
          <w:tcPr>
            <w:tcW w:w="2410" w:type="dxa"/>
          </w:tcPr>
          <w:p w14:paraId="4F674314"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48.30</w:t>
            </w:r>
          </w:p>
        </w:tc>
      </w:tr>
      <w:tr w:rsidR="00031181" w:rsidRPr="0019330C" w14:paraId="4FBF5788" w14:textId="77777777" w:rsidTr="00B02A94">
        <w:tc>
          <w:tcPr>
            <w:tcW w:w="959" w:type="dxa"/>
          </w:tcPr>
          <w:p w14:paraId="5DAE4545"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5.</w:t>
            </w:r>
          </w:p>
        </w:tc>
        <w:tc>
          <w:tcPr>
            <w:tcW w:w="4394" w:type="dxa"/>
          </w:tcPr>
          <w:p w14:paraId="01A43F83" w14:textId="77777777" w:rsidR="00031181" w:rsidRPr="00031181" w:rsidRDefault="00031181" w:rsidP="00B02A94">
            <w:pPr>
              <w:spacing w:line="360" w:lineRule="auto"/>
              <w:jc w:val="both"/>
              <w:rPr>
                <w:rFonts w:ascii="Arial" w:hAnsi="Arial" w:cs="Arial"/>
              </w:rPr>
            </w:pPr>
            <w:r w:rsidRPr="00031181">
              <w:rPr>
                <w:rFonts w:ascii="Arial" w:hAnsi="Arial" w:cs="Arial"/>
              </w:rPr>
              <w:t>Textural class</w:t>
            </w:r>
          </w:p>
        </w:tc>
        <w:tc>
          <w:tcPr>
            <w:tcW w:w="2410" w:type="dxa"/>
          </w:tcPr>
          <w:p w14:paraId="15253718"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Sandy clay loam</w:t>
            </w:r>
          </w:p>
        </w:tc>
      </w:tr>
      <w:tr w:rsidR="00031181" w:rsidRPr="0019330C" w14:paraId="087E94E2" w14:textId="77777777" w:rsidTr="00B02A94">
        <w:tc>
          <w:tcPr>
            <w:tcW w:w="959" w:type="dxa"/>
          </w:tcPr>
          <w:p w14:paraId="7A8DCA24"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6.</w:t>
            </w:r>
          </w:p>
        </w:tc>
        <w:tc>
          <w:tcPr>
            <w:tcW w:w="4394" w:type="dxa"/>
          </w:tcPr>
          <w:p w14:paraId="2C90C569" w14:textId="77777777" w:rsidR="00031181" w:rsidRPr="00031181" w:rsidRDefault="00031181" w:rsidP="00B02A94">
            <w:pPr>
              <w:spacing w:line="360" w:lineRule="auto"/>
              <w:jc w:val="both"/>
              <w:rPr>
                <w:rFonts w:ascii="Arial" w:hAnsi="Arial" w:cs="Arial"/>
              </w:rPr>
            </w:pPr>
            <w:r w:rsidRPr="00031181">
              <w:rPr>
                <w:rFonts w:ascii="Arial" w:hAnsi="Arial" w:cs="Arial"/>
              </w:rPr>
              <w:t>Bulk density</w:t>
            </w:r>
          </w:p>
        </w:tc>
        <w:tc>
          <w:tcPr>
            <w:tcW w:w="2410" w:type="dxa"/>
          </w:tcPr>
          <w:p w14:paraId="48F20A36"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1.38</w:t>
            </w:r>
          </w:p>
        </w:tc>
      </w:tr>
    </w:tbl>
    <w:p w14:paraId="14B97FC1" w14:textId="77777777" w:rsidR="00031181" w:rsidRPr="00031181" w:rsidRDefault="00031181" w:rsidP="00031181">
      <w:pPr>
        <w:pStyle w:val="Body"/>
        <w:rPr>
          <w:rFonts w:ascii="Arial" w:hAnsi="Arial" w:cs="Arial"/>
          <w:b/>
          <w:bCs/>
        </w:rPr>
      </w:pPr>
    </w:p>
    <w:p w14:paraId="3968464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2BD44F0" w14:textId="77777777" w:rsidR="00E02503" w:rsidRPr="00E02503" w:rsidRDefault="00E02503" w:rsidP="00E02503">
      <w:pPr>
        <w:pStyle w:val="Body"/>
        <w:rPr>
          <w:rFonts w:ascii="Arial" w:hAnsi="Arial" w:cs="Arial"/>
          <w:b/>
          <w:bCs/>
        </w:rPr>
      </w:pPr>
      <w:r w:rsidRPr="00E02503">
        <w:rPr>
          <w:rFonts w:ascii="Arial" w:hAnsi="Arial" w:cs="Arial"/>
          <w:b/>
          <w:bCs/>
        </w:rPr>
        <w:t>3.1 Effect of green manure on soil properties</w:t>
      </w:r>
    </w:p>
    <w:p w14:paraId="420A857A" w14:textId="77777777" w:rsidR="00E02503" w:rsidRPr="00E02503" w:rsidRDefault="00E02503" w:rsidP="00E02503">
      <w:pPr>
        <w:pStyle w:val="Body"/>
        <w:rPr>
          <w:rFonts w:ascii="Arial" w:hAnsi="Arial" w:cs="Arial"/>
          <w:b/>
          <w:bCs/>
        </w:rPr>
      </w:pPr>
      <w:r w:rsidRPr="00E02503">
        <w:rPr>
          <w:rFonts w:ascii="Arial" w:hAnsi="Arial" w:cs="Arial"/>
          <w:b/>
          <w:bCs/>
        </w:rPr>
        <w:lastRenderedPageBreak/>
        <w:t xml:space="preserve">3.1.1 </w:t>
      </w:r>
      <w:commentRangeStart w:id="3"/>
      <w:r w:rsidRPr="00E02503">
        <w:rPr>
          <w:rFonts w:ascii="Arial" w:hAnsi="Arial" w:cs="Arial"/>
          <w:b/>
          <w:bCs/>
        </w:rPr>
        <w:t>pH</w:t>
      </w:r>
      <w:commentRangeEnd w:id="3"/>
      <w:r w:rsidR="005370CB">
        <w:rPr>
          <w:rStyle w:val="CommentReference"/>
          <w:rFonts w:ascii="Times New Roman" w:hAnsi="Times New Roman"/>
          <w:lang w:val="nb-NO" w:eastAsia="nb-NO"/>
        </w:rPr>
        <w:commentReference w:id="3"/>
      </w:r>
    </w:p>
    <w:p w14:paraId="28AF6E71" w14:textId="77777777" w:rsidR="00E02503" w:rsidRPr="00E02503" w:rsidRDefault="00E02503" w:rsidP="00E02503">
      <w:pPr>
        <w:pStyle w:val="Body"/>
        <w:rPr>
          <w:rFonts w:ascii="Arial" w:hAnsi="Arial" w:cs="Arial"/>
        </w:rPr>
      </w:pPr>
      <w:r w:rsidRPr="00E02503">
        <w:rPr>
          <w:rFonts w:ascii="Arial" w:hAnsi="Arial" w:cs="Arial"/>
        </w:rPr>
        <w:t>The pH of the pre-harvest soil in the experimental field was 7.8. Hence, the soil had a slightly alkaline nature shown in Table 2.</w:t>
      </w:r>
    </w:p>
    <w:p w14:paraId="6D2CA5B6" w14:textId="77777777" w:rsidR="00E02503" w:rsidRPr="00E02503" w:rsidRDefault="00E02503" w:rsidP="00E02503">
      <w:pPr>
        <w:pStyle w:val="Body"/>
        <w:rPr>
          <w:rFonts w:ascii="Arial" w:hAnsi="Arial" w:cs="Arial"/>
        </w:rPr>
      </w:pPr>
      <w:r w:rsidRPr="00E02503">
        <w:rPr>
          <w:rFonts w:ascii="Arial" w:hAnsi="Arial" w:cs="Arial"/>
        </w:rPr>
        <w:tab/>
        <w:t xml:space="preserve">The pH of the post-harvest soil after the incorporation of green manure (45 DAS of </w:t>
      </w:r>
      <w:proofErr w:type="spellStart"/>
      <w:r w:rsidRPr="00E02503">
        <w:rPr>
          <w:rFonts w:ascii="Arial" w:hAnsi="Arial" w:cs="Arial"/>
        </w:rPr>
        <w:t>daincha</w:t>
      </w:r>
      <w:proofErr w:type="spellEnd"/>
      <w:r w:rsidRPr="00E02503">
        <w:rPr>
          <w:rFonts w:ascii="Arial" w:hAnsi="Arial" w:cs="Arial"/>
        </w:rPr>
        <w:t xml:space="preserve"> followed by 30 days after incorporation) was 7.5. After the incorporation of green manure in the experimental field, the pH of the soil was decreased because the green manures release organic acids and also involves the chelation process. So, the pH of the soil was decreased.</w:t>
      </w:r>
    </w:p>
    <w:p w14:paraId="64DE2DF4" w14:textId="7E8AF145" w:rsidR="00E02503" w:rsidRPr="00E02503" w:rsidRDefault="00E02503" w:rsidP="00E02503">
      <w:pPr>
        <w:pStyle w:val="Body"/>
        <w:rPr>
          <w:rFonts w:ascii="Arial" w:hAnsi="Arial" w:cs="Arial"/>
        </w:rPr>
      </w:pPr>
      <w:r w:rsidRPr="00E02503">
        <w:rPr>
          <w:rFonts w:ascii="Arial" w:hAnsi="Arial" w:cs="Arial"/>
        </w:rPr>
        <w:tab/>
        <w:t xml:space="preserve">The incorporation of green manure changes the pH of the soil. Improve the soil health and plant health. This statement was also proved by </w:t>
      </w:r>
      <w:proofErr w:type="spellStart"/>
      <w:r w:rsidRPr="00E02503">
        <w:rPr>
          <w:rFonts w:ascii="Arial" w:hAnsi="Arial" w:cs="Arial"/>
        </w:rPr>
        <w:t>Ambrosano</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(2013) they reported that the biomass of </w:t>
      </w:r>
      <w:proofErr w:type="spellStart"/>
      <w:r w:rsidRPr="00E02503">
        <w:rPr>
          <w:rFonts w:ascii="Arial" w:hAnsi="Arial" w:cs="Arial"/>
        </w:rPr>
        <w:t>sunhemp</w:t>
      </w:r>
      <w:proofErr w:type="spellEnd"/>
      <w:r w:rsidRPr="00E02503">
        <w:rPr>
          <w:rFonts w:ascii="Arial" w:hAnsi="Arial" w:cs="Arial"/>
        </w:rPr>
        <w:t xml:space="preserve"> induced a complete N substitution in sugarcane and could positively affect yield and increase Ca and Mg contents, sum of bases, pH, and base saturation, and decrease potential acidity and increase profit.</w:t>
      </w:r>
    </w:p>
    <w:p w14:paraId="3A95C6C7" w14:textId="77777777" w:rsidR="00E02503" w:rsidRPr="00E02503" w:rsidRDefault="00E02503" w:rsidP="00E02503">
      <w:pPr>
        <w:pStyle w:val="Body"/>
        <w:rPr>
          <w:rFonts w:ascii="Arial" w:hAnsi="Arial" w:cs="Arial"/>
          <w:b/>
          <w:bCs/>
        </w:rPr>
      </w:pPr>
      <w:r w:rsidRPr="00E02503">
        <w:rPr>
          <w:rFonts w:ascii="Arial" w:hAnsi="Arial" w:cs="Arial"/>
          <w:b/>
          <w:bCs/>
        </w:rPr>
        <w:t xml:space="preserve">3.1.2 </w:t>
      </w:r>
      <w:commentRangeStart w:id="5"/>
      <w:r w:rsidRPr="00E02503">
        <w:rPr>
          <w:rFonts w:ascii="Arial" w:hAnsi="Arial" w:cs="Arial"/>
          <w:b/>
          <w:bCs/>
        </w:rPr>
        <w:t>EC</w:t>
      </w:r>
      <w:commentRangeEnd w:id="5"/>
      <w:r w:rsidR="005370CB">
        <w:rPr>
          <w:rStyle w:val="CommentReference"/>
          <w:rFonts w:ascii="Times New Roman" w:hAnsi="Times New Roman"/>
          <w:lang w:val="nb-NO" w:eastAsia="nb-NO"/>
        </w:rPr>
        <w:commentReference w:id="5"/>
      </w:r>
    </w:p>
    <w:p w14:paraId="1EF791AB" w14:textId="77777777" w:rsidR="00E02503" w:rsidRPr="00E02503" w:rsidRDefault="00E02503" w:rsidP="00E02503">
      <w:pPr>
        <w:pStyle w:val="Body"/>
        <w:rPr>
          <w:rFonts w:ascii="Arial" w:hAnsi="Arial" w:cs="Arial"/>
        </w:rPr>
      </w:pPr>
      <w:r w:rsidRPr="00E02503">
        <w:rPr>
          <w:rFonts w:ascii="Arial" w:hAnsi="Arial" w:cs="Arial"/>
        </w:rPr>
        <w:tab/>
        <w:t>The EC of the pre-harvest soil in the experimental field was 0.33 dSm</w:t>
      </w:r>
      <w:r w:rsidRPr="00E02503">
        <w:rPr>
          <w:rFonts w:ascii="Arial" w:hAnsi="Arial" w:cs="Arial"/>
          <w:vertAlign w:val="superscript"/>
        </w:rPr>
        <w:t>-1</w:t>
      </w:r>
      <w:r w:rsidRPr="00E02503">
        <w:rPr>
          <w:rFonts w:ascii="Arial" w:hAnsi="Arial" w:cs="Arial"/>
        </w:rPr>
        <w:t>. Hence, the soil was suitable for agriculture shown in Table 2.</w:t>
      </w:r>
    </w:p>
    <w:p w14:paraId="1A9C0AA4" w14:textId="77777777" w:rsidR="00E02503" w:rsidRPr="00E02503" w:rsidRDefault="00E02503" w:rsidP="00E02503">
      <w:pPr>
        <w:pStyle w:val="Body"/>
        <w:rPr>
          <w:rFonts w:ascii="Arial" w:hAnsi="Arial" w:cs="Arial"/>
        </w:rPr>
      </w:pPr>
      <w:r w:rsidRPr="00E02503">
        <w:rPr>
          <w:rFonts w:ascii="Arial" w:hAnsi="Arial" w:cs="Arial"/>
        </w:rPr>
        <w:tab/>
        <w:t xml:space="preserve">The EC of the post-harvest soil after the incorporation of green manure (45 DAS of </w:t>
      </w:r>
      <w:proofErr w:type="spellStart"/>
      <w:r w:rsidRPr="00E02503">
        <w:rPr>
          <w:rFonts w:ascii="Arial" w:hAnsi="Arial" w:cs="Arial"/>
        </w:rPr>
        <w:t>daincha</w:t>
      </w:r>
      <w:proofErr w:type="spellEnd"/>
      <w:r w:rsidRPr="00E02503">
        <w:rPr>
          <w:rFonts w:ascii="Arial" w:hAnsi="Arial" w:cs="Arial"/>
        </w:rPr>
        <w:t>) was 0.47 dSm</w:t>
      </w:r>
      <w:r w:rsidRPr="00E02503">
        <w:rPr>
          <w:rFonts w:ascii="Arial" w:hAnsi="Arial" w:cs="Arial"/>
          <w:vertAlign w:val="superscript"/>
        </w:rPr>
        <w:t>-1</w:t>
      </w:r>
      <w:r w:rsidRPr="00E02503">
        <w:rPr>
          <w:rFonts w:ascii="Arial" w:hAnsi="Arial" w:cs="Arial"/>
        </w:rPr>
        <w:t>. The EC of the soil was increased after the incorporation of green manure</w:t>
      </w:r>
    </w:p>
    <w:p w14:paraId="6F50EDEC" w14:textId="3373D90D" w:rsidR="00E02503" w:rsidRPr="00E02503" w:rsidRDefault="00E02503" w:rsidP="00E02503">
      <w:pPr>
        <w:pStyle w:val="Body"/>
        <w:rPr>
          <w:rFonts w:ascii="Arial" w:hAnsi="Arial" w:cs="Arial"/>
          <w:b/>
          <w:bCs/>
        </w:rPr>
      </w:pPr>
      <w:r w:rsidRPr="00E02503">
        <w:rPr>
          <w:rFonts w:ascii="Arial" w:hAnsi="Arial" w:cs="Arial"/>
          <w:b/>
          <w:bCs/>
        </w:rPr>
        <w:t>3.1.3 Organic Carbon</w:t>
      </w:r>
    </w:p>
    <w:p w14:paraId="0EC4675B" w14:textId="77777777" w:rsidR="00E02503" w:rsidRPr="00E02503" w:rsidRDefault="00E02503" w:rsidP="00E02503">
      <w:pPr>
        <w:pStyle w:val="Body"/>
        <w:rPr>
          <w:rFonts w:ascii="Arial" w:hAnsi="Arial" w:cs="Arial"/>
        </w:rPr>
      </w:pPr>
      <w:r w:rsidRPr="00E02503">
        <w:rPr>
          <w:rFonts w:ascii="Arial" w:hAnsi="Arial" w:cs="Arial"/>
        </w:rPr>
        <w:t xml:space="preserve"> The Organic Carbon content of the pre-harvest soil in the experimental field was 1.26%. The Organic Carbon of the soil is greater than 0.75%, so the organic carbon status of this soil is high shown in Table 2. </w:t>
      </w:r>
    </w:p>
    <w:p w14:paraId="1FBDC1D6" w14:textId="77777777" w:rsidR="00E02503" w:rsidRPr="00E02503" w:rsidRDefault="00E02503" w:rsidP="00E02503">
      <w:pPr>
        <w:pStyle w:val="Body"/>
        <w:rPr>
          <w:rFonts w:ascii="Arial" w:hAnsi="Arial" w:cs="Arial"/>
        </w:rPr>
      </w:pPr>
      <w:r w:rsidRPr="00E02503">
        <w:rPr>
          <w:rFonts w:ascii="Arial" w:hAnsi="Arial" w:cs="Arial"/>
        </w:rPr>
        <w:tab/>
        <w:t>Then, after the incorporation of green manure, the Organic Carbon of the post-harvest soil was increased up to 1.29%. Because the green manure provides nutrient-rich food to microorganisms, which increases the organic carbon content of the soil.</w:t>
      </w:r>
    </w:p>
    <w:p w14:paraId="4DC1F5EC" w14:textId="2A9694AF" w:rsidR="00E02503" w:rsidRPr="00E02503" w:rsidRDefault="00E02503" w:rsidP="00E02503">
      <w:pPr>
        <w:pStyle w:val="Body"/>
        <w:rPr>
          <w:rFonts w:ascii="Arial" w:hAnsi="Arial" w:cs="Arial"/>
        </w:rPr>
      </w:pPr>
      <w:r w:rsidRPr="00E02503">
        <w:rPr>
          <w:rFonts w:ascii="Arial" w:hAnsi="Arial" w:cs="Arial"/>
        </w:rPr>
        <w:tab/>
        <w:t xml:space="preserve">This result was confirmed by </w:t>
      </w:r>
      <w:proofErr w:type="spellStart"/>
      <w:r w:rsidRPr="00E02503">
        <w:rPr>
          <w:rFonts w:ascii="Arial" w:hAnsi="Arial" w:cs="Arial"/>
        </w:rPr>
        <w:t>Chaphale</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(2000) noted that green manuring has been reported to increase the organic carbon status of soil in highly sodic soils. </w:t>
      </w:r>
      <w:proofErr w:type="spellStart"/>
      <w:r w:rsidRPr="00E02503">
        <w:rPr>
          <w:rFonts w:ascii="Arial" w:hAnsi="Arial" w:cs="Arial"/>
        </w:rPr>
        <w:t>Bokhtiar</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(2002) also recorded significant build-up of organic carbon, available N, P and K in soil under graded levels of fertilizers and also with green manure and green gram crop incorporation after the picking of pods. Singh and Chauhan (2002) reported that organic carbon and available N, P and K contents in soil were also improved with the application of FYM and Kudzu (</w:t>
      </w:r>
      <w:proofErr w:type="spellStart"/>
      <w:r w:rsidRPr="00E02503">
        <w:rPr>
          <w:rFonts w:ascii="Arial" w:hAnsi="Arial" w:cs="Arial"/>
          <w:i/>
          <w:iCs/>
        </w:rPr>
        <w:t>Pureriathum</w:t>
      </w:r>
      <w:proofErr w:type="spellEnd"/>
      <w:r w:rsidRPr="00E02503">
        <w:rPr>
          <w:rFonts w:ascii="Arial" w:hAnsi="Arial" w:cs="Arial"/>
          <w:i/>
          <w:iCs/>
        </w:rPr>
        <w:t xml:space="preserve"> </w:t>
      </w:r>
      <w:proofErr w:type="spellStart"/>
      <w:r w:rsidRPr="00E02503">
        <w:rPr>
          <w:rFonts w:ascii="Arial" w:hAnsi="Arial" w:cs="Arial"/>
          <w:i/>
          <w:iCs/>
        </w:rPr>
        <w:t>bergiana</w:t>
      </w:r>
      <w:proofErr w:type="spellEnd"/>
      <w:r w:rsidRPr="00E02503">
        <w:rPr>
          <w:rFonts w:ascii="Arial" w:hAnsi="Arial" w:cs="Arial"/>
        </w:rPr>
        <w:t>) compost in wheat-</w:t>
      </w:r>
      <w:proofErr w:type="spellStart"/>
      <w:r w:rsidRPr="00E02503">
        <w:rPr>
          <w:rFonts w:ascii="Arial" w:hAnsi="Arial" w:cs="Arial"/>
        </w:rPr>
        <w:t>ragi</w:t>
      </w:r>
      <w:proofErr w:type="spellEnd"/>
      <w:r w:rsidRPr="00E02503">
        <w:rPr>
          <w:rFonts w:ascii="Arial" w:hAnsi="Arial" w:cs="Arial"/>
        </w:rPr>
        <w:t xml:space="preserve"> sequence under </w:t>
      </w:r>
      <w:proofErr w:type="spellStart"/>
      <w:r w:rsidRPr="00E02503">
        <w:rPr>
          <w:rFonts w:ascii="Arial" w:hAnsi="Arial" w:cs="Arial"/>
        </w:rPr>
        <w:t>Almora</w:t>
      </w:r>
      <w:proofErr w:type="spellEnd"/>
      <w:r w:rsidRPr="00E02503">
        <w:rPr>
          <w:rFonts w:ascii="Arial" w:hAnsi="Arial" w:cs="Arial"/>
        </w:rPr>
        <w:t xml:space="preserve"> conditions.</w:t>
      </w:r>
    </w:p>
    <w:p w14:paraId="25044E01" w14:textId="77777777" w:rsidR="00E02503" w:rsidRPr="00E02503" w:rsidRDefault="00E02503" w:rsidP="00E02503">
      <w:pPr>
        <w:pStyle w:val="Body"/>
        <w:rPr>
          <w:rFonts w:ascii="Arial" w:hAnsi="Arial" w:cs="Arial"/>
          <w:b/>
          <w:bCs/>
        </w:rPr>
      </w:pPr>
      <w:r w:rsidRPr="00E02503">
        <w:rPr>
          <w:rFonts w:ascii="Arial" w:hAnsi="Arial" w:cs="Arial"/>
          <w:b/>
          <w:bCs/>
        </w:rPr>
        <w:t>3.1.4 Available Nitrogen</w:t>
      </w:r>
    </w:p>
    <w:p w14:paraId="31314C17" w14:textId="4D2DCEEC" w:rsidR="00E02503" w:rsidRPr="00E02503" w:rsidRDefault="00E02503" w:rsidP="00E02503">
      <w:pPr>
        <w:pStyle w:val="Body"/>
        <w:rPr>
          <w:rFonts w:ascii="Arial" w:hAnsi="Arial" w:cs="Arial"/>
        </w:rPr>
      </w:pPr>
      <w:r w:rsidRPr="00E02503">
        <w:rPr>
          <w:rFonts w:ascii="Arial" w:hAnsi="Arial" w:cs="Arial"/>
        </w:rPr>
        <w:tab/>
        <w:t>The pre-harvest soil in the experimental field has 225.79 Kg ha</w:t>
      </w:r>
      <w:r w:rsidRPr="00E02503">
        <w:rPr>
          <w:rFonts w:ascii="Arial" w:hAnsi="Arial" w:cs="Arial"/>
          <w:vertAlign w:val="superscript"/>
        </w:rPr>
        <w:t>-1</w:t>
      </w:r>
      <w:r>
        <w:rPr>
          <w:rFonts w:ascii="Arial" w:hAnsi="Arial" w:cs="Arial"/>
        </w:rPr>
        <w:t xml:space="preserve"> </w:t>
      </w:r>
      <w:r w:rsidRPr="00E02503">
        <w:rPr>
          <w:rFonts w:ascii="Arial" w:hAnsi="Arial" w:cs="Arial"/>
        </w:rPr>
        <w:t>available nitrogen. The available nitrogen of the soil is less than 280 Kg ha</w:t>
      </w:r>
      <w:r w:rsidRPr="00E02503">
        <w:rPr>
          <w:rFonts w:ascii="Arial" w:hAnsi="Arial" w:cs="Arial"/>
          <w:vertAlign w:val="superscript"/>
        </w:rPr>
        <w:t>-1</w:t>
      </w:r>
      <w:r w:rsidRPr="00E02503">
        <w:rPr>
          <w:rFonts w:ascii="Arial" w:hAnsi="Arial" w:cs="Arial"/>
        </w:rPr>
        <w:t xml:space="preserve">. The available nitrogen status of this soil is low shown in Table 2. </w:t>
      </w:r>
    </w:p>
    <w:p w14:paraId="4B40CC05" w14:textId="77777777" w:rsidR="00E02503" w:rsidRPr="00E02503" w:rsidRDefault="00E02503" w:rsidP="00E02503">
      <w:pPr>
        <w:pStyle w:val="Body"/>
        <w:rPr>
          <w:rFonts w:ascii="Arial" w:hAnsi="Arial" w:cs="Arial"/>
        </w:rPr>
      </w:pPr>
      <w:r w:rsidRPr="00E02503">
        <w:rPr>
          <w:rFonts w:ascii="Arial" w:hAnsi="Arial" w:cs="Arial"/>
        </w:rPr>
        <w:tab/>
        <w:t xml:space="preserve">The available nitrogen of the post-harvest soil after the incorporating of green manure (45 DAS of </w:t>
      </w:r>
      <w:proofErr w:type="spellStart"/>
      <w:r w:rsidRPr="00E02503">
        <w:rPr>
          <w:rFonts w:ascii="Arial" w:hAnsi="Arial" w:cs="Arial"/>
        </w:rPr>
        <w:t>daincha</w:t>
      </w:r>
      <w:proofErr w:type="spellEnd"/>
      <w:r w:rsidRPr="00E02503">
        <w:rPr>
          <w:rFonts w:ascii="Arial" w:hAnsi="Arial" w:cs="Arial"/>
        </w:rPr>
        <w:t>) was 235 Kg ha</w:t>
      </w:r>
      <w:r w:rsidRPr="00E02503">
        <w:rPr>
          <w:rFonts w:ascii="Arial" w:hAnsi="Arial" w:cs="Arial"/>
          <w:vertAlign w:val="superscript"/>
        </w:rPr>
        <w:t>-1</w:t>
      </w:r>
      <w:r w:rsidRPr="00E02503">
        <w:rPr>
          <w:rFonts w:ascii="Arial" w:hAnsi="Arial" w:cs="Arial"/>
        </w:rPr>
        <w:t xml:space="preserve">. The incorporation of green manure increases </w:t>
      </w:r>
      <w:r w:rsidRPr="00E02503">
        <w:rPr>
          <w:rFonts w:ascii="Arial" w:hAnsi="Arial" w:cs="Arial"/>
        </w:rPr>
        <w:lastRenderedPageBreak/>
        <w:t xml:space="preserve">the available nitrogen of the soil because green manure has some percentage of N content. For our analysis of the plant sample, they have 4.55% nitrogen content. The green manure root nodules fix the atmospheric nitrogen. This nitrogen is added to the soil and the available nitrogen of the soil increases after the incorporation of green manure. </w:t>
      </w:r>
    </w:p>
    <w:p w14:paraId="0FDFC877" w14:textId="080CD091" w:rsidR="00E02503" w:rsidRPr="00E02503" w:rsidRDefault="00E02503" w:rsidP="00E02503">
      <w:pPr>
        <w:pStyle w:val="Body"/>
        <w:rPr>
          <w:rFonts w:ascii="Arial" w:hAnsi="Arial" w:cs="Arial"/>
        </w:rPr>
      </w:pPr>
      <w:r w:rsidRPr="00E02503">
        <w:rPr>
          <w:rFonts w:ascii="Arial" w:hAnsi="Arial" w:cs="Arial"/>
        </w:rPr>
        <w:tab/>
        <w:t xml:space="preserve">Incorporation of green manure has increased the available nitrogen of the soil and improved the chemical properties of the soil. This result was also confirmed by Sinha </w:t>
      </w:r>
      <w:r w:rsidR="006B5495" w:rsidRPr="006B5495">
        <w:rPr>
          <w:rFonts w:ascii="Arial" w:hAnsi="Arial" w:cs="Arial"/>
          <w:i/>
          <w:iCs/>
        </w:rPr>
        <w:t>et al</w:t>
      </w:r>
      <w:r w:rsidRPr="00E02503">
        <w:rPr>
          <w:rFonts w:ascii="Arial" w:hAnsi="Arial" w:cs="Arial"/>
        </w:rPr>
        <w:t xml:space="preserve">. (2009) studied the release of Nitrogen bound in the litter of decomposing green manure crop </w:t>
      </w:r>
      <w:proofErr w:type="spellStart"/>
      <w:r w:rsidRPr="00E02503">
        <w:rPr>
          <w:rFonts w:ascii="Arial" w:hAnsi="Arial" w:cs="Arial"/>
        </w:rPr>
        <w:t>Crotolaria</w:t>
      </w:r>
      <w:proofErr w:type="spellEnd"/>
      <w:r w:rsidRPr="00E02503">
        <w:rPr>
          <w:rFonts w:ascii="Arial" w:hAnsi="Arial" w:cs="Arial"/>
        </w:rPr>
        <w:t xml:space="preserve"> </w:t>
      </w:r>
      <w:proofErr w:type="spellStart"/>
      <w:r w:rsidRPr="00E02503">
        <w:rPr>
          <w:rFonts w:ascii="Arial" w:hAnsi="Arial" w:cs="Arial"/>
        </w:rPr>
        <w:t>juncea</w:t>
      </w:r>
      <w:proofErr w:type="spellEnd"/>
      <w:r w:rsidRPr="00E02503">
        <w:rPr>
          <w:rFonts w:ascii="Arial" w:hAnsi="Arial" w:cs="Arial"/>
        </w:rPr>
        <w:t xml:space="preserve"> about different climatic factors. Soil temperature has an effect on the pattern of nitrogen release during decomposition of added green manure residue in soil (Brar and Sidhu, 1997). </w:t>
      </w:r>
      <w:proofErr w:type="spellStart"/>
      <w:r w:rsidRPr="00E02503">
        <w:rPr>
          <w:rFonts w:ascii="Arial" w:hAnsi="Arial" w:cs="Arial"/>
        </w:rPr>
        <w:t>Abeysekerra</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(2001) noted that organic manures enhanced the mineral nitrogen contents in the soil irrespective of the source of green manure. </w:t>
      </w:r>
      <w:proofErr w:type="spellStart"/>
      <w:r w:rsidRPr="00E02503">
        <w:rPr>
          <w:rFonts w:ascii="Arial" w:hAnsi="Arial" w:cs="Arial"/>
        </w:rPr>
        <w:t>Chaphale</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(2000) noted that green manuring has been reported to increase the available nitrogen status of soil in highly sodic soils. Lokesh Dubey </w:t>
      </w:r>
      <w:r w:rsidR="006B5495" w:rsidRPr="006B5495">
        <w:rPr>
          <w:rFonts w:ascii="Arial" w:hAnsi="Arial" w:cs="Arial"/>
          <w:i/>
          <w:iCs/>
        </w:rPr>
        <w:t>et al</w:t>
      </w:r>
      <w:r w:rsidRPr="00E02503">
        <w:rPr>
          <w:rFonts w:ascii="Arial" w:hAnsi="Arial" w:cs="Arial"/>
        </w:rPr>
        <w:t>., (2005) reported that Leguminous green manure crop in soil increases nitrogen level by fixation.</w:t>
      </w:r>
    </w:p>
    <w:p w14:paraId="171A3F3F" w14:textId="77777777" w:rsidR="00E02503" w:rsidRPr="00E02503" w:rsidRDefault="00E02503" w:rsidP="00E02503">
      <w:pPr>
        <w:pStyle w:val="Body"/>
        <w:rPr>
          <w:rFonts w:ascii="Arial" w:hAnsi="Arial" w:cs="Arial"/>
          <w:b/>
          <w:bCs/>
        </w:rPr>
      </w:pPr>
      <w:r w:rsidRPr="00E02503">
        <w:rPr>
          <w:rFonts w:ascii="Arial" w:hAnsi="Arial" w:cs="Arial"/>
          <w:b/>
          <w:bCs/>
        </w:rPr>
        <w:t xml:space="preserve"> 3.1.5 Available Phosphorus:</w:t>
      </w:r>
    </w:p>
    <w:p w14:paraId="64F90856" w14:textId="77777777" w:rsidR="00E02503" w:rsidRPr="00E02503" w:rsidRDefault="00E02503" w:rsidP="00E02503">
      <w:pPr>
        <w:pStyle w:val="Body"/>
        <w:rPr>
          <w:rFonts w:ascii="Arial" w:hAnsi="Arial" w:cs="Arial"/>
        </w:rPr>
      </w:pPr>
      <w:r w:rsidRPr="00E02503">
        <w:rPr>
          <w:rFonts w:ascii="Arial" w:hAnsi="Arial" w:cs="Arial"/>
        </w:rPr>
        <w:tab/>
        <w:t>The available phosphorus of the pre-harvest soil in the experimental field was 31.36 Kg ha</w:t>
      </w:r>
      <w:r w:rsidRPr="006B5495">
        <w:rPr>
          <w:rFonts w:ascii="Arial" w:hAnsi="Arial" w:cs="Arial"/>
          <w:vertAlign w:val="superscript"/>
        </w:rPr>
        <w:t>-1</w:t>
      </w:r>
      <w:r w:rsidRPr="00E02503">
        <w:rPr>
          <w:rFonts w:ascii="Arial" w:hAnsi="Arial" w:cs="Arial"/>
        </w:rPr>
        <w:t>. The available phosphorus of the soil is greater than 22 Kg ha</w:t>
      </w:r>
      <w:r w:rsidRPr="006B5495">
        <w:rPr>
          <w:rFonts w:ascii="Arial" w:hAnsi="Arial" w:cs="Arial"/>
          <w:vertAlign w:val="superscript"/>
        </w:rPr>
        <w:t>-1</w:t>
      </w:r>
      <w:r w:rsidRPr="00E02503">
        <w:rPr>
          <w:rFonts w:ascii="Arial" w:hAnsi="Arial" w:cs="Arial"/>
        </w:rPr>
        <w:t>. The experimental field had high available phosphorus content shown in Table 2.</w:t>
      </w:r>
    </w:p>
    <w:p w14:paraId="40C1AAC7" w14:textId="77777777" w:rsidR="00E02503" w:rsidRPr="00E02503" w:rsidRDefault="00E02503" w:rsidP="00E02503">
      <w:pPr>
        <w:pStyle w:val="Body"/>
        <w:rPr>
          <w:rFonts w:ascii="Arial" w:hAnsi="Arial" w:cs="Arial"/>
        </w:rPr>
      </w:pPr>
      <w:r w:rsidRPr="00E02503">
        <w:rPr>
          <w:rFonts w:ascii="Arial" w:hAnsi="Arial" w:cs="Arial"/>
        </w:rPr>
        <w:tab/>
        <w:t>Then, after the incorporation of green manure available phosphorus of the post-harvest soil was 33.6 Kg ha</w:t>
      </w:r>
      <w:r w:rsidRPr="006B5495">
        <w:rPr>
          <w:rFonts w:ascii="Arial" w:hAnsi="Arial" w:cs="Arial"/>
          <w:vertAlign w:val="superscript"/>
        </w:rPr>
        <w:t>-1</w:t>
      </w:r>
      <w:r w:rsidRPr="00E02503">
        <w:rPr>
          <w:rFonts w:ascii="Arial" w:hAnsi="Arial" w:cs="Arial"/>
        </w:rPr>
        <w:t>. Compared to the pre and post-harvested soil, the available P of the soil is increased. The incorporation of green manure increases the available phosphorus of the soil because green manure has some percentage of P content. For our analysis of the plant sample, it has 0.88% phosphorus content. The phosphorus content of the plant was added to the soil. The P content of the soil was increased.</w:t>
      </w:r>
    </w:p>
    <w:p w14:paraId="3615977C" w14:textId="11339182" w:rsidR="00001D55" w:rsidRPr="00F45291" w:rsidRDefault="00E02503" w:rsidP="00E02503">
      <w:pPr>
        <w:pStyle w:val="Body"/>
        <w:rPr>
          <w:rFonts w:ascii="Arial" w:hAnsi="Arial" w:cs="Arial"/>
        </w:rPr>
      </w:pPr>
      <w:r w:rsidRPr="00E02503">
        <w:rPr>
          <w:rFonts w:ascii="Arial" w:hAnsi="Arial" w:cs="Arial"/>
        </w:rPr>
        <w:tab/>
        <w:t xml:space="preserve">The above result, as confirmed by </w:t>
      </w:r>
      <w:proofErr w:type="spellStart"/>
      <w:r w:rsidRPr="00E02503">
        <w:rPr>
          <w:rFonts w:ascii="Arial" w:hAnsi="Arial" w:cs="Arial"/>
        </w:rPr>
        <w:t>Chaphale</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(2001), noted that green manuring has been reported to increase the phosphorus status of soil in highly sodic soils. Green manure crops during decomposition release nutrients and are involved in recycling the nitrogen, phosphorus and potassium in the integrated plant nutrients system (IPNS) (</w:t>
      </w:r>
      <w:proofErr w:type="spellStart"/>
      <w:r w:rsidRPr="00E02503">
        <w:rPr>
          <w:rFonts w:ascii="Arial" w:hAnsi="Arial" w:cs="Arial"/>
        </w:rPr>
        <w:t>Palaniappan</w:t>
      </w:r>
      <w:proofErr w:type="spellEnd"/>
      <w:r w:rsidRPr="00E02503">
        <w:rPr>
          <w:rFonts w:ascii="Arial" w:hAnsi="Arial" w:cs="Arial"/>
        </w:rPr>
        <w:t xml:space="preserve">, 1994; Goyal </w:t>
      </w:r>
      <w:r w:rsidR="006B5495" w:rsidRPr="006B5495">
        <w:rPr>
          <w:rFonts w:ascii="Arial" w:hAnsi="Arial" w:cs="Arial"/>
          <w:i/>
          <w:iCs/>
        </w:rPr>
        <w:t>et al</w:t>
      </w:r>
      <w:r w:rsidRPr="00E02503">
        <w:rPr>
          <w:rFonts w:ascii="Arial" w:hAnsi="Arial" w:cs="Arial"/>
        </w:rPr>
        <w:t xml:space="preserve">., 1999; Sharma and Ghosh, 2000; Yadav </w:t>
      </w:r>
      <w:r w:rsidR="006B5495" w:rsidRPr="006B5495">
        <w:rPr>
          <w:rFonts w:ascii="Arial" w:hAnsi="Arial" w:cs="Arial"/>
          <w:i/>
          <w:iCs/>
        </w:rPr>
        <w:t>et al</w:t>
      </w:r>
      <w:r w:rsidRPr="00E02503">
        <w:rPr>
          <w:rFonts w:ascii="Arial" w:hAnsi="Arial" w:cs="Arial"/>
        </w:rPr>
        <w:t xml:space="preserve">., 2000; Singh </w:t>
      </w:r>
      <w:r w:rsidR="006B5495" w:rsidRPr="006B5495">
        <w:rPr>
          <w:rFonts w:ascii="Arial" w:hAnsi="Arial" w:cs="Arial"/>
          <w:i/>
          <w:iCs/>
        </w:rPr>
        <w:t>et al</w:t>
      </w:r>
      <w:r w:rsidRPr="00E02503">
        <w:rPr>
          <w:rFonts w:ascii="Arial" w:hAnsi="Arial" w:cs="Arial"/>
        </w:rPr>
        <w:t xml:space="preserve">., 2007; </w:t>
      </w:r>
      <w:proofErr w:type="spellStart"/>
      <w:r w:rsidRPr="00E02503">
        <w:rPr>
          <w:rFonts w:ascii="Arial" w:hAnsi="Arial" w:cs="Arial"/>
        </w:rPr>
        <w:t>Selvi</w:t>
      </w:r>
      <w:proofErr w:type="spellEnd"/>
      <w:r w:rsidRPr="00E02503">
        <w:rPr>
          <w:rFonts w:ascii="Arial" w:hAnsi="Arial" w:cs="Arial"/>
        </w:rPr>
        <w:t xml:space="preserve"> and </w:t>
      </w:r>
      <w:proofErr w:type="spellStart"/>
      <w:r w:rsidRPr="00E02503">
        <w:rPr>
          <w:rFonts w:ascii="Arial" w:hAnsi="Arial" w:cs="Arial"/>
        </w:rPr>
        <w:t>Kalpana</w:t>
      </w:r>
      <w:proofErr w:type="spellEnd"/>
      <w:r w:rsidRPr="00E02503">
        <w:rPr>
          <w:rFonts w:ascii="Arial" w:hAnsi="Arial" w:cs="Arial"/>
        </w:rPr>
        <w:t xml:space="preserve">, 2009, Sinha </w:t>
      </w:r>
      <w:r w:rsidR="006B5495" w:rsidRPr="006B5495">
        <w:rPr>
          <w:rFonts w:ascii="Arial" w:hAnsi="Arial" w:cs="Arial"/>
          <w:i/>
          <w:iCs/>
        </w:rPr>
        <w:t>et al</w:t>
      </w:r>
      <w:r w:rsidRPr="00E02503">
        <w:rPr>
          <w:rFonts w:ascii="Arial" w:hAnsi="Arial" w:cs="Arial"/>
        </w:rPr>
        <w:t xml:space="preserve">., 2009). Sinha </w:t>
      </w:r>
      <w:r w:rsidR="006B5495" w:rsidRPr="006B5495">
        <w:rPr>
          <w:rFonts w:ascii="Arial" w:hAnsi="Arial" w:cs="Arial"/>
          <w:i/>
          <w:iCs/>
        </w:rPr>
        <w:t>et al</w:t>
      </w:r>
      <w:r w:rsidRPr="00E02503">
        <w:rPr>
          <w:rFonts w:ascii="Arial" w:hAnsi="Arial" w:cs="Arial"/>
        </w:rPr>
        <w:t xml:space="preserve">., (2009) studied release of Phosphorus bound in litter of decomposing green manure crop </w:t>
      </w:r>
      <w:proofErr w:type="spellStart"/>
      <w:r w:rsidRPr="00E02503">
        <w:rPr>
          <w:rFonts w:ascii="Arial" w:hAnsi="Arial" w:cs="Arial"/>
        </w:rPr>
        <w:t>Crotolaria</w:t>
      </w:r>
      <w:proofErr w:type="spellEnd"/>
      <w:r w:rsidRPr="00E02503">
        <w:rPr>
          <w:rFonts w:ascii="Arial" w:hAnsi="Arial" w:cs="Arial"/>
        </w:rPr>
        <w:t xml:space="preserve"> </w:t>
      </w:r>
      <w:proofErr w:type="spellStart"/>
      <w:r w:rsidRPr="00E02503">
        <w:rPr>
          <w:rFonts w:ascii="Arial" w:hAnsi="Arial" w:cs="Arial"/>
        </w:rPr>
        <w:t>juncea</w:t>
      </w:r>
      <w:proofErr w:type="spellEnd"/>
      <w:r w:rsidRPr="00E02503">
        <w:rPr>
          <w:rFonts w:ascii="Arial" w:hAnsi="Arial" w:cs="Arial"/>
        </w:rPr>
        <w:t xml:space="preserve"> in relation to different climatic factors.</w:t>
      </w:r>
    </w:p>
    <w:p w14:paraId="75521B0D" w14:textId="2ECAD336" w:rsidR="00E02503" w:rsidRPr="00E02503" w:rsidRDefault="00E02503" w:rsidP="00E02503">
      <w:pPr>
        <w:pStyle w:val="Body"/>
        <w:rPr>
          <w:rFonts w:ascii="Arial" w:hAnsi="Arial" w:cs="Arial"/>
          <w:b/>
          <w:bCs/>
        </w:rPr>
      </w:pPr>
      <w:r w:rsidRPr="00E02503">
        <w:rPr>
          <w:rFonts w:ascii="Arial" w:hAnsi="Arial" w:cs="Arial"/>
          <w:b/>
          <w:bCs/>
        </w:rPr>
        <w:t>3.1.6 Available Potassium</w:t>
      </w:r>
    </w:p>
    <w:p w14:paraId="69E4AC6B" w14:textId="37673601" w:rsidR="00E02503" w:rsidRPr="00E02503" w:rsidRDefault="00E02503" w:rsidP="00E02503">
      <w:pPr>
        <w:pStyle w:val="Body"/>
        <w:rPr>
          <w:rFonts w:ascii="Arial" w:hAnsi="Arial" w:cs="Arial"/>
        </w:rPr>
      </w:pPr>
      <w:r w:rsidRPr="00E02503">
        <w:rPr>
          <w:rFonts w:ascii="Arial" w:hAnsi="Arial" w:cs="Arial"/>
        </w:rPr>
        <w:tab/>
        <w:t xml:space="preserve">The available potassium of the pre-harvest soil in the experimental field was 251 Kg ha-1. The available potassium of the soil is between 118-280 Kg </w:t>
      </w:r>
      <w:r w:rsidR="006B5495" w:rsidRPr="006B5495">
        <w:rPr>
          <w:rFonts w:ascii="Arial" w:hAnsi="Arial" w:cs="Arial"/>
        </w:rPr>
        <w:t>ha</w:t>
      </w:r>
      <w:r w:rsidR="006B5495" w:rsidRPr="006B5495">
        <w:rPr>
          <w:rFonts w:ascii="Arial" w:hAnsi="Arial" w:cs="Arial"/>
          <w:vertAlign w:val="superscript"/>
        </w:rPr>
        <w:t>-1</w:t>
      </w:r>
      <w:r w:rsidRPr="00E02503">
        <w:rPr>
          <w:rFonts w:ascii="Arial" w:hAnsi="Arial" w:cs="Arial"/>
        </w:rPr>
        <w:t xml:space="preserve">. The available potassium of this soil is medium shown in Table 2. </w:t>
      </w:r>
    </w:p>
    <w:p w14:paraId="04B777E4" w14:textId="77777777" w:rsidR="00E02503" w:rsidRPr="00E02503" w:rsidRDefault="00E02503" w:rsidP="00E02503">
      <w:pPr>
        <w:pStyle w:val="Body"/>
        <w:rPr>
          <w:rFonts w:ascii="Arial" w:hAnsi="Arial" w:cs="Arial"/>
        </w:rPr>
      </w:pPr>
      <w:r w:rsidRPr="00E02503">
        <w:rPr>
          <w:rFonts w:ascii="Arial" w:hAnsi="Arial" w:cs="Arial"/>
        </w:rPr>
        <w:tab/>
        <w:t xml:space="preserve">The available potassium of the post-harvest soil after the incorporating of green manure (45 DAS of </w:t>
      </w:r>
      <w:proofErr w:type="spellStart"/>
      <w:r w:rsidRPr="00E02503">
        <w:rPr>
          <w:rFonts w:ascii="Arial" w:hAnsi="Arial" w:cs="Arial"/>
        </w:rPr>
        <w:t>daincha</w:t>
      </w:r>
      <w:proofErr w:type="spellEnd"/>
      <w:r w:rsidRPr="00E02503">
        <w:rPr>
          <w:rFonts w:ascii="Arial" w:hAnsi="Arial" w:cs="Arial"/>
        </w:rPr>
        <w:t>) in main plots was 256.12 Kg ha</w:t>
      </w:r>
      <w:r w:rsidRPr="006B5495">
        <w:rPr>
          <w:rFonts w:ascii="Arial" w:hAnsi="Arial" w:cs="Arial"/>
          <w:vertAlign w:val="superscript"/>
        </w:rPr>
        <w:t>-1</w:t>
      </w:r>
      <w:r w:rsidRPr="00E02503">
        <w:rPr>
          <w:rFonts w:ascii="Arial" w:hAnsi="Arial" w:cs="Arial"/>
        </w:rPr>
        <w:t>. As available potassium of the soil slightly increased after the incorporation of green manures.</w:t>
      </w:r>
    </w:p>
    <w:p w14:paraId="18649781" w14:textId="28D1EC53" w:rsidR="00E053D0" w:rsidRDefault="00E02503" w:rsidP="00E02503">
      <w:pPr>
        <w:pStyle w:val="Body"/>
        <w:spacing w:after="0"/>
        <w:rPr>
          <w:rFonts w:ascii="Arial" w:hAnsi="Arial" w:cs="Arial"/>
        </w:rPr>
      </w:pPr>
      <w:r w:rsidRPr="00E02503">
        <w:rPr>
          <w:rFonts w:ascii="Arial" w:hAnsi="Arial" w:cs="Arial"/>
        </w:rPr>
        <w:tab/>
        <w:t xml:space="preserve">Incorporation of green manure had changed the available potassium of the soil and improved the chemical properties of the soil. This result was also confirmed by </w:t>
      </w:r>
      <w:proofErr w:type="spellStart"/>
      <w:r w:rsidRPr="00E02503">
        <w:rPr>
          <w:rFonts w:ascii="Arial" w:hAnsi="Arial" w:cs="Arial"/>
        </w:rPr>
        <w:t>Chaphale</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(2001) noted that green manuring has been reported to increase potassium status of soil in highly sodic soils. Green manure crops during decomposition release nutrients and are involved in recycling the nitrogen, phosphorus and potassium in the integrated plant </w:t>
      </w:r>
      <w:r w:rsidRPr="00E02503">
        <w:rPr>
          <w:rFonts w:ascii="Arial" w:hAnsi="Arial" w:cs="Arial"/>
        </w:rPr>
        <w:lastRenderedPageBreak/>
        <w:t>nutrients system (IPNS) (</w:t>
      </w:r>
      <w:proofErr w:type="spellStart"/>
      <w:r w:rsidRPr="00E02503">
        <w:rPr>
          <w:rFonts w:ascii="Arial" w:hAnsi="Arial" w:cs="Arial"/>
        </w:rPr>
        <w:t>Palaniappan</w:t>
      </w:r>
      <w:proofErr w:type="spellEnd"/>
      <w:r w:rsidRPr="00E02503">
        <w:rPr>
          <w:rFonts w:ascii="Arial" w:hAnsi="Arial" w:cs="Arial"/>
        </w:rPr>
        <w:t xml:space="preserve">, 1994; Goyal </w:t>
      </w:r>
      <w:r w:rsidR="006B5495" w:rsidRPr="006B5495">
        <w:rPr>
          <w:rFonts w:ascii="Arial" w:hAnsi="Arial" w:cs="Arial"/>
          <w:i/>
          <w:iCs/>
        </w:rPr>
        <w:t>et al</w:t>
      </w:r>
      <w:r w:rsidRPr="00E02503">
        <w:rPr>
          <w:rFonts w:ascii="Arial" w:hAnsi="Arial" w:cs="Arial"/>
        </w:rPr>
        <w:t xml:space="preserve">., 1999; Sharma and Ghosh, 2000; Yadav </w:t>
      </w:r>
      <w:r w:rsidR="006B5495" w:rsidRPr="006B5495">
        <w:rPr>
          <w:rFonts w:ascii="Arial" w:hAnsi="Arial" w:cs="Arial"/>
          <w:i/>
          <w:iCs/>
        </w:rPr>
        <w:t>et al</w:t>
      </w:r>
      <w:r w:rsidRPr="00E02503">
        <w:rPr>
          <w:rFonts w:ascii="Arial" w:hAnsi="Arial" w:cs="Arial"/>
        </w:rPr>
        <w:t xml:space="preserve">., 2000; Singh </w:t>
      </w:r>
      <w:r w:rsidR="006B5495" w:rsidRPr="006B5495">
        <w:rPr>
          <w:rFonts w:ascii="Arial" w:hAnsi="Arial" w:cs="Arial"/>
          <w:i/>
          <w:iCs/>
        </w:rPr>
        <w:t>et al</w:t>
      </w:r>
      <w:r w:rsidRPr="00E02503">
        <w:rPr>
          <w:rFonts w:ascii="Arial" w:hAnsi="Arial" w:cs="Arial"/>
        </w:rPr>
        <w:t xml:space="preserve">., 2007; </w:t>
      </w:r>
      <w:proofErr w:type="spellStart"/>
      <w:r w:rsidRPr="00E02503">
        <w:rPr>
          <w:rFonts w:ascii="Arial" w:hAnsi="Arial" w:cs="Arial"/>
        </w:rPr>
        <w:t>Selvi</w:t>
      </w:r>
      <w:proofErr w:type="spellEnd"/>
      <w:r w:rsidRPr="00E02503">
        <w:rPr>
          <w:rFonts w:ascii="Arial" w:hAnsi="Arial" w:cs="Arial"/>
        </w:rPr>
        <w:t xml:space="preserve"> and </w:t>
      </w:r>
      <w:proofErr w:type="spellStart"/>
      <w:r w:rsidRPr="00E02503">
        <w:rPr>
          <w:rFonts w:ascii="Arial" w:hAnsi="Arial" w:cs="Arial"/>
        </w:rPr>
        <w:t>Kalpana</w:t>
      </w:r>
      <w:proofErr w:type="spellEnd"/>
      <w:r w:rsidRPr="00E02503">
        <w:rPr>
          <w:rFonts w:ascii="Arial" w:hAnsi="Arial" w:cs="Arial"/>
        </w:rPr>
        <w:t xml:space="preserve">, 2009).  Sinha </w:t>
      </w:r>
      <w:r w:rsidR="006B5495" w:rsidRPr="006B5495">
        <w:rPr>
          <w:rFonts w:ascii="Arial" w:hAnsi="Arial" w:cs="Arial"/>
          <w:i/>
          <w:iCs/>
        </w:rPr>
        <w:t>et al</w:t>
      </w:r>
      <w:r w:rsidRPr="00E02503">
        <w:rPr>
          <w:rFonts w:ascii="Arial" w:hAnsi="Arial" w:cs="Arial"/>
        </w:rPr>
        <w:t xml:space="preserve">. (2009) studied the release of Potassium bound in the litter of decomposing green manure crop </w:t>
      </w:r>
      <w:proofErr w:type="spellStart"/>
      <w:r w:rsidRPr="00E02503">
        <w:rPr>
          <w:rFonts w:ascii="Arial" w:hAnsi="Arial" w:cs="Arial"/>
        </w:rPr>
        <w:t>Crotolaria</w:t>
      </w:r>
      <w:proofErr w:type="spellEnd"/>
      <w:r w:rsidRPr="00E02503">
        <w:rPr>
          <w:rFonts w:ascii="Arial" w:hAnsi="Arial" w:cs="Arial"/>
        </w:rPr>
        <w:t xml:space="preserve"> </w:t>
      </w:r>
      <w:proofErr w:type="spellStart"/>
      <w:r w:rsidRPr="00E02503">
        <w:rPr>
          <w:rFonts w:ascii="Arial" w:hAnsi="Arial" w:cs="Arial"/>
        </w:rPr>
        <w:t>juncea</w:t>
      </w:r>
      <w:proofErr w:type="spellEnd"/>
      <w:r w:rsidRPr="00E02503">
        <w:rPr>
          <w:rFonts w:ascii="Arial" w:hAnsi="Arial" w:cs="Arial"/>
        </w:rPr>
        <w:t xml:space="preserve"> about different climatic factors. Chettri </w:t>
      </w:r>
      <w:r w:rsidR="006B5495" w:rsidRPr="006B5495">
        <w:rPr>
          <w:rFonts w:ascii="Arial" w:hAnsi="Arial" w:cs="Arial"/>
          <w:i/>
          <w:iCs/>
        </w:rPr>
        <w:t>et al</w:t>
      </w:r>
      <w:r w:rsidRPr="00E02503">
        <w:rPr>
          <w:rFonts w:ascii="Arial" w:hAnsi="Arial" w:cs="Arial"/>
        </w:rPr>
        <w:t>. (2003) noted that green manuring increased total available potassium.</w:t>
      </w:r>
    </w:p>
    <w:p w14:paraId="72080B68" w14:textId="77777777" w:rsidR="00E02503" w:rsidRPr="00E02503" w:rsidRDefault="00E02503" w:rsidP="00E02503">
      <w:pPr>
        <w:rPr>
          <w:rFonts w:ascii="Arial" w:hAnsi="Arial" w:cs="Arial"/>
          <w:b/>
          <w:bCs/>
        </w:rPr>
      </w:pPr>
      <w:r w:rsidRPr="00E02503">
        <w:rPr>
          <w:rFonts w:ascii="Arial" w:hAnsi="Arial" w:cs="Arial"/>
          <w:b/>
          <w:bCs/>
        </w:rPr>
        <w:t xml:space="preserve">Table 2: Effect of </w:t>
      </w:r>
      <w:proofErr w:type="spellStart"/>
      <w:r w:rsidRPr="00E02503">
        <w:rPr>
          <w:rFonts w:ascii="Arial" w:hAnsi="Arial" w:cs="Arial"/>
          <w:b/>
          <w:bCs/>
        </w:rPr>
        <w:t>dhaincha</w:t>
      </w:r>
      <w:proofErr w:type="spellEnd"/>
      <w:r w:rsidRPr="00E02503">
        <w:rPr>
          <w:rFonts w:ascii="Arial" w:hAnsi="Arial" w:cs="Arial"/>
          <w:b/>
          <w:bCs/>
        </w:rPr>
        <w:t xml:space="preserve"> green manuring on soil properties</w:t>
      </w:r>
    </w:p>
    <w:tbl>
      <w:tblPr>
        <w:tblStyle w:val="TableGrid"/>
        <w:tblW w:w="0" w:type="auto"/>
        <w:tblLook w:val="04A0" w:firstRow="1" w:lastRow="0" w:firstColumn="1" w:lastColumn="0" w:noHBand="0" w:noVBand="1"/>
      </w:tblPr>
      <w:tblGrid>
        <w:gridCol w:w="2577"/>
        <w:gridCol w:w="3043"/>
        <w:gridCol w:w="2804"/>
      </w:tblGrid>
      <w:tr w:rsidR="00E02503" w:rsidRPr="00E02503" w14:paraId="0C5B1BB9" w14:textId="77777777" w:rsidTr="00B02A94">
        <w:tc>
          <w:tcPr>
            <w:tcW w:w="2802" w:type="dxa"/>
          </w:tcPr>
          <w:p w14:paraId="39AA8241" w14:textId="77777777" w:rsidR="00E02503" w:rsidRPr="00E02503" w:rsidRDefault="00E02503" w:rsidP="00B02A94">
            <w:pPr>
              <w:rPr>
                <w:rFonts w:ascii="Arial" w:hAnsi="Arial" w:cs="Arial"/>
                <w:b/>
                <w:bCs/>
                <w:sz w:val="20"/>
                <w:szCs w:val="20"/>
              </w:rPr>
            </w:pPr>
            <w:r w:rsidRPr="00E02503">
              <w:rPr>
                <w:rFonts w:ascii="Arial" w:hAnsi="Arial" w:cs="Arial"/>
                <w:b/>
                <w:bCs/>
                <w:sz w:val="20"/>
                <w:szCs w:val="20"/>
              </w:rPr>
              <w:t>Soil properties</w:t>
            </w:r>
          </w:p>
        </w:tc>
        <w:tc>
          <w:tcPr>
            <w:tcW w:w="3359" w:type="dxa"/>
          </w:tcPr>
          <w:p w14:paraId="5D53B9A0" w14:textId="77777777" w:rsidR="00E02503" w:rsidRPr="00E02503" w:rsidRDefault="00E02503" w:rsidP="00B02A94">
            <w:pPr>
              <w:rPr>
                <w:rFonts w:ascii="Arial" w:hAnsi="Arial" w:cs="Arial"/>
                <w:b/>
                <w:bCs/>
                <w:sz w:val="20"/>
                <w:szCs w:val="20"/>
              </w:rPr>
            </w:pPr>
            <w:r w:rsidRPr="00E02503">
              <w:rPr>
                <w:rFonts w:ascii="Arial" w:hAnsi="Arial" w:cs="Arial"/>
                <w:b/>
                <w:bCs/>
                <w:sz w:val="20"/>
                <w:szCs w:val="20"/>
              </w:rPr>
              <w:t xml:space="preserve">Before raising of </w:t>
            </w:r>
            <w:proofErr w:type="spellStart"/>
            <w:r w:rsidRPr="00E02503">
              <w:rPr>
                <w:rFonts w:ascii="Arial" w:hAnsi="Arial" w:cs="Arial"/>
                <w:b/>
                <w:bCs/>
                <w:sz w:val="20"/>
                <w:szCs w:val="20"/>
              </w:rPr>
              <w:t>dhaincha</w:t>
            </w:r>
            <w:proofErr w:type="spellEnd"/>
          </w:p>
        </w:tc>
        <w:tc>
          <w:tcPr>
            <w:tcW w:w="3081" w:type="dxa"/>
          </w:tcPr>
          <w:p w14:paraId="700509EF" w14:textId="77777777" w:rsidR="00E02503" w:rsidRPr="00E02503" w:rsidRDefault="00E02503" w:rsidP="00B02A94">
            <w:pPr>
              <w:rPr>
                <w:rFonts w:ascii="Arial" w:hAnsi="Arial" w:cs="Arial"/>
                <w:b/>
                <w:bCs/>
                <w:sz w:val="20"/>
                <w:szCs w:val="20"/>
              </w:rPr>
            </w:pPr>
            <w:r w:rsidRPr="00E02503">
              <w:rPr>
                <w:rFonts w:ascii="Arial" w:hAnsi="Arial" w:cs="Arial"/>
                <w:b/>
                <w:bCs/>
                <w:sz w:val="20"/>
                <w:szCs w:val="20"/>
              </w:rPr>
              <w:t xml:space="preserve">After raising of </w:t>
            </w:r>
            <w:proofErr w:type="spellStart"/>
            <w:r w:rsidRPr="00E02503">
              <w:rPr>
                <w:rFonts w:ascii="Arial" w:hAnsi="Arial" w:cs="Arial"/>
                <w:b/>
                <w:bCs/>
                <w:sz w:val="20"/>
                <w:szCs w:val="20"/>
              </w:rPr>
              <w:t>dhaincha</w:t>
            </w:r>
            <w:proofErr w:type="spellEnd"/>
          </w:p>
        </w:tc>
      </w:tr>
      <w:tr w:rsidR="00E02503" w:rsidRPr="00E02503" w14:paraId="43FA5BA9" w14:textId="77777777" w:rsidTr="00B02A94">
        <w:tc>
          <w:tcPr>
            <w:tcW w:w="2802" w:type="dxa"/>
          </w:tcPr>
          <w:p w14:paraId="1E435277" w14:textId="77777777" w:rsidR="00E02503" w:rsidRPr="00E02503" w:rsidRDefault="00E02503" w:rsidP="00B02A94">
            <w:pPr>
              <w:rPr>
                <w:rFonts w:ascii="Arial" w:hAnsi="Arial" w:cs="Arial"/>
                <w:sz w:val="20"/>
                <w:szCs w:val="20"/>
              </w:rPr>
            </w:pPr>
            <w:r w:rsidRPr="00E02503">
              <w:rPr>
                <w:rFonts w:ascii="Arial" w:hAnsi="Arial" w:cs="Arial"/>
                <w:sz w:val="20"/>
                <w:szCs w:val="20"/>
              </w:rPr>
              <w:t>Bulk density (mg/m</w:t>
            </w:r>
            <w:r w:rsidRPr="00E02503">
              <w:rPr>
                <w:rFonts w:ascii="Arial" w:hAnsi="Arial" w:cs="Arial"/>
                <w:sz w:val="20"/>
                <w:szCs w:val="20"/>
                <w:vertAlign w:val="superscript"/>
              </w:rPr>
              <w:t>3</w:t>
            </w:r>
            <w:r w:rsidRPr="00E02503">
              <w:rPr>
                <w:rFonts w:ascii="Arial" w:hAnsi="Arial" w:cs="Arial"/>
                <w:sz w:val="20"/>
                <w:szCs w:val="20"/>
              </w:rPr>
              <w:t>)</w:t>
            </w:r>
          </w:p>
        </w:tc>
        <w:tc>
          <w:tcPr>
            <w:tcW w:w="3359" w:type="dxa"/>
          </w:tcPr>
          <w:p w14:paraId="17BF52E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1.39</w:t>
            </w:r>
          </w:p>
        </w:tc>
        <w:tc>
          <w:tcPr>
            <w:tcW w:w="3081" w:type="dxa"/>
          </w:tcPr>
          <w:p w14:paraId="21DD5B0A"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1.38</w:t>
            </w:r>
          </w:p>
        </w:tc>
      </w:tr>
      <w:tr w:rsidR="00E02503" w:rsidRPr="00E02503" w14:paraId="16022C21" w14:textId="77777777" w:rsidTr="00B02A94">
        <w:tc>
          <w:tcPr>
            <w:tcW w:w="2802" w:type="dxa"/>
          </w:tcPr>
          <w:p w14:paraId="769B31BE" w14:textId="77777777" w:rsidR="00E02503" w:rsidRPr="00E02503" w:rsidRDefault="00E02503" w:rsidP="00B02A94">
            <w:pPr>
              <w:rPr>
                <w:rFonts w:ascii="Arial" w:hAnsi="Arial" w:cs="Arial"/>
                <w:sz w:val="20"/>
                <w:szCs w:val="20"/>
              </w:rPr>
            </w:pPr>
            <w:r w:rsidRPr="00E02503">
              <w:rPr>
                <w:rFonts w:ascii="Arial" w:hAnsi="Arial" w:cs="Arial"/>
                <w:sz w:val="20"/>
                <w:szCs w:val="20"/>
              </w:rPr>
              <w:t>pH</w:t>
            </w:r>
          </w:p>
        </w:tc>
        <w:tc>
          <w:tcPr>
            <w:tcW w:w="3359" w:type="dxa"/>
          </w:tcPr>
          <w:p w14:paraId="3AD02D93"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7.80</w:t>
            </w:r>
          </w:p>
        </w:tc>
        <w:tc>
          <w:tcPr>
            <w:tcW w:w="3081" w:type="dxa"/>
          </w:tcPr>
          <w:p w14:paraId="5F713B70"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7.50</w:t>
            </w:r>
          </w:p>
        </w:tc>
      </w:tr>
      <w:tr w:rsidR="00E02503" w:rsidRPr="00E02503" w14:paraId="3A7C96E8" w14:textId="77777777" w:rsidTr="00B02A94">
        <w:tc>
          <w:tcPr>
            <w:tcW w:w="2802" w:type="dxa"/>
          </w:tcPr>
          <w:p w14:paraId="6C63ABCD" w14:textId="77777777" w:rsidR="00E02503" w:rsidRPr="00E02503" w:rsidRDefault="00E02503" w:rsidP="00B02A94">
            <w:pPr>
              <w:rPr>
                <w:rFonts w:ascii="Arial" w:hAnsi="Arial" w:cs="Arial"/>
                <w:sz w:val="20"/>
                <w:szCs w:val="20"/>
              </w:rPr>
            </w:pPr>
            <w:r w:rsidRPr="00E02503">
              <w:rPr>
                <w:rFonts w:ascii="Arial" w:hAnsi="Arial" w:cs="Arial"/>
                <w:sz w:val="20"/>
                <w:szCs w:val="20"/>
              </w:rPr>
              <w:t>EC (dsm</w:t>
            </w:r>
            <w:r w:rsidRPr="00E02503">
              <w:rPr>
                <w:rFonts w:ascii="Arial" w:hAnsi="Arial" w:cs="Arial"/>
                <w:sz w:val="20"/>
                <w:szCs w:val="20"/>
                <w:vertAlign w:val="superscript"/>
              </w:rPr>
              <w:t>-1</w:t>
            </w:r>
            <w:r w:rsidRPr="00E02503">
              <w:rPr>
                <w:rFonts w:ascii="Arial" w:hAnsi="Arial" w:cs="Arial"/>
                <w:sz w:val="20"/>
                <w:szCs w:val="20"/>
              </w:rPr>
              <w:t>)</w:t>
            </w:r>
          </w:p>
        </w:tc>
        <w:tc>
          <w:tcPr>
            <w:tcW w:w="3359" w:type="dxa"/>
          </w:tcPr>
          <w:p w14:paraId="46C2D20E"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0.33</w:t>
            </w:r>
          </w:p>
        </w:tc>
        <w:tc>
          <w:tcPr>
            <w:tcW w:w="3081" w:type="dxa"/>
          </w:tcPr>
          <w:p w14:paraId="3B014338"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0.47</w:t>
            </w:r>
          </w:p>
        </w:tc>
      </w:tr>
      <w:tr w:rsidR="00E02503" w:rsidRPr="00E02503" w14:paraId="3DE35C8E" w14:textId="77777777" w:rsidTr="00B02A94">
        <w:tc>
          <w:tcPr>
            <w:tcW w:w="2802" w:type="dxa"/>
          </w:tcPr>
          <w:p w14:paraId="58B61AC5" w14:textId="77777777" w:rsidR="00E02503" w:rsidRPr="00E02503" w:rsidRDefault="00E02503" w:rsidP="00B02A94">
            <w:pPr>
              <w:rPr>
                <w:rFonts w:ascii="Arial" w:hAnsi="Arial" w:cs="Arial"/>
                <w:sz w:val="20"/>
                <w:szCs w:val="20"/>
              </w:rPr>
            </w:pPr>
            <w:r w:rsidRPr="00E02503">
              <w:rPr>
                <w:rFonts w:ascii="Arial" w:hAnsi="Arial" w:cs="Arial"/>
                <w:sz w:val="20"/>
                <w:szCs w:val="20"/>
              </w:rPr>
              <w:t>Organic carbon (%)</w:t>
            </w:r>
          </w:p>
        </w:tc>
        <w:tc>
          <w:tcPr>
            <w:tcW w:w="3359" w:type="dxa"/>
          </w:tcPr>
          <w:p w14:paraId="5D2DE543"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1.26</w:t>
            </w:r>
          </w:p>
        </w:tc>
        <w:tc>
          <w:tcPr>
            <w:tcW w:w="3081" w:type="dxa"/>
          </w:tcPr>
          <w:p w14:paraId="44C1122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1.29</w:t>
            </w:r>
          </w:p>
        </w:tc>
      </w:tr>
      <w:tr w:rsidR="00E02503" w:rsidRPr="00E02503" w14:paraId="12F3E456" w14:textId="77777777" w:rsidTr="00B02A94">
        <w:tc>
          <w:tcPr>
            <w:tcW w:w="2802" w:type="dxa"/>
          </w:tcPr>
          <w:p w14:paraId="5662985D" w14:textId="77777777" w:rsidR="00E02503" w:rsidRPr="00E02503" w:rsidRDefault="00E02503" w:rsidP="00B02A94">
            <w:pPr>
              <w:rPr>
                <w:rFonts w:ascii="Arial" w:hAnsi="Arial" w:cs="Arial"/>
                <w:sz w:val="20"/>
                <w:szCs w:val="20"/>
              </w:rPr>
            </w:pPr>
            <w:r w:rsidRPr="00E02503">
              <w:rPr>
                <w:rFonts w:ascii="Arial" w:hAnsi="Arial" w:cs="Arial"/>
                <w:sz w:val="20"/>
                <w:szCs w:val="20"/>
              </w:rPr>
              <w:t>Available N (kg ha</w:t>
            </w:r>
            <w:r w:rsidRPr="00E02503">
              <w:rPr>
                <w:rFonts w:ascii="Arial" w:hAnsi="Arial" w:cs="Arial"/>
                <w:sz w:val="20"/>
                <w:szCs w:val="20"/>
                <w:vertAlign w:val="superscript"/>
              </w:rPr>
              <w:t>-1</w:t>
            </w:r>
            <w:r w:rsidRPr="00E02503">
              <w:rPr>
                <w:rFonts w:ascii="Arial" w:hAnsi="Arial" w:cs="Arial"/>
                <w:sz w:val="20"/>
                <w:szCs w:val="20"/>
              </w:rPr>
              <w:t>)</w:t>
            </w:r>
          </w:p>
        </w:tc>
        <w:tc>
          <w:tcPr>
            <w:tcW w:w="3359" w:type="dxa"/>
          </w:tcPr>
          <w:p w14:paraId="1F7C0D64"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225.80</w:t>
            </w:r>
          </w:p>
        </w:tc>
        <w:tc>
          <w:tcPr>
            <w:tcW w:w="3081" w:type="dxa"/>
          </w:tcPr>
          <w:p w14:paraId="751A747D"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235.00</w:t>
            </w:r>
          </w:p>
        </w:tc>
      </w:tr>
      <w:tr w:rsidR="00E02503" w:rsidRPr="00E02503" w14:paraId="5AB3A986" w14:textId="77777777" w:rsidTr="00B02A94">
        <w:tc>
          <w:tcPr>
            <w:tcW w:w="2802" w:type="dxa"/>
          </w:tcPr>
          <w:p w14:paraId="318B73B6" w14:textId="77777777" w:rsidR="00E02503" w:rsidRPr="00E02503" w:rsidRDefault="00E02503" w:rsidP="00B02A94">
            <w:pPr>
              <w:rPr>
                <w:rFonts w:ascii="Arial" w:hAnsi="Arial" w:cs="Arial"/>
                <w:sz w:val="20"/>
                <w:szCs w:val="20"/>
              </w:rPr>
            </w:pPr>
            <w:r w:rsidRPr="00E02503">
              <w:rPr>
                <w:rFonts w:ascii="Arial" w:hAnsi="Arial" w:cs="Arial"/>
                <w:sz w:val="20"/>
                <w:szCs w:val="20"/>
              </w:rPr>
              <w:t>Available P (kg ha</w:t>
            </w:r>
            <w:r w:rsidRPr="00E02503">
              <w:rPr>
                <w:rFonts w:ascii="Arial" w:hAnsi="Arial" w:cs="Arial"/>
                <w:sz w:val="20"/>
                <w:szCs w:val="20"/>
                <w:vertAlign w:val="superscript"/>
              </w:rPr>
              <w:t>-1</w:t>
            </w:r>
            <w:r w:rsidRPr="00E02503">
              <w:rPr>
                <w:rFonts w:ascii="Arial" w:hAnsi="Arial" w:cs="Arial"/>
                <w:sz w:val="20"/>
                <w:szCs w:val="20"/>
              </w:rPr>
              <w:t>)</w:t>
            </w:r>
          </w:p>
        </w:tc>
        <w:tc>
          <w:tcPr>
            <w:tcW w:w="3359" w:type="dxa"/>
          </w:tcPr>
          <w:p w14:paraId="4DE2D6F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31.40</w:t>
            </w:r>
          </w:p>
        </w:tc>
        <w:tc>
          <w:tcPr>
            <w:tcW w:w="3081" w:type="dxa"/>
          </w:tcPr>
          <w:p w14:paraId="125ED23A"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33.60</w:t>
            </w:r>
          </w:p>
        </w:tc>
      </w:tr>
      <w:tr w:rsidR="00E02503" w:rsidRPr="00E02503" w14:paraId="73A7C545" w14:textId="77777777" w:rsidTr="00B02A94">
        <w:tc>
          <w:tcPr>
            <w:tcW w:w="2802" w:type="dxa"/>
          </w:tcPr>
          <w:p w14:paraId="397B6B32" w14:textId="77777777" w:rsidR="00E02503" w:rsidRPr="00E02503" w:rsidRDefault="00E02503" w:rsidP="00B02A94">
            <w:pPr>
              <w:rPr>
                <w:rFonts w:ascii="Arial" w:hAnsi="Arial" w:cs="Arial"/>
                <w:sz w:val="20"/>
                <w:szCs w:val="20"/>
              </w:rPr>
            </w:pPr>
            <w:r w:rsidRPr="00E02503">
              <w:rPr>
                <w:rFonts w:ascii="Arial" w:hAnsi="Arial" w:cs="Arial"/>
                <w:sz w:val="20"/>
                <w:szCs w:val="20"/>
              </w:rPr>
              <w:t>Available K (kg ha</w:t>
            </w:r>
            <w:r w:rsidRPr="00E02503">
              <w:rPr>
                <w:rFonts w:ascii="Arial" w:hAnsi="Arial" w:cs="Arial"/>
                <w:sz w:val="20"/>
                <w:szCs w:val="20"/>
                <w:vertAlign w:val="superscript"/>
              </w:rPr>
              <w:t>-1</w:t>
            </w:r>
            <w:r w:rsidRPr="00E02503">
              <w:rPr>
                <w:rFonts w:ascii="Arial" w:hAnsi="Arial" w:cs="Arial"/>
                <w:sz w:val="20"/>
                <w:szCs w:val="20"/>
              </w:rPr>
              <w:t>)</w:t>
            </w:r>
          </w:p>
        </w:tc>
        <w:tc>
          <w:tcPr>
            <w:tcW w:w="3359" w:type="dxa"/>
          </w:tcPr>
          <w:p w14:paraId="4ECC3E1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251.00</w:t>
            </w:r>
          </w:p>
        </w:tc>
        <w:tc>
          <w:tcPr>
            <w:tcW w:w="3081" w:type="dxa"/>
          </w:tcPr>
          <w:p w14:paraId="0C7806C1"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256.12</w:t>
            </w:r>
          </w:p>
        </w:tc>
      </w:tr>
    </w:tbl>
    <w:p w14:paraId="3A2A64A9" w14:textId="77777777" w:rsidR="00E02503" w:rsidRDefault="00E02503" w:rsidP="00E02503">
      <w:pPr>
        <w:pStyle w:val="Body"/>
        <w:spacing w:after="0"/>
        <w:rPr>
          <w:rFonts w:ascii="Arial" w:hAnsi="Arial" w:cs="Arial"/>
        </w:rPr>
      </w:pPr>
    </w:p>
    <w:p w14:paraId="33428168" w14:textId="77777777" w:rsidR="00E02503" w:rsidRPr="00E02503" w:rsidRDefault="00E02503" w:rsidP="00E02503">
      <w:pPr>
        <w:pStyle w:val="Body"/>
        <w:rPr>
          <w:rFonts w:ascii="Arial" w:hAnsi="Arial" w:cs="Arial"/>
          <w:b/>
          <w:bCs/>
        </w:rPr>
      </w:pPr>
      <w:r w:rsidRPr="00E02503">
        <w:rPr>
          <w:rFonts w:ascii="Arial" w:hAnsi="Arial" w:cs="Arial"/>
          <w:b/>
          <w:bCs/>
        </w:rPr>
        <w:t>3.1.7 Effect on weed</w:t>
      </w:r>
    </w:p>
    <w:p w14:paraId="196B3D56" w14:textId="77777777" w:rsidR="00E02503" w:rsidRPr="00E02503" w:rsidRDefault="00E02503" w:rsidP="00E02503">
      <w:pPr>
        <w:pStyle w:val="Body"/>
        <w:rPr>
          <w:rFonts w:ascii="Arial" w:hAnsi="Arial" w:cs="Arial"/>
        </w:rPr>
      </w:pPr>
      <w:r w:rsidRPr="00E02503">
        <w:rPr>
          <w:rFonts w:ascii="Arial" w:hAnsi="Arial" w:cs="Arial"/>
        </w:rPr>
        <w:tab/>
      </w:r>
      <w:commentRangeStart w:id="6"/>
      <w:r w:rsidRPr="00E02503">
        <w:rPr>
          <w:rFonts w:ascii="Arial" w:hAnsi="Arial" w:cs="Arial"/>
        </w:rPr>
        <w:t xml:space="preserve">The common weeds infesting the experimental field include grasses like </w:t>
      </w:r>
      <w:proofErr w:type="spellStart"/>
      <w:r w:rsidRPr="00E02503">
        <w:rPr>
          <w:rFonts w:ascii="Arial" w:hAnsi="Arial" w:cs="Arial"/>
        </w:rPr>
        <w:t>Echinochloa</w:t>
      </w:r>
      <w:proofErr w:type="spellEnd"/>
      <w:r w:rsidRPr="00E02503">
        <w:rPr>
          <w:rFonts w:ascii="Arial" w:hAnsi="Arial" w:cs="Arial"/>
        </w:rPr>
        <w:t xml:space="preserve"> </w:t>
      </w:r>
      <w:proofErr w:type="spellStart"/>
      <w:r w:rsidRPr="00E02503">
        <w:rPr>
          <w:rFonts w:ascii="Arial" w:hAnsi="Arial" w:cs="Arial"/>
        </w:rPr>
        <w:t>crusgalli</w:t>
      </w:r>
      <w:proofErr w:type="spellEnd"/>
      <w:r w:rsidRPr="00E02503">
        <w:rPr>
          <w:rFonts w:ascii="Arial" w:hAnsi="Arial" w:cs="Arial"/>
        </w:rPr>
        <w:t xml:space="preserve">, </w:t>
      </w:r>
      <w:proofErr w:type="spellStart"/>
      <w:r w:rsidRPr="00E02503">
        <w:rPr>
          <w:rFonts w:ascii="Arial" w:hAnsi="Arial" w:cs="Arial"/>
        </w:rPr>
        <w:t>Digitaria</w:t>
      </w:r>
      <w:proofErr w:type="spellEnd"/>
      <w:r w:rsidRPr="00E02503">
        <w:rPr>
          <w:rFonts w:ascii="Arial" w:hAnsi="Arial" w:cs="Arial"/>
        </w:rPr>
        <w:t xml:space="preserve"> </w:t>
      </w:r>
      <w:proofErr w:type="spellStart"/>
      <w:r w:rsidRPr="00E02503">
        <w:rPr>
          <w:rFonts w:ascii="Arial" w:hAnsi="Arial" w:cs="Arial"/>
        </w:rPr>
        <w:t>sanguinalis</w:t>
      </w:r>
      <w:proofErr w:type="spellEnd"/>
      <w:r w:rsidRPr="00E02503">
        <w:rPr>
          <w:rFonts w:ascii="Arial" w:hAnsi="Arial" w:cs="Arial"/>
        </w:rPr>
        <w:t xml:space="preserve">, </w:t>
      </w:r>
      <w:proofErr w:type="spellStart"/>
      <w:r w:rsidRPr="00E02503">
        <w:rPr>
          <w:rFonts w:ascii="Arial" w:hAnsi="Arial" w:cs="Arial"/>
        </w:rPr>
        <w:t>Brachiaria</w:t>
      </w:r>
      <w:proofErr w:type="spellEnd"/>
      <w:r w:rsidRPr="00E02503">
        <w:rPr>
          <w:rFonts w:ascii="Arial" w:hAnsi="Arial" w:cs="Arial"/>
        </w:rPr>
        <w:t xml:space="preserve"> </w:t>
      </w:r>
      <w:proofErr w:type="spellStart"/>
      <w:r w:rsidRPr="00E02503">
        <w:rPr>
          <w:rFonts w:ascii="Arial" w:hAnsi="Arial" w:cs="Arial"/>
        </w:rPr>
        <w:t>ramosa</w:t>
      </w:r>
      <w:proofErr w:type="spellEnd"/>
      <w:r w:rsidRPr="00E02503">
        <w:rPr>
          <w:rFonts w:ascii="Arial" w:hAnsi="Arial" w:cs="Arial"/>
        </w:rPr>
        <w:t xml:space="preserve">, sedges like </w:t>
      </w:r>
      <w:proofErr w:type="spellStart"/>
      <w:r w:rsidRPr="00E02503">
        <w:rPr>
          <w:rFonts w:ascii="Arial" w:hAnsi="Arial" w:cs="Arial"/>
        </w:rPr>
        <w:t>Cyperus</w:t>
      </w:r>
      <w:proofErr w:type="spellEnd"/>
      <w:r w:rsidRPr="00E02503">
        <w:rPr>
          <w:rFonts w:ascii="Arial" w:hAnsi="Arial" w:cs="Arial"/>
        </w:rPr>
        <w:t xml:space="preserve"> rotundas, </w:t>
      </w:r>
      <w:proofErr w:type="spellStart"/>
      <w:r w:rsidRPr="00E02503">
        <w:rPr>
          <w:rFonts w:ascii="Arial" w:hAnsi="Arial" w:cs="Arial"/>
        </w:rPr>
        <w:t>Cyperus</w:t>
      </w:r>
      <w:proofErr w:type="spellEnd"/>
      <w:r w:rsidRPr="00E02503">
        <w:rPr>
          <w:rFonts w:ascii="Arial" w:hAnsi="Arial" w:cs="Arial"/>
        </w:rPr>
        <w:t xml:space="preserve"> </w:t>
      </w:r>
      <w:proofErr w:type="spellStart"/>
      <w:r w:rsidRPr="00E02503">
        <w:rPr>
          <w:rFonts w:ascii="Arial" w:hAnsi="Arial" w:cs="Arial"/>
        </w:rPr>
        <w:t>iria</w:t>
      </w:r>
      <w:proofErr w:type="spellEnd"/>
      <w:r w:rsidRPr="00E02503">
        <w:rPr>
          <w:rFonts w:ascii="Arial" w:hAnsi="Arial" w:cs="Arial"/>
        </w:rPr>
        <w:t xml:space="preserve"> and broadleaved weeds like  </w:t>
      </w:r>
      <w:proofErr w:type="spellStart"/>
      <w:r w:rsidRPr="00E02503">
        <w:rPr>
          <w:rFonts w:ascii="Arial" w:hAnsi="Arial" w:cs="Arial"/>
        </w:rPr>
        <w:t>Boerhaavia</w:t>
      </w:r>
      <w:proofErr w:type="spellEnd"/>
      <w:r w:rsidRPr="00E02503">
        <w:rPr>
          <w:rFonts w:ascii="Arial" w:hAnsi="Arial" w:cs="Arial"/>
        </w:rPr>
        <w:t xml:space="preserve"> </w:t>
      </w:r>
      <w:proofErr w:type="spellStart"/>
      <w:r w:rsidRPr="00E02503">
        <w:rPr>
          <w:rFonts w:ascii="Arial" w:hAnsi="Arial" w:cs="Arial"/>
        </w:rPr>
        <w:t>erecta</w:t>
      </w:r>
      <w:proofErr w:type="spellEnd"/>
      <w:r w:rsidRPr="00E02503">
        <w:rPr>
          <w:rFonts w:ascii="Arial" w:hAnsi="Arial" w:cs="Arial"/>
        </w:rPr>
        <w:t xml:space="preserve">, </w:t>
      </w:r>
      <w:proofErr w:type="spellStart"/>
      <w:r w:rsidRPr="00E02503">
        <w:rPr>
          <w:rFonts w:ascii="Arial" w:hAnsi="Arial" w:cs="Arial"/>
        </w:rPr>
        <w:t>Amaranthus</w:t>
      </w:r>
      <w:proofErr w:type="spellEnd"/>
      <w:r w:rsidRPr="00E02503">
        <w:rPr>
          <w:rFonts w:ascii="Arial" w:hAnsi="Arial" w:cs="Arial"/>
        </w:rPr>
        <w:t xml:space="preserve"> </w:t>
      </w:r>
      <w:proofErr w:type="spellStart"/>
      <w:r w:rsidRPr="00E02503">
        <w:rPr>
          <w:rFonts w:ascii="Arial" w:hAnsi="Arial" w:cs="Arial"/>
        </w:rPr>
        <w:t>viridis</w:t>
      </w:r>
      <w:proofErr w:type="spellEnd"/>
      <w:r w:rsidRPr="00E02503">
        <w:rPr>
          <w:rFonts w:ascii="Arial" w:hAnsi="Arial" w:cs="Arial"/>
        </w:rPr>
        <w:t xml:space="preserve">, Cleome viscose, </w:t>
      </w:r>
      <w:proofErr w:type="spellStart"/>
      <w:r w:rsidRPr="00E02503">
        <w:rPr>
          <w:rFonts w:ascii="Arial" w:hAnsi="Arial" w:cs="Arial"/>
        </w:rPr>
        <w:t>Digera</w:t>
      </w:r>
      <w:proofErr w:type="spellEnd"/>
      <w:r w:rsidRPr="00E02503">
        <w:rPr>
          <w:rFonts w:ascii="Arial" w:hAnsi="Arial" w:cs="Arial"/>
        </w:rPr>
        <w:t xml:space="preserve"> </w:t>
      </w:r>
      <w:proofErr w:type="spellStart"/>
      <w:r w:rsidRPr="00E02503">
        <w:rPr>
          <w:rFonts w:ascii="Arial" w:hAnsi="Arial" w:cs="Arial"/>
        </w:rPr>
        <w:t>arvensis</w:t>
      </w:r>
      <w:proofErr w:type="spellEnd"/>
      <w:r w:rsidRPr="00E02503">
        <w:rPr>
          <w:rFonts w:ascii="Arial" w:hAnsi="Arial" w:cs="Arial"/>
        </w:rPr>
        <w:t xml:space="preserve">, </w:t>
      </w:r>
      <w:proofErr w:type="spellStart"/>
      <w:r w:rsidRPr="00E02503">
        <w:rPr>
          <w:rFonts w:ascii="Arial" w:hAnsi="Arial" w:cs="Arial"/>
        </w:rPr>
        <w:t>Eclipta</w:t>
      </w:r>
      <w:proofErr w:type="spellEnd"/>
      <w:r w:rsidRPr="00E02503">
        <w:rPr>
          <w:rFonts w:ascii="Arial" w:hAnsi="Arial" w:cs="Arial"/>
        </w:rPr>
        <w:t xml:space="preserve"> </w:t>
      </w:r>
      <w:proofErr w:type="spellStart"/>
      <w:r w:rsidRPr="00E02503">
        <w:rPr>
          <w:rFonts w:ascii="Arial" w:hAnsi="Arial" w:cs="Arial"/>
        </w:rPr>
        <w:t>prosterata</w:t>
      </w:r>
      <w:proofErr w:type="spellEnd"/>
      <w:r w:rsidRPr="00E02503">
        <w:rPr>
          <w:rFonts w:ascii="Arial" w:hAnsi="Arial" w:cs="Arial"/>
        </w:rPr>
        <w:t xml:space="preserve">, </w:t>
      </w:r>
      <w:proofErr w:type="spellStart"/>
      <w:r w:rsidRPr="00E02503">
        <w:rPr>
          <w:rFonts w:ascii="Arial" w:hAnsi="Arial" w:cs="Arial"/>
        </w:rPr>
        <w:t>Trianthema</w:t>
      </w:r>
      <w:proofErr w:type="spellEnd"/>
      <w:r w:rsidRPr="00E02503">
        <w:rPr>
          <w:rFonts w:ascii="Arial" w:hAnsi="Arial" w:cs="Arial"/>
        </w:rPr>
        <w:t xml:space="preserve"> </w:t>
      </w:r>
      <w:proofErr w:type="spellStart"/>
      <w:r w:rsidRPr="00E02503">
        <w:rPr>
          <w:rFonts w:ascii="Arial" w:hAnsi="Arial" w:cs="Arial"/>
        </w:rPr>
        <w:t>portulacastrum</w:t>
      </w:r>
      <w:proofErr w:type="spellEnd"/>
      <w:r w:rsidRPr="00E02503">
        <w:rPr>
          <w:rFonts w:ascii="Arial" w:hAnsi="Arial" w:cs="Arial"/>
        </w:rPr>
        <w:t xml:space="preserve">, </w:t>
      </w:r>
      <w:proofErr w:type="spellStart"/>
      <w:r w:rsidRPr="00E02503">
        <w:rPr>
          <w:rFonts w:ascii="Arial" w:hAnsi="Arial" w:cs="Arial"/>
        </w:rPr>
        <w:t>Portulaca</w:t>
      </w:r>
      <w:proofErr w:type="spellEnd"/>
      <w:r w:rsidRPr="00E02503">
        <w:rPr>
          <w:rFonts w:ascii="Arial" w:hAnsi="Arial" w:cs="Arial"/>
        </w:rPr>
        <w:t xml:space="preserve"> </w:t>
      </w:r>
      <w:proofErr w:type="spellStart"/>
      <w:r w:rsidRPr="00E02503">
        <w:rPr>
          <w:rFonts w:ascii="Arial" w:hAnsi="Arial" w:cs="Arial"/>
        </w:rPr>
        <w:t>oleraceae</w:t>
      </w:r>
      <w:proofErr w:type="spellEnd"/>
      <w:r w:rsidRPr="00E02503">
        <w:rPr>
          <w:rFonts w:ascii="Arial" w:hAnsi="Arial" w:cs="Arial"/>
        </w:rPr>
        <w:t xml:space="preserve">, Convolvulus </w:t>
      </w:r>
      <w:proofErr w:type="spellStart"/>
      <w:r w:rsidRPr="00E02503">
        <w:rPr>
          <w:rFonts w:ascii="Arial" w:hAnsi="Arial" w:cs="Arial"/>
        </w:rPr>
        <w:t>arvensis</w:t>
      </w:r>
      <w:proofErr w:type="spellEnd"/>
      <w:r w:rsidRPr="00E02503">
        <w:rPr>
          <w:rFonts w:ascii="Arial" w:hAnsi="Arial" w:cs="Arial"/>
        </w:rPr>
        <w:t xml:space="preserve">, </w:t>
      </w:r>
      <w:proofErr w:type="spellStart"/>
      <w:r w:rsidRPr="00E02503">
        <w:rPr>
          <w:rFonts w:ascii="Arial" w:hAnsi="Arial" w:cs="Arial"/>
        </w:rPr>
        <w:t>Phyllanthus</w:t>
      </w:r>
      <w:proofErr w:type="spellEnd"/>
      <w:r w:rsidRPr="00E02503">
        <w:rPr>
          <w:rFonts w:ascii="Arial" w:hAnsi="Arial" w:cs="Arial"/>
        </w:rPr>
        <w:t xml:space="preserve"> </w:t>
      </w:r>
      <w:proofErr w:type="spellStart"/>
      <w:r w:rsidRPr="00E02503">
        <w:rPr>
          <w:rFonts w:ascii="Arial" w:hAnsi="Arial" w:cs="Arial"/>
        </w:rPr>
        <w:t>niruri</w:t>
      </w:r>
      <w:proofErr w:type="spellEnd"/>
      <w:r w:rsidRPr="00E02503">
        <w:rPr>
          <w:rFonts w:ascii="Arial" w:hAnsi="Arial" w:cs="Arial"/>
        </w:rPr>
        <w:t xml:space="preserve">, </w:t>
      </w:r>
      <w:proofErr w:type="spellStart"/>
      <w:r w:rsidRPr="00E02503">
        <w:rPr>
          <w:rFonts w:ascii="Arial" w:hAnsi="Arial" w:cs="Arial"/>
        </w:rPr>
        <w:t>Phyllanthus</w:t>
      </w:r>
      <w:proofErr w:type="spellEnd"/>
      <w:r w:rsidRPr="00E02503">
        <w:rPr>
          <w:rFonts w:ascii="Arial" w:hAnsi="Arial" w:cs="Arial"/>
        </w:rPr>
        <w:t xml:space="preserve"> </w:t>
      </w:r>
      <w:proofErr w:type="spellStart"/>
      <w:r w:rsidRPr="00E02503">
        <w:rPr>
          <w:rFonts w:ascii="Arial" w:hAnsi="Arial" w:cs="Arial"/>
        </w:rPr>
        <w:t>maderaspatensis</w:t>
      </w:r>
      <w:proofErr w:type="spellEnd"/>
      <w:r w:rsidRPr="00E02503">
        <w:rPr>
          <w:rFonts w:ascii="Arial" w:hAnsi="Arial" w:cs="Arial"/>
        </w:rPr>
        <w:t xml:space="preserve">, </w:t>
      </w:r>
      <w:proofErr w:type="spellStart"/>
      <w:r w:rsidRPr="00E02503">
        <w:rPr>
          <w:rFonts w:ascii="Arial" w:hAnsi="Arial" w:cs="Arial"/>
        </w:rPr>
        <w:t>Tridax</w:t>
      </w:r>
      <w:proofErr w:type="spellEnd"/>
      <w:r w:rsidRPr="00E02503">
        <w:rPr>
          <w:rFonts w:ascii="Arial" w:hAnsi="Arial" w:cs="Arial"/>
        </w:rPr>
        <w:t xml:space="preserve"> </w:t>
      </w:r>
      <w:proofErr w:type="spellStart"/>
      <w:r w:rsidRPr="00E02503">
        <w:rPr>
          <w:rFonts w:ascii="Arial" w:hAnsi="Arial" w:cs="Arial"/>
        </w:rPr>
        <w:t>procumbens</w:t>
      </w:r>
      <w:proofErr w:type="spellEnd"/>
      <w:r w:rsidRPr="00E02503">
        <w:rPr>
          <w:rFonts w:ascii="Arial" w:hAnsi="Arial" w:cs="Arial"/>
        </w:rPr>
        <w:t xml:space="preserve">, </w:t>
      </w:r>
      <w:proofErr w:type="spellStart"/>
      <w:r w:rsidRPr="00E02503">
        <w:rPr>
          <w:rFonts w:ascii="Arial" w:hAnsi="Arial" w:cs="Arial"/>
        </w:rPr>
        <w:t>Parthenium</w:t>
      </w:r>
      <w:proofErr w:type="spellEnd"/>
      <w:r w:rsidRPr="00E02503">
        <w:rPr>
          <w:rFonts w:ascii="Arial" w:hAnsi="Arial" w:cs="Arial"/>
        </w:rPr>
        <w:t xml:space="preserve"> </w:t>
      </w:r>
      <w:proofErr w:type="spellStart"/>
      <w:r w:rsidRPr="00E02503">
        <w:rPr>
          <w:rFonts w:ascii="Arial" w:hAnsi="Arial" w:cs="Arial"/>
        </w:rPr>
        <w:t>hysterophorus</w:t>
      </w:r>
      <w:proofErr w:type="spellEnd"/>
      <w:r w:rsidRPr="00E02503">
        <w:rPr>
          <w:rFonts w:ascii="Arial" w:hAnsi="Arial" w:cs="Arial"/>
        </w:rPr>
        <w:t xml:space="preserve">, Ipomoea </w:t>
      </w:r>
      <w:proofErr w:type="spellStart"/>
      <w:r w:rsidRPr="00E02503">
        <w:rPr>
          <w:rFonts w:ascii="Arial" w:hAnsi="Arial" w:cs="Arial"/>
        </w:rPr>
        <w:t>purpurea</w:t>
      </w:r>
      <w:proofErr w:type="spellEnd"/>
      <w:r w:rsidRPr="00E02503">
        <w:rPr>
          <w:rFonts w:ascii="Arial" w:hAnsi="Arial" w:cs="Arial"/>
        </w:rPr>
        <w:t xml:space="preserve"> and </w:t>
      </w:r>
      <w:proofErr w:type="spellStart"/>
      <w:r w:rsidRPr="00E02503">
        <w:rPr>
          <w:rFonts w:ascii="Arial" w:hAnsi="Arial" w:cs="Arial"/>
        </w:rPr>
        <w:t>Commelina</w:t>
      </w:r>
      <w:proofErr w:type="spellEnd"/>
      <w:r w:rsidRPr="00E02503">
        <w:rPr>
          <w:rFonts w:ascii="Arial" w:hAnsi="Arial" w:cs="Arial"/>
        </w:rPr>
        <w:t xml:space="preserve"> </w:t>
      </w:r>
      <w:proofErr w:type="spellStart"/>
      <w:r w:rsidRPr="00E02503">
        <w:rPr>
          <w:rFonts w:ascii="Arial" w:hAnsi="Arial" w:cs="Arial"/>
        </w:rPr>
        <w:t>benghalensis</w:t>
      </w:r>
      <w:proofErr w:type="spellEnd"/>
      <w:r w:rsidRPr="00E02503">
        <w:rPr>
          <w:rFonts w:ascii="Arial" w:hAnsi="Arial" w:cs="Arial"/>
        </w:rPr>
        <w:t xml:space="preserve">.  </w:t>
      </w:r>
      <w:commentRangeEnd w:id="6"/>
      <w:r w:rsidR="00A0233E">
        <w:rPr>
          <w:rStyle w:val="CommentReference"/>
          <w:rFonts w:ascii="Times New Roman" w:hAnsi="Times New Roman"/>
          <w:lang w:val="nb-NO" w:eastAsia="nb-NO"/>
        </w:rPr>
        <w:commentReference w:id="6"/>
      </w:r>
      <w:r w:rsidRPr="00E02503">
        <w:rPr>
          <w:rFonts w:ascii="Arial" w:hAnsi="Arial" w:cs="Arial"/>
        </w:rPr>
        <w:t>Emergence of these weeds was observed during 20 to 30 DAS and thereafter, it continuously emerged throughout the crop growth stages in the control plot in Table 3.</w:t>
      </w:r>
    </w:p>
    <w:p w14:paraId="17E74A22" w14:textId="421CDBD1" w:rsidR="00E02503" w:rsidRDefault="00E02503" w:rsidP="00E02503">
      <w:pPr>
        <w:pStyle w:val="Body"/>
        <w:spacing w:after="0"/>
        <w:rPr>
          <w:rFonts w:ascii="Arial" w:hAnsi="Arial" w:cs="Arial"/>
        </w:rPr>
      </w:pPr>
      <w:r w:rsidRPr="00E02503">
        <w:rPr>
          <w:rFonts w:ascii="Arial" w:hAnsi="Arial" w:cs="Arial"/>
        </w:rPr>
        <w:t>In the treatment plot (</w:t>
      </w:r>
      <w:proofErr w:type="spellStart"/>
      <w:r w:rsidRPr="00E02503">
        <w:rPr>
          <w:rFonts w:ascii="Arial" w:hAnsi="Arial" w:cs="Arial"/>
        </w:rPr>
        <w:t>daincha</w:t>
      </w:r>
      <w:proofErr w:type="spellEnd"/>
      <w:r w:rsidRPr="00E02503">
        <w:rPr>
          <w:rFonts w:ascii="Arial" w:hAnsi="Arial" w:cs="Arial"/>
        </w:rPr>
        <w:t xml:space="preserve"> green manuring), there was no effect on sedges, little effect on grasses and most of the broadleaf weeds were controlled. This is due to the allelopathic effect of green manures, some of the phytotoxic chemicals and secondary metabolites were released.</w:t>
      </w:r>
    </w:p>
    <w:p w14:paraId="784D425B" w14:textId="77777777" w:rsidR="00F45291" w:rsidRDefault="00F45291" w:rsidP="00E02503">
      <w:pPr>
        <w:pStyle w:val="Body"/>
        <w:spacing w:after="0"/>
        <w:rPr>
          <w:rFonts w:ascii="Arial" w:hAnsi="Arial" w:cs="Arial"/>
        </w:rPr>
      </w:pPr>
    </w:p>
    <w:p w14:paraId="76AE1C4E" w14:textId="77777777" w:rsidR="00F45291" w:rsidRDefault="00F45291" w:rsidP="00E02503">
      <w:pPr>
        <w:pStyle w:val="Body"/>
        <w:spacing w:after="0"/>
        <w:rPr>
          <w:rFonts w:ascii="Arial" w:hAnsi="Arial" w:cs="Arial"/>
        </w:rPr>
      </w:pPr>
    </w:p>
    <w:p w14:paraId="16089018" w14:textId="77777777" w:rsidR="00F45291" w:rsidRDefault="00F45291" w:rsidP="00E02503">
      <w:pPr>
        <w:pStyle w:val="Body"/>
        <w:spacing w:after="0"/>
        <w:rPr>
          <w:rFonts w:ascii="Arial" w:hAnsi="Arial" w:cs="Arial"/>
        </w:rPr>
      </w:pPr>
    </w:p>
    <w:p w14:paraId="288DF192" w14:textId="77777777" w:rsidR="00F45291" w:rsidRDefault="00F45291" w:rsidP="00E02503">
      <w:pPr>
        <w:pStyle w:val="Body"/>
        <w:spacing w:after="0"/>
        <w:rPr>
          <w:rFonts w:ascii="Arial" w:hAnsi="Arial" w:cs="Arial"/>
        </w:rPr>
      </w:pPr>
    </w:p>
    <w:p w14:paraId="6C4165D1" w14:textId="77777777" w:rsidR="00F45291" w:rsidRDefault="00F45291" w:rsidP="00E02503">
      <w:pPr>
        <w:pStyle w:val="Body"/>
        <w:spacing w:after="0"/>
        <w:rPr>
          <w:rFonts w:ascii="Arial" w:hAnsi="Arial" w:cs="Arial"/>
        </w:rPr>
      </w:pPr>
    </w:p>
    <w:p w14:paraId="54CB421D" w14:textId="77777777" w:rsidR="00E02503" w:rsidRPr="00E02503" w:rsidRDefault="00E02503" w:rsidP="00E02503">
      <w:pPr>
        <w:rPr>
          <w:rFonts w:ascii="Arial" w:hAnsi="Arial" w:cs="Arial"/>
          <w:b/>
          <w:bCs/>
        </w:rPr>
      </w:pPr>
      <w:r w:rsidRPr="00E02503">
        <w:rPr>
          <w:rFonts w:ascii="Arial" w:hAnsi="Arial" w:cs="Arial"/>
          <w:b/>
          <w:bCs/>
        </w:rPr>
        <w:t xml:space="preserve">Table 3: Effect of </w:t>
      </w:r>
      <w:proofErr w:type="spellStart"/>
      <w:r w:rsidRPr="00E02503">
        <w:rPr>
          <w:rFonts w:ascii="Arial" w:hAnsi="Arial" w:cs="Arial"/>
          <w:b/>
          <w:bCs/>
        </w:rPr>
        <w:t>dhaincha</w:t>
      </w:r>
      <w:proofErr w:type="spellEnd"/>
      <w:r w:rsidRPr="00E02503">
        <w:rPr>
          <w:rFonts w:ascii="Arial" w:hAnsi="Arial" w:cs="Arial"/>
          <w:b/>
          <w:bCs/>
        </w:rPr>
        <w:t xml:space="preserve"> green manuring on weed density</w:t>
      </w:r>
    </w:p>
    <w:tbl>
      <w:tblPr>
        <w:tblStyle w:val="TableGrid"/>
        <w:tblW w:w="0" w:type="auto"/>
        <w:tblLook w:val="04A0" w:firstRow="1" w:lastRow="0" w:firstColumn="1" w:lastColumn="0" w:noHBand="0" w:noVBand="1"/>
      </w:tblPr>
      <w:tblGrid>
        <w:gridCol w:w="985"/>
        <w:gridCol w:w="2025"/>
        <w:gridCol w:w="1949"/>
        <w:gridCol w:w="1680"/>
        <w:gridCol w:w="1785"/>
      </w:tblGrid>
      <w:tr w:rsidR="00E02503" w:rsidRPr="00E02503" w14:paraId="766E7F8E" w14:textId="77777777" w:rsidTr="00B02A94">
        <w:tc>
          <w:tcPr>
            <w:tcW w:w="1101" w:type="dxa"/>
            <w:vMerge w:val="restart"/>
          </w:tcPr>
          <w:p w14:paraId="14B42EA0"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S. No</w:t>
            </w:r>
          </w:p>
        </w:tc>
        <w:tc>
          <w:tcPr>
            <w:tcW w:w="2268" w:type="dxa"/>
            <w:vMerge w:val="restart"/>
          </w:tcPr>
          <w:p w14:paraId="5F6D6CAA"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Type of weeds</w:t>
            </w:r>
          </w:p>
        </w:tc>
        <w:tc>
          <w:tcPr>
            <w:tcW w:w="5873" w:type="dxa"/>
            <w:gridSpan w:val="3"/>
          </w:tcPr>
          <w:p w14:paraId="03EEACF9"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Weed density (No./m</w:t>
            </w:r>
            <w:r w:rsidRPr="00E02503">
              <w:rPr>
                <w:rFonts w:ascii="Arial" w:hAnsi="Arial" w:cs="Arial"/>
                <w:b/>
                <w:bCs/>
                <w:sz w:val="20"/>
                <w:szCs w:val="20"/>
                <w:vertAlign w:val="superscript"/>
              </w:rPr>
              <w:t>2</w:t>
            </w:r>
            <w:r w:rsidRPr="00E02503">
              <w:rPr>
                <w:rFonts w:ascii="Arial" w:hAnsi="Arial" w:cs="Arial"/>
                <w:b/>
                <w:bCs/>
                <w:sz w:val="20"/>
                <w:szCs w:val="20"/>
              </w:rPr>
              <w:t>)</w:t>
            </w:r>
          </w:p>
        </w:tc>
      </w:tr>
      <w:tr w:rsidR="00E02503" w:rsidRPr="00E02503" w14:paraId="0EF3CD56" w14:textId="77777777" w:rsidTr="00B02A94">
        <w:tc>
          <w:tcPr>
            <w:tcW w:w="1101" w:type="dxa"/>
            <w:vMerge/>
          </w:tcPr>
          <w:p w14:paraId="08206625" w14:textId="77777777" w:rsidR="00E02503" w:rsidRPr="00E02503" w:rsidRDefault="00E02503" w:rsidP="00B02A94">
            <w:pPr>
              <w:jc w:val="center"/>
              <w:rPr>
                <w:rFonts w:ascii="Arial" w:hAnsi="Arial" w:cs="Arial"/>
                <w:b/>
                <w:bCs/>
                <w:sz w:val="20"/>
                <w:szCs w:val="20"/>
              </w:rPr>
            </w:pPr>
          </w:p>
        </w:tc>
        <w:tc>
          <w:tcPr>
            <w:tcW w:w="2268" w:type="dxa"/>
            <w:vMerge/>
          </w:tcPr>
          <w:p w14:paraId="5DFB6125" w14:textId="77777777" w:rsidR="00E02503" w:rsidRPr="00E02503" w:rsidRDefault="00E02503" w:rsidP="00B02A94">
            <w:pPr>
              <w:jc w:val="center"/>
              <w:rPr>
                <w:rFonts w:ascii="Arial" w:hAnsi="Arial" w:cs="Arial"/>
                <w:b/>
                <w:bCs/>
                <w:sz w:val="20"/>
                <w:szCs w:val="20"/>
              </w:rPr>
            </w:pPr>
          </w:p>
        </w:tc>
        <w:tc>
          <w:tcPr>
            <w:tcW w:w="2175" w:type="dxa"/>
          </w:tcPr>
          <w:p w14:paraId="0FCAC221"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Without green manure</w:t>
            </w:r>
          </w:p>
        </w:tc>
        <w:tc>
          <w:tcPr>
            <w:tcW w:w="1849" w:type="dxa"/>
          </w:tcPr>
          <w:p w14:paraId="70861EDD"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With green manure</w:t>
            </w:r>
          </w:p>
        </w:tc>
        <w:tc>
          <w:tcPr>
            <w:tcW w:w="1849" w:type="dxa"/>
          </w:tcPr>
          <w:p w14:paraId="645AEAEF"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 xml:space="preserve">After incorporation of </w:t>
            </w:r>
            <w:proofErr w:type="spellStart"/>
            <w:r w:rsidRPr="00E02503">
              <w:rPr>
                <w:rFonts w:ascii="Arial" w:hAnsi="Arial" w:cs="Arial"/>
                <w:b/>
                <w:bCs/>
                <w:sz w:val="20"/>
                <w:szCs w:val="20"/>
              </w:rPr>
              <w:t>dhaincha</w:t>
            </w:r>
            <w:proofErr w:type="spellEnd"/>
          </w:p>
        </w:tc>
      </w:tr>
      <w:tr w:rsidR="00E02503" w:rsidRPr="00E02503" w14:paraId="69924830" w14:textId="77777777" w:rsidTr="00B02A94">
        <w:tc>
          <w:tcPr>
            <w:tcW w:w="1101" w:type="dxa"/>
          </w:tcPr>
          <w:p w14:paraId="3A190F0B"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w:t>
            </w:r>
          </w:p>
        </w:tc>
        <w:tc>
          <w:tcPr>
            <w:tcW w:w="2268" w:type="dxa"/>
          </w:tcPr>
          <w:p w14:paraId="6E62F8AD"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Grasses</w:t>
            </w:r>
          </w:p>
        </w:tc>
        <w:tc>
          <w:tcPr>
            <w:tcW w:w="2175" w:type="dxa"/>
          </w:tcPr>
          <w:p w14:paraId="65EB0353"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12.00</w:t>
            </w:r>
          </w:p>
        </w:tc>
        <w:tc>
          <w:tcPr>
            <w:tcW w:w="1849" w:type="dxa"/>
          </w:tcPr>
          <w:p w14:paraId="03EB785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10.00</w:t>
            </w:r>
          </w:p>
        </w:tc>
        <w:tc>
          <w:tcPr>
            <w:tcW w:w="1849" w:type="dxa"/>
          </w:tcPr>
          <w:p w14:paraId="7B759998"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8.00</w:t>
            </w:r>
          </w:p>
        </w:tc>
      </w:tr>
      <w:tr w:rsidR="00E02503" w:rsidRPr="00E02503" w14:paraId="72DB27BC" w14:textId="77777777" w:rsidTr="00B02A94">
        <w:tc>
          <w:tcPr>
            <w:tcW w:w="1101" w:type="dxa"/>
          </w:tcPr>
          <w:p w14:paraId="2BE84FE7"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w:t>
            </w:r>
          </w:p>
        </w:tc>
        <w:tc>
          <w:tcPr>
            <w:tcW w:w="2268" w:type="dxa"/>
          </w:tcPr>
          <w:p w14:paraId="0A4E0B11"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Sedges</w:t>
            </w:r>
          </w:p>
        </w:tc>
        <w:tc>
          <w:tcPr>
            <w:tcW w:w="2175" w:type="dxa"/>
          </w:tcPr>
          <w:p w14:paraId="6F0B3CDA"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8.00</w:t>
            </w:r>
          </w:p>
        </w:tc>
        <w:tc>
          <w:tcPr>
            <w:tcW w:w="1849" w:type="dxa"/>
          </w:tcPr>
          <w:p w14:paraId="1D2A6172"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6.00</w:t>
            </w:r>
          </w:p>
        </w:tc>
        <w:tc>
          <w:tcPr>
            <w:tcW w:w="1849" w:type="dxa"/>
          </w:tcPr>
          <w:p w14:paraId="7DE91BC4"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6.00</w:t>
            </w:r>
          </w:p>
        </w:tc>
      </w:tr>
      <w:tr w:rsidR="00E02503" w:rsidRPr="00E02503" w14:paraId="422D9FD6" w14:textId="77777777" w:rsidTr="00B02A94">
        <w:tc>
          <w:tcPr>
            <w:tcW w:w="1101" w:type="dxa"/>
          </w:tcPr>
          <w:p w14:paraId="5C90491D"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3</w:t>
            </w:r>
          </w:p>
        </w:tc>
        <w:tc>
          <w:tcPr>
            <w:tcW w:w="2268" w:type="dxa"/>
          </w:tcPr>
          <w:p w14:paraId="2651B414"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Broad leaf weeds</w:t>
            </w:r>
          </w:p>
        </w:tc>
        <w:tc>
          <w:tcPr>
            <w:tcW w:w="2175" w:type="dxa"/>
          </w:tcPr>
          <w:p w14:paraId="2776353D"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56.00</w:t>
            </w:r>
          </w:p>
        </w:tc>
        <w:tc>
          <w:tcPr>
            <w:tcW w:w="1849" w:type="dxa"/>
          </w:tcPr>
          <w:p w14:paraId="7CE5340E"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12.00</w:t>
            </w:r>
          </w:p>
        </w:tc>
        <w:tc>
          <w:tcPr>
            <w:tcW w:w="1849" w:type="dxa"/>
          </w:tcPr>
          <w:p w14:paraId="000B078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8.00</w:t>
            </w:r>
          </w:p>
        </w:tc>
      </w:tr>
    </w:tbl>
    <w:p w14:paraId="508B5A8B" w14:textId="77777777" w:rsidR="00E02503" w:rsidRDefault="00E02503" w:rsidP="00E02503">
      <w:pPr>
        <w:pStyle w:val="Body"/>
        <w:spacing w:after="0"/>
        <w:rPr>
          <w:rFonts w:ascii="Arial" w:hAnsi="Arial" w:cs="Arial"/>
        </w:rPr>
      </w:pPr>
    </w:p>
    <w:p w14:paraId="6614F16C" w14:textId="77777777" w:rsidR="00790ADA" w:rsidRPr="00FB3A86" w:rsidRDefault="00790ADA" w:rsidP="00441B6F">
      <w:pPr>
        <w:pStyle w:val="Body"/>
        <w:spacing w:after="0"/>
        <w:rPr>
          <w:rFonts w:ascii="Arial" w:hAnsi="Arial" w:cs="Arial"/>
        </w:rPr>
      </w:pPr>
    </w:p>
    <w:p w14:paraId="4C7EB9F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4B10AA1" w14:textId="77777777" w:rsidR="00790ADA" w:rsidRPr="00FB3A86" w:rsidRDefault="00790ADA" w:rsidP="00441B6F">
      <w:pPr>
        <w:pStyle w:val="ConcHead"/>
        <w:spacing w:after="0"/>
        <w:jc w:val="both"/>
        <w:rPr>
          <w:rFonts w:ascii="Arial" w:hAnsi="Arial" w:cs="Arial"/>
        </w:rPr>
      </w:pPr>
    </w:p>
    <w:p w14:paraId="7B581318" w14:textId="0D1F628E" w:rsidR="00790ADA" w:rsidRPr="00FB3A86" w:rsidRDefault="00E02503" w:rsidP="00441B6F">
      <w:pPr>
        <w:pStyle w:val="Body"/>
        <w:spacing w:after="0"/>
        <w:rPr>
          <w:rFonts w:ascii="Arial" w:hAnsi="Arial" w:cs="Arial"/>
        </w:rPr>
      </w:pPr>
      <w:r w:rsidRPr="00E02503">
        <w:rPr>
          <w:rFonts w:ascii="Arial" w:hAnsi="Arial" w:cs="Arial"/>
        </w:rPr>
        <w:t>Green manuring is a part of organic farming. The value of Green Manuring lies in the fact that organic matter is incorporated into the soil. The organic matter in the soil is recognized as being one of its most valuable constituents for real soil fertility. The decay of this organic matter influences the availability of the soil nutrients. To know the effect of green manuring on soil properties, an experiment was conducted by incorporating the green manure</w:t>
      </w:r>
    </w:p>
    <w:p w14:paraId="5B065D64" w14:textId="77777777" w:rsidR="00E02503" w:rsidRDefault="00E02503" w:rsidP="00441B6F">
      <w:pPr>
        <w:pStyle w:val="AcknHead"/>
        <w:spacing w:after="0"/>
        <w:jc w:val="both"/>
        <w:rPr>
          <w:rFonts w:ascii="Arial" w:hAnsi="Arial" w:cs="Arial"/>
        </w:rPr>
      </w:pPr>
    </w:p>
    <w:p w14:paraId="04ABBCEC" w14:textId="77777777" w:rsidR="00860000" w:rsidRDefault="00860000" w:rsidP="00441B6F">
      <w:pPr>
        <w:pStyle w:val="ReferHead"/>
        <w:spacing w:after="0"/>
        <w:jc w:val="both"/>
        <w:rPr>
          <w:rFonts w:ascii="Arial" w:hAnsi="Arial" w:cs="Arial"/>
        </w:rPr>
      </w:pPr>
    </w:p>
    <w:p w14:paraId="4B7B5C03" w14:textId="77777777" w:rsidR="00B01FCD" w:rsidRDefault="00B01FCD" w:rsidP="00441B6F">
      <w:pPr>
        <w:pStyle w:val="ReferHead"/>
        <w:spacing w:after="0"/>
        <w:jc w:val="both"/>
        <w:rPr>
          <w:rFonts w:ascii="Arial" w:hAnsi="Arial" w:cs="Arial"/>
        </w:rPr>
      </w:pPr>
      <w:commentRangeStart w:id="7"/>
      <w:r w:rsidRPr="00FB3A86">
        <w:rPr>
          <w:rFonts w:ascii="Arial" w:hAnsi="Arial" w:cs="Arial"/>
        </w:rPr>
        <w:t>References</w:t>
      </w:r>
      <w:commentRangeEnd w:id="7"/>
      <w:r w:rsidR="00A0233E">
        <w:rPr>
          <w:rStyle w:val="CommentReference"/>
          <w:rFonts w:ascii="Times New Roman" w:hAnsi="Times New Roman"/>
          <w:b w:val="0"/>
          <w:caps w:val="0"/>
          <w:lang w:val="nb-NO" w:eastAsia="nb-NO"/>
        </w:rPr>
        <w:commentReference w:id="7"/>
      </w:r>
    </w:p>
    <w:p w14:paraId="5685B45B" w14:textId="77777777" w:rsidR="00790ADA" w:rsidRPr="00FB3A86" w:rsidRDefault="00790ADA" w:rsidP="00441B6F">
      <w:pPr>
        <w:pStyle w:val="ReferHead"/>
        <w:spacing w:after="0"/>
        <w:jc w:val="both"/>
        <w:rPr>
          <w:rFonts w:ascii="Arial" w:hAnsi="Arial" w:cs="Arial"/>
        </w:rPr>
      </w:pPr>
    </w:p>
    <w:p w14:paraId="4B20F350" w14:textId="77777777" w:rsidR="00E02503" w:rsidRDefault="00E02503" w:rsidP="00E02503">
      <w:pPr>
        <w:pStyle w:val="Body"/>
      </w:pPr>
      <w:proofErr w:type="spellStart"/>
      <w:r>
        <w:t>Abeysekerra</w:t>
      </w:r>
      <w:proofErr w:type="spellEnd"/>
      <w:r>
        <w:t xml:space="preserve">, G.S.K., D.N. Sirisena and U.B. </w:t>
      </w:r>
      <w:proofErr w:type="spellStart"/>
      <w:r>
        <w:t>Wickrama</w:t>
      </w:r>
      <w:proofErr w:type="spellEnd"/>
      <w:r>
        <w:t xml:space="preserve">, 2001. Effect of green manure nitrogen sources on weed biomass and grain yield of rice. Society for the advancement of breeding researchers in Asia and Oceania. Tokyo (Japan), Asian Crop Science Association (Australia), Federation of Crop Science Societies of the Philippines, College, </w:t>
      </w:r>
      <w:proofErr w:type="spellStart"/>
      <w:r>
        <w:t>Luguna</w:t>
      </w:r>
      <w:proofErr w:type="spellEnd"/>
      <w:r>
        <w:t xml:space="preserve"> (Philippines). Food Security and Environment Protection in the new millennium. Manila Philippines.</w:t>
      </w:r>
    </w:p>
    <w:p w14:paraId="4A2320AC" w14:textId="77777777" w:rsidR="00E02503" w:rsidRDefault="00E02503" w:rsidP="00E02503">
      <w:pPr>
        <w:pStyle w:val="Body"/>
      </w:pPr>
      <w:proofErr w:type="spellStart"/>
      <w:r>
        <w:t>Bokhtiar</w:t>
      </w:r>
      <w:proofErr w:type="spellEnd"/>
      <w:r>
        <w:t xml:space="preserve">, S. M., Kabir, M. L., </w:t>
      </w:r>
      <w:proofErr w:type="spellStart"/>
      <w:r>
        <w:t>Alam</w:t>
      </w:r>
      <w:proofErr w:type="spellEnd"/>
      <w:r>
        <w:t xml:space="preserve">, M. J., </w:t>
      </w:r>
      <w:proofErr w:type="spellStart"/>
      <w:r>
        <w:t>Alam</w:t>
      </w:r>
      <w:proofErr w:type="spellEnd"/>
      <w:r>
        <w:t>, M. M. and Rahman, M. H., 2002, Determination of site-specific fertilizer requirement of sugarcane and intercrops in sugarcane based cropping systems. Pakistan J. Biol. Sci., 5(2) : 165-168.</w:t>
      </w:r>
    </w:p>
    <w:p w14:paraId="40A953CE" w14:textId="77777777" w:rsidR="00E02503" w:rsidRDefault="00E02503" w:rsidP="00E02503">
      <w:pPr>
        <w:pStyle w:val="Body"/>
      </w:pPr>
      <w:proofErr w:type="spellStart"/>
      <w:r>
        <w:t>Bokhtiar</w:t>
      </w:r>
      <w:proofErr w:type="spellEnd"/>
      <w:r>
        <w:t xml:space="preserve">, S.M., M.A. </w:t>
      </w:r>
      <w:proofErr w:type="spellStart"/>
      <w:r>
        <w:t>Gafur</w:t>
      </w:r>
      <w:proofErr w:type="spellEnd"/>
      <w:r>
        <w:t xml:space="preserve"> and A.B.M.M. Rahman. 2003. Effects of Crotalaria and </w:t>
      </w:r>
      <w:proofErr w:type="spellStart"/>
      <w:r>
        <w:t>Sesbania</w:t>
      </w:r>
      <w:proofErr w:type="spellEnd"/>
      <w:r>
        <w:t xml:space="preserve"> </w:t>
      </w:r>
      <w:proofErr w:type="spellStart"/>
      <w:r>
        <w:t>aculeata</w:t>
      </w:r>
      <w:proofErr w:type="spellEnd"/>
      <w:r>
        <w:t xml:space="preserve"> green manures and N fertilizer on soil fertility and the productivity of sugarcane. J. Agri. Sci. 140:305–309.</w:t>
      </w:r>
    </w:p>
    <w:p w14:paraId="3B00E033" w14:textId="77777777" w:rsidR="00E02503" w:rsidRDefault="00E02503" w:rsidP="00E02503">
      <w:pPr>
        <w:pStyle w:val="Body"/>
      </w:pPr>
      <w:r>
        <w:t>Brar, D.S. and A.S. Sidhu. 1997. Effect of temperature on pattern of nitrogen release during decomposition of added green manure residue in soil. J. Res. 34(3): 275-278.</w:t>
      </w:r>
    </w:p>
    <w:p w14:paraId="2BA5E09E" w14:textId="77777777" w:rsidR="00E02503" w:rsidRDefault="00E02503" w:rsidP="00E02503">
      <w:pPr>
        <w:pStyle w:val="Body"/>
      </w:pPr>
      <w:proofErr w:type="spellStart"/>
      <w:r>
        <w:t>Chaphale</w:t>
      </w:r>
      <w:proofErr w:type="spellEnd"/>
      <w:r>
        <w:t xml:space="preserve">, S.D., </w:t>
      </w:r>
      <w:proofErr w:type="spellStart"/>
      <w:r>
        <w:t>Chaphale</w:t>
      </w:r>
      <w:proofErr w:type="spellEnd"/>
      <w:r>
        <w:t xml:space="preserve">, B.S., </w:t>
      </w:r>
      <w:proofErr w:type="spellStart"/>
      <w:r>
        <w:t>Yeerne</w:t>
      </w:r>
      <w:proofErr w:type="spellEnd"/>
      <w:r>
        <w:t xml:space="preserve">, A.Z. and </w:t>
      </w:r>
      <w:proofErr w:type="spellStart"/>
      <w:r>
        <w:t>Laniewar</w:t>
      </w:r>
      <w:proofErr w:type="spellEnd"/>
      <w:r>
        <w:t>, A.D. 2000.  Effect of green manuring on soil properties and yield performance of rice. J. Soil and Crops. 10 (1): 136-140.</w:t>
      </w:r>
    </w:p>
    <w:p w14:paraId="15A6C9F2" w14:textId="77777777" w:rsidR="00E02503" w:rsidRDefault="00E02503" w:rsidP="00E02503">
      <w:pPr>
        <w:pStyle w:val="Body"/>
      </w:pPr>
      <w:proofErr w:type="spellStart"/>
      <w:r>
        <w:t>Chettri,G</w:t>
      </w:r>
      <w:proofErr w:type="spellEnd"/>
      <w:r>
        <w:t xml:space="preserve">.  B. </w:t>
      </w:r>
      <w:proofErr w:type="spellStart"/>
      <w:r>
        <w:t>Ghimiray</w:t>
      </w:r>
      <w:proofErr w:type="spellEnd"/>
      <w:r>
        <w:t xml:space="preserve">,  </w:t>
      </w:r>
      <w:proofErr w:type="spellStart"/>
      <w:r>
        <w:t>M.andFloyd,C</w:t>
      </w:r>
      <w:proofErr w:type="spellEnd"/>
      <w:r>
        <w:t xml:space="preserve">.  N.  2003. Effects  of  farmyard  manure,  fertilizers  and green  manuring  in  rice-wheat  systems  in  </w:t>
      </w:r>
      <w:proofErr w:type="spellStart"/>
      <w:r>
        <w:t>bhutan</w:t>
      </w:r>
      <w:proofErr w:type="spellEnd"/>
      <w:r>
        <w:t xml:space="preserve">:  results  from  a  long-term  </w:t>
      </w:r>
      <w:proofErr w:type="spellStart"/>
      <w:r>
        <w:t>experiment.DOI:https</w:t>
      </w:r>
      <w:proofErr w:type="spellEnd"/>
      <w:r>
        <w:t>://doi.org/10.1017/S0014479702001163,39(2) 129-144.</w:t>
      </w:r>
    </w:p>
    <w:p w14:paraId="3A9DF366" w14:textId="77777777" w:rsidR="00E02503" w:rsidRDefault="00E02503" w:rsidP="00E02503">
      <w:pPr>
        <w:pStyle w:val="Body"/>
      </w:pPr>
      <w:r>
        <w:t xml:space="preserve">Das, K., </w:t>
      </w:r>
      <w:proofErr w:type="spellStart"/>
      <w:r>
        <w:t>Biswakarma</w:t>
      </w:r>
      <w:proofErr w:type="spellEnd"/>
      <w:r>
        <w:t xml:space="preserve">, N., </w:t>
      </w:r>
      <w:proofErr w:type="spellStart"/>
      <w:r>
        <w:t>Zhiipao</w:t>
      </w:r>
      <w:proofErr w:type="spellEnd"/>
      <w:r>
        <w:t xml:space="preserve">, R., Kumar, A., </w:t>
      </w:r>
      <w:proofErr w:type="spellStart"/>
      <w:r>
        <w:t>Ghasal</w:t>
      </w:r>
      <w:proofErr w:type="spellEnd"/>
      <w:r>
        <w:t xml:space="preserve">, P. C., and </w:t>
      </w:r>
      <w:proofErr w:type="spellStart"/>
      <w:r>
        <w:t>Pooniya</w:t>
      </w:r>
      <w:proofErr w:type="spellEnd"/>
      <w:r>
        <w:t>, V. 2020. Significance and management of green manures. Soil Health 197-217.</w:t>
      </w:r>
    </w:p>
    <w:p w14:paraId="588F6985" w14:textId="77777777" w:rsidR="00E02503" w:rsidRDefault="00E02503" w:rsidP="00E02503">
      <w:pPr>
        <w:pStyle w:val="Body"/>
      </w:pPr>
      <w:r>
        <w:t xml:space="preserve">Goyal, S., K. </w:t>
      </w:r>
      <w:proofErr w:type="spellStart"/>
      <w:r>
        <w:t>Chander</w:t>
      </w:r>
      <w:proofErr w:type="spellEnd"/>
      <w:r>
        <w:t xml:space="preserve">, M.C. </w:t>
      </w:r>
      <w:proofErr w:type="spellStart"/>
      <w:r>
        <w:t>Mundra</w:t>
      </w:r>
      <w:proofErr w:type="spellEnd"/>
      <w:r>
        <w:t xml:space="preserve"> and K.K. Kapoor. 1999. Influence of inorganic fertilizer and organic amendments on soil organic matter and microbial properties under tropical conditions. Biol. Fert. Soils. 27(2):196-200.</w:t>
      </w:r>
    </w:p>
    <w:p w14:paraId="10CFE883" w14:textId="77777777" w:rsidR="00E02503" w:rsidRDefault="00E02503" w:rsidP="00E02503">
      <w:pPr>
        <w:pStyle w:val="Body"/>
      </w:pPr>
      <w:proofErr w:type="spellStart"/>
      <w:r>
        <w:t>Lokesh</w:t>
      </w:r>
      <w:proofErr w:type="spellEnd"/>
      <w:r>
        <w:t xml:space="preserve"> Dubey, </w:t>
      </w:r>
      <w:proofErr w:type="spellStart"/>
      <w:r>
        <w:t>Megha</w:t>
      </w:r>
      <w:proofErr w:type="spellEnd"/>
      <w:r>
        <w:t xml:space="preserve"> Dubey and </w:t>
      </w:r>
      <w:proofErr w:type="spellStart"/>
      <w:r>
        <w:t>Princy</w:t>
      </w:r>
      <w:proofErr w:type="spellEnd"/>
      <w:r>
        <w:t xml:space="preserve"> Jain. 2005. Role of green manuring in organic farming. Vol. 15 No. 1, 2015  pp. 23-26.</w:t>
      </w:r>
    </w:p>
    <w:p w14:paraId="1317B139" w14:textId="77777777" w:rsidR="00E02503" w:rsidRDefault="00E02503" w:rsidP="00E02503">
      <w:pPr>
        <w:pStyle w:val="Body"/>
      </w:pPr>
      <w:r>
        <w:t xml:space="preserve">Maitra, S., Zaman, A., Mandal, T. K., and </w:t>
      </w:r>
      <w:proofErr w:type="spellStart"/>
      <w:r>
        <w:t>Palai</w:t>
      </w:r>
      <w:proofErr w:type="spellEnd"/>
      <w:r>
        <w:t>, J. B. 2018. Green manures in agriculture: A review. Journal of Pharmacognosy and Phytochemistry 7(5):1319-1327</w:t>
      </w:r>
    </w:p>
    <w:p w14:paraId="0EF6A410" w14:textId="77777777" w:rsidR="00E02503" w:rsidRDefault="00E02503" w:rsidP="00E02503">
      <w:pPr>
        <w:pStyle w:val="Body"/>
      </w:pPr>
      <w:r>
        <w:t xml:space="preserve">Meena, B. L., </w:t>
      </w:r>
      <w:proofErr w:type="spellStart"/>
      <w:r>
        <w:t>Fagodiya</w:t>
      </w:r>
      <w:proofErr w:type="spellEnd"/>
      <w:r>
        <w:t xml:space="preserve">, R. K., </w:t>
      </w:r>
      <w:proofErr w:type="spellStart"/>
      <w:r>
        <w:t>Prajapat</w:t>
      </w:r>
      <w:proofErr w:type="spellEnd"/>
      <w:r>
        <w:t xml:space="preserve">, K., </w:t>
      </w:r>
      <w:proofErr w:type="spellStart"/>
      <w:r>
        <w:t>Dotaniya</w:t>
      </w:r>
      <w:proofErr w:type="spellEnd"/>
      <w:r>
        <w:t xml:space="preserve">, M. L., </w:t>
      </w:r>
      <w:proofErr w:type="spellStart"/>
      <w:r>
        <w:t>Kaledhonkar</w:t>
      </w:r>
      <w:proofErr w:type="spellEnd"/>
      <w:r>
        <w:t>, M. J., Sharma, P. C., and Kumar, S. 2018. Legume green manuring: an option for soil sustainability. Legumes for soil health and sustainable management 387-408.</w:t>
      </w:r>
    </w:p>
    <w:p w14:paraId="2700B0D0" w14:textId="77777777" w:rsidR="00E02503" w:rsidRDefault="00E02503" w:rsidP="00E02503">
      <w:pPr>
        <w:pStyle w:val="Body"/>
      </w:pPr>
      <w:proofErr w:type="spellStart"/>
      <w:r>
        <w:t>Palaniappan</w:t>
      </w:r>
      <w:proofErr w:type="spellEnd"/>
      <w:r>
        <w:t xml:space="preserve">, S. P. (1994). Green Manuring: Nutrient potential and management. In: Tandon, H.L.S. (Eds.) Fertilizers, Organic manure, Recyclable waste and Biofertilizers, Fertilizer development and Consultation Organization, New Delhi. </w:t>
      </w:r>
    </w:p>
    <w:p w14:paraId="608BDB7A" w14:textId="77777777" w:rsidR="00E02503" w:rsidRDefault="00E02503" w:rsidP="00E02503">
      <w:pPr>
        <w:pStyle w:val="Body"/>
      </w:pPr>
      <w:proofErr w:type="spellStart"/>
      <w:r>
        <w:lastRenderedPageBreak/>
        <w:t>Selvi</w:t>
      </w:r>
      <w:proofErr w:type="spellEnd"/>
      <w:r>
        <w:t>, R.V. and R. Kalpana. 2009. Potentials of green manure in integrated nutrient management for rice . A review. Agri. Rev. 30(1):40-47.</w:t>
      </w:r>
    </w:p>
    <w:p w14:paraId="706FAED5" w14:textId="77777777" w:rsidR="00E02503" w:rsidRDefault="00E02503" w:rsidP="00E02503">
      <w:pPr>
        <w:pStyle w:val="Body"/>
      </w:pPr>
      <w:r>
        <w:t xml:space="preserve">Sharma, S., S.P. Dev and Rameshwar . 2000. Effect of green manuring of </w:t>
      </w:r>
      <w:proofErr w:type="spellStart"/>
      <w:r>
        <w:t>sunnhemp</w:t>
      </w:r>
      <w:proofErr w:type="spellEnd"/>
      <w:r>
        <w:t xml:space="preserve"> (Crotalaria </w:t>
      </w:r>
      <w:proofErr w:type="spellStart"/>
      <w:r>
        <w:t>juncea</w:t>
      </w:r>
      <w:proofErr w:type="spellEnd"/>
      <w:r>
        <w:t xml:space="preserve"> L) on rice yield, nitrogen turn over and soil </w:t>
      </w:r>
      <w:proofErr w:type="spellStart"/>
      <w:r>
        <w:t>properties.Crop</w:t>
      </w:r>
      <w:proofErr w:type="spellEnd"/>
      <w:r>
        <w:t xml:space="preserve"> Res.,19(3): 418-23.</w:t>
      </w:r>
    </w:p>
    <w:p w14:paraId="07932794" w14:textId="77777777" w:rsidR="00E02503" w:rsidRDefault="00E02503" w:rsidP="00E02503">
      <w:pPr>
        <w:pStyle w:val="Body"/>
      </w:pPr>
      <w:r>
        <w:t>Singh, R.D. and V.S. Chauhan, 2002. Impact of inorganic fertilizers and organic manures on soil productivity under wheat-</w:t>
      </w:r>
      <w:proofErr w:type="spellStart"/>
      <w:r>
        <w:t>ragi</w:t>
      </w:r>
      <w:proofErr w:type="spellEnd"/>
      <w:r>
        <w:t xml:space="preserve"> system. Journal of Indian Society of Soil Science, 50(1): 62-63.</w:t>
      </w:r>
    </w:p>
    <w:p w14:paraId="33621888" w14:textId="77777777" w:rsidR="00E02503" w:rsidRDefault="00E02503" w:rsidP="00E02503">
      <w:pPr>
        <w:pStyle w:val="Body"/>
      </w:pPr>
      <w:r>
        <w:t xml:space="preserve">Singh, V., Singh, B. and </w:t>
      </w:r>
      <w:proofErr w:type="spellStart"/>
      <w:r>
        <w:t>Khind</w:t>
      </w:r>
      <w:proofErr w:type="spellEnd"/>
      <w:r>
        <w:t>, C.S. 1992. Nutrient transformations in soil amended with green manures. Adv. Soil. Sci. 20: 238-298.</w:t>
      </w:r>
    </w:p>
    <w:p w14:paraId="5553E2FC" w14:textId="77777777" w:rsidR="00E02503" w:rsidRDefault="00E02503" w:rsidP="00E02503">
      <w:pPr>
        <w:pStyle w:val="Body"/>
      </w:pPr>
      <w:r>
        <w:t xml:space="preserve">Sinha, A., R. Kumar, D. Kamil and P. </w:t>
      </w:r>
      <w:proofErr w:type="spellStart"/>
      <w:r>
        <w:t>Kapur</w:t>
      </w:r>
      <w:proofErr w:type="spellEnd"/>
      <w:r>
        <w:t xml:space="preserve">. 2009. Release of nitrogen, phosphorus and potassium from decomposing Crotalaria </w:t>
      </w:r>
      <w:proofErr w:type="spellStart"/>
      <w:r>
        <w:t>juncea</w:t>
      </w:r>
      <w:proofErr w:type="spellEnd"/>
      <w:r>
        <w:t xml:space="preserve"> L. in relation to different climatic factors. Environ. Ecol. 27(4B):2077-2081.</w:t>
      </w:r>
    </w:p>
    <w:p w14:paraId="36A016AC" w14:textId="0E37C5A0" w:rsidR="00B01FCD" w:rsidRPr="00FB3A86" w:rsidRDefault="00E02503" w:rsidP="00E02503">
      <w:pPr>
        <w:pStyle w:val="Body"/>
        <w:spacing w:after="0"/>
        <w:rPr>
          <w:rFonts w:ascii="Arial" w:hAnsi="Arial" w:cs="Arial"/>
          <w:b/>
        </w:rPr>
      </w:pPr>
      <w:r>
        <w:t>Yadav,  R. L., B. S. Dwivedi, and P. S. Pandey. 2000. “Rice-wheat cropping system: assessment of sustainability under green manuring and chemical fertilizer inputs,” Field Crops Research, vol. 65, no. 1, pp. 15–30.</w:t>
      </w:r>
    </w:p>
    <w:sectPr w:rsidR="00B01FCD" w:rsidRPr="00FB3A86" w:rsidSect="00F5680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R.Ahmed Saker 2o1O" w:date="2025-07-19T20:19:00Z" w:initials="DS2">
    <w:p w14:paraId="6612F7A7" w14:textId="4F803951" w:rsidR="008D3276" w:rsidRPr="008D3276" w:rsidRDefault="008D3276" w:rsidP="008D3276">
      <w:pPr>
        <w:pStyle w:val="CommentText"/>
        <w:rPr>
          <w:lang w:val="en-US"/>
        </w:rPr>
      </w:pPr>
      <w:r>
        <w:rPr>
          <w:rStyle w:val="CommentReference"/>
        </w:rPr>
        <w:annotationRef/>
      </w:r>
      <w:r w:rsidRPr="008D3276">
        <w:rPr>
          <w:lang w:val="en-US"/>
        </w:rPr>
        <w:t>add the aim of this study.</w:t>
      </w:r>
    </w:p>
  </w:comment>
  <w:comment w:id="2" w:author="DR.Ahmed Saker 2o1O" w:date="2025-07-19T20:25:00Z" w:initials="DS2">
    <w:p w14:paraId="48BC46DF" w14:textId="2D7C533B" w:rsidR="008D3276" w:rsidRPr="00A0233E" w:rsidRDefault="008D3276" w:rsidP="00A0233E">
      <w:pPr>
        <w:rPr>
          <w:rFonts w:asciiTheme="majorBidi" w:hAnsiTheme="majorBidi" w:cstheme="majorBidi"/>
          <w:sz w:val="28"/>
          <w:szCs w:val="28"/>
          <w:lang w:bidi="ar-IQ"/>
        </w:rPr>
      </w:pPr>
      <w:r>
        <w:rPr>
          <w:rStyle w:val="CommentReference"/>
        </w:rPr>
        <w:annotationRef/>
      </w:r>
      <w:r w:rsidRPr="00F34BE6">
        <w:rPr>
          <w:rFonts w:asciiTheme="majorBidi" w:hAnsiTheme="majorBidi" w:cstheme="majorBidi"/>
          <w:sz w:val="28"/>
          <w:szCs w:val="28"/>
        </w:rPr>
        <w:t>Please</w:t>
      </w:r>
      <w:r w:rsidRPr="008D3276">
        <w:rPr>
          <w:rFonts w:asciiTheme="majorBidi" w:hAnsiTheme="majorBidi" w:cstheme="majorBidi"/>
          <w:sz w:val="28"/>
          <w:szCs w:val="28"/>
          <w:lang w:bidi="ar-IQ"/>
        </w:rPr>
        <w:t xml:space="preserve"> </w:t>
      </w:r>
      <w:r>
        <w:rPr>
          <w:rFonts w:asciiTheme="majorBidi" w:hAnsiTheme="majorBidi" w:cstheme="majorBidi"/>
          <w:sz w:val="28"/>
          <w:szCs w:val="28"/>
          <w:lang w:bidi="ar-IQ"/>
        </w:rPr>
        <w:t>c</w:t>
      </w:r>
      <w:r w:rsidRPr="000E57A1">
        <w:rPr>
          <w:rFonts w:asciiTheme="majorBidi" w:hAnsiTheme="majorBidi" w:cstheme="majorBidi"/>
          <w:sz w:val="28"/>
          <w:szCs w:val="28"/>
          <w:lang w:bidi="ar-IQ"/>
        </w:rPr>
        <w:t xml:space="preserve">are more </w:t>
      </w:r>
      <w:r w:rsidR="00A0233E">
        <w:rPr>
          <w:rFonts w:asciiTheme="majorBidi" w:hAnsiTheme="majorBidi" w:cstheme="majorBidi"/>
          <w:sz w:val="28"/>
          <w:szCs w:val="28"/>
          <w:lang w:bidi="ar-IQ"/>
        </w:rPr>
        <w:t>and</w:t>
      </w:r>
      <w:r w:rsidR="00A0233E" w:rsidRPr="00A0233E">
        <w:rPr>
          <w:rFonts w:asciiTheme="majorBidi" w:hAnsiTheme="majorBidi" w:cstheme="majorBidi"/>
          <w:sz w:val="28"/>
          <w:szCs w:val="28"/>
          <w:lang w:bidi="ar-IQ"/>
        </w:rPr>
        <w:t xml:space="preserve"> </w:t>
      </w:r>
      <w:r w:rsidR="00A0233E">
        <w:rPr>
          <w:rFonts w:asciiTheme="majorBidi" w:hAnsiTheme="majorBidi" w:cstheme="majorBidi"/>
          <w:sz w:val="28"/>
          <w:szCs w:val="28"/>
          <w:lang w:bidi="ar-IQ"/>
        </w:rPr>
        <w:t>s</w:t>
      </w:r>
      <w:r w:rsidR="00A0233E" w:rsidRPr="00AE07A3">
        <w:rPr>
          <w:rFonts w:asciiTheme="majorBidi" w:hAnsiTheme="majorBidi" w:cstheme="majorBidi"/>
          <w:sz w:val="28"/>
          <w:szCs w:val="28"/>
          <w:lang w:bidi="ar-IQ"/>
        </w:rPr>
        <w:t>hould be rewritten again</w:t>
      </w:r>
    </w:p>
  </w:comment>
  <w:comment w:id="3" w:author="DR.Ahmed Saker 2o1O" w:date="2025-07-19T20:36:00Z" w:initials="DS2">
    <w:p w14:paraId="7144A1E9" w14:textId="4EFA19A2" w:rsidR="005370CB" w:rsidRDefault="005370CB">
      <w:pPr>
        <w:pStyle w:val="CommentText"/>
      </w:pPr>
      <w:r>
        <w:rPr>
          <w:rStyle w:val="CommentReference"/>
        </w:rPr>
        <w:annotationRef/>
      </w:r>
      <w:r w:rsidRPr="00F47CF5">
        <w:rPr>
          <w:rFonts w:asciiTheme="majorBidi" w:hAnsiTheme="majorBidi" w:cstheme="majorBidi"/>
          <w:sz w:val="28"/>
          <w:szCs w:val="28"/>
        </w:rPr>
        <w:t>Please add the explanation of used abbreviations</w:t>
      </w:r>
      <w:bookmarkStart w:id="4" w:name="_GoBack"/>
      <w:bookmarkEnd w:id="4"/>
    </w:p>
  </w:comment>
  <w:comment w:id="5" w:author="DR.Ahmed Saker 2o1O" w:date="2025-07-19T20:35:00Z" w:initials="DS2">
    <w:p w14:paraId="72373F00" w14:textId="1930694E" w:rsidR="005370CB" w:rsidRDefault="005370CB">
      <w:pPr>
        <w:pStyle w:val="CommentText"/>
      </w:pPr>
      <w:r>
        <w:rPr>
          <w:rStyle w:val="CommentReference"/>
        </w:rPr>
        <w:annotationRef/>
      </w:r>
      <w:r w:rsidRPr="00F47CF5">
        <w:rPr>
          <w:rFonts w:asciiTheme="majorBidi" w:hAnsiTheme="majorBidi" w:cstheme="majorBidi"/>
          <w:sz w:val="28"/>
          <w:szCs w:val="28"/>
        </w:rPr>
        <w:t>Please add the explanation of used abbreviations</w:t>
      </w:r>
    </w:p>
  </w:comment>
  <w:comment w:id="6" w:author="DR.Ahmed Saker 2o1O" w:date="2025-07-19T20:27:00Z" w:initials="DS2">
    <w:p w14:paraId="1591CC10" w14:textId="6DC0E8C6" w:rsidR="00A0233E" w:rsidRPr="00A0233E" w:rsidRDefault="00A0233E" w:rsidP="00A0233E">
      <w:pPr>
        <w:rPr>
          <w:rFonts w:asciiTheme="majorBidi" w:hAnsiTheme="majorBidi" w:cstheme="majorBidi"/>
          <w:sz w:val="28"/>
          <w:szCs w:val="28"/>
          <w:lang w:bidi="ar-IQ"/>
        </w:rPr>
      </w:pPr>
      <w:r>
        <w:rPr>
          <w:rStyle w:val="CommentReference"/>
        </w:rPr>
        <w:annotationRef/>
      </w:r>
      <w:r w:rsidRPr="00F34BE6">
        <w:rPr>
          <w:rFonts w:asciiTheme="majorBidi" w:hAnsiTheme="majorBidi" w:cstheme="majorBidi"/>
          <w:sz w:val="28"/>
          <w:szCs w:val="28"/>
          <w:lang w:bidi="ar-IQ"/>
        </w:rPr>
        <w:t>Rewrite it again because the phrase is too much long</w:t>
      </w:r>
    </w:p>
  </w:comment>
  <w:comment w:id="7" w:author="DR.Ahmed Saker 2o1O" w:date="2025-07-19T20:31:00Z" w:initials="DS2">
    <w:p w14:paraId="7B3F597B" w14:textId="77777777" w:rsidR="00A0233E" w:rsidRPr="00383508" w:rsidRDefault="00A0233E" w:rsidP="00A0233E">
      <w:pPr>
        <w:tabs>
          <w:tab w:val="left" w:pos="1397"/>
        </w:tabs>
        <w:rPr>
          <w:rFonts w:asciiTheme="majorBidi" w:hAnsiTheme="majorBidi" w:cstheme="majorBidi"/>
          <w:sz w:val="28"/>
          <w:szCs w:val="28"/>
        </w:rPr>
      </w:pPr>
      <w:r>
        <w:rPr>
          <w:rStyle w:val="CommentReference"/>
        </w:rPr>
        <w:annotationRef/>
      </w:r>
      <w:r w:rsidRPr="00383508">
        <w:rPr>
          <w:rFonts w:asciiTheme="majorBidi" w:hAnsiTheme="majorBidi" w:cstheme="majorBidi"/>
          <w:sz w:val="28"/>
          <w:szCs w:val="28"/>
        </w:rPr>
        <w:t xml:space="preserve">Follow pattern of journal. Correct the all references according to journal </w:t>
      </w:r>
      <w:proofErr w:type="spellStart"/>
      <w:r w:rsidRPr="00383508">
        <w:rPr>
          <w:rFonts w:asciiTheme="majorBidi" w:hAnsiTheme="majorBidi" w:cstheme="majorBidi"/>
          <w:sz w:val="28"/>
          <w:szCs w:val="28"/>
        </w:rPr>
        <w:t>patern</w:t>
      </w:r>
      <w:proofErr w:type="spellEnd"/>
      <w:r w:rsidRPr="00383508">
        <w:rPr>
          <w:rFonts w:asciiTheme="majorBidi" w:hAnsiTheme="majorBidi" w:cstheme="majorBidi"/>
          <w:sz w:val="28"/>
          <w:szCs w:val="28"/>
        </w:rPr>
        <w:t>.</w:t>
      </w:r>
    </w:p>
    <w:p w14:paraId="4858AE15" w14:textId="77777777" w:rsidR="00A0233E" w:rsidRDefault="00A0233E" w:rsidP="00A0233E">
      <w:pPr>
        <w:tabs>
          <w:tab w:val="left" w:pos="1397"/>
        </w:tabs>
        <w:rPr>
          <w:rFonts w:asciiTheme="majorBidi" w:hAnsiTheme="majorBidi" w:cstheme="majorBidi"/>
          <w:sz w:val="28"/>
          <w:szCs w:val="28"/>
        </w:rPr>
      </w:pPr>
      <w:r w:rsidRPr="00383508">
        <w:rPr>
          <w:rFonts w:asciiTheme="majorBidi" w:hAnsiTheme="majorBidi" w:cstheme="majorBidi"/>
          <w:sz w:val="28"/>
          <w:szCs w:val="28"/>
        </w:rPr>
        <w:t>Check all references are traceable to put on the DOI at the end of each reference.</w:t>
      </w:r>
    </w:p>
    <w:p w14:paraId="3B0F5EEC" w14:textId="0D1B32C6" w:rsidR="00A0233E" w:rsidRDefault="00A0233E" w:rsidP="00A0233E">
      <w:pPr>
        <w:pStyle w:val="CommentText"/>
      </w:pPr>
      <w:r w:rsidRPr="00A87575">
        <w:rPr>
          <w:rFonts w:asciiTheme="majorBidi" w:hAnsiTheme="majorBidi" w:cstheme="majorBidi"/>
          <w:sz w:val="28"/>
          <w:szCs w:val="28"/>
        </w:rPr>
        <w:t>Recent references are required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651DC" w14:textId="77777777" w:rsidR="005162EF" w:rsidRDefault="005162EF" w:rsidP="00C37E61">
      <w:r>
        <w:separator/>
      </w:r>
    </w:p>
  </w:endnote>
  <w:endnote w:type="continuationSeparator" w:id="0">
    <w:p w14:paraId="225B79B2" w14:textId="77777777" w:rsidR="005162EF" w:rsidRDefault="005162E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CC586" w14:textId="77777777" w:rsidR="00F5680F" w:rsidRDefault="00F56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B9E1B" w14:textId="77777777" w:rsidR="00C37E61" w:rsidRPr="00C37E61" w:rsidRDefault="00C37E61" w:rsidP="00C37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9DB5E" w14:textId="77777777" w:rsidR="00F5680F" w:rsidRDefault="00F56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5A294" w14:textId="77777777" w:rsidR="005162EF" w:rsidRDefault="005162EF" w:rsidP="00C37E61">
      <w:r>
        <w:separator/>
      </w:r>
    </w:p>
  </w:footnote>
  <w:footnote w:type="continuationSeparator" w:id="0">
    <w:p w14:paraId="6EC6E4F8" w14:textId="77777777" w:rsidR="005162EF" w:rsidRDefault="005162EF"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ED90" w14:textId="32930540" w:rsidR="00F5680F" w:rsidRDefault="005162EF">
    <w:pPr>
      <w:pStyle w:val="Header"/>
    </w:pPr>
    <w:r>
      <w:rPr>
        <w:noProof/>
      </w:rPr>
      <w:pict w14:anchorId="5262C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167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5C039" w14:textId="7D6B418A" w:rsidR="00F5680F" w:rsidRDefault="005162EF">
    <w:pPr>
      <w:pStyle w:val="Header"/>
    </w:pPr>
    <w:r>
      <w:rPr>
        <w:noProof/>
      </w:rPr>
      <w:pict w14:anchorId="3E4BC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167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9B859" w14:textId="6FC02E3C" w:rsidR="00F5680F" w:rsidRDefault="005162EF">
    <w:pPr>
      <w:pStyle w:val="Header"/>
    </w:pPr>
    <w:r>
      <w:rPr>
        <w:noProof/>
      </w:rPr>
      <w:pict w14:anchorId="70C27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16742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1D55"/>
    <w:rsid w:val="00030174"/>
    <w:rsid w:val="00031181"/>
    <w:rsid w:val="0004579C"/>
    <w:rsid w:val="0008504E"/>
    <w:rsid w:val="000A3090"/>
    <w:rsid w:val="000A47FA"/>
    <w:rsid w:val="000A65D3"/>
    <w:rsid w:val="000B1E33"/>
    <w:rsid w:val="000D689F"/>
    <w:rsid w:val="000E7B7B"/>
    <w:rsid w:val="000E7D62"/>
    <w:rsid w:val="000F0828"/>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39D5"/>
    <w:rsid w:val="00231920"/>
    <w:rsid w:val="0023195C"/>
    <w:rsid w:val="0024282C"/>
    <w:rsid w:val="002460DC"/>
    <w:rsid w:val="00250985"/>
    <w:rsid w:val="002556F6"/>
    <w:rsid w:val="00283105"/>
    <w:rsid w:val="00284C4C"/>
    <w:rsid w:val="00287E68"/>
    <w:rsid w:val="00296529"/>
    <w:rsid w:val="002A6F7A"/>
    <w:rsid w:val="002B27FB"/>
    <w:rsid w:val="002B685A"/>
    <w:rsid w:val="002C0DE8"/>
    <w:rsid w:val="002C57D2"/>
    <w:rsid w:val="002E0D56"/>
    <w:rsid w:val="00315186"/>
    <w:rsid w:val="00316E4A"/>
    <w:rsid w:val="0033343E"/>
    <w:rsid w:val="003512C2"/>
    <w:rsid w:val="00371FB6"/>
    <w:rsid w:val="003763C1"/>
    <w:rsid w:val="00376BBE"/>
    <w:rsid w:val="0039224F"/>
    <w:rsid w:val="00393E44"/>
    <w:rsid w:val="00395AFB"/>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6C56"/>
    <w:rsid w:val="00471A80"/>
    <w:rsid w:val="004D305E"/>
    <w:rsid w:val="004D4277"/>
    <w:rsid w:val="00502516"/>
    <w:rsid w:val="00505F06"/>
    <w:rsid w:val="00506828"/>
    <w:rsid w:val="005162EF"/>
    <w:rsid w:val="0053056E"/>
    <w:rsid w:val="005370CB"/>
    <w:rsid w:val="00554FDA"/>
    <w:rsid w:val="005869FA"/>
    <w:rsid w:val="005C784C"/>
    <w:rsid w:val="005D17F6"/>
    <w:rsid w:val="005E5539"/>
    <w:rsid w:val="00602BF5"/>
    <w:rsid w:val="00617FDD"/>
    <w:rsid w:val="00630280"/>
    <w:rsid w:val="00633614"/>
    <w:rsid w:val="00633F68"/>
    <w:rsid w:val="00636EB2"/>
    <w:rsid w:val="006375B8"/>
    <w:rsid w:val="0066510A"/>
    <w:rsid w:val="00673F9F"/>
    <w:rsid w:val="00686953"/>
    <w:rsid w:val="00687DEA"/>
    <w:rsid w:val="00687E67"/>
    <w:rsid w:val="006967F7"/>
    <w:rsid w:val="006A250C"/>
    <w:rsid w:val="006B1FBC"/>
    <w:rsid w:val="006B21D3"/>
    <w:rsid w:val="006B5495"/>
    <w:rsid w:val="006B57D0"/>
    <w:rsid w:val="006D30FF"/>
    <w:rsid w:val="006D6940"/>
    <w:rsid w:val="006F11EC"/>
    <w:rsid w:val="0070082C"/>
    <w:rsid w:val="007105FF"/>
    <w:rsid w:val="007369E6"/>
    <w:rsid w:val="00746699"/>
    <w:rsid w:val="00746E59"/>
    <w:rsid w:val="00754C9A"/>
    <w:rsid w:val="0075599A"/>
    <w:rsid w:val="00757E02"/>
    <w:rsid w:val="00761D52"/>
    <w:rsid w:val="0077749E"/>
    <w:rsid w:val="00790ADA"/>
    <w:rsid w:val="007D2288"/>
    <w:rsid w:val="007E088F"/>
    <w:rsid w:val="007F7B32"/>
    <w:rsid w:val="00804BC2"/>
    <w:rsid w:val="0080724A"/>
    <w:rsid w:val="0081431A"/>
    <w:rsid w:val="0082585F"/>
    <w:rsid w:val="0083216F"/>
    <w:rsid w:val="00860000"/>
    <w:rsid w:val="00863BD3"/>
    <w:rsid w:val="008641ED"/>
    <w:rsid w:val="00866D66"/>
    <w:rsid w:val="008671C6"/>
    <w:rsid w:val="00875803"/>
    <w:rsid w:val="008B459E"/>
    <w:rsid w:val="008D0653"/>
    <w:rsid w:val="008D3276"/>
    <w:rsid w:val="008E13AE"/>
    <w:rsid w:val="008E1506"/>
    <w:rsid w:val="008E710C"/>
    <w:rsid w:val="008F0B2D"/>
    <w:rsid w:val="008F69D6"/>
    <w:rsid w:val="00901AE1"/>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233E"/>
    <w:rsid w:val="00A03B96"/>
    <w:rsid w:val="00A05B19"/>
    <w:rsid w:val="00A1134E"/>
    <w:rsid w:val="00A24E7E"/>
    <w:rsid w:val="00A258C3"/>
    <w:rsid w:val="00A347C0"/>
    <w:rsid w:val="00A51431"/>
    <w:rsid w:val="00A539AD"/>
    <w:rsid w:val="00A672A4"/>
    <w:rsid w:val="00A679D9"/>
    <w:rsid w:val="00A94063"/>
    <w:rsid w:val="00AA6219"/>
    <w:rsid w:val="00AA74E0"/>
    <w:rsid w:val="00AB703F"/>
    <w:rsid w:val="00AC6BB8"/>
    <w:rsid w:val="00AE008F"/>
    <w:rsid w:val="00B01FCD"/>
    <w:rsid w:val="00B1776C"/>
    <w:rsid w:val="00B22018"/>
    <w:rsid w:val="00B52583"/>
    <w:rsid w:val="00B52896"/>
    <w:rsid w:val="00B64337"/>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90614"/>
    <w:rsid w:val="00DB457B"/>
    <w:rsid w:val="00DB6F9F"/>
    <w:rsid w:val="00DC2A65"/>
    <w:rsid w:val="00DE15F0"/>
    <w:rsid w:val="00DE5663"/>
    <w:rsid w:val="00DE6DFC"/>
    <w:rsid w:val="00DE78AA"/>
    <w:rsid w:val="00E02503"/>
    <w:rsid w:val="00E053D0"/>
    <w:rsid w:val="00E15994"/>
    <w:rsid w:val="00E26E43"/>
    <w:rsid w:val="00E3114E"/>
    <w:rsid w:val="00E31A70"/>
    <w:rsid w:val="00E35B02"/>
    <w:rsid w:val="00E66496"/>
    <w:rsid w:val="00E66B35"/>
    <w:rsid w:val="00E66E10"/>
    <w:rsid w:val="00E769F6"/>
    <w:rsid w:val="00E8407C"/>
    <w:rsid w:val="00E84F3C"/>
    <w:rsid w:val="00EA012C"/>
    <w:rsid w:val="00EC6A55"/>
    <w:rsid w:val="00ED0288"/>
    <w:rsid w:val="00EE52CB"/>
    <w:rsid w:val="00EE6178"/>
    <w:rsid w:val="00EF581D"/>
    <w:rsid w:val="00EF7FD8"/>
    <w:rsid w:val="00F06F59"/>
    <w:rsid w:val="00F17988"/>
    <w:rsid w:val="00F249D2"/>
    <w:rsid w:val="00F45291"/>
    <w:rsid w:val="00F469F0"/>
    <w:rsid w:val="00F53273"/>
    <w:rsid w:val="00F53350"/>
    <w:rsid w:val="00F5680F"/>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28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8D3276"/>
    <w:rPr>
      <w:rFonts w:ascii="Helvetica" w:hAnsi="Helvetica"/>
      <w:b/>
      <w:bCs/>
      <w:lang w:val="en-US" w:eastAsia="en-US"/>
    </w:rPr>
  </w:style>
  <w:style w:type="character" w:customStyle="1" w:styleId="CommentSubjectChar">
    <w:name w:val="Comment Subject Char"/>
    <w:basedOn w:val="CommentTextChar"/>
    <w:link w:val="CommentSubject"/>
    <w:semiHidden/>
    <w:rsid w:val="008D3276"/>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8D3276"/>
    <w:rPr>
      <w:rFonts w:ascii="Helvetica" w:hAnsi="Helvetica"/>
      <w:b/>
      <w:bCs/>
      <w:lang w:val="en-US" w:eastAsia="en-US"/>
    </w:rPr>
  </w:style>
  <w:style w:type="character" w:customStyle="1" w:styleId="CommentSubjectChar">
    <w:name w:val="Comment Subject Char"/>
    <w:basedOn w:val="CommentTextChar"/>
    <w:link w:val="CommentSubject"/>
    <w:semiHidden/>
    <w:rsid w:val="008D327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626126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5123616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62E50-B2AF-4C87-B1E9-43D272B9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TotalTime>
  <Pages>7</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17849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DR.Ahmed Saker 2o1O</cp:lastModifiedBy>
  <cp:revision>3</cp:revision>
  <cp:lastPrinted>1999-07-06T11:00:00Z</cp:lastPrinted>
  <dcterms:created xsi:type="dcterms:W3CDTF">2025-07-19T17:13:00Z</dcterms:created>
  <dcterms:modified xsi:type="dcterms:W3CDTF">2025-07-19T17:36:00Z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00fc249d-3821-4fe3-924f-686484324abe</vt:lpwstr>
  </property>
</Properties>
</file>