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4497" w:rsidRPr="00894497" w:rsidRDefault="00894497" w:rsidP="00894497">
      <w:pPr>
        <w:spacing w:line="360" w:lineRule="auto"/>
        <w:jc w:val="center"/>
        <w:rPr>
          <w:rFonts w:ascii="Times New Roman" w:hAnsi="Times New Roman" w:cs="Times New Roman"/>
          <w:b/>
          <w:bCs/>
          <w:i/>
          <w:iCs/>
          <w:sz w:val="24"/>
          <w:szCs w:val="24"/>
          <w:u w:val="single"/>
          <w:lang w:val="en-US"/>
        </w:rPr>
      </w:pPr>
      <w:r w:rsidRPr="00894497">
        <w:rPr>
          <w:rFonts w:ascii="Times New Roman" w:hAnsi="Times New Roman" w:cs="Times New Roman"/>
          <w:b/>
          <w:bCs/>
          <w:i/>
          <w:iCs/>
          <w:sz w:val="24"/>
          <w:szCs w:val="24"/>
          <w:u w:val="single"/>
          <w:lang w:val="en-US"/>
        </w:rPr>
        <w:t>Short Research Article</w:t>
      </w:r>
    </w:p>
    <w:p w:rsidR="006D432E" w:rsidRPr="007347E6" w:rsidRDefault="006D432E" w:rsidP="007347E6">
      <w:pPr>
        <w:spacing w:line="360" w:lineRule="auto"/>
        <w:jc w:val="center"/>
        <w:rPr>
          <w:rFonts w:ascii="Times New Roman" w:hAnsi="Times New Roman" w:cs="Times New Roman"/>
          <w:b/>
          <w:bCs/>
          <w:sz w:val="24"/>
          <w:szCs w:val="24"/>
        </w:rPr>
      </w:pPr>
      <w:r w:rsidRPr="007347E6">
        <w:rPr>
          <w:rFonts w:ascii="Times New Roman" w:hAnsi="Times New Roman" w:cs="Times New Roman"/>
          <w:b/>
          <w:bCs/>
          <w:sz w:val="24"/>
          <w:szCs w:val="24"/>
        </w:rPr>
        <w:t xml:space="preserve">Effects of </w:t>
      </w:r>
      <w:r w:rsidRPr="007347E6">
        <w:rPr>
          <w:rFonts w:ascii="Times New Roman" w:hAnsi="Times New Roman" w:cs="Times New Roman"/>
          <w:b/>
          <w:bCs/>
          <w:i/>
          <w:iCs/>
          <w:sz w:val="24"/>
          <w:szCs w:val="24"/>
        </w:rPr>
        <w:t>Moringa oleifera</w:t>
      </w:r>
      <w:r w:rsidRPr="007347E6">
        <w:rPr>
          <w:rFonts w:ascii="Times New Roman" w:hAnsi="Times New Roman" w:cs="Times New Roman"/>
          <w:b/>
          <w:bCs/>
          <w:sz w:val="24"/>
          <w:szCs w:val="24"/>
        </w:rPr>
        <w:t xml:space="preserve"> leaves powder growth performance of </w:t>
      </w:r>
      <w:r w:rsidRPr="007347E6">
        <w:rPr>
          <w:rFonts w:ascii="Times New Roman" w:hAnsi="Times New Roman" w:cs="Times New Roman"/>
          <w:b/>
          <w:bCs/>
          <w:i/>
          <w:iCs/>
          <w:sz w:val="24"/>
          <w:szCs w:val="24"/>
        </w:rPr>
        <w:t>Labeo rohita</w:t>
      </w:r>
      <w:r w:rsidRPr="007347E6">
        <w:rPr>
          <w:rFonts w:ascii="Times New Roman" w:hAnsi="Times New Roman" w:cs="Times New Roman"/>
          <w:b/>
          <w:bCs/>
          <w:sz w:val="24"/>
          <w:szCs w:val="24"/>
        </w:rPr>
        <w:t xml:space="preserve"> (Hamilton,1822)</w:t>
      </w:r>
    </w:p>
    <w:p w:rsidR="00916CBA" w:rsidRDefault="00916CBA" w:rsidP="007347E6">
      <w:pPr>
        <w:pStyle w:val="Heading2"/>
        <w:keepNext w:val="0"/>
        <w:keepLines w:val="0"/>
        <w:spacing w:after="80" w:line="360" w:lineRule="auto"/>
        <w:rPr>
          <w:rFonts w:ascii="Times New Roman" w:hAnsi="Times New Roman" w:cs="Times New Roman"/>
          <w:b/>
          <w:bCs/>
          <w:sz w:val="24"/>
          <w:szCs w:val="24"/>
        </w:rPr>
      </w:pPr>
    </w:p>
    <w:p w:rsidR="00BF51FB" w:rsidRPr="007347E6" w:rsidRDefault="00E23EF2" w:rsidP="007347E6">
      <w:pPr>
        <w:pStyle w:val="Heading2"/>
        <w:keepNext w:val="0"/>
        <w:keepLines w:val="0"/>
        <w:spacing w:after="80" w:line="360" w:lineRule="auto"/>
        <w:rPr>
          <w:rFonts w:ascii="Times New Roman" w:hAnsi="Times New Roman" w:cs="Times New Roman"/>
          <w:b/>
          <w:bCs/>
          <w:sz w:val="24"/>
          <w:szCs w:val="24"/>
        </w:rPr>
      </w:pPr>
      <w:r w:rsidRPr="007347E6">
        <w:rPr>
          <w:rFonts w:ascii="Times New Roman" w:hAnsi="Times New Roman" w:cs="Times New Roman"/>
          <w:b/>
          <w:bCs/>
          <w:sz w:val="24"/>
          <w:szCs w:val="24"/>
        </w:rPr>
        <w:t>Abstract</w:t>
      </w:r>
    </w:p>
    <w:p w:rsidR="007008D9" w:rsidRPr="007347E6" w:rsidRDefault="00E23EF2"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sz w:val="24"/>
          <w:szCs w:val="24"/>
        </w:rPr>
        <w:t xml:space="preserve">This study assessed the impact of powdered </w:t>
      </w:r>
      <w:r w:rsidRPr="007347E6">
        <w:rPr>
          <w:rFonts w:ascii="Times New Roman" w:hAnsi="Times New Roman" w:cs="Times New Roman"/>
          <w:i/>
          <w:iCs/>
          <w:sz w:val="24"/>
          <w:szCs w:val="24"/>
        </w:rPr>
        <w:t>Moringa oleifera</w:t>
      </w:r>
      <w:r w:rsidRPr="007347E6">
        <w:rPr>
          <w:rFonts w:ascii="Times New Roman" w:hAnsi="Times New Roman" w:cs="Times New Roman"/>
          <w:sz w:val="24"/>
          <w:szCs w:val="24"/>
        </w:rPr>
        <w:t xml:space="preserve"> leaves on </w:t>
      </w:r>
      <w:r w:rsidRPr="007347E6">
        <w:rPr>
          <w:rFonts w:ascii="Times New Roman" w:hAnsi="Times New Roman" w:cs="Times New Roman"/>
          <w:i/>
          <w:iCs/>
          <w:sz w:val="24"/>
          <w:szCs w:val="24"/>
        </w:rPr>
        <w:t>Labeorohita</w:t>
      </w:r>
      <w:r w:rsidRPr="007347E6">
        <w:rPr>
          <w:rFonts w:ascii="Times New Roman" w:hAnsi="Times New Roman" w:cs="Times New Roman"/>
          <w:sz w:val="24"/>
          <w:szCs w:val="24"/>
        </w:rPr>
        <w:t xml:space="preserve"> fingerling growth performance</w:t>
      </w:r>
      <w:r w:rsidR="007008D9" w:rsidRPr="007347E6">
        <w:rPr>
          <w:rFonts w:ascii="Times New Roman" w:hAnsi="Times New Roman" w:cs="Times New Roman"/>
          <w:sz w:val="24"/>
          <w:szCs w:val="24"/>
        </w:rPr>
        <w:t xml:space="preserve">. </w:t>
      </w:r>
      <w:r w:rsidR="007008D9" w:rsidRPr="007347E6">
        <w:rPr>
          <w:rFonts w:ascii="Times New Roman" w:eastAsia="Times New Roman" w:hAnsi="Times New Roman" w:cs="Times New Roman"/>
          <w:sz w:val="24"/>
          <w:szCs w:val="24"/>
          <w:lang w:eastAsia="en-IN"/>
        </w:rPr>
        <w:t>The trial was conducted for 90 days. The experiment was designed as T0 (0</w:t>
      </w:r>
      <w:r w:rsidR="001715B9" w:rsidRPr="007347E6">
        <w:rPr>
          <w:rFonts w:ascii="Times New Roman" w:eastAsia="Times New Roman" w:hAnsi="Times New Roman" w:cs="Times New Roman"/>
          <w:sz w:val="24"/>
          <w:szCs w:val="24"/>
          <w:lang w:eastAsia="en-IN"/>
        </w:rPr>
        <w:t>g</w:t>
      </w:r>
      <w:r w:rsidR="007008D9" w:rsidRPr="007347E6">
        <w:rPr>
          <w:rFonts w:ascii="Times New Roman" w:eastAsia="Times New Roman" w:hAnsi="Times New Roman" w:cs="Times New Roman"/>
          <w:sz w:val="24"/>
          <w:szCs w:val="24"/>
          <w:lang w:eastAsia="en-IN"/>
        </w:rPr>
        <w:t>) T1 (</w:t>
      </w:r>
      <w:r w:rsidR="001715B9" w:rsidRPr="007347E6">
        <w:rPr>
          <w:rFonts w:ascii="Times New Roman" w:eastAsia="Times New Roman" w:hAnsi="Times New Roman" w:cs="Times New Roman"/>
          <w:sz w:val="24"/>
          <w:szCs w:val="24"/>
          <w:lang w:eastAsia="en-IN"/>
        </w:rPr>
        <w:t>2g), T2 (4g), and T3 (6g</w:t>
      </w:r>
      <w:r w:rsidR="007008D9" w:rsidRPr="007347E6">
        <w:rPr>
          <w:rFonts w:ascii="Times New Roman" w:eastAsia="Times New Roman" w:hAnsi="Times New Roman" w:cs="Times New Roman"/>
          <w:sz w:val="24"/>
          <w:szCs w:val="24"/>
          <w:lang w:eastAsia="en-IN"/>
        </w:rPr>
        <w:t>)</w:t>
      </w:r>
      <w:r w:rsidR="001715B9" w:rsidRPr="007347E6">
        <w:rPr>
          <w:rFonts w:ascii="Times New Roman" w:eastAsia="Times New Roman" w:hAnsi="Times New Roman" w:cs="Times New Roman"/>
          <w:sz w:val="24"/>
          <w:szCs w:val="24"/>
          <w:lang w:eastAsia="en-IN"/>
        </w:rPr>
        <w:t xml:space="preserve"> and T4 (8g)</w:t>
      </w:r>
      <w:r w:rsidR="001715B9" w:rsidRPr="007347E6">
        <w:rPr>
          <w:rFonts w:ascii="Times New Roman" w:hAnsi="Times New Roman" w:cs="Times New Roman"/>
          <w:sz w:val="24"/>
          <w:szCs w:val="24"/>
        </w:rPr>
        <w:t xml:space="preserve"> moringa/kg feed</w:t>
      </w:r>
      <w:r w:rsidR="007008D9" w:rsidRPr="007347E6">
        <w:rPr>
          <w:rFonts w:ascii="Times New Roman" w:eastAsia="Times New Roman" w:hAnsi="Times New Roman" w:cs="Times New Roman"/>
          <w:sz w:val="24"/>
          <w:szCs w:val="24"/>
          <w:lang w:eastAsia="en-IN"/>
        </w:rPr>
        <w:t xml:space="preserve">. Growth parameters including net weight gain (NWG), percent weight gain (PWG), length gain (LG), specific growth rate (SGR), and feed conversion ratio (FCR) were recorded at 15-day. </w:t>
      </w:r>
      <w:r w:rsidR="00691361" w:rsidRPr="00691361">
        <w:rPr>
          <w:rFonts w:ascii="Times New Roman" w:eastAsia="Times New Roman" w:hAnsi="Times New Roman" w:cs="Times New Roman"/>
          <w:color w:val="0070C0"/>
          <w:sz w:val="24"/>
          <w:szCs w:val="24"/>
          <w:lang w:eastAsia="en-IN"/>
        </w:rPr>
        <w:t>The h</w:t>
      </w:r>
      <w:r w:rsidR="004876E6" w:rsidRPr="00691361">
        <w:rPr>
          <w:rFonts w:ascii="Times New Roman" w:hAnsi="Times New Roman" w:cs="Times New Roman"/>
          <w:color w:val="0070C0"/>
          <w:sz w:val="24"/>
          <w:szCs w:val="24"/>
        </w:rPr>
        <w:t>ighes</w:t>
      </w:r>
      <w:r w:rsidR="004876E6" w:rsidRPr="007347E6">
        <w:rPr>
          <w:rFonts w:ascii="Times New Roman" w:hAnsi="Times New Roman" w:cs="Times New Roman"/>
          <w:sz w:val="24"/>
          <w:szCs w:val="24"/>
        </w:rPr>
        <w:t xml:space="preserve">t weight was observed in treatment T4 </w:t>
      </w:r>
      <w:r w:rsidR="001715B9" w:rsidRPr="007347E6">
        <w:rPr>
          <w:rFonts w:ascii="Times New Roman" w:hAnsi="Times New Roman" w:cs="Times New Roman"/>
          <w:sz w:val="24"/>
          <w:szCs w:val="24"/>
        </w:rPr>
        <w:t xml:space="preserve">(58.55±0.39 g), while the control group had the lowest (38.19±0.12 g). Weight gain, specific growth rate (SGR), average daily gain (ADG), feed conversion ratio (FCR), and protein efficiency ratio (PER) all showed significant enhancement in the treatment groups compared to the control. </w:t>
      </w:r>
      <w:r w:rsidR="004876E6" w:rsidRPr="007347E6">
        <w:rPr>
          <w:rFonts w:ascii="Times New Roman" w:hAnsi="Times New Roman" w:cs="Times New Roman"/>
          <w:sz w:val="24"/>
          <w:szCs w:val="24"/>
        </w:rPr>
        <w:t xml:space="preserve">The treatment </w:t>
      </w:r>
      <w:r w:rsidR="001715B9" w:rsidRPr="007347E6">
        <w:rPr>
          <w:rFonts w:ascii="Times New Roman" w:hAnsi="Times New Roman" w:cs="Times New Roman"/>
          <w:sz w:val="24"/>
          <w:szCs w:val="24"/>
        </w:rPr>
        <w:t>T4 exhibited the highest weight gain (136.55±2.27%), SGR (1.30±0.00 %/day), and ADG (1.41±0.02 g/day), indicating superior growth. The most efficient FCR (1.89±0.01) was recorded in T</w:t>
      </w:r>
      <w:r w:rsidR="008D5B60" w:rsidRPr="007347E6">
        <w:rPr>
          <w:rFonts w:ascii="Times New Roman" w:hAnsi="Times New Roman" w:cs="Times New Roman"/>
          <w:sz w:val="24"/>
          <w:szCs w:val="24"/>
        </w:rPr>
        <w:t>4</w:t>
      </w:r>
      <w:r w:rsidR="001715B9" w:rsidRPr="007347E6">
        <w:rPr>
          <w:rFonts w:ascii="Times New Roman" w:hAnsi="Times New Roman" w:cs="Times New Roman"/>
          <w:sz w:val="24"/>
          <w:szCs w:val="24"/>
        </w:rPr>
        <w:t>. The highest PER was observed in T2 (4.15±0.07), suggesting improved protein utilization at moderate moringa inclusion.</w:t>
      </w:r>
      <w:r w:rsidR="007008D9" w:rsidRPr="007347E6">
        <w:rPr>
          <w:rFonts w:ascii="Times New Roman" w:eastAsia="Times New Roman" w:hAnsi="Times New Roman" w:cs="Times New Roman"/>
          <w:sz w:val="24"/>
          <w:szCs w:val="24"/>
          <w:lang w:eastAsia="en-IN"/>
        </w:rPr>
        <w:t xml:space="preserve">This study highlights the potential of </w:t>
      </w:r>
      <w:r w:rsidR="008D5B60" w:rsidRPr="007347E6">
        <w:rPr>
          <w:rFonts w:ascii="Times New Roman" w:hAnsi="Times New Roman" w:cs="Times New Roman"/>
          <w:i/>
          <w:iCs/>
          <w:sz w:val="24"/>
          <w:szCs w:val="24"/>
        </w:rPr>
        <w:t>Moringa oleifera</w:t>
      </w:r>
      <w:r w:rsidR="007008D9" w:rsidRPr="007347E6">
        <w:rPr>
          <w:rFonts w:ascii="Times New Roman" w:eastAsia="Times New Roman" w:hAnsi="Times New Roman" w:cs="Times New Roman"/>
          <w:sz w:val="24"/>
          <w:szCs w:val="24"/>
          <w:lang w:eastAsia="en-IN"/>
        </w:rPr>
        <w:t xml:space="preserve">as a natural, cost-effective, and sustainable growth promoter in </w:t>
      </w:r>
      <w:r w:rsidR="001715B9" w:rsidRPr="007347E6">
        <w:rPr>
          <w:rFonts w:ascii="Times New Roman" w:eastAsia="Times New Roman" w:hAnsi="Times New Roman" w:cs="Times New Roman"/>
          <w:sz w:val="24"/>
          <w:szCs w:val="24"/>
          <w:lang w:eastAsia="en-IN"/>
        </w:rPr>
        <w:t>aqua feed</w:t>
      </w:r>
      <w:r w:rsidR="007008D9" w:rsidRPr="007347E6">
        <w:rPr>
          <w:rFonts w:ascii="Times New Roman" w:eastAsia="Times New Roman" w:hAnsi="Times New Roman" w:cs="Times New Roman"/>
          <w:sz w:val="24"/>
          <w:szCs w:val="24"/>
          <w:lang w:eastAsia="en-IN"/>
        </w:rPr>
        <w:t xml:space="preserve">. </w:t>
      </w:r>
    </w:p>
    <w:p w:rsidR="00BF51FB" w:rsidRPr="007347E6" w:rsidRDefault="00E23EF2"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t>Keywords</w:t>
      </w:r>
      <w:r w:rsidRPr="007347E6">
        <w:rPr>
          <w:rFonts w:ascii="Times New Roman" w:hAnsi="Times New Roman" w:cs="Times New Roman"/>
          <w:sz w:val="24"/>
          <w:szCs w:val="24"/>
        </w:rPr>
        <w:t>: Growth performance, Herbal, Feed additive, Flourishes and Dietary</w:t>
      </w:r>
    </w:p>
    <w:p w:rsidR="00A65717" w:rsidRPr="007347E6" w:rsidRDefault="00E23EF2" w:rsidP="007347E6">
      <w:pPr>
        <w:pStyle w:val="Heading2"/>
        <w:keepNext w:val="0"/>
        <w:keepLines w:val="0"/>
        <w:spacing w:after="80" w:line="360" w:lineRule="auto"/>
        <w:rPr>
          <w:rFonts w:ascii="Times New Roman" w:hAnsi="Times New Roman" w:cs="Times New Roman"/>
          <w:b/>
          <w:bCs/>
          <w:sz w:val="24"/>
          <w:szCs w:val="24"/>
        </w:rPr>
      </w:pPr>
      <w:bookmarkStart w:id="0" w:name="_avpimuyynv24" w:colFirst="0" w:colLast="0"/>
      <w:bookmarkEnd w:id="0"/>
      <w:r w:rsidRPr="007347E6">
        <w:rPr>
          <w:rFonts w:ascii="Times New Roman" w:hAnsi="Times New Roman" w:cs="Times New Roman"/>
          <w:b/>
          <w:bCs/>
          <w:sz w:val="24"/>
          <w:szCs w:val="24"/>
        </w:rPr>
        <w:t>Introductio</w:t>
      </w:r>
      <w:r w:rsidR="00A65717" w:rsidRPr="007347E6">
        <w:rPr>
          <w:rFonts w:ascii="Times New Roman" w:hAnsi="Times New Roman" w:cs="Times New Roman"/>
          <w:b/>
          <w:bCs/>
          <w:sz w:val="24"/>
          <w:szCs w:val="24"/>
        </w:rPr>
        <w:t>n</w:t>
      </w:r>
    </w:p>
    <w:p w:rsidR="00A65717" w:rsidRPr="0095574B" w:rsidRDefault="00A65717" w:rsidP="007347E6">
      <w:pPr>
        <w:pStyle w:val="Heading2"/>
        <w:keepNext w:val="0"/>
        <w:keepLines w:val="0"/>
        <w:spacing w:after="80" w:line="360" w:lineRule="auto"/>
        <w:jc w:val="both"/>
        <w:rPr>
          <w:rFonts w:ascii="Times New Roman" w:hAnsi="Times New Roman" w:cs="Times New Roman"/>
          <w:b/>
          <w:bCs/>
          <w:color w:val="FF0000"/>
          <w:sz w:val="24"/>
          <w:szCs w:val="24"/>
        </w:rPr>
      </w:pPr>
      <w:r w:rsidRPr="007347E6">
        <w:rPr>
          <w:rFonts w:ascii="Times New Roman" w:hAnsi="Times New Roman" w:cs="Times New Roman"/>
          <w:sz w:val="24"/>
          <w:szCs w:val="24"/>
          <w:lang w:val="en-GB"/>
        </w:rPr>
        <w:t xml:space="preserve">Aquaculture has emerged as a crucial sector for global food security, supplying over 185 million tonnes of aquatic products annually </w:t>
      </w:r>
      <w:r w:rsidRPr="0095574B">
        <w:rPr>
          <w:rFonts w:ascii="Times New Roman" w:hAnsi="Times New Roman" w:cs="Times New Roman"/>
          <w:b/>
          <w:bCs/>
          <w:color w:val="FF0000"/>
          <w:sz w:val="24"/>
          <w:szCs w:val="24"/>
          <w:lang w:val="en-GB"/>
        </w:rPr>
        <w:t>(FAO, 2024)</w:t>
      </w:r>
      <w:r w:rsidRPr="0095574B">
        <w:rPr>
          <w:rFonts w:ascii="Times New Roman" w:hAnsi="Times New Roman" w:cs="Times New Roman"/>
          <w:color w:val="FF0000"/>
          <w:sz w:val="24"/>
          <w:szCs w:val="24"/>
          <w:lang w:val="en-GB"/>
        </w:rPr>
        <w:t>.</w:t>
      </w:r>
      <w:r w:rsidRPr="007347E6">
        <w:rPr>
          <w:rFonts w:ascii="Times New Roman" w:hAnsi="Times New Roman" w:cs="Times New Roman"/>
          <w:sz w:val="24"/>
          <w:szCs w:val="24"/>
          <w:lang w:val="en-GB"/>
        </w:rPr>
        <w:t xml:space="preserve"> In India, inland aquaculture production constitutes a major portion of total fish yield, where Indian major carps such as </w:t>
      </w:r>
      <w:r w:rsidRPr="007347E6">
        <w:rPr>
          <w:rFonts w:ascii="Times New Roman" w:hAnsi="Times New Roman" w:cs="Times New Roman"/>
          <w:i/>
          <w:iCs/>
          <w:sz w:val="24"/>
          <w:szCs w:val="24"/>
          <w:lang w:val="en-GB"/>
        </w:rPr>
        <w:t>Labeo rohita</w:t>
      </w:r>
      <w:r w:rsidRPr="007347E6">
        <w:rPr>
          <w:rFonts w:ascii="Times New Roman" w:hAnsi="Times New Roman" w:cs="Times New Roman"/>
          <w:sz w:val="24"/>
          <w:szCs w:val="24"/>
          <w:lang w:val="en-GB"/>
        </w:rPr>
        <w:t xml:space="preserve"> hold significant economic importance </w:t>
      </w:r>
      <w:r w:rsidRPr="0095574B">
        <w:rPr>
          <w:rFonts w:ascii="Times New Roman" w:hAnsi="Times New Roman" w:cs="Times New Roman"/>
          <w:b/>
          <w:bCs/>
          <w:color w:val="FF0000"/>
          <w:sz w:val="24"/>
          <w:szCs w:val="24"/>
          <w:lang w:val="en-GB"/>
        </w:rPr>
        <w:t>(Handbo</w:t>
      </w:r>
      <w:r w:rsidR="00DC0ABF" w:rsidRPr="0095574B">
        <w:rPr>
          <w:rFonts w:ascii="Times New Roman" w:hAnsi="Times New Roman" w:cs="Times New Roman"/>
          <w:b/>
          <w:bCs/>
          <w:color w:val="FF0000"/>
          <w:sz w:val="24"/>
          <w:szCs w:val="24"/>
          <w:lang w:val="en-GB"/>
        </w:rPr>
        <w:t>ok on Fisheries Statistics, 2023</w:t>
      </w:r>
      <w:r w:rsidRPr="0095574B">
        <w:rPr>
          <w:rFonts w:ascii="Times New Roman" w:hAnsi="Times New Roman" w:cs="Times New Roman"/>
          <w:b/>
          <w:bCs/>
          <w:color w:val="FF0000"/>
          <w:sz w:val="24"/>
          <w:szCs w:val="24"/>
          <w:lang w:val="en-GB"/>
        </w:rPr>
        <w:t>)</w:t>
      </w:r>
      <w:r w:rsidRPr="0095574B">
        <w:rPr>
          <w:rFonts w:ascii="Times New Roman" w:hAnsi="Times New Roman" w:cs="Times New Roman"/>
          <w:color w:val="FF0000"/>
          <w:sz w:val="24"/>
          <w:szCs w:val="24"/>
          <w:lang w:val="en-GB"/>
        </w:rPr>
        <w:t>.</w:t>
      </w:r>
      <w:r w:rsidRPr="007347E6">
        <w:rPr>
          <w:rFonts w:ascii="Times New Roman" w:hAnsi="Times New Roman" w:cs="Times New Roman"/>
          <w:sz w:val="24"/>
          <w:szCs w:val="24"/>
          <w:lang w:val="en-GB"/>
        </w:rPr>
        <w:t xml:space="preserve"> However, challenges persist in feed sustainability, particularly due to the high cost and ecological impact of fishmeal </w:t>
      </w:r>
      <w:r w:rsidRPr="0095574B">
        <w:rPr>
          <w:rFonts w:ascii="Times New Roman" w:hAnsi="Times New Roman" w:cs="Times New Roman"/>
          <w:b/>
          <w:bCs/>
          <w:color w:val="FF0000"/>
          <w:sz w:val="24"/>
          <w:szCs w:val="24"/>
          <w:lang w:val="en-GB"/>
        </w:rPr>
        <w:t>(Hasan &amp; Olsen, 20</w:t>
      </w:r>
      <w:r w:rsidR="00E30A46" w:rsidRPr="0095574B">
        <w:rPr>
          <w:rFonts w:ascii="Times New Roman" w:hAnsi="Times New Roman" w:cs="Times New Roman"/>
          <w:b/>
          <w:bCs/>
          <w:color w:val="FF0000"/>
          <w:sz w:val="24"/>
          <w:szCs w:val="24"/>
          <w:lang w:val="en-GB"/>
        </w:rPr>
        <w:t>09</w:t>
      </w:r>
      <w:r w:rsidRPr="0095574B">
        <w:rPr>
          <w:rFonts w:ascii="Times New Roman" w:hAnsi="Times New Roman" w:cs="Times New Roman"/>
          <w:b/>
          <w:bCs/>
          <w:color w:val="FF0000"/>
          <w:sz w:val="24"/>
          <w:szCs w:val="24"/>
          <w:lang w:val="en-GB"/>
        </w:rPr>
        <w:t>)</w:t>
      </w:r>
      <w:r w:rsidRPr="0095574B">
        <w:rPr>
          <w:rFonts w:ascii="Times New Roman" w:hAnsi="Times New Roman" w:cs="Times New Roman"/>
          <w:color w:val="FF0000"/>
          <w:sz w:val="24"/>
          <w:szCs w:val="24"/>
          <w:lang w:val="en-GB"/>
        </w:rPr>
        <w:t>.</w:t>
      </w:r>
      <w:r w:rsidRPr="007347E6">
        <w:rPr>
          <w:rFonts w:ascii="Times New Roman" w:hAnsi="Times New Roman" w:cs="Times New Roman"/>
          <w:sz w:val="24"/>
          <w:szCs w:val="24"/>
          <w:lang w:val="en-GB"/>
        </w:rPr>
        <w:t xml:space="preserve">The exploration of phytogenic feed additives has gained momentum as a strategy to enhance fish health and productivity while reducing dependency on synthetic inputs. Phytotherapy in aquaculture, defined as the use of </w:t>
      </w:r>
      <w:r w:rsidRPr="007347E6">
        <w:rPr>
          <w:rFonts w:ascii="Times New Roman" w:hAnsi="Times New Roman" w:cs="Times New Roman"/>
          <w:sz w:val="24"/>
          <w:szCs w:val="24"/>
          <w:lang w:val="en-GB"/>
        </w:rPr>
        <w:lastRenderedPageBreak/>
        <w:t xml:space="preserve">plant-derived compounds to improve fish health, has been shown to promote immunity and growth </w:t>
      </w:r>
      <w:r w:rsidRPr="0095574B">
        <w:rPr>
          <w:rFonts w:ascii="Times New Roman" w:hAnsi="Times New Roman" w:cs="Times New Roman"/>
          <w:b/>
          <w:bCs/>
          <w:color w:val="FF0000"/>
          <w:sz w:val="24"/>
          <w:szCs w:val="24"/>
          <w:lang w:val="en-GB"/>
        </w:rPr>
        <w:t xml:space="preserve">(Chakraborty </w:t>
      </w:r>
      <w:r w:rsidRPr="0095574B">
        <w:rPr>
          <w:rFonts w:ascii="Times New Roman" w:hAnsi="Times New Roman" w:cs="Times New Roman"/>
          <w:b/>
          <w:bCs/>
          <w:i/>
          <w:iCs/>
          <w:color w:val="FF0000"/>
          <w:sz w:val="24"/>
          <w:szCs w:val="24"/>
          <w:lang w:val="en-GB"/>
        </w:rPr>
        <w:t>et al</w:t>
      </w:r>
      <w:r w:rsidRPr="0095574B">
        <w:rPr>
          <w:rFonts w:ascii="Times New Roman" w:hAnsi="Times New Roman" w:cs="Times New Roman"/>
          <w:b/>
          <w:bCs/>
          <w:color w:val="FF0000"/>
          <w:sz w:val="24"/>
          <w:szCs w:val="24"/>
          <w:lang w:val="en-GB"/>
        </w:rPr>
        <w:t xml:space="preserve">., 2011; Harikrishnan </w:t>
      </w:r>
      <w:r w:rsidRPr="0095574B">
        <w:rPr>
          <w:rFonts w:ascii="Times New Roman" w:hAnsi="Times New Roman" w:cs="Times New Roman"/>
          <w:b/>
          <w:bCs/>
          <w:i/>
          <w:iCs/>
          <w:color w:val="FF0000"/>
          <w:sz w:val="24"/>
          <w:szCs w:val="24"/>
          <w:lang w:val="en-GB"/>
        </w:rPr>
        <w:t>et al</w:t>
      </w:r>
      <w:r w:rsidRPr="0095574B">
        <w:rPr>
          <w:rFonts w:ascii="Times New Roman" w:hAnsi="Times New Roman" w:cs="Times New Roman"/>
          <w:b/>
          <w:bCs/>
          <w:color w:val="FF0000"/>
          <w:sz w:val="24"/>
          <w:szCs w:val="24"/>
          <w:lang w:val="en-GB"/>
        </w:rPr>
        <w:t>., 2011)</w:t>
      </w:r>
      <w:r w:rsidRPr="0095574B">
        <w:rPr>
          <w:rFonts w:ascii="Times New Roman" w:hAnsi="Times New Roman" w:cs="Times New Roman"/>
          <w:color w:val="FF0000"/>
          <w:sz w:val="24"/>
          <w:szCs w:val="24"/>
          <w:lang w:val="en-GB"/>
        </w:rPr>
        <w:t>.</w:t>
      </w:r>
      <w:r w:rsidRPr="007347E6">
        <w:rPr>
          <w:rFonts w:ascii="Times New Roman" w:hAnsi="Times New Roman" w:cs="Times New Roman"/>
          <w:sz w:val="24"/>
          <w:szCs w:val="24"/>
          <w:lang w:val="en-GB"/>
        </w:rPr>
        <w:t xml:space="preserve"> According to </w:t>
      </w:r>
      <w:r w:rsidRPr="0095574B">
        <w:rPr>
          <w:rFonts w:ascii="Times New Roman" w:hAnsi="Times New Roman" w:cs="Times New Roman"/>
          <w:b/>
          <w:bCs/>
          <w:color w:val="FF0000"/>
          <w:sz w:val="24"/>
          <w:szCs w:val="24"/>
          <w:lang w:val="en-GB"/>
        </w:rPr>
        <w:t>Van Hai(2015)</w:t>
      </w:r>
      <w:r w:rsidRPr="0095574B">
        <w:rPr>
          <w:rFonts w:ascii="Times New Roman" w:hAnsi="Times New Roman" w:cs="Times New Roman"/>
          <w:color w:val="FF0000"/>
          <w:sz w:val="24"/>
          <w:szCs w:val="24"/>
          <w:lang w:val="en-GB"/>
        </w:rPr>
        <w:t>,</w:t>
      </w:r>
      <w:r w:rsidRPr="007347E6">
        <w:rPr>
          <w:rFonts w:ascii="Times New Roman" w:hAnsi="Times New Roman" w:cs="Times New Roman"/>
          <w:sz w:val="24"/>
          <w:szCs w:val="24"/>
          <w:lang w:val="en-GB"/>
        </w:rPr>
        <w:t xml:space="preserve"> incorporating medicinal herbs such as </w:t>
      </w:r>
      <w:r w:rsidRPr="007347E6">
        <w:rPr>
          <w:rFonts w:ascii="Times New Roman" w:hAnsi="Times New Roman" w:cs="Times New Roman"/>
          <w:i/>
          <w:iCs/>
          <w:sz w:val="24"/>
          <w:szCs w:val="24"/>
          <w:lang w:val="en-GB"/>
        </w:rPr>
        <w:t>Moringa oleifera</w:t>
      </w:r>
      <w:r w:rsidRPr="007347E6">
        <w:rPr>
          <w:rFonts w:ascii="Times New Roman" w:hAnsi="Times New Roman" w:cs="Times New Roman"/>
          <w:sz w:val="24"/>
          <w:szCs w:val="24"/>
          <w:lang w:val="en-GB"/>
        </w:rPr>
        <w:t xml:space="preserve"> into fish diets provides an eco-friendly and cost-effective alternative to antibiotics. </w:t>
      </w:r>
      <w:r w:rsidRPr="007347E6">
        <w:rPr>
          <w:rFonts w:ascii="Times New Roman" w:hAnsi="Times New Roman" w:cs="Times New Roman"/>
          <w:i/>
          <w:iCs/>
          <w:sz w:val="24"/>
          <w:szCs w:val="24"/>
          <w:lang w:val="en-GB"/>
        </w:rPr>
        <w:t>Moringa oleifera</w:t>
      </w:r>
      <w:r w:rsidRPr="007347E6">
        <w:rPr>
          <w:rFonts w:ascii="Times New Roman" w:hAnsi="Times New Roman" w:cs="Times New Roman"/>
          <w:sz w:val="24"/>
          <w:szCs w:val="24"/>
          <w:lang w:val="en-GB"/>
        </w:rPr>
        <w:t xml:space="preserve">, widely known as the miracle tree, contains bioactive phytochemicalsflavonoids, phenolics, alkaloidsthat exhibit antioxidant, antimicrobial, and immunomodulatory properties </w:t>
      </w:r>
      <w:r w:rsidRPr="0095574B">
        <w:rPr>
          <w:rFonts w:ascii="Times New Roman" w:hAnsi="Times New Roman" w:cs="Times New Roman"/>
          <w:b/>
          <w:bCs/>
          <w:color w:val="FF0000"/>
          <w:sz w:val="24"/>
          <w:szCs w:val="24"/>
          <w:lang w:val="en-GB"/>
        </w:rPr>
        <w:t xml:space="preserve">(Sharma </w:t>
      </w:r>
      <w:r w:rsidRPr="0095574B">
        <w:rPr>
          <w:rFonts w:ascii="Times New Roman" w:hAnsi="Times New Roman" w:cs="Times New Roman"/>
          <w:b/>
          <w:bCs/>
          <w:i/>
          <w:color w:val="FF0000"/>
          <w:sz w:val="24"/>
          <w:szCs w:val="24"/>
          <w:lang w:val="en-GB"/>
        </w:rPr>
        <w:t>et al.,</w:t>
      </w:r>
      <w:r w:rsidRPr="0095574B">
        <w:rPr>
          <w:rFonts w:ascii="Times New Roman" w:hAnsi="Times New Roman" w:cs="Times New Roman"/>
          <w:b/>
          <w:bCs/>
          <w:color w:val="FF0000"/>
          <w:sz w:val="24"/>
          <w:szCs w:val="24"/>
          <w:lang w:val="en-GB"/>
        </w:rPr>
        <w:t xml:space="preserve"> 201</w:t>
      </w:r>
      <w:r w:rsidR="00C073B7" w:rsidRPr="0095574B">
        <w:rPr>
          <w:rFonts w:ascii="Times New Roman" w:hAnsi="Times New Roman" w:cs="Times New Roman"/>
          <w:b/>
          <w:bCs/>
          <w:color w:val="FF0000"/>
          <w:sz w:val="24"/>
          <w:szCs w:val="24"/>
          <w:lang w:val="en-GB"/>
        </w:rPr>
        <w:t>2</w:t>
      </w:r>
      <w:r w:rsidRPr="0095574B">
        <w:rPr>
          <w:rFonts w:ascii="Times New Roman" w:hAnsi="Times New Roman" w:cs="Times New Roman"/>
          <w:b/>
          <w:bCs/>
          <w:color w:val="FF0000"/>
          <w:sz w:val="24"/>
          <w:szCs w:val="24"/>
          <w:lang w:val="en-GB"/>
        </w:rPr>
        <w:t xml:space="preserve">; Shahzad </w:t>
      </w:r>
      <w:r w:rsidRPr="0095574B">
        <w:rPr>
          <w:rFonts w:ascii="Times New Roman" w:hAnsi="Times New Roman" w:cs="Times New Roman"/>
          <w:b/>
          <w:bCs/>
          <w:i/>
          <w:iCs/>
          <w:color w:val="FF0000"/>
          <w:sz w:val="24"/>
          <w:szCs w:val="24"/>
          <w:lang w:val="en-GB"/>
        </w:rPr>
        <w:t>et al</w:t>
      </w:r>
      <w:r w:rsidRPr="0095574B">
        <w:rPr>
          <w:rFonts w:ascii="Times New Roman" w:hAnsi="Times New Roman" w:cs="Times New Roman"/>
          <w:b/>
          <w:bCs/>
          <w:color w:val="FF0000"/>
          <w:sz w:val="24"/>
          <w:szCs w:val="24"/>
          <w:lang w:val="en-GB"/>
        </w:rPr>
        <w:t>., 201</w:t>
      </w:r>
      <w:r w:rsidR="006769A9" w:rsidRPr="0095574B">
        <w:rPr>
          <w:rFonts w:ascii="Times New Roman" w:hAnsi="Times New Roman" w:cs="Times New Roman"/>
          <w:b/>
          <w:bCs/>
          <w:color w:val="FF0000"/>
          <w:sz w:val="24"/>
          <w:szCs w:val="24"/>
          <w:lang w:val="en-GB"/>
        </w:rPr>
        <w:t>3</w:t>
      </w:r>
      <w:r w:rsidRPr="0095574B">
        <w:rPr>
          <w:rFonts w:ascii="Times New Roman" w:hAnsi="Times New Roman" w:cs="Times New Roman"/>
          <w:b/>
          <w:bCs/>
          <w:color w:val="FF0000"/>
          <w:sz w:val="24"/>
          <w:szCs w:val="24"/>
          <w:lang w:val="en-GB"/>
        </w:rPr>
        <w:t>)</w:t>
      </w:r>
      <w:r w:rsidRPr="0095574B">
        <w:rPr>
          <w:rFonts w:ascii="Times New Roman" w:hAnsi="Times New Roman" w:cs="Times New Roman"/>
          <w:color w:val="FF0000"/>
          <w:sz w:val="24"/>
          <w:szCs w:val="24"/>
          <w:lang w:val="en-GB"/>
        </w:rPr>
        <w:t>.</w:t>
      </w:r>
      <w:r w:rsidRPr="007347E6">
        <w:rPr>
          <w:rFonts w:ascii="Times New Roman" w:hAnsi="Times New Roman" w:cs="Times New Roman"/>
          <w:sz w:val="24"/>
          <w:szCs w:val="24"/>
          <w:lang w:val="en-GB"/>
        </w:rPr>
        <w:t xml:space="preserve"> Prior research demonstrates that dietary supplementation with moringa leaf meal improves growth performance in </w:t>
      </w:r>
      <w:r w:rsidRPr="007347E6">
        <w:rPr>
          <w:rFonts w:ascii="Times New Roman" w:hAnsi="Times New Roman" w:cs="Times New Roman"/>
          <w:i/>
          <w:iCs/>
          <w:sz w:val="24"/>
          <w:szCs w:val="24"/>
          <w:lang w:val="en-GB"/>
        </w:rPr>
        <w:t>Nile tilapia</w:t>
      </w:r>
      <w:r w:rsidRPr="007347E6">
        <w:rPr>
          <w:rFonts w:ascii="Times New Roman" w:hAnsi="Times New Roman" w:cs="Times New Roman"/>
          <w:sz w:val="24"/>
          <w:szCs w:val="24"/>
          <w:lang w:val="en-GB"/>
        </w:rPr>
        <w:t xml:space="preserve"> and common carp </w:t>
      </w:r>
      <w:r w:rsidRPr="0095574B">
        <w:rPr>
          <w:rFonts w:ascii="Times New Roman" w:hAnsi="Times New Roman" w:cs="Times New Roman"/>
          <w:b/>
          <w:bCs/>
          <w:color w:val="FF0000"/>
          <w:sz w:val="24"/>
          <w:szCs w:val="24"/>
          <w:lang w:val="en-GB"/>
        </w:rPr>
        <w:t>(Afuang</w:t>
      </w:r>
      <w:r w:rsidRPr="0095574B">
        <w:rPr>
          <w:rFonts w:ascii="Times New Roman" w:hAnsi="Times New Roman" w:cs="Times New Roman"/>
          <w:b/>
          <w:bCs/>
          <w:i/>
          <w:iCs/>
          <w:color w:val="FF0000"/>
          <w:sz w:val="24"/>
          <w:szCs w:val="24"/>
          <w:lang w:val="en-GB"/>
        </w:rPr>
        <w:t>et al</w:t>
      </w:r>
      <w:r w:rsidRPr="0095574B">
        <w:rPr>
          <w:rFonts w:ascii="Times New Roman" w:hAnsi="Times New Roman" w:cs="Times New Roman"/>
          <w:b/>
          <w:bCs/>
          <w:color w:val="FF0000"/>
          <w:sz w:val="24"/>
          <w:szCs w:val="24"/>
          <w:lang w:val="en-GB"/>
        </w:rPr>
        <w:t xml:space="preserve">., 2003; Khalil </w:t>
      </w:r>
      <w:r w:rsidRPr="0095574B">
        <w:rPr>
          <w:rFonts w:ascii="Times New Roman" w:hAnsi="Times New Roman" w:cs="Times New Roman"/>
          <w:b/>
          <w:bCs/>
          <w:i/>
          <w:iCs/>
          <w:color w:val="FF0000"/>
          <w:sz w:val="24"/>
          <w:szCs w:val="24"/>
          <w:lang w:val="en-GB"/>
        </w:rPr>
        <w:t>et al</w:t>
      </w:r>
      <w:r w:rsidRPr="0095574B">
        <w:rPr>
          <w:rFonts w:ascii="Times New Roman" w:hAnsi="Times New Roman" w:cs="Times New Roman"/>
          <w:b/>
          <w:bCs/>
          <w:color w:val="FF0000"/>
          <w:sz w:val="24"/>
          <w:szCs w:val="24"/>
          <w:lang w:val="en-GB"/>
        </w:rPr>
        <w:t>., 2017)</w:t>
      </w:r>
      <w:r w:rsidR="000674E7" w:rsidRPr="0095574B">
        <w:rPr>
          <w:rFonts w:ascii="Times New Roman" w:hAnsi="Times New Roman" w:cs="Times New Roman"/>
          <w:b/>
          <w:bCs/>
          <w:color w:val="FF0000"/>
          <w:sz w:val="24"/>
          <w:szCs w:val="24"/>
          <w:lang w:val="en-GB"/>
        </w:rPr>
        <w:t>.</w:t>
      </w:r>
    </w:p>
    <w:p w:rsidR="00BF51FB" w:rsidRPr="007347E6" w:rsidRDefault="00E34600" w:rsidP="007347E6">
      <w:pPr>
        <w:pStyle w:val="Heading2"/>
        <w:keepNext w:val="0"/>
        <w:keepLines w:val="0"/>
        <w:spacing w:after="80" w:line="360" w:lineRule="auto"/>
        <w:rPr>
          <w:rFonts w:ascii="Times New Roman" w:hAnsi="Times New Roman" w:cs="Times New Roman"/>
          <w:b/>
          <w:bCs/>
          <w:sz w:val="24"/>
          <w:szCs w:val="24"/>
        </w:rPr>
      </w:pPr>
      <w:r w:rsidRPr="007347E6">
        <w:rPr>
          <w:rFonts w:ascii="Times New Roman" w:hAnsi="Times New Roman" w:cs="Times New Roman"/>
          <w:b/>
          <w:bCs/>
          <w:sz w:val="24"/>
          <w:szCs w:val="24"/>
        </w:rPr>
        <w:t xml:space="preserve">2.0 </w:t>
      </w:r>
      <w:r w:rsidR="00E23EF2" w:rsidRPr="007347E6">
        <w:rPr>
          <w:rFonts w:ascii="Times New Roman" w:hAnsi="Times New Roman" w:cs="Times New Roman"/>
          <w:b/>
          <w:bCs/>
          <w:sz w:val="24"/>
          <w:szCs w:val="24"/>
        </w:rPr>
        <w:t>Materials and Methods</w:t>
      </w:r>
    </w:p>
    <w:p w:rsidR="00E34600" w:rsidRPr="007347E6" w:rsidRDefault="00E34600" w:rsidP="007347E6">
      <w:pPr>
        <w:spacing w:line="360" w:lineRule="auto"/>
        <w:rPr>
          <w:rFonts w:ascii="Times New Roman" w:hAnsi="Times New Roman" w:cs="Times New Roman"/>
          <w:b/>
          <w:sz w:val="24"/>
          <w:szCs w:val="24"/>
        </w:rPr>
      </w:pPr>
      <w:r w:rsidRPr="007347E6">
        <w:rPr>
          <w:rFonts w:ascii="Times New Roman" w:hAnsi="Times New Roman" w:cs="Times New Roman"/>
          <w:b/>
          <w:sz w:val="24"/>
          <w:szCs w:val="24"/>
        </w:rPr>
        <w:t xml:space="preserve">2.1 Experimental site and Location </w:t>
      </w:r>
    </w:p>
    <w:p w:rsidR="00E34600" w:rsidRPr="007347E6" w:rsidRDefault="00E23EF2" w:rsidP="007347E6">
      <w:pPr>
        <w:pStyle w:val="Heading3"/>
        <w:keepNext w:val="0"/>
        <w:keepLines w:val="0"/>
        <w:spacing w:before="240" w:after="240" w:line="360" w:lineRule="auto"/>
        <w:jc w:val="both"/>
        <w:rPr>
          <w:rFonts w:ascii="Times New Roman" w:hAnsi="Times New Roman" w:cs="Times New Roman"/>
          <w:color w:val="000000"/>
          <w:sz w:val="24"/>
          <w:szCs w:val="24"/>
        </w:rPr>
      </w:pPr>
      <w:r w:rsidRPr="007347E6">
        <w:rPr>
          <w:rFonts w:ascii="Times New Roman" w:hAnsi="Times New Roman" w:cs="Times New Roman"/>
          <w:color w:val="000000"/>
          <w:sz w:val="24"/>
          <w:szCs w:val="24"/>
        </w:rPr>
        <w:t>The study was carried out in Gorkapar village in Chhattisgarh's Balod district over the course of ninety days.</w:t>
      </w:r>
    </w:p>
    <w:p w:rsidR="00E34600" w:rsidRPr="007347E6" w:rsidRDefault="00E34600" w:rsidP="007347E6">
      <w:pPr>
        <w:pStyle w:val="Heading3"/>
        <w:keepNext w:val="0"/>
        <w:keepLines w:val="0"/>
        <w:spacing w:before="240" w:after="240" w:line="360" w:lineRule="auto"/>
        <w:jc w:val="both"/>
        <w:rPr>
          <w:rFonts w:ascii="Times New Roman" w:hAnsi="Times New Roman" w:cs="Times New Roman"/>
          <w:b/>
          <w:color w:val="000000"/>
          <w:sz w:val="24"/>
          <w:szCs w:val="24"/>
        </w:rPr>
      </w:pPr>
      <w:r w:rsidRPr="007347E6">
        <w:rPr>
          <w:rFonts w:ascii="Times New Roman" w:hAnsi="Times New Roman" w:cs="Times New Roman"/>
          <w:b/>
          <w:color w:val="000000"/>
          <w:sz w:val="24"/>
          <w:szCs w:val="24"/>
        </w:rPr>
        <w:t>2.2 Experimental Setup</w:t>
      </w:r>
    </w:p>
    <w:p w:rsidR="00BF51FB" w:rsidRPr="007347E6" w:rsidRDefault="00E23EF2" w:rsidP="007347E6">
      <w:pPr>
        <w:pStyle w:val="Heading3"/>
        <w:keepNext w:val="0"/>
        <w:keepLines w:val="0"/>
        <w:spacing w:before="240" w:after="240" w:line="360" w:lineRule="auto"/>
        <w:jc w:val="both"/>
        <w:rPr>
          <w:rFonts w:ascii="Times New Roman" w:hAnsi="Times New Roman" w:cs="Times New Roman"/>
          <w:color w:val="000000"/>
          <w:sz w:val="24"/>
          <w:szCs w:val="24"/>
        </w:rPr>
      </w:pPr>
      <w:r w:rsidRPr="007347E6">
        <w:rPr>
          <w:rFonts w:ascii="Times New Roman" w:hAnsi="Times New Roman" w:cs="Times New Roman"/>
          <w:i/>
          <w:iCs/>
          <w:color w:val="000000"/>
          <w:sz w:val="24"/>
          <w:szCs w:val="24"/>
        </w:rPr>
        <w:t>Labeo rohita</w:t>
      </w:r>
      <w:r w:rsidRPr="007347E6">
        <w:rPr>
          <w:rFonts w:ascii="Times New Roman" w:hAnsi="Times New Roman" w:cs="Times New Roman"/>
          <w:color w:val="000000"/>
          <w:sz w:val="24"/>
          <w:szCs w:val="24"/>
        </w:rPr>
        <w:t xml:space="preserve"> fingerlings (mean weight 9.27 ± 0.01 g) were purchased from a private fish farm in Arjunda, Balod, and acclimated for a week in aeration-equipped FRP tanks after being treated with KMnO₄. The leaves of </w:t>
      </w:r>
      <w:r w:rsidRPr="007347E6">
        <w:rPr>
          <w:rFonts w:ascii="Times New Roman" w:hAnsi="Times New Roman" w:cs="Times New Roman"/>
          <w:i/>
          <w:iCs/>
          <w:color w:val="000000"/>
          <w:sz w:val="24"/>
          <w:szCs w:val="24"/>
        </w:rPr>
        <w:t>Moringaoleifera</w:t>
      </w:r>
      <w:r w:rsidRPr="007347E6">
        <w:rPr>
          <w:rFonts w:ascii="Times New Roman" w:hAnsi="Times New Roman" w:cs="Times New Roman"/>
          <w:color w:val="000000"/>
          <w:sz w:val="24"/>
          <w:szCs w:val="24"/>
        </w:rPr>
        <w:t xml:space="preserve"> were gathered locally, cleaned, soaked in purified water, allowed to dry in the shade for seven days, and then ground into a fine powder and kept in airtight containers. Moringa leaf powder (MLP) was added to experimental diets consisting of groundnut oil cake, rice bran, wheat flour, fish meal, tapioca, vegetable oil, and vitamin premix in varying amounts: 0 g (T1, control), 2 g (T2), 4 g (T3), and 6 g (T4) per 100 g feed. After combining the ingredients, they were conditioned into dough, steamed, pelletized (2 mm), and dried until the moisture content was less than 10%.Table1.</w:t>
      </w:r>
    </w:p>
    <w:p w:rsidR="00E34600" w:rsidRPr="007347E6" w:rsidRDefault="00E34600" w:rsidP="007347E6">
      <w:pPr>
        <w:spacing w:line="360" w:lineRule="auto"/>
        <w:rPr>
          <w:rFonts w:ascii="Times New Roman" w:hAnsi="Times New Roman" w:cs="Times New Roman"/>
          <w:sz w:val="24"/>
          <w:szCs w:val="24"/>
        </w:rPr>
      </w:pPr>
    </w:p>
    <w:p w:rsidR="00E34600" w:rsidRPr="007347E6" w:rsidRDefault="00E34600" w:rsidP="007347E6">
      <w:pPr>
        <w:spacing w:line="360" w:lineRule="auto"/>
        <w:rPr>
          <w:rFonts w:ascii="Times New Roman" w:hAnsi="Times New Roman" w:cs="Times New Roman"/>
          <w:sz w:val="24"/>
          <w:szCs w:val="24"/>
        </w:rPr>
      </w:pPr>
    </w:p>
    <w:p w:rsidR="00E34600" w:rsidRPr="007347E6" w:rsidRDefault="00E34600" w:rsidP="007347E6">
      <w:pPr>
        <w:spacing w:line="360" w:lineRule="auto"/>
        <w:rPr>
          <w:rFonts w:ascii="Times New Roman" w:hAnsi="Times New Roman" w:cs="Times New Roman"/>
          <w:sz w:val="24"/>
          <w:szCs w:val="24"/>
        </w:rPr>
      </w:pPr>
    </w:p>
    <w:p w:rsidR="00E34600" w:rsidRPr="007347E6" w:rsidRDefault="00E34600" w:rsidP="007347E6">
      <w:pPr>
        <w:spacing w:line="360" w:lineRule="auto"/>
        <w:rPr>
          <w:rFonts w:ascii="Times New Roman" w:hAnsi="Times New Roman" w:cs="Times New Roman"/>
          <w:sz w:val="24"/>
          <w:szCs w:val="24"/>
        </w:rPr>
      </w:pPr>
    </w:p>
    <w:p w:rsidR="00E34600" w:rsidRPr="007347E6" w:rsidRDefault="00E34600" w:rsidP="007347E6">
      <w:pPr>
        <w:spacing w:line="360" w:lineRule="auto"/>
        <w:rPr>
          <w:rFonts w:ascii="Times New Roman" w:hAnsi="Times New Roman" w:cs="Times New Roman"/>
          <w:sz w:val="24"/>
          <w:szCs w:val="24"/>
        </w:rPr>
      </w:pPr>
    </w:p>
    <w:p w:rsidR="00E34600" w:rsidRPr="007347E6" w:rsidRDefault="00E34600" w:rsidP="007347E6">
      <w:pPr>
        <w:spacing w:line="360" w:lineRule="auto"/>
        <w:rPr>
          <w:rFonts w:ascii="Times New Roman" w:hAnsi="Times New Roman" w:cs="Times New Roman"/>
          <w:sz w:val="24"/>
          <w:szCs w:val="24"/>
        </w:rPr>
      </w:pPr>
    </w:p>
    <w:p w:rsidR="00E34600" w:rsidRPr="007347E6" w:rsidRDefault="001178B8" w:rsidP="007347E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1 : </w:t>
      </w:r>
      <w:r w:rsidR="003E577D">
        <w:rPr>
          <w:rFonts w:ascii="Times New Roman" w:hAnsi="Times New Roman" w:cs="Times New Roman"/>
          <w:sz w:val="24"/>
          <w:szCs w:val="24"/>
        </w:rPr>
        <w:t>Experimental set up</w:t>
      </w:r>
    </w:p>
    <w:p w:rsidR="00E34600" w:rsidRPr="007347E6" w:rsidRDefault="00E34600" w:rsidP="007347E6">
      <w:pPr>
        <w:spacing w:line="360" w:lineRule="auto"/>
        <w:rPr>
          <w:rFonts w:ascii="Times New Roman" w:hAnsi="Times New Roman" w:cs="Times New Roman"/>
          <w:sz w:val="24"/>
          <w:szCs w:val="24"/>
        </w:rPr>
      </w:pPr>
    </w:p>
    <w:p w:rsidR="00BF51FB" w:rsidRPr="007347E6" w:rsidRDefault="00BF51FB" w:rsidP="007347E6">
      <w:pPr>
        <w:spacing w:line="360" w:lineRule="auto"/>
        <w:rPr>
          <w:rFonts w:ascii="Times New Roman" w:hAnsi="Times New Roman" w:cs="Times New Roman"/>
          <w:sz w:val="24"/>
          <w:szCs w:val="24"/>
        </w:rPr>
      </w:pPr>
    </w:p>
    <w:tbl>
      <w:tblPr>
        <w:tblStyle w:val="a"/>
        <w:tblW w:w="9025" w:type="dxa"/>
        <w:tblBorders>
          <w:top w:val="nil"/>
          <w:left w:val="nil"/>
          <w:bottom w:val="nil"/>
          <w:right w:val="nil"/>
          <w:insideH w:val="nil"/>
          <w:insideV w:val="nil"/>
        </w:tblBorders>
        <w:tblLayout w:type="fixed"/>
        <w:tblLook w:val="0600"/>
      </w:tblPr>
      <w:tblGrid>
        <w:gridCol w:w="2520"/>
        <w:gridCol w:w="1499"/>
        <w:gridCol w:w="1154"/>
        <w:gridCol w:w="1244"/>
        <w:gridCol w:w="1304"/>
        <w:gridCol w:w="1304"/>
      </w:tblGrid>
      <w:tr w:rsidR="00E34600" w:rsidRPr="007347E6" w:rsidTr="00E34600">
        <w:trPr>
          <w:trHeight w:val="888"/>
        </w:trPr>
        <w:tc>
          <w:tcPr>
            <w:tcW w:w="2520" w:type="dxa"/>
            <w:vMerge w:val="restart"/>
            <w:tcBorders>
              <w:top w:val="single" w:sz="5" w:space="0" w:color="000000"/>
              <w:left w:val="single" w:sz="5" w:space="0" w:color="000000"/>
              <w:right w:val="single" w:sz="5" w:space="0" w:color="000000"/>
            </w:tcBorders>
            <w:tcMar>
              <w:top w:w="0" w:type="dxa"/>
              <w:left w:w="100" w:type="dxa"/>
              <w:bottom w:w="0" w:type="dxa"/>
              <w:right w:w="100" w:type="dxa"/>
            </w:tcMar>
          </w:tcPr>
          <w:p w:rsidR="00E34600" w:rsidRPr="007347E6" w:rsidRDefault="00E34600"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Ingredient (g)</w:t>
            </w:r>
          </w:p>
          <w:p w:rsidR="00E34600" w:rsidRPr="007347E6" w:rsidRDefault="00E34600" w:rsidP="007347E6">
            <w:pPr>
              <w:spacing w:before="60" w:after="160" w:line="360" w:lineRule="auto"/>
              <w:ind w:right="100"/>
              <w:jc w:val="center"/>
              <w:rPr>
                <w:rFonts w:ascii="Times New Roman" w:hAnsi="Times New Roman" w:cs="Times New Roman"/>
                <w:b/>
                <w:sz w:val="24"/>
                <w:szCs w:val="24"/>
              </w:rPr>
            </w:pPr>
          </w:p>
        </w:tc>
        <w:tc>
          <w:tcPr>
            <w:tcW w:w="6505" w:type="dxa"/>
            <w:gridSpan w:val="5"/>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E34600" w:rsidRPr="007347E6" w:rsidRDefault="00E34600"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Treatments (Diet g/100g)</w:t>
            </w:r>
          </w:p>
          <w:p w:rsidR="00E34600" w:rsidRPr="007347E6" w:rsidRDefault="00E34600" w:rsidP="007347E6">
            <w:pPr>
              <w:spacing w:before="240" w:after="240" w:line="360" w:lineRule="auto"/>
              <w:rPr>
                <w:rFonts w:ascii="Times New Roman" w:hAnsi="Times New Roman" w:cs="Times New Roman"/>
                <w:b/>
                <w:sz w:val="24"/>
                <w:szCs w:val="24"/>
              </w:rPr>
            </w:pPr>
          </w:p>
        </w:tc>
      </w:tr>
      <w:tr w:rsidR="00E34600" w:rsidRPr="007347E6" w:rsidTr="00E34600">
        <w:trPr>
          <w:trHeight w:val="705"/>
        </w:trPr>
        <w:tc>
          <w:tcPr>
            <w:tcW w:w="2520" w:type="dxa"/>
            <w:vMerge/>
            <w:tcBorders>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E34600" w:rsidRPr="007347E6" w:rsidRDefault="00E34600" w:rsidP="007347E6">
            <w:pPr>
              <w:spacing w:before="60" w:after="160" w:line="360" w:lineRule="auto"/>
              <w:ind w:right="100"/>
              <w:jc w:val="center"/>
              <w:rPr>
                <w:rFonts w:ascii="Times New Roman" w:hAnsi="Times New Roman" w:cs="Times New Roman"/>
                <w:b/>
                <w:sz w:val="24"/>
                <w:szCs w:val="24"/>
              </w:rPr>
            </w:pP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34600" w:rsidRPr="007347E6" w:rsidRDefault="00E34600"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Control</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34600" w:rsidRPr="007347E6" w:rsidRDefault="00E34600"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T1</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34600" w:rsidRPr="007347E6" w:rsidRDefault="00E34600"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T2</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34600" w:rsidRPr="007347E6" w:rsidRDefault="00E34600"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T3</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E34600" w:rsidRPr="007347E6" w:rsidRDefault="00E34600"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T4</w:t>
            </w:r>
          </w:p>
        </w:tc>
      </w:tr>
      <w:tr w:rsidR="00BF51FB" w:rsidRPr="007347E6" w:rsidTr="00E34600">
        <w:trPr>
          <w:trHeight w:val="705"/>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Fish meal</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10</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10</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10</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10</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10</w:t>
            </w:r>
          </w:p>
        </w:tc>
      </w:tr>
      <w:tr w:rsidR="00BF51FB" w:rsidRPr="007347E6" w:rsidTr="00E34600">
        <w:trPr>
          <w:trHeight w:val="705"/>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GOC</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30</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28</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26</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24</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22</w:t>
            </w:r>
          </w:p>
        </w:tc>
      </w:tr>
      <w:tr w:rsidR="00BF51FB" w:rsidRPr="007347E6" w:rsidTr="00E34600">
        <w:trPr>
          <w:trHeight w:val="705"/>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Rice bran</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32</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32</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32</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32</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32</w:t>
            </w:r>
          </w:p>
        </w:tc>
      </w:tr>
      <w:tr w:rsidR="00BF51FB" w:rsidRPr="007347E6" w:rsidTr="00E34600">
        <w:trPr>
          <w:trHeight w:val="705"/>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Wheat flour</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20</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20</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20</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20</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20</w:t>
            </w:r>
          </w:p>
        </w:tc>
      </w:tr>
      <w:tr w:rsidR="00BF51FB" w:rsidRPr="007347E6" w:rsidTr="00E34600">
        <w:trPr>
          <w:trHeight w:val="705"/>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Tapioca</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5</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5</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5</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5</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5</w:t>
            </w:r>
          </w:p>
        </w:tc>
      </w:tr>
      <w:tr w:rsidR="00BF51FB" w:rsidRPr="007347E6" w:rsidTr="00E34600">
        <w:trPr>
          <w:trHeight w:val="705"/>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Vegetable oil</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w:t>
            </w:r>
          </w:p>
        </w:tc>
      </w:tr>
      <w:tr w:rsidR="00BF51FB" w:rsidRPr="007347E6" w:rsidTr="00E34600">
        <w:trPr>
          <w:trHeight w:val="705"/>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sz w:val="24"/>
                <w:szCs w:val="24"/>
              </w:rPr>
              <w:t>Vitamin premix</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1</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1</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1</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1</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1</w:t>
            </w:r>
          </w:p>
        </w:tc>
      </w:tr>
      <w:tr w:rsidR="00BF51FB" w:rsidRPr="007347E6" w:rsidTr="00E34600">
        <w:trPr>
          <w:trHeight w:val="393"/>
        </w:trPr>
        <w:tc>
          <w:tcPr>
            <w:tcW w:w="252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b/>
                <w:sz w:val="24"/>
                <w:szCs w:val="24"/>
              </w:rPr>
            </w:pPr>
            <w:r w:rsidRPr="007347E6">
              <w:rPr>
                <w:rFonts w:ascii="Times New Roman" w:hAnsi="Times New Roman" w:cs="Times New Roman"/>
                <w:b/>
                <w:i/>
                <w:sz w:val="24"/>
                <w:szCs w:val="24"/>
              </w:rPr>
              <w:t>Moringa oleifera</w:t>
            </w:r>
            <w:r w:rsidRPr="007347E6">
              <w:rPr>
                <w:rFonts w:ascii="Times New Roman" w:hAnsi="Times New Roman" w:cs="Times New Roman"/>
                <w:b/>
                <w:sz w:val="24"/>
                <w:szCs w:val="24"/>
              </w:rPr>
              <w:t xml:space="preserve"> leaf powder</w:t>
            </w:r>
          </w:p>
        </w:tc>
        <w:tc>
          <w:tcPr>
            <w:tcW w:w="149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0</w:t>
            </w:r>
          </w:p>
        </w:tc>
        <w:tc>
          <w:tcPr>
            <w:tcW w:w="115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2</w:t>
            </w:r>
          </w:p>
        </w:tc>
        <w:tc>
          <w:tcPr>
            <w:tcW w:w="12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4</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6</w:t>
            </w:r>
          </w:p>
        </w:tc>
        <w:tc>
          <w:tcPr>
            <w:tcW w:w="130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BF51FB" w:rsidRPr="007347E6" w:rsidRDefault="00E23EF2" w:rsidP="007347E6">
            <w:pPr>
              <w:spacing w:before="60" w:after="160" w:line="360" w:lineRule="auto"/>
              <w:ind w:right="100"/>
              <w:jc w:val="center"/>
              <w:rPr>
                <w:rFonts w:ascii="Times New Roman" w:hAnsi="Times New Roman" w:cs="Times New Roman"/>
                <w:sz w:val="24"/>
                <w:szCs w:val="24"/>
              </w:rPr>
            </w:pPr>
            <w:r w:rsidRPr="007347E6">
              <w:rPr>
                <w:rFonts w:ascii="Times New Roman" w:hAnsi="Times New Roman" w:cs="Times New Roman"/>
                <w:sz w:val="24"/>
                <w:szCs w:val="24"/>
              </w:rPr>
              <w:t>8</w:t>
            </w:r>
          </w:p>
        </w:tc>
      </w:tr>
    </w:tbl>
    <w:p w:rsidR="00BF51FB" w:rsidRPr="007347E6" w:rsidRDefault="00BF51FB" w:rsidP="007347E6">
      <w:pPr>
        <w:spacing w:line="360" w:lineRule="auto"/>
        <w:rPr>
          <w:rFonts w:ascii="Times New Roman" w:hAnsi="Times New Roman" w:cs="Times New Roman"/>
          <w:sz w:val="24"/>
          <w:szCs w:val="24"/>
        </w:rPr>
      </w:pPr>
    </w:p>
    <w:p w:rsidR="00BF51FB" w:rsidRPr="007347E6" w:rsidRDefault="00E23EF2" w:rsidP="007347E6">
      <w:pPr>
        <w:pStyle w:val="Heading3"/>
        <w:keepNext w:val="0"/>
        <w:keepLines w:val="0"/>
        <w:spacing w:before="240" w:after="240" w:line="360" w:lineRule="auto"/>
        <w:jc w:val="both"/>
        <w:rPr>
          <w:rFonts w:ascii="Times New Roman" w:hAnsi="Times New Roman" w:cs="Times New Roman"/>
          <w:color w:val="000000"/>
          <w:sz w:val="24"/>
          <w:szCs w:val="24"/>
        </w:rPr>
      </w:pPr>
      <w:bookmarkStart w:id="1" w:name="_v904yaml66lw" w:colFirst="0" w:colLast="0"/>
      <w:bookmarkEnd w:id="1"/>
      <w:r w:rsidRPr="007347E6">
        <w:rPr>
          <w:rFonts w:ascii="Times New Roman" w:hAnsi="Times New Roman" w:cs="Times New Roman"/>
          <w:color w:val="000000"/>
          <w:sz w:val="24"/>
          <w:szCs w:val="24"/>
        </w:rPr>
        <w:t>The 120 fingerlings were divided into 12 glass tanks (0.6 × 0.3 × 0.45 m; 120 L capacity) at random in a fully randomized design, with three replications of each treatment. Tanks were routinely cleaned with siphoning to remove waste, and fish were fed twice a day at 9:00 AM and 4:00 PM. Temperature, pH, dissolved oxygen, alkalinity, and total hardness were among the water quality parameters that were measured every two weeks using standard protocols, such as Winkler's method for DO and titration techniques for alkalinity and hardness.</w:t>
      </w:r>
    </w:p>
    <w:p w:rsidR="00973A85" w:rsidRPr="007347E6" w:rsidRDefault="00973A85" w:rsidP="007347E6">
      <w:pPr>
        <w:spacing w:line="360" w:lineRule="auto"/>
        <w:rPr>
          <w:rFonts w:ascii="Times New Roman" w:hAnsi="Times New Roman" w:cs="Times New Roman"/>
          <w:b/>
          <w:sz w:val="24"/>
          <w:szCs w:val="24"/>
        </w:rPr>
      </w:pPr>
      <w:r w:rsidRPr="007347E6">
        <w:rPr>
          <w:rFonts w:ascii="Times New Roman" w:hAnsi="Times New Roman" w:cs="Times New Roman"/>
          <w:b/>
          <w:sz w:val="24"/>
          <w:szCs w:val="24"/>
        </w:rPr>
        <w:t xml:space="preserve">2.3 Water Quality Parameters </w:t>
      </w:r>
    </w:p>
    <w:p w:rsidR="00973A85" w:rsidRPr="0095574B" w:rsidRDefault="00973A85" w:rsidP="00F92137">
      <w:pPr>
        <w:spacing w:line="360" w:lineRule="auto"/>
        <w:rPr>
          <w:rFonts w:ascii="Times New Roman" w:hAnsi="Times New Roman" w:cs="Times New Roman"/>
          <w:b/>
          <w:color w:val="FF0000"/>
          <w:sz w:val="24"/>
          <w:szCs w:val="24"/>
        </w:rPr>
      </w:pPr>
      <w:r w:rsidRPr="007347E6">
        <w:rPr>
          <w:rFonts w:ascii="Times New Roman" w:hAnsi="Times New Roman" w:cs="Times New Roman"/>
          <w:sz w:val="24"/>
          <w:szCs w:val="24"/>
        </w:rPr>
        <w:lastRenderedPageBreak/>
        <w:t xml:space="preserve">The water quality parameters were calculated on 15 days basis. The selected water quality parameters like Temp. pH, D.O and alkalinity was measured by according to </w:t>
      </w:r>
      <w:r w:rsidRPr="0095574B">
        <w:rPr>
          <w:rFonts w:ascii="Times New Roman" w:hAnsi="Times New Roman" w:cs="Times New Roman"/>
          <w:b/>
          <w:color w:val="FF0000"/>
          <w:sz w:val="24"/>
          <w:szCs w:val="24"/>
        </w:rPr>
        <w:t xml:space="preserve">Yadav </w:t>
      </w:r>
      <w:r w:rsidRPr="0095574B">
        <w:rPr>
          <w:rFonts w:ascii="Times New Roman" w:hAnsi="Times New Roman" w:cs="Times New Roman"/>
          <w:b/>
          <w:i/>
          <w:color w:val="FF0000"/>
          <w:sz w:val="24"/>
          <w:szCs w:val="24"/>
        </w:rPr>
        <w:t>et al.,</w:t>
      </w:r>
      <w:r w:rsidRPr="0095574B">
        <w:rPr>
          <w:rFonts w:ascii="Times New Roman" w:hAnsi="Times New Roman" w:cs="Times New Roman"/>
          <w:b/>
          <w:color w:val="FF0000"/>
          <w:sz w:val="24"/>
          <w:szCs w:val="24"/>
        </w:rPr>
        <w:t xml:space="preserve"> 2023. </w:t>
      </w:r>
    </w:p>
    <w:p w:rsidR="00973A85" w:rsidRPr="007347E6" w:rsidRDefault="00973A85" w:rsidP="007347E6">
      <w:pPr>
        <w:spacing w:before="240" w:after="240" w:line="360" w:lineRule="auto"/>
        <w:jc w:val="both"/>
        <w:rPr>
          <w:rFonts w:ascii="Times New Roman" w:hAnsi="Times New Roman" w:cs="Times New Roman"/>
          <w:b/>
          <w:sz w:val="24"/>
          <w:szCs w:val="24"/>
          <w:lang w:val="en-GB"/>
        </w:rPr>
      </w:pPr>
      <w:r w:rsidRPr="007347E6">
        <w:rPr>
          <w:rFonts w:ascii="Times New Roman" w:hAnsi="Times New Roman" w:cs="Times New Roman"/>
          <w:b/>
          <w:sz w:val="24"/>
          <w:szCs w:val="24"/>
          <w:lang w:val="en-GB"/>
        </w:rPr>
        <w:t>2.</w:t>
      </w:r>
      <w:r w:rsidR="00470BB0" w:rsidRPr="007347E6">
        <w:rPr>
          <w:rFonts w:ascii="Times New Roman" w:hAnsi="Times New Roman" w:cs="Times New Roman"/>
          <w:b/>
          <w:sz w:val="24"/>
          <w:szCs w:val="24"/>
          <w:lang w:val="en-GB"/>
        </w:rPr>
        <w:t>4</w:t>
      </w:r>
      <w:r w:rsidRPr="007347E6">
        <w:rPr>
          <w:rFonts w:ascii="Times New Roman" w:hAnsi="Times New Roman" w:cs="Times New Roman"/>
          <w:b/>
          <w:sz w:val="24"/>
          <w:szCs w:val="24"/>
          <w:lang w:val="en-GB"/>
        </w:rPr>
        <w:t xml:space="preserve"> Growth Parameters </w:t>
      </w:r>
    </w:p>
    <w:p w:rsidR="00973A85" w:rsidRPr="007347E6" w:rsidRDefault="00973A85" w:rsidP="007347E6">
      <w:pPr>
        <w:spacing w:line="360" w:lineRule="auto"/>
        <w:jc w:val="both"/>
        <w:rPr>
          <w:rFonts w:ascii="Times New Roman" w:hAnsi="Times New Roman" w:cs="Times New Roman"/>
          <w:b/>
          <w:sz w:val="24"/>
          <w:szCs w:val="24"/>
        </w:rPr>
      </w:pPr>
      <w:r w:rsidRPr="007347E6">
        <w:rPr>
          <w:rFonts w:ascii="Times New Roman" w:hAnsi="Times New Roman" w:cs="Times New Roman"/>
          <w:sz w:val="24"/>
          <w:szCs w:val="24"/>
          <w:lang w:val="en-GB"/>
        </w:rPr>
        <w:t xml:space="preserve">Fish were weighed on 15 days gap on routine basis were adjusted the ration weight accordingly. Growth parameters were determined the following formula </w:t>
      </w:r>
      <w:r w:rsidRPr="0095574B">
        <w:rPr>
          <w:rFonts w:ascii="Times New Roman" w:hAnsi="Times New Roman" w:cs="Times New Roman"/>
          <w:color w:val="FF0000"/>
          <w:sz w:val="24"/>
          <w:szCs w:val="24"/>
          <w:lang w:val="en-GB"/>
        </w:rPr>
        <w:t>(</w:t>
      </w:r>
      <w:r w:rsidRPr="0095574B">
        <w:rPr>
          <w:rFonts w:ascii="Times New Roman" w:hAnsi="Times New Roman" w:cs="Times New Roman"/>
          <w:b/>
          <w:color w:val="FF0000"/>
          <w:sz w:val="24"/>
          <w:szCs w:val="24"/>
        </w:rPr>
        <w:t xml:space="preserve">Yadav </w:t>
      </w:r>
      <w:r w:rsidRPr="0095574B">
        <w:rPr>
          <w:rFonts w:ascii="Times New Roman" w:hAnsi="Times New Roman" w:cs="Times New Roman"/>
          <w:b/>
          <w:i/>
          <w:color w:val="FF0000"/>
          <w:sz w:val="24"/>
          <w:szCs w:val="24"/>
        </w:rPr>
        <w:t>et al.,</w:t>
      </w:r>
      <w:r w:rsidRPr="0095574B">
        <w:rPr>
          <w:rFonts w:ascii="Times New Roman" w:hAnsi="Times New Roman" w:cs="Times New Roman"/>
          <w:b/>
          <w:color w:val="FF0000"/>
          <w:sz w:val="24"/>
          <w:szCs w:val="24"/>
        </w:rPr>
        <w:t xml:space="preserve"> 2023). </w:t>
      </w:r>
    </w:p>
    <w:p w:rsidR="00973A85" w:rsidRPr="007347E6" w:rsidRDefault="00973A85" w:rsidP="007347E6">
      <w:pPr>
        <w:spacing w:before="240" w:after="240" w:line="360" w:lineRule="auto"/>
        <w:jc w:val="both"/>
        <w:rPr>
          <w:rFonts w:ascii="Times New Roman" w:hAnsi="Times New Roman" w:cs="Times New Roman"/>
          <w:sz w:val="24"/>
          <w:szCs w:val="24"/>
          <w:lang w:val="en-GB"/>
        </w:rPr>
      </w:pPr>
      <w:r w:rsidRPr="007347E6">
        <w:rPr>
          <w:rFonts w:ascii="Times New Roman" w:hAnsi="Times New Roman" w:cs="Times New Roman"/>
          <w:b/>
          <w:sz w:val="24"/>
          <w:szCs w:val="24"/>
          <w:lang w:val="en-GB"/>
        </w:rPr>
        <w:t>2.</w:t>
      </w:r>
      <w:r w:rsidR="00470BB0" w:rsidRPr="007347E6">
        <w:rPr>
          <w:rFonts w:ascii="Times New Roman" w:hAnsi="Times New Roman" w:cs="Times New Roman"/>
          <w:b/>
          <w:sz w:val="24"/>
          <w:szCs w:val="24"/>
          <w:lang w:val="en-GB"/>
        </w:rPr>
        <w:t>4</w:t>
      </w:r>
      <w:r w:rsidRPr="007347E6">
        <w:rPr>
          <w:rFonts w:ascii="Times New Roman" w:hAnsi="Times New Roman" w:cs="Times New Roman"/>
          <w:b/>
          <w:sz w:val="24"/>
          <w:szCs w:val="24"/>
          <w:lang w:val="en-GB"/>
        </w:rPr>
        <w:t>.1 Weight gain (%)</w:t>
      </w:r>
      <w:r w:rsidRPr="007347E6">
        <w:rPr>
          <w:rFonts w:ascii="Times New Roman" w:hAnsi="Times New Roman" w:cs="Times New Roman"/>
          <w:sz w:val="24"/>
          <w:szCs w:val="24"/>
          <w:lang w:val="en-GB"/>
        </w:rPr>
        <w:t xml:space="preserve"> = [Final weight (g) - Initial weight (g)] / Initial weight (g) × 100</w:t>
      </w:r>
    </w:p>
    <w:p w:rsidR="00973A85" w:rsidRPr="007347E6" w:rsidRDefault="00973A85" w:rsidP="007347E6">
      <w:pPr>
        <w:spacing w:before="240" w:after="240" w:line="360" w:lineRule="auto"/>
        <w:jc w:val="both"/>
        <w:rPr>
          <w:rFonts w:ascii="Times New Roman" w:hAnsi="Times New Roman" w:cs="Times New Roman"/>
          <w:sz w:val="24"/>
          <w:szCs w:val="24"/>
          <w:lang w:val="en-GB"/>
        </w:rPr>
      </w:pPr>
      <w:r w:rsidRPr="007347E6">
        <w:rPr>
          <w:rFonts w:ascii="Times New Roman" w:hAnsi="Times New Roman" w:cs="Times New Roman"/>
          <w:b/>
          <w:sz w:val="24"/>
          <w:szCs w:val="24"/>
          <w:lang w:val="en-GB"/>
        </w:rPr>
        <w:t>2.</w:t>
      </w:r>
      <w:r w:rsidR="00470BB0" w:rsidRPr="007347E6">
        <w:rPr>
          <w:rFonts w:ascii="Times New Roman" w:hAnsi="Times New Roman" w:cs="Times New Roman"/>
          <w:b/>
          <w:sz w:val="24"/>
          <w:szCs w:val="24"/>
          <w:lang w:val="en-GB"/>
        </w:rPr>
        <w:t>4</w:t>
      </w:r>
      <w:r w:rsidRPr="007347E6">
        <w:rPr>
          <w:rFonts w:ascii="Times New Roman" w:hAnsi="Times New Roman" w:cs="Times New Roman"/>
          <w:b/>
          <w:sz w:val="24"/>
          <w:szCs w:val="24"/>
          <w:lang w:val="en-GB"/>
        </w:rPr>
        <w:t>.2 Specific Growth Rate (SGR) (%)</w:t>
      </w:r>
      <w:r w:rsidRPr="007347E6">
        <w:rPr>
          <w:rFonts w:ascii="Times New Roman" w:hAnsi="Times New Roman" w:cs="Times New Roman"/>
          <w:sz w:val="24"/>
          <w:szCs w:val="24"/>
          <w:lang w:val="en-GB"/>
        </w:rPr>
        <w:t xml:space="preserve"> = [ln Final weight (g) – ln Initial weight (g)] / Culture period (days) × 100 </w:t>
      </w:r>
    </w:p>
    <w:p w:rsidR="00973A85" w:rsidRPr="007347E6" w:rsidRDefault="00973A85" w:rsidP="007347E6">
      <w:pPr>
        <w:spacing w:before="240" w:after="240" w:line="360" w:lineRule="auto"/>
        <w:jc w:val="both"/>
        <w:rPr>
          <w:rFonts w:ascii="Times New Roman" w:hAnsi="Times New Roman" w:cs="Times New Roman"/>
          <w:sz w:val="24"/>
          <w:szCs w:val="24"/>
          <w:lang w:val="en-GB"/>
        </w:rPr>
      </w:pPr>
      <w:r w:rsidRPr="007347E6">
        <w:rPr>
          <w:rFonts w:ascii="Times New Roman" w:hAnsi="Times New Roman" w:cs="Times New Roman"/>
          <w:b/>
          <w:sz w:val="24"/>
          <w:szCs w:val="24"/>
          <w:lang w:val="en-GB"/>
        </w:rPr>
        <w:t>2.</w:t>
      </w:r>
      <w:r w:rsidR="00470BB0" w:rsidRPr="007347E6">
        <w:rPr>
          <w:rFonts w:ascii="Times New Roman" w:hAnsi="Times New Roman" w:cs="Times New Roman"/>
          <w:b/>
          <w:sz w:val="24"/>
          <w:szCs w:val="24"/>
          <w:lang w:val="en-GB"/>
        </w:rPr>
        <w:t>4</w:t>
      </w:r>
      <w:r w:rsidRPr="007347E6">
        <w:rPr>
          <w:rFonts w:ascii="Times New Roman" w:hAnsi="Times New Roman" w:cs="Times New Roman"/>
          <w:b/>
          <w:sz w:val="24"/>
          <w:szCs w:val="24"/>
          <w:lang w:val="en-GB"/>
        </w:rPr>
        <w:t>.3 Average Daily Growth (ADG) (g/day)</w:t>
      </w:r>
      <w:r w:rsidRPr="007347E6">
        <w:rPr>
          <w:rFonts w:ascii="Times New Roman" w:hAnsi="Times New Roman" w:cs="Times New Roman"/>
          <w:sz w:val="24"/>
          <w:szCs w:val="24"/>
          <w:lang w:val="en-GB"/>
        </w:rPr>
        <w:t xml:space="preserve"> = [Final weight (g) – Initial weight (g)] / Culture period (days) </w:t>
      </w:r>
    </w:p>
    <w:p w:rsidR="00973A85" w:rsidRPr="007347E6" w:rsidRDefault="00973A85" w:rsidP="007347E6">
      <w:pPr>
        <w:spacing w:before="240" w:after="240" w:line="360" w:lineRule="auto"/>
        <w:jc w:val="both"/>
        <w:rPr>
          <w:rFonts w:ascii="Times New Roman" w:hAnsi="Times New Roman" w:cs="Times New Roman"/>
          <w:sz w:val="24"/>
          <w:szCs w:val="24"/>
          <w:lang w:val="en-GB"/>
        </w:rPr>
      </w:pPr>
      <w:r w:rsidRPr="007347E6">
        <w:rPr>
          <w:rFonts w:ascii="Times New Roman" w:hAnsi="Times New Roman" w:cs="Times New Roman"/>
          <w:b/>
          <w:sz w:val="24"/>
          <w:szCs w:val="24"/>
          <w:lang w:val="en-GB"/>
        </w:rPr>
        <w:t>2.</w:t>
      </w:r>
      <w:r w:rsidR="00470BB0" w:rsidRPr="007347E6">
        <w:rPr>
          <w:rFonts w:ascii="Times New Roman" w:hAnsi="Times New Roman" w:cs="Times New Roman"/>
          <w:b/>
          <w:sz w:val="24"/>
          <w:szCs w:val="24"/>
          <w:lang w:val="en-GB"/>
        </w:rPr>
        <w:t>4</w:t>
      </w:r>
      <w:r w:rsidRPr="007347E6">
        <w:rPr>
          <w:rFonts w:ascii="Times New Roman" w:hAnsi="Times New Roman" w:cs="Times New Roman"/>
          <w:b/>
          <w:sz w:val="24"/>
          <w:szCs w:val="24"/>
          <w:lang w:val="en-GB"/>
        </w:rPr>
        <w:t>.4 Feed Conversion Ratio (FCR)</w:t>
      </w:r>
      <w:r w:rsidRPr="007347E6">
        <w:rPr>
          <w:rFonts w:ascii="Times New Roman" w:hAnsi="Times New Roman" w:cs="Times New Roman"/>
          <w:sz w:val="24"/>
          <w:szCs w:val="24"/>
          <w:lang w:val="en-GB"/>
        </w:rPr>
        <w:t xml:space="preserve"> = Dry feed intake (g) / Wet weight gain (g)</w:t>
      </w:r>
    </w:p>
    <w:p w:rsidR="00973A85" w:rsidRPr="007347E6" w:rsidRDefault="00973A85" w:rsidP="007347E6">
      <w:pPr>
        <w:spacing w:before="240" w:after="240" w:line="360" w:lineRule="auto"/>
        <w:jc w:val="both"/>
        <w:rPr>
          <w:rFonts w:ascii="Times New Roman" w:hAnsi="Times New Roman" w:cs="Times New Roman"/>
          <w:sz w:val="24"/>
          <w:szCs w:val="24"/>
          <w:lang w:val="en-GB"/>
        </w:rPr>
      </w:pPr>
      <w:r w:rsidRPr="007347E6">
        <w:rPr>
          <w:rFonts w:ascii="Times New Roman" w:hAnsi="Times New Roman" w:cs="Times New Roman"/>
          <w:b/>
          <w:sz w:val="24"/>
          <w:szCs w:val="24"/>
          <w:lang w:val="en-GB"/>
        </w:rPr>
        <w:t>2.</w:t>
      </w:r>
      <w:r w:rsidR="00470BB0" w:rsidRPr="007347E6">
        <w:rPr>
          <w:rFonts w:ascii="Times New Roman" w:hAnsi="Times New Roman" w:cs="Times New Roman"/>
          <w:b/>
          <w:sz w:val="24"/>
          <w:szCs w:val="24"/>
          <w:lang w:val="en-GB"/>
        </w:rPr>
        <w:t>4</w:t>
      </w:r>
      <w:r w:rsidRPr="007347E6">
        <w:rPr>
          <w:rFonts w:ascii="Times New Roman" w:hAnsi="Times New Roman" w:cs="Times New Roman"/>
          <w:b/>
          <w:sz w:val="24"/>
          <w:szCs w:val="24"/>
          <w:lang w:val="en-GB"/>
        </w:rPr>
        <w:t>.5 Protein Efficiency Ratio (PER)</w:t>
      </w:r>
      <w:r w:rsidRPr="007347E6">
        <w:rPr>
          <w:rFonts w:ascii="Times New Roman" w:hAnsi="Times New Roman" w:cs="Times New Roman"/>
          <w:sz w:val="24"/>
          <w:szCs w:val="24"/>
          <w:lang w:val="en-GB"/>
        </w:rPr>
        <w:t xml:space="preserve"> = Wet weight gain (g) / Protein intake (g)</w:t>
      </w:r>
    </w:p>
    <w:p w:rsidR="00973A85" w:rsidRPr="007347E6" w:rsidRDefault="00973A85" w:rsidP="007347E6">
      <w:pPr>
        <w:spacing w:line="360" w:lineRule="auto"/>
        <w:rPr>
          <w:rFonts w:ascii="Times New Roman" w:hAnsi="Times New Roman" w:cs="Times New Roman"/>
          <w:sz w:val="24"/>
          <w:szCs w:val="24"/>
        </w:rPr>
      </w:pPr>
    </w:p>
    <w:p w:rsidR="00E34600" w:rsidRPr="007347E6" w:rsidRDefault="00E34600" w:rsidP="007347E6">
      <w:pPr>
        <w:pStyle w:val="Heading3"/>
        <w:keepNext w:val="0"/>
        <w:keepLines w:val="0"/>
        <w:spacing w:before="240" w:after="240" w:line="360" w:lineRule="auto"/>
        <w:jc w:val="both"/>
        <w:rPr>
          <w:rFonts w:ascii="Times New Roman" w:hAnsi="Times New Roman" w:cs="Times New Roman"/>
          <w:b/>
          <w:color w:val="000000"/>
          <w:sz w:val="24"/>
          <w:szCs w:val="24"/>
        </w:rPr>
      </w:pPr>
      <w:bookmarkStart w:id="2" w:name="_ni3mjxspc5kg" w:colFirst="0" w:colLast="0"/>
      <w:bookmarkEnd w:id="2"/>
      <w:r w:rsidRPr="007347E6">
        <w:rPr>
          <w:rFonts w:ascii="Times New Roman" w:hAnsi="Times New Roman" w:cs="Times New Roman"/>
          <w:b/>
          <w:color w:val="000000"/>
          <w:sz w:val="24"/>
          <w:szCs w:val="24"/>
        </w:rPr>
        <w:t>2.</w:t>
      </w:r>
      <w:r w:rsidR="00470BB0" w:rsidRPr="007347E6">
        <w:rPr>
          <w:rFonts w:ascii="Times New Roman" w:hAnsi="Times New Roman" w:cs="Times New Roman"/>
          <w:b/>
          <w:color w:val="000000"/>
          <w:sz w:val="24"/>
          <w:szCs w:val="24"/>
        </w:rPr>
        <w:t>5</w:t>
      </w:r>
      <w:r w:rsidRPr="007347E6">
        <w:rPr>
          <w:rFonts w:ascii="Times New Roman" w:hAnsi="Times New Roman" w:cs="Times New Roman"/>
          <w:b/>
          <w:color w:val="000000"/>
          <w:sz w:val="24"/>
          <w:szCs w:val="24"/>
        </w:rPr>
        <w:t xml:space="preserve"> Statistical analysis </w:t>
      </w:r>
    </w:p>
    <w:p w:rsidR="00BF51FB" w:rsidRPr="007347E6" w:rsidRDefault="00E23EF2" w:rsidP="007347E6">
      <w:pPr>
        <w:pStyle w:val="Heading3"/>
        <w:keepNext w:val="0"/>
        <w:keepLines w:val="0"/>
        <w:spacing w:before="240" w:after="240" w:line="360" w:lineRule="auto"/>
        <w:jc w:val="both"/>
        <w:rPr>
          <w:rFonts w:ascii="Times New Roman" w:hAnsi="Times New Roman" w:cs="Times New Roman"/>
          <w:color w:val="000000"/>
          <w:sz w:val="24"/>
          <w:szCs w:val="24"/>
        </w:rPr>
      </w:pPr>
      <w:r w:rsidRPr="007347E6">
        <w:rPr>
          <w:rFonts w:ascii="Times New Roman" w:hAnsi="Times New Roman" w:cs="Times New Roman"/>
          <w:color w:val="000000"/>
          <w:sz w:val="24"/>
          <w:szCs w:val="24"/>
        </w:rPr>
        <w:t>The percentage of weight gain, specific growth rate (SGR), feed conversion ratio (FCR), protein efficiency ratio (PER), and average daily gain (ADG) were used to evaluate growth performance every two weeks. One-way ANOVA was used to statistically analyze the data at a 5% significance level, and SPSS software (version 21) was used to calculate mean differences using Duncan's multiple range test.</w:t>
      </w:r>
    </w:p>
    <w:p w:rsidR="00BF51FB" w:rsidRPr="007347E6" w:rsidRDefault="00E34600" w:rsidP="007347E6">
      <w:pPr>
        <w:spacing w:before="240" w:after="240" w:line="360" w:lineRule="auto"/>
        <w:rPr>
          <w:rFonts w:ascii="Times New Roman" w:hAnsi="Times New Roman" w:cs="Times New Roman"/>
          <w:b/>
          <w:bCs/>
          <w:sz w:val="24"/>
          <w:szCs w:val="24"/>
        </w:rPr>
      </w:pPr>
      <w:r w:rsidRPr="007347E6">
        <w:rPr>
          <w:rFonts w:ascii="Times New Roman" w:hAnsi="Times New Roman" w:cs="Times New Roman"/>
          <w:b/>
          <w:bCs/>
          <w:sz w:val="24"/>
          <w:szCs w:val="24"/>
        </w:rPr>
        <w:t xml:space="preserve">3.0 </w:t>
      </w:r>
      <w:r w:rsidR="00E23EF2" w:rsidRPr="007347E6">
        <w:rPr>
          <w:rFonts w:ascii="Times New Roman" w:hAnsi="Times New Roman" w:cs="Times New Roman"/>
          <w:b/>
          <w:bCs/>
          <w:sz w:val="24"/>
          <w:szCs w:val="24"/>
        </w:rPr>
        <w:t>Result</w:t>
      </w:r>
    </w:p>
    <w:p w:rsidR="00E34600" w:rsidRPr="007347E6" w:rsidRDefault="00E34600" w:rsidP="007347E6">
      <w:pPr>
        <w:spacing w:before="240" w:after="240" w:line="360" w:lineRule="auto"/>
        <w:jc w:val="both"/>
        <w:rPr>
          <w:rFonts w:ascii="Times New Roman" w:hAnsi="Times New Roman" w:cs="Times New Roman"/>
          <w:b/>
          <w:sz w:val="24"/>
          <w:szCs w:val="24"/>
        </w:rPr>
      </w:pPr>
      <w:r w:rsidRPr="007347E6">
        <w:rPr>
          <w:rFonts w:ascii="Times New Roman" w:hAnsi="Times New Roman" w:cs="Times New Roman"/>
          <w:b/>
          <w:sz w:val="24"/>
          <w:szCs w:val="24"/>
        </w:rPr>
        <w:t xml:space="preserve">3.1 </w:t>
      </w:r>
      <w:r w:rsidR="00973A85" w:rsidRPr="007347E6">
        <w:rPr>
          <w:rFonts w:ascii="Times New Roman" w:hAnsi="Times New Roman" w:cs="Times New Roman"/>
          <w:b/>
          <w:sz w:val="24"/>
          <w:szCs w:val="24"/>
        </w:rPr>
        <w:t>Water Quality Parameters</w:t>
      </w:r>
    </w:p>
    <w:p w:rsidR="00BF51FB" w:rsidRPr="007347E6" w:rsidRDefault="00E23EF2"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sz w:val="24"/>
          <w:szCs w:val="24"/>
        </w:rPr>
        <w:t xml:space="preserve">Throughout the 90-day experiment, water quality parameters such as temperature, pH, dissolved oxygen, alkalinity, and hardness remained within acceptable ranges for aquaculture. Temperature ranged from 24.0°C to 29.3°C, aligning with the optimal growth range for </w:t>
      </w:r>
      <w:r w:rsidRPr="007347E6">
        <w:rPr>
          <w:rFonts w:ascii="Times New Roman" w:hAnsi="Times New Roman" w:cs="Times New Roman"/>
          <w:i/>
          <w:sz w:val="24"/>
          <w:szCs w:val="24"/>
        </w:rPr>
        <w:t>Labeo rohita</w:t>
      </w:r>
      <w:r w:rsidRPr="007347E6">
        <w:rPr>
          <w:rFonts w:ascii="Times New Roman" w:hAnsi="Times New Roman" w:cs="Times New Roman"/>
          <w:sz w:val="24"/>
          <w:szCs w:val="24"/>
        </w:rPr>
        <w:t xml:space="preserve">. pH levels varied from 6.5 to 8.1, suitable for carp culture, while </w:t>
      </w:r>
      <w:r w:rsidRPr="007347E6">
        <w:rPr>
          <w:rFonts w:ascii="Times New Roman" w:hAnsi="Times New Roman" w:cs="Times New Roman"/>
          <w:sz w:val="24"/>
          <w:szCs w:val="24"/>
        </w:rPr>
        <w:lastRenderedPageBreak/>
        <w:t>dissolved oxygen levels ranged from 5.1 to 7.1 mg/L, sufficient for healthy fish growth. Alkalinity and hardness were also within favorable limits, ranging from 118–135 mg/L and 102–127 mg/L, respectively, indicating stable water conditions across treatments.</w:t>
      </w:r>
    </w:p>
    <w:p w:rsidR="00BF51FB" w:rsidRPr="007347E6" w:rsidRDefault="00E23EF2" w:rsidP="007347E6">
      <w:pPr>
        <w:spacing w:before="240" w:after="240" w:line="360" w:lineRule="auto"/>
        <w:rPr>
          <w:rFonts w:ascii="Times New Roman" w:hAnsi="Times New Roman" w:cs="Times New Roman"/>
          <w:sz w:val="24"/>
          <w:szCs w:val="24"/>
        </w:rPr>
      </w:pPr>
      <w:r w:rsidRPr="007347E6">
        <w:rPr>
          <w:rFonts w:ascii="Times New Roman" w:hAnsi="Times New Roman" w:cs="Times New Roman"/>
          <w:noProof/>
          <w:sz w:val="24"/>
          <w:szCs w:val="24"/>
          <w:lang w:val="en-US" w:eastAsia="en-US" w:bidi="ar-SA"/>
        </w:rPr>
        <w:drawing>
          <wp:inline distT="114300" distB="114300" distL="114300" distR="114300">
            <wp:extent cx="5310188" cy="2190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310188" cy="2190750"/>
                    </a:xfrm>
                    <a:prstGeom prst="rect">
                      <a:avLst/>
                    </a:prstGeom>
                    <a:ln/>
                  </pic:spPr>
                </pic:pic>
              </a:graphicData>
            </a:graphic>
          </wp:inline>
        </w:drawing>
      </w:r>
    </w:p>
    <w:p w:rsidR="00BF51FB" w:rsidRPr="007347E6" w:rsidRDefault="00E23EF2" w:rsidP="007347E6">
      <w:pPr>
        <w:spacing w:before="240" w:after="240" w:line="360" w:lineRule="auto"/>
        <w:rPr>
          <w:rFonts w:ascii="Times New Roman" w:hAnsi="Times New Roman" w:cs="Times New Roman"/>
          <w:sz w:val="24"/>
          <w:szCs w:val="24"/>
        </w:rPr>
      </w:pPr>
      <w:r w:rsidRPr="007347E6">
        <w:rPr>
          <w:rFonts w:ascii="Times New Roman" w:hAnsi="Times New Roman" w:cs="Times New Roman"/>
          <w:sz w:val="24"/>
          <w:szCs w:val="24"/>
        </w:rPr>
        <w:t xml:space="preserve">Figure 1 Growth pattern </w:t>
      </w:r>
      <w:r w:rsidRPr="007347E6">
        <w:rPr>
          <w:rFonts w:ascii="Times New Roman" w:hAnsi="Times New Roman" w:cs="Times New Roman"/>
          <w:i/>
          <w:sz w:val="24"/>
          <w:szCs w:val="24"/>
        </w:rPr>
        <w:t xml:space="preserve">Labeo rohita </w:t>
      </w:r>
      <w:r w:rsidRPr="007347E6">
        <w:rPr>
          <w:rFonts w:ascii="Times New Roman" w:hAnsi="Times New Roman" w:cs="Times New Roman"/>
          <w:sz w:val="24"/>
          <w:szCs w:val="24"/>
        </w:rPr>
        <w:t>on different experimental diets.</w:t>
      </w:r>
    </w:p>
    <w:p w:rsidR="00973A85" w:rsidRPr="007347E6" w:rsidRDefault="00973A85" w:rsidP="007347E6">
      <w:pPr>
        <w:spacing w:before="240" w:after="240" w:line="360" w:lineRule="auto"/>
        <w:jc w:val="both"/>
        <w:rPr>
          <w:rFonts w:ascii="Times New Roman" w:hAnsi="Times New Roman" w:cs="Times New Roman"/>
          <w:b/>
          <w:sz w:val="24"/>
          <w:szCs w:val="24"/>
        </w:rPr>
      </w:pPr>
      <w:r w:rsidRPr="007347E6">
        <w:rPr>
          <w:rFonts w:ascii="Times New Roman" w:hAnsi="Times New Roman" w:cs="Times New Roman"/>
          <w:b/>
          <w:sz w:val="24"/>
          <w:szCs w:val="24"/>
        </w:rPr>
        <w:t xml:space="preserve">3.2 Growth Parameters </w:t>
      </w:r>
    </w:p>
    <w:p w:rsidR="00BF51FB" w:rsidRPr="007347E6" w:rsidRDefault="00E23EF2"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sz w:val="24"/>
          <w:szCs w:val="24"/>
        </w:rPr>
        <w:t xml:space="preserve">Significant improvements in growth performance were observed in </w:t>
      </w:r>
      <w:r w:rsidRPr="007347E6">
        <w:rPr>
          <w:rFonts w:ascii="Times New Roman" w:hAnsi="Times New Roman" w:cs="Times New Roman"/>
          <w:i/>
          <w:sz w:val="24"/>
          <w:szCs w:val="24"/>
        </w:rPr>
        <w:t>Labeo rohita</w:t>
      </w:r>
      <w:r w:rsidRPr="007347E6">
        <w:rPr>
          <w:rFonts w:ascii="Times New Roman" w:hAnsi="Times New Roman" w:cs="Times New Roman"/>
          <w:sz w:val="24"/>
          <w:szCs w:val="24"/>
        </w:rPr>
        <w:t xml:space="preserve"> fingerlings supplemented with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leaf powder. Final body weights increased with higher moringa inclusion, with the T4 group (8% MLP) achieving the highest average weight (58.55±0.39 g), while the control group had the lowest (38.19±0.12 g). Weight gain, specific growth rate (SGR), average daily gain (ADG), feed conversion ratio (FCR), and protein efficiency ratio (PER) all showed significant enhancement in the treatment groups compared to the control. T4 exhibited the highest weight gain (136.55±2.27%), SGR (1.30±0.00 %/day), and ADG (1.41±0.02 g/day), indicating superior growth. The most efficient FCR (1.89±0.01) was recorded in T1, although T4 also performed well (1.93±0.00). The highest PER was observed in T2 (4.15±0.07), suggesting improved protein utilization at moderate moringa inclusion.</w:t>
      </w:r>
    </w:p>
    <w:p w:rsidR="00BF51FB" w:rsidRPr="007347E6" w:rsidRDefault="00E23EF2"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sz w:val="24"/>
          <w:szCs w:val="24"/>
        </w:rPr>
        <w:t xml:space="preserve">These results demonstrate that dietary supplementation with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leaf powder significantly enhances the growth performance of </w:t>
      </w:r>
      <w:r w:rsidRPr="007347E6">
        <w:rPr>
          <w:rFonts w:ascii="Times New Roman" w:hAnsi="Times New Roman" w:cs="Times New Roman"/>
          <w:i/>
          <w:sz w:val="24"/>
          <w:szCs w:val="24"/>
        </w:rPr>
        <w:t>Labeo rohita</w:t>
      </w:r>
      <w:r w:rsidRPr="007347E6">
        <w:rPr>
          <w:rFonts w:ascii="Times New Roman" w:hAnsi="Times New Roman" w:cs="Times New Roman"/>
          <w:sz w:val="24"/>
          <w:szCs w:val="24"/>
        </w:rPr>
        <w:t xml:space="preserve"> fingerlings without adversely affecting water quality, supporting its potential as a sustainable and natural feed additive in aquaculture.</w:t>
      </w:r>
    </w:p>
    <w:p w:rsidR="00215EFC" w:rsidRPr="007347E6" w:rsidRDefault="00215EFC" w:rsidP="007347E6">
      <w:pPr>
        <w:spacing w:before="120" w:line="360" w:lineRule="auto"/>
        <w:rPr>
          <w:rFonts w:ascii="Times New Roman" w:hAnsi="Times New Roman" w:cs="Times New Roman"/>
          <w:sz w:val="24"/>
          <w:szCs w:val="24"/>
        </w:rPr>
      </w:pPr>
    </w:p>
    <w:tbl>
      <w:tblPr>
        <w:tblW w:w="939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3"/>
        <w:gridCol w:w="1551"/>
        <w:gridCol w:w="1551"/>
        <w:gridCol w:w="1690"/>
        <w:gridCol w:w="1567"/>
        <w:gridCol w:w="1588"/>
      </w:tblGrid>
      <w:tr w:rsidR="00E85064" w:rsidRPr="007347E6" w:rsidTr="0095574B">
        <w:trPr>
          <w:trHeight w:val="615"/>
        </w:trPr>
        <w:tc>
          <w:tcPr>
            <w:tcW w:w="1443" w:type="dxa"/>
            <w:vMerge w:val="restart"/>
          </w:tcPr>
          <w:p w:rsidR="00E85064" w:rsidRPr="007347E6" w:rsidRDefault="00E85064"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b/>
                <w:spacing w:val="-2"/>
                <w:sz w:val="24"/>
                <w:szCs w:val="24"/>
              </w:rPr>
              <w:lastRenderedPageBreak/>
              <w:t>Parameters</w:t>
            </w:r>
          </w:p>
        </w:tc>
        <w:tc>
          <w:tcPr>
            <w:tcW w:w="7947" w:type="dxa"/>
            <w:gridSpan w:val="5"/>
          </w:tcPr>
          <w:p w:rsidR="00E85064" w:rsidRPr="007347E6" w:rsidRDefault="00215EFC"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b/>
                <w:spacing w:val="-2"/>
                <w:sz w:val="24"/>
                <w:szCs w:val="24"/>
              </w:rPr>
              <w:t xml:space="preserve">Treatments </w:t>
            </w:r>
          </w:p>
        </w:tc>
      </w:tr>
      <w:tr w:rsidR="00551529" w:rsidRPr="007347E6" w:rsidTr="0095574B">
        <w:trPr>
          <w:trHeight w:val="780"/>
        </w:trPr>
        <w:tc>
          <w:tcPr>
            <w:tcW w:w="1443" w:type="dxa"/>
            <w:vMerge/>
          </w:tcPr>
          <w:p w:rsidR="00551529" w:rsidRPr="007347E6" w:rsidRDefault="00551529" w:rsidP="007347E6">
            <w:pPr>
              <w:spacing w:before="120" w:line="360" w:lineRule="auto"/>
              <w:jc w:val="center"/>
              <w:rPr>
                <w:rFonts w:ascii="Times New Roman" w:hAnsi="Times New Roman" w:cs="Times New Roman"/>
                <w:sz w:val="24"/>
                <w:szCs w:val="24"/>
              </w:rPr>
            </w:pPr>
          </w:p>
        </w:tc>
        <w:tc>
          <w:tcPr>
            <w:tcW w:w="1551" w:type="dxa"/>
          </w:tcPr>
          <w:p w:rsidR="00551529" w:rsidRPr="007347E6" w:rsidRDefault="00551529" w:rsidP="007347E6">
            <w:pPr>
              <w:pStyle w:val="TableParagraph"/>
              <w:spacing w:before="95" w:line="360" w:lineRule="auto"/>
              <w:rPr>
                <w:sz w:val="24"/>
                <w:szCs w:val="24"/>
              </w:rPr>
            </w:pPr>
          </w:p>
          <w:p w:rsidR="00551529" w:rsidRPr="007347E6" w:rsidRDefault="00551529" w:rsidP="007347E6">
            <w:pPr>
              <w:pStyle w:val="TableParagraph"/>
              <w:spacing w:before="0" w:line="360" w:lineRule="auto"/>
              <w:ind w:left="63" w:right="4"/>
              <w:rPr>
                <w:b/>
                <w:sz w:val="24"/>
                <w:szCs w:val="24"/>
              </w:rPr>
            </w:pPr>
            <w:r w:rsidRPr="007347E6">
              <w:rPr>
                <w:b/>
                <w:spacing w:val="-2"/>
                <w:sz w:val="24"/>
                <w:szCs w:val="24"/>
              </w:rPr>
              <w:t>Control</w:t>
            </w:r>
          </w:p>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z w:val="24"/>
                <w:szCs w:val="24"/>
              </w:rPr>
              <w:t>(MOLP</w:t>
            </w:r>
            <w:r w:rsidRPr="007347E6">
              <w:rPr>
                <w:rFonts w:ascii="Times New Roman" w:hAnsi="Times New Roman" w:cs="Times New Roman"/>
                <w:spacing w:val="-5"/>
                <w:sz w:val="24"/>
                <w:szCs w:val="24"/>
              </w:rPr>
              <w:t>0%)</w:t>
            </w:r>
          </w:p>
        </w:tc>
        <w:tc>
          <w:tcPr>
            <w:tcW w:w="1551" w:type="dxa"/>
          </w:tcPr>
          <w:p w:rsidR="00551529" w:rsidRPr="007347E6" w:rsidRDefault="00551529" w:rsidP="007347E6">
            <w:pPr>
              <w:pStyle w:val="TableParagraph"/>
              <w:spacing w:before="95" w:line="360" w:lineRule="auto"/>
              <w:rPr>
                <w:sz w:val="24"/>
                <w:szCs w:val="24"/>
              </w:rPr>
            </w:pPr>
          </w:p>
          <w:p w:rsidR="00551529" w:rsidRPr="007347E6" w:rsidRDefault="00551529" w:rsidP="007347E6">
            <w:pPr>
              <w:pStyle w:val="TableParagraph"/>
              <w:spacing w:before="0" w:line="360" w:lineRule="auto"/>
              <w:ind w:left="44" w:right="3"/>
              <w:rPr>
                <w:b/>
                <w:sz w:val="24"/>
                <w:szCs w:val="24"/>
              </w:rPr>
            </w:pPr>
            <w:r w:rsidRPr="007347E6">
              <w:rPr>
                <w:b/>
                <w:spacing w:val="-5"/>
                <w:sz w:val="24"/>
                <w:szCs w:val="24"/>
              </w:rPr>
              <w:t>T1</w:t>
            </w:r>
          </w:p>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z w:val="24"/>
                <w:szCs w:val="24"/>
              </w:rPr>
              <w:t>(MOLP</w:t>
            </w:r>
            <w:r w:rsidRPr="007347E6">
              <w:rPr>
                <w:rFonts w:ascii="Times New Roman" w:hAnsi="Times New Roman" w:cs="Times New Roman"/>
                <w:spacing w:val="-5"/>
                <w:sz w:val="24"/>
                <w:szCs w:val="24"/>
              </w:rPr>
              <w:t>2%)</w:t>
            </w:r>
          </w:p>
        </w:tc>
        <w:tc>
          <w:tcPr>
            <w:tcW w:w="1690" w:type="dxa"/>
          </w:tcPr>
          <w:p w:rsidR="00551529" w:rsidRPr="007347E6" w:rsidRDefault="00551529" w:rsidP="007347E6">
            <w:pPr>
              <w:pStyle w:val="TableParagraph"/>
              <w:spacing w:before="95" w:line="360" w:lineRule="auto"/>
              <w:rPr>
                <w:sz w:val="24"/>
                <w:szCs w:val="24"/>
              </w:rPr>
            </w:pPr>
          </w:p>
          <w:p w:rsidR="00551529" w:rsidRPr="007347E6" w:rsidRDefault="00551529" w:rsidP="007347E6">
            <w:pPr>
              <w:pStyle w:val="TableParagraph"/>
              <w:spacing w:before="0" w:line="360" w:lineRule="auto"/>
              <w:ind w:left="39" w:right="3"/>
              <w:rPr>
                <w:b/>
                <w:sz w:val="24"/>
                <w:szCs w:val="24"/>
              </w:rPr>
            </w:pPr>
            <w:r w:rsidRPr="007347E6">
              <w:rPr>
                <w:b/>
                <w:spacing w:val="-5"/>
                <w:sz w:val="24"/>
                <w:szCs w:val="24"/>
              </w:rPr>
              <w:t>T2</w:t>
            </w:r>
          </w:p>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z w:val="24"/>
                <w:szCs w:val="24"/>
              </w:rPr>
              <w:t>(MOLP</w:t>
            </w:r>
            <w:r w:rsidRPr="007347E6">
              <w:rPr>
                <w:rFonts w:ascii="Times New Roman" w:hAnsi="Times New Roman" w:cs="Times New Roman"/>
                <w:spacing w:val="-5"/>
                <w:sz w:val="24"/>
                <w:szCs w:val="24"/>
              </w:rPr>
              <w:t>4%)</w:t>
            </w:r>
          </w:p>
        </w:tc>
        <w:tc>
          <w:tcPr>
            <w:tcW w:w="1567" w:type="dxa"/>
          </w:tcPr>
          <w:p w:rsidR="00551529" w:rsidRPr="007347E6" w:rsidRDefault="00551529" w:rsidP="007347E6">
            <w:pPr>
              <w:pStyle w:val="TableParagraph"/>
              <w:spacing w:before="95" w:line="360" w:lineRule="auto"/>
              <w:rPr>
                <w:sz w:val="24"/>
                <w:szCs w:val="24"/>
              </w:rPr>
            </w:pPr>
          </w:p>
          <w:p w:rsidR="00551529" w:rsidRPr="007347E6" w:rsidRDefault="00551529" w:rsidP="007347E6">
            <w:pPr>
              <w:pStyle w:val="TableParagraph"/>
              <w:spacing w:before="0" w:line="360" w:lineRule="auto"/>
              <w:ind w:left="43" w:right="1"/>
              <w:rPr>
                <w:b/>
                <w:sz w:val="24"/>
                <w:szCs w:val="24"/>
              </w:rPr>
            </w:pPr>
            <w:r w:rsidRPr="007347E6">
              <w:rPr>
                <w:b/>
                <w:spacing w:val="-5"/>
                <w:sz w:val="24"/>
                <w:szCs w:val="24"/>
              </w:rPr>
              <w:t>T3</w:t>
            </w:r>
          </w:p>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z w:val="24"/>
                <w:szCs w:val="24"/>
              </w:rPr>
              <w:t>(MOLP</w:t>
            </w:r>
            <w:r w:rsidRPr="007347E6">
              <w:rPr>
                <w:rFonts w:ascii="Times New Roman" w:hAnsi="Times New Roman" w:cs="Times New Roman"/>
                <w:spacing w:val="-5"/>
                <w:sz w:val="24"/>
                <w:szCs w:val="24"/>
              </w:rPr>
              <w:t>6%)</w:t>
            </w:r>
          </w:p>
        </w:tc>
        <w:tc>
          <w:tcPr>
            <w:tcW w:w="1588" w:type="dxa"/>
          </w:tcPr>
          <w:p w:rsidR="00551529" w:rsidRPr="007347E6" w:rsidRDefault="00551529" w:rsidP="007347E6">
            <w:pPr>
              <w:pStyle w:val="TableParagraph"/>
              <w:spacing w:before="95" w:line="360" w:lineRule="auto"/>
              <w:rPr>
                <w:sz w:val="24"/>
                <w:szCs w:val="24"/>
              </w:rPr>
            </w:pPr>
          </w:p>
          <w:p w:rsidR="00551529" w:rsidRPr="007347E6" w:rsidRDefault="00551529" w:rsidP="007347E6">
            <w:pPr>
              <w:pStyle w:val="TableParagraph"/>
              <w:spacing w:before="0" w:line="360" w:lineRule="auto"/>
              <w:ind w:left="36" w:right="1"/>
              <w:rPr>
                <w:b/>
                <w:sz w:val="24"/>
                <w:szCs w:val="24"/>
              </w:rPr>
            </w:pPr>
            <w:r w:rsidRPr="007347E6">
              <w:rPr>
                <w:b/>
                <w:spacing w:val="-5"/>
                <w:sz w:val="24"/>
                <w:szCs w:val="24"/>
              </w:rPr>
              <w:t>T4</w:t>
            </w:r>
          </w:p>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z w:val="24"/>
                <w:szCs w:val="24"/>
              </w:rPr>
              <w:t>(MOLP</w:t>
            </w:r>
            <w:r w:rsidRPr="007347E6">
              <w:rPr>
                <w:rFonts w:ascii="Times New Roman" w:hAnsi="Times New Roman" w:cs="Times New Roman"/>
                <w:spacing w:val="-5"/>
                <w:sz w:val="24"/>
                <w:szCs w:val="24"/>
              </w:rPr>
              <w:t>8%)</w:t>
            </w:r>
          </w:p>
        </w:tc>
      </w:tr>
      <w:tr w:rsidR="00551529" w:rsidRPr="007347E6" w:rsidTr="0095574B">
        <w:trPr>
          <w:trHeight w:val="555"/>
        </w:trPr>
        <w:tc>
          <w:tcPr>
            <w:tcW w:w="1443"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z w:val="24"/>
                <w:szCs w:val="24"/>
              </w:rPr>
              <w:t>IW</w:t>
            </w:r>
            <w:r w:rsidRPr="007347E6">
              <w:rPr>
                <w:rFonts w:ascii="Times New Roman" w:hAnsi="Times New Roman" w:cs="Times New Roman"/>
                <w:spacing w:val="-5"/>
                <w:sz w:val="24"/>
                <w:szCs w:val="24"/>
              </w:rPr>
              <w:t>(g)</w:t>
            </w:r>
          </w:p>
        </w:tc>
        <w:tc>
          <w:tcPr>
            <w:tcW w:w="1551"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9.13±0.01</w:t>
            </w:r>
          </w:p>
        </w:tc>
        <w:tc>
          <w:tcPr>
            <w:tcW w:w="1551"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9.06±0.03</w:t>
            </w:r>
          </w:p>
        </w:tc>
        <w:tc>
          <w:tcPr>
            <w:tcW w:w="1690"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9.14±0.03</w:t>
            </w:r>
          </w:p>
        </w:tc>
        <w:tc>
          <w:tcPr>
            <w:tcW w:w="1567"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9.27±0.01</w:t>
            </w:r>
          </w:p>
        </w:tc>
        <w:tc>
          <w:tcPr>
            <w:tcW w:w="1588"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9.15±0.02</w:t>
            </w:r>
          </w:p>
        </w:tc>
      </w:tr>
      <w:tr w:rsidR="00551529" w:rsidRPr="007347E6" w:rsidTr="0095574B">
        <w:trPr>
          <w:trHeight w:val="540"/>
        </w:trPr>
        <w:tc>
          <w:tcPr>
            <w:tcW w:w="1443"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FW(g)</w:t>
            </w:r>
          </w:p>
        </w:tc>
        <w:tc>
          <w:tcPr>
            <w:tcW w:w="1551"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38.19±0.12</w:t>
            </w:r>
          </w:p>
        </w:tc>
        <w:tc>
          <w:tcPr>
            <w:tcW w:w="1551"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42.29±0.20</w:t>
            </w:r>
          </w:p>
        </w:tc>
        <w:tc>
          <w:tcPr>
            <w:tcW w:w="1690"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48.76±0.17</w:t>
            </w:r>
          </w:p>
        </w:tc>
        <w:tc>
          <w:tcPr>
            <w:tcW w:w="1567"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54.08±0.21</w:t>
            </w:r>
          </w:p>
        </w:tc>
        <w:tc>
          <w:tcPr>
            <w:tcW w:w="1588"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58.55±0.39</w:t>
            </w:r>
          </w:p>
        </w:tc>
      </w:tr>
      <w:tr w:rsidR="00551529" w:rsidRPr="007347E6" w:rsidTr="0095574B">
        <w:trPr>
          <w:trHeight w:val="600"/>
        </w:trPr>
        <w:tc>
          <w:tcPr>
            <w:tcW w:w="1443"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z w:val="24"/>
                <w:szCs w:val="24"/>
              </w:rPr>
              <w:t>WG</w:t>
            </w:r>
            <w:r w:rsidRPr="007347E6">
              <w:rPr>
                <w:rFonts w:ascii="Times New Roman" w:hAnsi="Times New Roman" w:cs="Times New Roman"/>
                <w:spacing w:val="-5"/>
                <w:sz w:val="24"/>
                <w:szCs w:val="24"/>
              </w:rPr>
              <w:t xml:space="preserve"> (g)</w:t>
            </w:r>
          </w:p>
        </w:tc>
        <w:tc>
          <w:tcPr>
            <w:tcW w:w="1551"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77.53±2.09</w:t>
            </w:r>
          </w:p>
        </w:tc>
        <w:tc>
          <w:tcPr>
            <w:tcW w:w="1551"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95.63±3.21</w:t>
            </w:r>
          </w:p>
        </w:tc>
        <w:tc>
          <w:tcPr>
            <w:tcW w:w="1690"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106.09±3.60</w:t>
            </w:r>
          </w:p>
        </w:tc>
        <w:tc>
          <w:tcPr>
            <w:tcW w:w="1567"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115.44±3.40</w:t>
            </w:r>
          </w:p>
        </w:tc>
        <w:tc>
          <w:tcPr>
            <w:tcW w:w="1588"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136.55±2.27</w:t>
            </w:r>
          </w:p>
        </w:tc>
      </w:tr>
      <w:tr w:rsidR="00551529" w:rsidRPr="007347E6" w:rsidTr="0095574B">
        <w:trPr>
          <w:trHeight w:val="585"/>
        </w:trPr>
        <w:tc>
          <w:tcPr>
            <w:tcW w:w="1443"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z w:val="24"/>
                <w:szCs w:val="24"/>
              </w:rPr>
              <w:t>SGR</w:t>
            </w:r>
            <w:r w:rsidRPr="007347E6">
              <w:rPr>
                <w:rFonts w:ascii="Times New Roman" w:hAnsi="Times New Roman" w:cs="Times New Roman"/>
                <w:spacing w:val="-2"/>
                <w:sz w:val="24"/>
                <w:szCs w:val="24"/>
              </w:rPr>
              <w:t>(%/day)</w:t>
            </w:r>
          </w:p>
        </w:tc>
        <w:tc>
          <w:tcPr>
            <w:tcW w:w="1551"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1.03±0.01</w:t>
            </w:r>
          </w:p>
        </w:tc>
        <w:tc>
          <w:tcPr>
            <w:tcW w:w="1551"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1.13±0.01</w:t>
            </w:r>
          </w:p>
        </w:tc>
        <w:tc>
          <w:tcPr>
            <w:tcW w:w="1690"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1.18±0.01</w:t>
            </w:r>
          </w:p>
        </w:tc>
        <w:tc>
          <w:tcPr>
            <w:tcW w:w="1567"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1.21±0.01</w:t>
            </w:r>
          </w:p>
        </w:tc>
        <w:tc>
          <w:tcPr>
            <w:tcW w:w="1588"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1.30±0.00</w:t>
            </w:r>
          </w:p>
        </w:tc>
      </w:tr>
      <w:tr w:rsidR="00551529" w:rsidRPr="007347E6" w:rsidTr="0095574B">
        <w:trPr>
          <w:trHeight w:val="630"/>
        </w:trPr>
        <w:tc>
          <w:tcPr>
            <w:tcW w:w="1443"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z w:val="24"/>
                <w:szCs w:val="24"/>
              </w:rPr>
              <w:t>ADG</w:t>
            </w:r>
            <w:r w:rsidRPr="007347E6">
              <w:rPr>
                <w:rFonts w:ascii="Times New Roman" w:hAnsi="Times New Roman" w:cs="Times New Roman"/>
                <w:spacing w:val="-5"/>
                <w:sz w:val="24"/>
                <w:szCs w:val="24"/>
              </w:rPr>
              <w:t xml:space="preserve"> (g)</w:t>
            </w:r>
          </w:p>
        </w:tc>
        <w:tc>
          <w:tcPr>
            <w:tcW w:w="1551"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0.75±0.02</w:t>
            </w:r>
          </w:p>
        </w:tc>
        <w:tc>
          <w:tcPr>
            <w:tcW w:w="1551"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0.96±0.03</w:t>
            </w:r>
          </w:p>
        </w:tc>
        <w:tc>
          <w:tcPr>
            <w:tcW w:w="1690"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1.07±0.03</w:t>
            </w:r>
          </w:p>
        </w:tc>
        <w:tc>
          <w:tcPr>
            <w:tcW w:w="1567"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1.17±0.03</w:t>
            </w:r>
          </w:p>
        </w:tc>
        <w:tc>
          <w:tcPr>
            <w:tcW w:w="1588"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1.41±0.02</w:t>
            </w:r>
          </w:p>
        </w:tc>
      </w:tr>
      <w:tr w:rsidR="00551529" w:rsidRPr="007347E6" w:rsidTr="0095574B">
        <w:trPr>
          <w:trHeight w:val="660"/>
        </w:trPr>
        <w:tc>
          <w:tcPr>
            <w:tcW w:w="1443"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5"/>
                <w:sz w:val="24"/>
                <w:szCs w:val="24"/>
              </w:rPr>
              <w:t>FCR</w:t>
            </w:r>
          </w:p>
        </w:tc>
        <w:tc>
          <w:tcPr>
            <w:tcW w:w="1551"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1.90±0.00</w:t>
            </w:r>
          </w:p>
        </w:tc>
        <w:tc>
          <w:tcPr>
            <w:tcW w:w="1551"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1.89±0.01</w:t>
            </w:r>
          </w:p>
        </w:tc>
        <w:tc>
          <w:tcPr>
            <w:tcW w:w="1690"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1.95±0.00</w:t>
            </w:r>
          </w:p>
        </w:tc>
        <w:tc>
          <w:tcPr>
            <w:tcW w:w="1567"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1.94±0.00</w:t>
            </w:r>
          </w:p>
        </w:tc>
        <w:tc>
          <w:tcPr>
            <w:tcW w:w="1588"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1.93±0.00</w:t>
            </w:r>
          </w:p>
        </w:tc>
      </w:tr>
      <w:tr w:rsidR="00551529" w:rsidRPr="007347E6" w:rsidTr="0095574B">
        <w:trPr>
          <w:trHeight w:val="615"/>
        </w:trPr>
        <w:tc>
          <w:tcPr>
            <w:tcW w:w="1443"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5"/>
                <w:sz w:val="24"/>
                <w:szCs w:val="24"/>
              </w:rPr>
              <w:t>PER</w:t>
            </w:r>
          </w:p>
        </w:tc>
        <w:tc>
          <w:tcPr>
            <w:tcW w:w="1551"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3.75±0.05</w:t>
            </w:r>
          </w:p>
        </w:tc>
        <w:tc>
          <w:tcPr>
            <w:tcW w:w="1551"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3.72±0.02</w:t>
            </w:r>
          </w:p>
        </w:tc>
        <w:tc>
          <w:tcPr>
            <w:tcW w:w="1690"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4.15±0.07</w:t>
            </w:r>
          </w:p>
        </w:tc>
        <w:tc>
          <w:tcPr>
            <w:tcW w:w="1567"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4.13±0.08</w:t>
            </w:r>
          </w:p>
        </w:tc>
        <w:tc>
          <w:tcPr>
            <w:tcW w:w="1588" w:type="dxa"/>
          </w:tcPr>
          <w:p w:rsidR="00551529" w:rsidRPr="007347E6" w:rsidRDefault="00551529" w:rsidP="007347E6">
            <w:pPr>
              <w:spacing w:before="120" w:line="360" w:lineRule="auto"/>
              <w:jc w:val="center"/>
              <w:rPr>
                <w:rFonts w:ascii="Times New Roman" w:hAnsi="Times New Roman" w:cs="Times New Roman"/>
                <w:sz w:val="24"/>
                <w:szCs w:val="24"/>
              </w:rPr>
            </w:pPr>
            <w:r w:rsidRPr="007347E6">
              <w:rPr>
                <w:rFonts w:ascii="Times New Roman" w:hAnsi="Times New Roman" w:cs="Times New Roman"/>
                <w:spacing w:val="-2"/>
                <w:sz w:val="24"/>
                <w:szCs w:val="24"/>
              </w:rPr>
              <w:t>4.03±0.02</w:t>
            </w:r>
          </w:p>
        </w:tc>
      </w:tr>
      <w:tr w:rsidR="00E85064" w:rsidRPr="007347E6" w:rsidTr="003175E2">
        <w:trPr>
          <w:trHeight w:val="1245"/>
        </w:trPr>
        <w:tc>
          <w:tcPr>
            <w:tcW w:w="9390" w:type="dxa"/>
            <w:gridSpan w:val="6"/>
          </w:tcPr>
          <w:p w:rsidR="00E85064" w:rsidRPr="007347E6" w:rsidRDefault="00E85064" w:rsidP="007347E6">
            <w:pPr>
              <w:spacing w:before="120" w:line="360" w:lineRule="auto"/>
              <w:rPr>
                <w:rFonts w:ascii="Times New Roman" w:hAnsi="Times New Roman" w:cs="Times New Roman"/>
                <w:sz w:val="24"/>
                <w:szCs w:val="24"/>
              </w:rPr>
            </w:pPr>
            <w:r w:rsidRPr="007347E6">
              <w:rPr>
                <w:rFonts w:ascii="Times New Roman" w:hAnsi="Times New Roman" w:cs="Times New Roman"/>
                <w:sz w:val="24"/>
                <w:szCs w:val="24"/>
              </w:rPr>
              <w:t>Growth performance values are expressed as mean ± SD of three replicates per treatment (n=4) and values with differrent supersc</w:t>
            </w:r>
            <w:r w:rsidR="00551529" w:rsidRPr="007347E6">
              <w:rPr>
                <w:rFonts w:ascii="Times New Roman" w:hAnsi="Times New Roman" w:cs="Times New Roman"/>
                <w:sz w:val="24"/>
                <w:szCs w:val="24"/>
              </w:rPr>
              <w:t>ript letters are significantly different (p&lt;0.05) among treatments.</w:t>
            </w:r>
          </w:p>
          <w:p w:rsidR="00551529" w:rsidRPr="007347E6" w:rsidRDefault="00551529" w:rsidP="007347E6">
            <w:pPr>
              <w:spacing w:before="120" w:line="360" w:lineRule="auto"/>
              <w:rPr>
                <w:rFonts w:ascii="Times New Roman" w:hAnsi="Times New Roman" w:cs="Times New Roman"/>
                <w:sz w:val="24"/>
                <w:szCs w:val="24"/>
              </w:rPr>
            </w:pPr>
            <w:r w:rsidRPr="007347E6">
              <w:rPr>
                <w:rFonts w:ascii="Times New Roman" w:hAnsi="Times New Roman" w:cs="Times New Roman"/>
                <w:sz w:val="24"/>
                <w:szCs w:val="24"/>
              </w:rPr>
              <w:t>IW: Initial weight; FW: Final weight; WG: Weight gain; SGR: Specific growth rate; ADG: Average daily growth; FCR: Food conversion ratio; PER: Protein Efficiency ratio.</w:t>
            </w:r>
          </w:p>
        </w:tc>
      </w:tr>
    </w:tbl>
    <w:p w:rsidR="00BF51FB" w:rsidRPr="007347E6" w:rsidRDefault="00215EFC" w:rsidP="007347E6">
      <w:pPr>
        <w:spacing w:before="240" w:after="240" w:line="360" w:lineRule="auto"/>
        <w:rPr>
          <w:rFonts w:ascii="Times New Roman" w:hAnsi="Times New Roman" w:cs="Times New Roman"/>
          <w:sz w:val="24"/>
          <w:szCs w:val="24"/>
        </w:rPr>
      </w:pPr>
      <w:r w:rsidRPr="007347E6">
        <w:rPr>
          <w:rFonts w:ascii="Times New Roman" w:hAnsi="Times New Roman" w:cs="Times New Roman"/>
          <w:sz w:val="24"/>
          <w:szCs w:val="24"/>
        </w:rPr>
        <w:t xml:space="preserve">Table 2:  Growth response and feed efficiency of </w:t>
      </w:r>
      <w:r w:rsidRPr="007347E6">
        <w:rPr>
          <w:rFonts w:ascii="Times New Roman" w:hAnsi="Times New Roman" w:cs="Times New Roman"/>
          <w:i/>
          <w:sz w:val="24"/>
          <w:szCs w:val="24"/>
        </w:rPr>
        <w:t>Labeo rohita</w:t>
      </w:r>
      <w:r w:rsidRPr="007347E6">
        <w:rPr>
          <w:rFonts w:ascii="Times New Roman" w:hAnsi="Times New Roman" w:cs="Times New Roman"/>
          <w:sz w:val="24"/>
          <w:szCs w:val="24"/>
        </w:rPr>
        <w:t xml:space="preserve"> fingerling.</w:t>
      </w:r>
    </w:p>
    <w:p w:rsidR="00BF51FB" w:rsidRPr="007347E6" w:rsidRDefault="00E23EF2" w:rsidP="007347E6">
      <w:pPr>
        <w:spacing w:line="360" w:lineRule="auto"/>
        <w:rPr>
          <w:rFonts w:ascii="Times New Roman" w:hAnsi="Times New Roman" w:cs="Times New Roman"/>
          <w:b/>
          <w:bCs/>
          <w:sz w:val="24"/>
          <w:szCs w:val="24"/>
        </w:rPr>
      </w:pPr>
      <w:r w:rsidRPr="007347E6">
        <w:rPr>
          <w:rFonts w:ascii="Times New Roman" w:hAnsi="Times New Roman" w:cs="Times New Roman"/>
          <w:b/>
          <w:bCs/>
          <w:sz w:val="24"/>
          <w:szCs w:val="24"/>
        </w:rPr>
        <w:t>Discussion</w:t>
      </w:r>
    </w:p>
    <w:p w:rsidR="000674E7" w:rsidRPr="0095574B" w:rsidRDefault="00E23EF2" w:rsidP="007347E6">
      <w:pPr>
        <w:spacing w:before="240" w:after="240" w:line="360" w:lineRule="auto"/>
        <w:jc w:val="both"/>
        <w:rPr>
          <w:rFonts w:ascii="Times New Roman" w:hAnsi="Times New Roman" w:cs="Times New Roman"/>
          <w:color w:val="FF0000"/>
          <w:sz w:val="24"/>
          <w:szCs w:val="24"/>
        </w:rPr>
      </w:pPr>
      <w:r w:rsidRPr="007347E6">
        <w:rPr>
          <w:rFonts w:ascii="Times New Roman" w:hAnsi="Times New Roman" w:cs="Times New Roman"/>
          <w:sz w:val="24"/>
          <w:szCs w:val="24"/>
        </w:rPr>
        <w:t xml:space="preserve">Growth performance of </w:t>
      </w:r>
      <w:r w:rsidRPr="007347E6">
        <w:rPr>
          <w:rFonts w:ascii="Times New Roman" w:hAnsi="Times New Roman" w:cs="Times New Roman"/>
          <w:i/>
          <w:sz w:val="24"/>
          <w:szCs w:val="24"/>
        </w:rPr>
        <w:t>Labeo rohita</w:t>
      </w:r>
      <w:r w:rsidRPr="007347E6">
        <w:rPr>
          <w:rFonts w:ascii="Times New Roman" w:hAnsi="Times New Roman" w:cs="Times New Roman"/>
          <w:sz w:val="24"/>
          <w:szCs w:val="24"/>
        </w:rPr>
        <w:t xml:space="preserve"> fingerlings showed significant improvement with increasing levels of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leaf powder supplementation. Final average body weights varied from 38.19 g in the control group to 58.55 g in the group receiving 8% MLP (T4). Weight gain and specific growth rate (SGR) were significantly higher in moringa-supplemented groups, particularly T4, which showed the highest weight gain (136.55 g) and SGR (1.30%/day), while the control group recorded the lowest (77.53 g and 1.03%/day, respectively). Average daily gain also increased with higher MLP inclusion, peaking at 1.41 g/day in T4.The feed conversion ratio (FCR) varied significantly across treatments, with the best FCR observed in T2 (1.95), indicating efficient feed utilization at 4% MLP </w:t>
      </w:r>
      <w:r w:rsidRPr="007347E6">
        <w:rPr>
          <w:rFonts w:ascii="Times New Roman" w:hAnsi="Times New Roman" w:cs="Times New Roman"/>
          <w:sz w:val="24"/>
          <w:szCs w:val="24"/>
        </w:rPr>
        <w:lastRenderedPageBreak/>
        <w:t xml:space="preserve">supplementation. Interestingly, T1 showed a slightly poorer FCR despite lower MLP inclusion. The protein efficiency ratio (PER) followed a similar trend, with the highest value recorded in T2 (4.15), suggesting enhanced protein utilization at moderate MLP levels. These results suggest that MLP supplementation not only enhances growth but also improves feed efficiency and protein utilization in </w:t>
      </w:r>
      <w:r w:rsidRPr="007347E6">
        <w:rPr>
          <w:rFonts w:ascii="Times New Roman" w:hAnsi="Times New Roman" w:cs="Times New Roman"/>
          <w:i/>
          <w:sz w:val="24"/>
          <w:szCs w:val="24"/>
        </w:rPr>
        <w:t>Labeo rohita</w:t>
      </w:r>
      <w:r w:rsidRPr="007347E6">
        <w:rPr>
          <w:rFonts w:ascii="Times New Roman" w:hAnsi="Times New Roman" w:cs="Times New Roman"/>
          <w:sz w:val="24"/>
          <w:szCs w:val="24"/>
        </w:rPr>
        <w:t xml:space="preserve"> culture.</w:t>
      </w:r>
      <w:r w:rsidR="000674E7" w:rsidRPr="007347E6">
        <w:rPr>
          <w:rFonts w:ascii="Times New Roman" w:hAnsi="Times New Roman" w:cs="Times New Roman"/>
          <w:sz w:val="24"/>
          <w:szCs w:val="24"/>
          <w:lang w:val="en-GB"/>
        </w:rPr>
        <w:t xml:space="preserve">This study demonstrated that </w:t>
      </w:r>
      <w:r w:rsidR="000674E7" w:rsidRPr="007347E6">
        <w:rPr>
          <w:rFonts w:ascii="Times New Roman" w:hAnsi="Times New Roman" w:cs="Times New Roman"/>
          <w:i/>
          <w:iCs/>
          <w:sz w:val="24"/>
          <w:szCs w:val="24"/>
          <w:lang w:val="en-GB"/>
        </w:rPr>
        <w:t>Moringa oleifera</w:t>
      </w:r>
      <w:r w:rsidR="000674E7" w:rsidRPr="007347E6">
        <w:rPr>
          <w:rFonts w:ascii="Times New Roman" w:hAnsi="Times New Roman" w:cs="Times New Roman"/>
          <w:sz w:val="24"/>
          <w:szCs w:val="24"/>
          <w:lang w:val="en-GB"/>
        </w:rPr>
        <w:t xml:space="preserve"> leaf powder significantly enhances the growth performance of </w:t>
      </w:r>
      <w:r w:rsidR="000674E7" w:rsidRPr="007347E6">
        <w:rPr>
          <w:rFonts w:ascii="Times New Roman" w:hAnsi="Times New Roman" w:cs="Times New Roman"/>
          <w:i/>
          <w:iCs/>
          <w:sz w:val="24"/>
          <w:szCs w:val="24"/>
          <w:lang w:val="en-GB"/>
        </w:rPr>
        <w:t>Labeo rohita</w:t>
      </w:r>
      <w:r w:rsidR="000674E7" w:rsidRPr="007347E6">
        <w:rPr>
          <w:rFonts w:ascii="Times New Roman" w:hAnsi="Times New Roman" w:cs="Times New Roman"/>
          <w:sz w:val="24"/>
          <w:szCs w:val="24"/>
          <w:lang w:val="en-GB"/>
        </w:rPr>
        <w:t xml:space="preserve">, consistent with prior findings in other aquaculture species. For example, </w:t>
      </w:r>
      <w:r w:rsidR="000674E7" w:rsidRPr="0095574B">
        <w:rPr>
          <w:rFonts w:ascii="Times New Roman" w:hAnsi="Times New Roman" w:cs="Times New Roman"/>
          <w:b/>
          <w:bCs/>
          <w:color w:val="FF0000"/>
          <w:sz w:val="24"/>
          <w:szCs w:val="24"/>
          <w:lang w:val="en-GB"/>
        </w:rPr>
        <w:t>Afuang</w:t>
      </w:r>
      <w:r w:rsidR="000674E7" w:rsidRPr="0095574B">
        <w:rPr>
          <w:rFonts w:ascii="Times New Roman" w:hAnsi="Times New Roman" w:cs="Times New Roman"/>
          <w:b/>
          <w:bCs/>
          <w:i/>
          <w:iCs/>
          <w:color w:val="FF0000"/>
          <w:sz w:val="24"/>
          <w:szCs w:val="24"/>
          <w:lang w:val="en-GB"/>
        </w:rPr>
        <w:t>et al</w:t>
      </w:r>
      <w:r w:rsidR="000674E7" w:rsidRPr="0095574B">
        <w:rPr>
          <w:rFonts w:ascii="Times New Roman" w:hAnsi="Times New Roman" w:cs="Times New Roman"/>
          <w:b/>
          <w:bCs/>
          <w:color w:val="FF0000"/>
          <w:sz w:val="24"/>
          <w:szCs w:val="24"/>
          <w:lang w:val="en-GB"/>
        </w:rPr>
        <w:t>. (2003)</w:t>
      </w:r>
      <w:r w:rsidR="000674E7" w:rsidRPr="007347E6">
        <w:rPr>
          <w:rFonts w:ascii="Times New Roman" w:hAnsi="Times New Roman" w:cs="Times New Roman"/>
          <w:sz w:val="24"/>
          <w:szCs w:val="24"/>
          <w:lang w:val="en-GB"/>
        </w:rPr>
        <w:t xml:space="preserve"> reported that solvent-extracted moringa leaves could replace 30% of fishmeal in </w:t>
      </w:r>
      <w:r w:rsidR="000674E7" w:rsidRPr="007347E6">
        <w:rPr>
          <w:rFonts w:ascii="Times New Roman" w:hAnsi="Times New Roman" w:cs="Times New Roman"/>
          <w:i/>
          <w:iCs/>
          <w:sz w:val="24"/>
          <w:szCs w:val="24"/>
          <w:lang w:val="en-GB"/>
        </w:rPr>
        <w:t>Nile tilapia</w:t>
      </w:r>
      <w:r w:rsidR="000674E7" w:rsidRPr="007347E6">
        <w:rPr>
          <w:rFonts w:ascii="Times New Roman" w:hAnsi="Times New Roman" w:cs="Times New Roman"/>
          <w:sz w:val="24"/>
          <w:szCs w:val="24"/>
          <w:lang w:val="en-GB"/>
        </w:rPr>
        <w:t xml:space="preserve"> diets without adverse effects. Similarly</w:t>
      </w:r>
      <w:r w:rsidR="000674E7" w:rsidRPr="007347E6">
        <w:rPr>
          <w:rFonts w:ascii="Times New Roman" w:hAnsi="Times New Roman" w:cs="Times New Roman"/>
          <w:b/>
          <w:bCs/>
          <w:sz w:val="24"/>
          <w:szCs w:val="24"/>
          <w:lang w:val="en-GB"/>
        </w:rPr>
        <w:t xml:space="preserve">, </w:t>
      </w:r>
      <w:r w:rsidR="000674E7" w:rsidRPr="0095574B">
        <w:rPr>
          <w:rFonts w:ascii="Times New Roman" w:hAnsi="Times New Roman" w:cs="Times New Roman"/>
          <w:b/>
          <w:bCs/>
          <w:color w:val="FF0000"/>
          <w:sz w:val="24"/>
          <w:szCs w:val="24"/>
          <w:lang w:val="en-GB"/>
        </w:rPr>
        <w:t xml:space="preserve">Khalil </w:t>
      </w:r>
      <w:r w:rsidR="000674E7" w:rsidRPr="0095574B">
        <w:rPr>
          <w:rFonts w:ascii="Times New Roman" w:hAnsi="Times New Roman" w:cs="Times New Roman"/>
          <w:b/>
          <w:bCs/>
          <w:i/>
          <w:iCs/>
          <w:color w:val="FF0000"/>
          <w:sz w:val="24"/>
          <w:szCs w:val="24"/>
          <w:lang w:val="en-GB"/>
        </w:rPr>
        <w:t>et al</w:t>
      </w:r>
      <w:r w:rsidR="000674E7" w:rsidRPr="0095574B">
        <w:rPr>
          <w:rFonts w:ascii="Times New Roman" w:hAnsi="Times New Roman" w:cs="Times New Roman"/>
          <w:b/>
          <w:bCs/>
          <w:color w:val="FF0000"/>
          <w:sz w:val="24"/>
          <w:szCs w:val="24"/>
          <w:lang w:val="en-GB"/>
        </w:rPr>
        <w:t>. (2017)</w:t>
      </w:r>
      <w:r w:rsidR="000674E7" w:rsidRPr="007347E6">
        <w:rPr>
          <w:rFonts w:ascii="Times New Roman" w:hAnsi="Times New Roman" w:cs="Times New Roman"/>
          <w:b/>
          <w:bCs/>
          <w:sz w:val="24"/>
          <w:szCs w:val="24"/>
          <w:lang w:val="en-GB"/>
        </w:rPr>
        <w:t xml:space="preserve"> </w:t>
      </w:r>
      <w:r w:rsidR="000674E7" w:rsidRPr="007347E6">
        <w:rPr>
          <w:rFonts w:ascii="Times New Roman" w:hAnsi="Times New Roman" w:cs="Times New Roman"/>
          <w:sz w:val="24"/>
          <w:szCs w:val="24"/>
          <w:lang w:val="en-GB"/>
        </w:rPr>
        <w:t xml:space="preserve">observed improved growth and immunity in </w:t>
      </w:r>
      <w:r w:rsidR="000674E7" w:rsidRPr="007347E6">
        <w:rPr>
          <w:rFonts w:ascii="Times New Roman" w:hAnsi="Times New Roman" w:cs="Times New Roman"/>
          <w:i/>
          <w:iCs/>
          <w:sz w:val="24"/>
          <w:szCs w:val="24"/>
          <w:lang w:val="en-GB"/>
        </w:rPr>
        <w:t>Cyprinus carpio</w:t>
      </w:r>
      <w:r w:rsidR="000674E7" w:rsidRPr="007347E6">
        <w:rPr>
          <w:rFonts w:ascii="Times New Roman" w:hAnsi="Times New Roman" w:cs="Times New Roman"/>
          <w:sz w:val="24"/>
          <w:szCs w:val="24"/>
          <w:lang w:val="en-GB"/>
        </w:rPr>
        <w:t xml:space="preserve"> fed moringa-based diets. In our study, fish receiving 8% moringa supplementation showed the highest weight gain and specific growth rate, supporting the hypothesis that moringa’s rich nutritional profile and bioactive compounds contribute to enhanced feed utilization.These results align with the observations of </w:t>
      </w:r>
      <w:r w:rsidR="000674E7" w:rsidRPr="0095574B">
        <w:rPr>
          <w:rFonts w:ascii="Times New Roman" w:hAnsi="Times New Roman" w:cs="Times New Roman"/>
          <w:b/>
          <w:bCs/>
          <w:color w:val="FF0000"/>
          <w:sz w:val="24"/>
          <w:szCs w:val="24"/>
          <w:lang w:val="en-GB"/>
        </w:rPr>
        <w:t xml:space="preserve">Sherif </w:t>
      </w:r>
      <w:r w:rsidR="000674E7" w:rsidRPr="0095574B">
        <w:rPr>
          <w:rFonts w:ascii="Times New Roman" w:hAnsi="Times New Roman" w:cs="Times New Roman"/>
          <w:b/>
          <w:bCs/>
          <w:i/>
          <w:iCs/>
          <w:color w:val="FF0000"/>
          <w:sz w:val="24"/>
          <w:szCs w:val="24"/>
          <w:lang w:val="en-GB"/>
        </w:rPr>
        <w:t>et al</w:t>
      </w:r>
      <w:r w:rsidR="000674E7" w:rsidRPr="0095574B">
        <w:rPr>
          <w:rFonts w:ascii="Times New Roman" w:hAnsi="Times New Roman" w:cs="Times New Roman"/>
          <w:b/>
          <w:bCs/>
          <w:color w:val="FF0000"/>
          <w:sz w:val="24"/>
          <w:szCs w:val="24"/>
          <w:lang w:val="en-GB"/>
        </w:rPr>
        <w:t>. (2014)</w:t>
      </w:r>
      <w:r w:rsidR="000674E7" w:rsidRPr="0095574B">
        <w:rPr>
          <w:rFonts w:ascii="Times New Roman" w:hAnsi="Times New Roman" w:cs="Times New Roman"/>
          <w:color w:val="FF0000"/>
          <w:sz w:val="24"/>
          <w:szCs w:val="24"/>
          <w:lang w:val="en-GB"/>
        </w:rPr>
        <w:t>,</w:t>
      </w:r>
      <w:r w:rsidR="000674E7" w:rsidRPr="007347E6">
        <w:rPr>
          <w:rFonts w:ascii="Times New Roman" w:hAnsi="Times New Roman" w:cs="Times New Roman"/>
          <w:sz w:val="24"/>
          <w:szCs w:val="24"/>
          <w:lang w:val="en-GB"/>
        </w:rPr>
        <w:t xml:space="preserve"> who found improved growth efficiency in tilapia fed moringa leaves up to 25%, and with </w:t>
      </w:r>
      <w:r w:rsidR="000674E7" w:rsidRPr="0095574B">
        <w:rPr>
          <w:rFonts w:ascii="Times New Roman" w:hAnsi="Times New Roman" w:cs="Times New Roman"/>
          <w:b/>
          <w:bCs/>
          <w:color w:val="FF0000"/>
          <w:sz w:val="24"/>
          <w:szCs w:val="24"/>
          <w:lang w:val="en-GB"/>
        </w:rPr>
        <w:t xml:space="preserve">Masood </w:t>
      </w:r>
      <w:r w:rsidR="000674E7" w:rsidRPr="0095574B">
        <w:rPr>
          <w:rFonts w:ascii="Times New Roman" w:hAnsi="Times New Roman" w:cs="Times New Roman"/>
          <w:b/>
          <w:bCs/>
          <w:i/>
          <w:iCs/>
          <w:color w:val="FF0000"/>
          <w:sz w:val="24"/>
          <w:szCs w:val="24"/>
          <w:lang w:val="en-GB"/>
        </w:rPr>
        <w:t>et al</w:t>
      </w:r>
      <w:r w:rsidR="000674E7" w:rsidRPr="0095574B">
        <w:rPr>
          <w:rFonts w:ascii="Times New Roman" w:hAnsi="Times New Roman" w:cs="Times New Roman"/>
          <w:b/>
          <w:bCs/>
          <w:color w:val="FF0000"/>
          <w:sz w:val="24"/>
          <w:szCs w:val="24"/>
          <w:lang w:val="en-GB"/>
        </w:rPr>
        <w:t>. (2020)</w:t>
      </w:r>
      <w:r w:rsidR="000674E7" w:rsidRPr="0095574B">
        <w:rPr>
          <w:rFonts w:ascii="Times New Roman" w:hAnsi="Times New Roman" w:cs="Times New Roman"/>
          <w:color w:val="FF0000"/>
          <w:sz w:val="24"/>
          <w:szCs w:val="24"/>
          <w:lang w:val="en-GB"/>
        </w:rPr>
        <w:t>,</w:t>
      </w:r>
      <w:r w:rsidR="000674E7" w:rsidRPr="007347E6">
        <w:rPr>
          <w:rFonts w:ascii="Times New Roman" w:hAnsi="Times New Roman" w:cs="Times New Roman"/>
          <w:sz w:val="24"/>
          <w:szCs w:val="24"/>
          <w:lang w:val="en-GB"/>
        </w:rPr>
        <w:t xml:space="preserve"> who noted that moringa supplementation improves body composition in </w:t>
      </w:r>
      <w:r w:rsidR="000674E7" w:rsidRPr="007347E6">
        <w:rPr>
          <w:rFonts w:ascii="Times New Roman" w:hAnsi="Times New Roman" w:cs="Times New Roman"/>
          <w:i/>
          <w:iCs/>
          <w:sz w:val="24"/>
          <w:szCs w:val="24"/>
          <w:lang w:val="en-GB"/>
        </w:rPr>
        <w:t>Labeo rohita</w:t>
      </w:r>
      <w:r w:rsidR="000674E7" w:rsidRPr="007347E6">
        <w:rPr>
          <w:rFonts w:ascii="Times New Roman" w:hAnsi="Times New Roman" w:cs="Times New Roman"/>
          <w:sz w:val="24"/>
          <w:szCs w:val="24"/>
          <w:lang w:val="en-GB"/>
        </w:rPr>
        <w:t xml:space="preserve">. The presence of flavonoids and antioxidants in moringa likely reduces oxidative stress and supports metabolic functions essential for growth </w:t>
      </w:r>
      <w:r w:rsidR="000674E7" w:rsidRPr="0095574B">
        <w:rPr>
          <w:rFonts w:ascii="Times New Roman" w:hAnsi="Times New Roman" w:cs="Times New Roman"/>
          <w:b/>
          <w:bCs/>
          <w:color w:val="FF0000"/>
          <w:sz w:val="24"/>
          <w:szCs w:val="24"/>
          <w:lang w:val="en-GB"/>
        </w:rPr>
        <w:t xml:space="preserve">(Chakraborty </w:t>
      </w:r>
      <w:r w:rsidR="000674E7" w:rsidRPr="0095574B">
        <w:rPr>
          <w:rFonts w:ascii="Times New Roman" w:hAnsi="Times New Roman" w:cs="Times New Roman"/>
          <w:b/>
          <w:bCs/>
          <w:i/>
          <w:iCs/>
          <w:color w:val="FF0000"/>
          <w:sz w:val="24"/>
          <w:szCs w:val="24"/>
          <w:lang w:val="en-GB"/>
        </w:rPr>
        <w:t>et al</w:t>
      </w:r>
      <w:r w:rsidR="000674E7" w:rsidRPr="0095574B">
        <w:rPr>
          <w:rFonts w:ascii="Times New Roman" w:hAnsi="Times New Roman" w:cs="Times New Roman"/>
          <w:b/>
          <w:bCs/>
          <w:color w:val="FF0000"/>
          <w:sz w:val="24"/>
          <w:szCs w:val="24"/>
          <w:lang w:val="en-GB"/>
        </w:rPr>
        <w:t>., 2011)</w:t>
      </w:r>
      <w:r w:rsidR="000674E7" w:rsidRPr="0095574B">
        <w:rPr>
          <w:rFonts w:ascii="Times New Roman" w:hAnsi="Times New Roman" w:cs="Times New Roman"/>
          <w:color w:val="FF0000"/>
          <w:sz w:val="24"/>
          <w:szCs w:val="24"/>
          <w:lang w:val="en-GB"/>
        </w:rPr>
        <w:t>.</w:t>
      </w:r>
      <w:r w:rsidR="000674E7" w:rsidRPr="007347E6">
        <w:rPr>
          <w:rFonts w:ascii="Times New Roman" w:hAnsi="Times New Roman" w:cs="Times New Roman"/>
          <w:sz w:val="24"/>
          <w:szCs w:val="24"/>
          <w:lang w:val="en-GB"/>
        </w:rPr>
        <w:t xml:space="preserve"> Additionally, the improved protein efficiency ratio suggests better nutrient assimilation, corroborating findings by </w:t>
      </w:r>
      <w:r w:rsidR="000674E7" w:rsidRPr="0095574B">
        <w:rPr>
          <w:rFonts w:ascii="Times New Roman" w:hAnsi="Times New Roman" w:cs="Times New Roman"/>
          <w:b/>
          <w:bCs/>
          <w:color w:val="FF0000"/>
          <w:sz w:val="24"/>
          <w:szCs w:val="24"/>
          <w:lang w:val="en-GB"/>
        </w:rPr>
        <w:t xml:space="preserve">Idowu </w:t>
      </w:r>
      <w:r w:rsidR="000674E7" w:rsidRPr="0095574B">
        <w:rPr>
          <w:rFonts w:ascii="Times New Roman" w:hAnsi="Times New Roman" w:cs="Times New Roman"/>
          <w:b/>
          <w:bCs/>
          <w:i/>
          <w:iCs/>
          <w:color w:val="FF0000"/>
          <w:sz w:val="24"/>
          <w:szCs w:val="24"/>
          <w:lang w:val="en-GB"/>
        </w:rPr>
        <w:t>et al</w:t>
      </w:r>
      <w:r w:rsidR="000674E7" w:rsidRPr="0095574B">
        <w:rPr>
          <w:rFonts w:ascii="Times New Roman" w:hAnsi="Times New Roman" w:cs="Times New Roman"/>
          <w:b/>
          <w:bCs/>
          <w:color w:val="FF0000"/>
          <w:sz w:val="24"/>
          <w:szCs w:val="24"/>
          <w:lang w:val="en-GB"/>
        </w:rPr>
        <w:t xml:space="preserve">. (2017) and Arsalan </w:t>
      </w:r>
      <w:r w:rsidR="000674E7" w:rsidRPr="0095574B">
        <w:rPr>
          <w:rFonts w:ascii="Times New Roman" w:hAnsi="Times New Roman" w:cs="Times New Roman"/>
          <w:b/>
          <w:bCs/>
          <w:i/>
          <w:iCs/>
          <w:color w:val="FF0000"/>
          <w:sz w:val="24"/>
          <w:szCs w:val="24"/>
          <w:lang w:val="en-GB"/>
        </w:rPr>
        <w:t>et al</w:t>
      </w:r>
      <w:r w:rsidR="000674E7" w:rsidRPr="0095574B">
        <w:rPr>
          <w:rFonts w:ascii="Times New Roman" w:hAnsi="Times New Roman" w:cs="Times New Roman"/>
          <w:b/>
          <w:bCs/>
          <w:color w:val="FF0000"/>
          <w:sz w:val="24"/>
          <w:szCs w:val="24"/>
          <w:lang w:val="en-GB"/>
        </w:rPr>
        <w:t>. (2016).</w:t>
      </w:r>
    </w:p>
    <w:p w:rsidR="000674E7" w:rsidRPr="007347E6" w:rsidRDefault="00E23EF2"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sz w:val="24"/>
          <w:szCs w:val="24"/>
        </w:rPr>
        <w:t xml:space="preserve">Overall, dietary inclusion of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leaf powder had a positive influence on growth performance and feed efficiency without adversely affecting water quality. Among all treatments, 8% MLP (T4) demonstrated the most promising results in terms of growth parameters, although 4% MLP (T2) showed optimal feed and protein utilization efficiency</w:t>
      </w:r>
      <w:r w:rsidR="000674E7" w:rsidRPr="007347E6">
        <w:rPr>
          <w:rFonts w:ascii="Times New Roman" w:hAnsi="Times New Roman" w:cs="Times New Roman"/>
          <w:sz w:val="24"/>
          <w:szCs w:val="24"/>
        </w:rPr>
        <w:t>. The evidence supports the incorporation of Moringa oleifera leaf powder as a sustainable, plant-based growth promoter in freshwater carp diets.</w:t>
      </w:r>
    </w:p>
    <w:p w:rsidR="00BF51FB" w:rsidRPr="007347E6" w:rsidRDefault="00E23EF2" w:rsidP="007347E6">
      <w:pPr>
        <w:spacing w:line="360" w:lineRule="auto"/>
        <w:rPr>
          <w:rFonts w:ascii="Times New Roman" w:hAnsi="Times New Roman" w:cs="Times New Roman"/>
          <w:b/>
          <w:bCs/>
          <w:sz w:val="24"/>
          <w:szCs w:val="24"/>
        </w:rPr>
      </w:pPr>
      <w:r w:rsidRPr="007347E6">
        <w:rPr>
          <w:rFonts w:ascii="Times New Roman" w:hAnsi="Times New Roman" w:cs="Times New Roman"/>
          <w:b/>
          <w:bCs/>
          <w:sz w:val="24"/>
          <w:szCs w:val="24"/>
        </w:rPr>
        <w:t>Conclusions</w:t>
      </w:r>
    </w:p>
    <w:p w:rsidR="00BF51FB" w:rsidRPr="007347E6" w:rsidRDefault="00BF51FB" w:rsidP="007347E6">
      <w:pPr>
        <w:spacing w:line="360" w:lineRule="auto"/>
        <w:rPr>
          <w:rFonts w:ascii="Times New Roman" w:hAnsi="Times New Roman" w:cs="Times New Roman"/>
          <w:sz w:val="24"/>
          <w:szCs w:val="24"/>
        </w:rPr>
      </w:pPr>
    </w:p>
    <w:p w:rsidR="00BF51FB" w:rsidRDefault="00E23EF2" w:rsidP="007347E6">
      <w:pPr>
        <w:spacing w:line="360" w:lineRule="auto"/>
        <w:jc w:val="both"/>
        <w:rPr>
          <w:rFonts w:ascii="Times New Roman" w:hAnsi="Times New Roman" w:cs="Times New Roman"/>
          <w:sz w:val="24"/>
          <w:szCs w:val="24"/>
        </w:rPr>
      </w:pPr>
      <w:r w:rsidRPr="007347E6">
        <w:rPr>
          <w:rFonts w:ascii="Times New Roman" w:hAnsi="Times New Roman" w:cs="Times New Roman"/>
          <w:sz w:val="24"/>
          <w:szCs w:val="24"/>
        </w:rPr>
        <w:t xml:space="preserve">The findings of this study demonstrate that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leaf powder is an effective, eco-friendly feed additive for enhancing the growth performance of </w:t>
      </w:r>
      <w:r w:rsidRPr="007347E6">
        <w:rPr>
          <w:rFonts w:ascii="Times New Roman" w:hAnsi="Times New Roman" w:cs="Times New Roman"/>
          <w:i/>
          <w:sz w:val="24"/>
          <w:szCs w:val="24"/>
        </w:rPr>
        <w:t>Labeo rohita</w:t>
      </w:r>
      <w:r w:rsidRPr="007347E6">
        <w:rPr>
          <w:rFonts w:ascii="Times New Roman" w:hAnsi="Times New Roman" w:cs="Times New Roman"/>
          <w:sz w:val="24"/>
          <w:szCs w:val="24"/>
        </w:rPr>
        <w:t xml:space="preserve"> fingerlings. Dietary inclusion of moringa, particularly at 8%, significantly improved weight gain, specific growth rate, and average daily gain without adversely affecting water quality parameters. The </w:t>
      </w:r>
      <w:r w:rsidRPr="007347E6">
        <w:rPr>
          <w:rFonts w:ascii="Times New Roman" w:hAnsi="Times New Roman" w:cs="Times New Roman"/>
          <w:sz w:val="24"/>
          <w:szCs w:val="24"/>
        </w:rPr>
        <w:lastRenderedPageBreak/>
        <w:t xml:space="preserve">feed was well tolerated by the fish, and no negative effects on water conditions were observed, indicating its suitability for sustainable aquaculture practices. Given its local availability, low cost, and bioactive properties,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holds strong potential as a natural growth promoter and immune booster in fish culture systems. Further research is encouraged to explore its pharmacological effects and applications in disease prevention and water quality management in aquaculture.</w:t>
      </w:r>
    </w:p>
    <w:p w:rsidR="00916CBA" w:rsidRDefault="00916CBA" w:rsidP="00EE5D43">
      <w:pPr>
        <w:spacing w:line="360" w:lineRule="auto"/>
        <w:jc w:val="both"/>
        <w:rPr>
          <w:rFonts w:ascii="Times New Roman" w:hAnsi="Times New Roman" w:cs="Times New Roman"/>
          <w:b/>
          <w:sz w:val="24"/>
          <w:szCs w:val="24"/>
        </w:rPr>
      </w:pPr>
    </w:p>
    <w:p w:rsidR="00EE5D43" w:rsidRDefault="00EE5D43" w:rsidP="00EE5D43">
      <w:pPr>
        <w:spacing w:line="360" w:lineRule="auto"/>
        <w:jc w:val="both"/>
        <w:rPr>
          <w:rFonts w:ascii="Times New Roman" w:hAnsi="Times New Roman" w:cs="Times New Roman"/>
          <w:b/>
          <w:sz w:val="24"/>
          <w:szCs w:val="24"/>
        </w:rPr>
      </w:pPr>
      <w:r>
        <w:rPr>
          <w:rFonts w:ascii="Times New Roman" w:hAnsi="Times New Roman" w:cs="Times New Roman"/>
          <w:b/>
          <w:sz w:val="24"/>
          <w:szCs w:val="24"/>
        </w:rPr>
        <w:t>Availability of data and Materials</w:t>
      </w:r>
    </w:p>
    <w:p w:rsidR="00EE5D43" w:rsidRDefault="00EE5D43" w:rsidP="00EE5D43">
      <w:pPr>
        <w:spacing w:line="360" w:lineRule="auto"/>
        <w:jc w:val="both"/>
        <w:rPr>
          <w:rFonts w:ascii="Times New Roman" w:hAnsi="Times New Roman" w:cs="Times New Roman"/>
          <w:sz w:val="24"/>
          <w:szCs w:val="24"/>
        </w:rPr>
      </w:pPr>
      <w:r>
        <w:rPr>
          <w:rFonts w:ascii="Times New Roman" w:hAnsi="Times New Roman" w:cs="Times New Roman"/>
          <w:sz w:val="24"/>
          <w:szCs w:val="24"/>
        </w:rPr>
        <w:t>The data will be provided upon request to the journal.</w:t>
      </w:r>
    </w:p>
    <w:p w:rsidR="00EE5D43" w:rsidRDefault="00EE5D43" w:rsidP="00EE5D43">
      <w:pPr>
        <w:spacing w:line="360" w:lineRule="auto"/>
        <w:jc w:val="both"/>
        <w:rPr>
          <w:rFonts w:ascii="Times New Roman" w:hAnsi="Times New Roman" w:cs="Times New Roman"/>
          <w:b/>
          <w:sz w:val="24"/>
          <w:szCs w:val="24"/>
        </w:rPr>
      </w:pPr>
      <w:r>
        <w:rPr>
          <w:rFonts w:ascii="Times New Roman" w:hAnsi="Times New Roman" w:cs="Times New Roman"/>
          <w:b/>
          <w:sz w:val="24"/>
          <w:szCs w:val="24"/>
        </w:rPr>
        <w:t>Ethical Statement:</w:t>
      </w:r>
    </w:p>
    <w:p w:rsidR="00EE5D43" w:rsidRDefault="00EE5D43" w:rsidP="00EE5D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present study, </w:t>
      </w:r>
      <w:r w:rsidRPr="00EE5D43">
        <w:rPr>
          <w:rFonts w:ascii="Times New Roman" w:hAnsi="Times New Roman" w:cs="Times New Roman"/>
          <w:i/>
          <w:sz w:val="24"/>
          <w:szCs w:val="24"/>
        </w:rPr>
        <w:t xml:space="preserve">Labeo rohita </w:t>
      </w:r>
      <w:r>
        <w:rPr>
          <w:rFonts w:ascii="Times New Roman" w:hAnsi="Times New Roman" w:cs="Times New Roman"/>
          <w:sz w:val="24"/>
          <w:szCs w:val="24"/>
        </w:rPr>
        <w:t>were collected from the School of School, Sanjeev Agrawal Global Educational (SAGE) University, and Bhopal India). Ethical approval, specimen collection, and maintenance were performed in strict agreement with all the recommendations India.</w:t>
      </w:r>
    </w:p>
    <w:p w:rsidR="00916CBA" w:rsidRDefault="00916CBA" w:rsidP="00EE5D43">
      <w:pPr>
        <w:spacing w:line="360" w:lineRule="auto"/>
        <w:jc w:val="both"/>
        <w:rPr>
          <w:rFonts w:ascii="Times New Roman" w:hAnsi="Times New Roman" w:cs="Times New Roman"/>
          <w:b/>
          <w:sz w:val="24"/>
          <w:szCs w:val="24"/>
        </w:rPr>
      </w:pPr>
    </w:p>
    <w:p w:rsidR="00EE5D43" w:rsidRDefault="00EE5D43" w:rsidP="00EE5D43">
      <w:pPr>
        <w:spacing w:line="360" w:lineRule="auto"/>
        <w:jc w:val="both"/>
        <w:rPr>
          <w:rFonts w:ascii="Times New Roman" w:hAnsi="Times New Roman" w:cs="Times New Roman"/>
          <w:b/>
          <w:sz w:val="24"/>
          <w:szCs w:val="24"/>
        </w:rPr>
      </w:pPr>
      <w:bookmarkStart w:id="3" w:name="_GoBack"/>
      <w:bookmarkEnd w:id="3"/>
      <w:r>
        <w:rPr>
          <w:rFonts w:ascii="Times New Roman" w:hAnsi="Times New Roman" w:cs="Times New Roman"/>
          <w:b/>
          <w:sz w:val="24"/>
          <w:szCs w:val="24"/>
        </w:rPr>
        <w:t>Disclaimer (Artificial Intelligence)</w:t>
      </w:r>
    </w:p>
    <w:p w:rsidR="00EE5D43" w:rsidRDefault="00EE5D43" w:rsidP="00EE5D43">
      <w:pPr>
        <w:spacing w:line="360" w:lineRule="auto"/>
        <w:jc w:val="both"/>
        <w:rPr>
          <w:rFonts w:ascii="Times New Roman" w:hAnsi="Times New Roman" w:cs="Times New Roman"/>
          <w:sz w:val="24"/>
          <w:szCs w:val="24"/>
        </w:rPr>
      </w:pPr>
      <w:r>
        <w:rPr>
          <w:rFonts w:ascii="Times New Roman" w:hAnsi="Times New Roman" w:cs="Times New Roman"/>
          <w:sz w:val="24"/>
          <w:szCs w:val="24"/>
        </w:rPr>
        <w:t>Author(s)  hereby  declare  that  NO  generative  AI technologies  such  as  Large  Language  Models (ChatGPT,  COPILOT,  etc.)    and text-to-image generators have been used during the  writing or editing of this manuscript.</w:t>
      </w:r>
    </w:p>
    <w:p w:rsidR="00EE5D43" w:rsidRPr="007347E6" w:rsidRDefault="00EE5D43" w:rsidP="007347E6">
      <w:pPr>
        <w:spacing w:line="360" w:lineRule="auto"/>
        <w:jc w:val="both"/>
        <w:rPr>
          <w:rFonts w:ascii="Times New Roman" w:hAnsi="Times New Roman" w:cs="Times New Roman"/>
          <w:sz w:val="24"/>
          <w:szCs w:val="24"/>
        </w:rPr>
      </w:pPr>
    </w:p>
    <w:p w:rsidR="00BF51FB" w:rsidRPr="007347E6" w:rsidRDefault="00BF51FB" w:rsidP="007347E6">
      <w:pPr>
        <w:spacing w:line="360" w:lineRule="auto"/>
        <w:rPr>
          <w:rFonts w:ascii="Times New Roman" w:hAnsi="Times New Roman" w:cs="Times New Roman"/>
          <w:sz w:val="24"/>
          <w:szCs w:val="24"/>
        </w:rPr>
      </w:pPr>
    </w:p>
    <w:p w:rsidR="00BF51FB" w:rsidRPr="007347E6" w:rsidRDefault="00E23EF2" w:rsidP="007347E6">
      <w:pPr>
        <w:spacing w:line="360" w:lineRule="auto"/>
        <w:jc w:val="both"/>
        <w:rPr>
          <w:rFonts w:ascii="Times New Roman" w:hAnsi="Times New Roman" w:cs="Times New Roman"/>
          <w:b/>
          <w:sz w:val="24"/>
          <w:szCs w:val="24"/>
        </w:rPr>
      </w:pPr>
      <w:r w:rsidRPr="007347E6">
        <w:rPr>
          <w:rFonts w:ascii="Times New Roman" w:hAnsi="Times New Roman" w:cs="Times New Roman"/>
          <w:b/>
          <w:sz w:val="24"/>
          <w:szCs w:val="24"/>
        </w:rPr>
        <w:t>REFRENCES</w:t>
      </w:r>
    </w:p>
    <w:p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t>Afuang, W., Siddhuraju, P., &amp; Becker, K. (2003).</w:t>
      </w:r>
      <w:r w:rsidRPr="007347E6">
        <w:rPr>
          <w:rFonts w:ascii="Times New Roman" w:hAnsi="Times New Roman" w:cs="Times New Roman"/>
          <w:sz w:val="24"/>
          <w:szCs w:val="24"/>
        </w:rPr>
        <w:t xml:space="preserve"> Comparative nutritional evaluation of raw, methanol extracted residues and methanol extracts of moringa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Lam.) leaves on growth performance and feed utilization in Nile tilapia (</w:t>
      </w:r>
      <w:r w:rsidRPr="007347E6">
        <w:rPr>
          <w:rFonts w:ascii="Times New Roman" w:hAnsi="Times New Roman" w:cs="Times New Roman"/>
          <w:i/>
          <w:sz w:val="24"/>
          <w:szCs w:val="24"/>
        </w:rPr>
        <w:t>Oreochromis niloticus</w:t>
      </w:r>
      <w:r w:rsidRPr="007347E6">
        <w:rPr>
          <w:rFonts w:ascii="Times New Roman" w:hAnsi="Times New Roman" w:cs="Times New Roman"/>
          <w:sz w:val="24"/>
          <w:szCs w:val="24"/>
        </w:rPr>
        <w:t xml:space="preserve"> L.). </w:t>
      </w:r>
      <w:r w:rsidRPr="007347E6">
        <w:rPr>
          <w:rFonts w:ascii="Times New Roman" w:hAnsi="Times New Roman" w:cs="Times New Roman"/>
          <w:i/>
          <w:sz w:val="24"/>
          <w:szCs w:val="24"/>
        </w:rPr>
        <w:t>Aquaculture Research</w:t>
      </w:r>
      <w:r w:rsidRPr="007347E6">
        <w:rPr>
          <w:rFonts w:ascii="Times New Roman" w:hAnsi="Times New Roman" w:cs="Times New Roman"/>
          <w:sz w:val="24"/>
          <w:szCs w:val="24"/>
        </w:rPr>
        <w:t xml:space="preserve">, </w:t>
      </w:r>
      <w:r w:rsidRPr="007347E6">
        <w:rPr>
          <w:rFonts w:ascii="Times New Roman" w:hAnsi="Times New Roman" w:cs="Times New Roman"/>
          <w:i/>
          <w:sz w:val="24"/>
          <w:szCs w:val="24"/>
        </w:rPr>
        <w:t>34</w:t>
      </w:r>
      <w:r w:rsidRPr="007347E6">
        <w:rPr>
          <w:rFonts w:ascii="Times New Roman" w:hAnsi="Times New Roman" w:cs="Times New Roman"/>
          <w:sz w:val="24"/>
          <w:szCs w:val="24"/>
        </w:rPr>
        <w:t>(13), 1147-1159.</w:t>
      </w:r>
    </w:p>
    <w:p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t>Arsalan, M. Z. H., Hussain, S. M., Asrar, M., Anwar, H., Rehan, M. M. H., Shahzad, M. M., &amp; Wahab, N. (2016).</w:t>
      </w:r>
      <w:r w:rsidRPr="007347E6">
        <w:rPr>
          <w:rFonts w:ascii="Times New Roman" w:hAnsi="Times New Roman" w:cs="Times New Roman"/>
          <w:sz w:val="24"/>
          <w:szCs w:val="24"/>
        </w:rPr>
        <w:t xml:space="preserve"> Effects of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leaf meal (MOLM) based diets on carcass composition and hematology of </w:t>
      </w:r>
      <w:r w:rsidRPr="007347E6">
        <w:rPr>
          <w:rFonts w:ascii="Times New Roman" w:hAnsi="Times New Roman" w:cs="Times New Roman"/>
          <w:i/>
          <w:sz w:val="24"/>
          <w:szCs w:val="24"/>
        </w:rPr>
        <w:t>Labeo rohita</w:t>
      </w:r>
      <w:r w:rsidRPr="007347E6">
        <w:rPr>
          <w:rFonts w:ascii="Times New Roman" w:hAnsi="Times New Roman" w:cs="Times New Roman"/>
          <w:sz w:val="24"/>
          <w:szCs w:val="24"/>
        </w:rPr>
        <w:t xml:space="preserve"> fingerlings.</w:t>
      </w:r>
      <w:r w:rsidRPr="007347E6">
        <w:rPr>
          <w:rFonts w:ascii="Times New Roman" w:hAnsi="Times New Roman" w:cs="Times New Roman"/>
          <w:i/>
          <w:sz w:val="24"/>
          <w:szCs w:val="24"/>
        </w:rPr>
        <w:t xml:space="preserve"> Journal of Biodiversity and Environmental Sciences</w:t>
      </w:r>
      <w:r w:rsidRPr="007347E6">
        <w:rPr>
          <w:rFonts w:ascii="Times New Roman" w:hAnsi="Times New Roman" w:cs="Times New Roman"/>
          <w:sz w:val="24"/>
          <w:szCs w:val="24"/>
        </w:rPr>
        <w:t>, 9(1), 214-223.</w:t>
      </w:r>
    </w:p>
    <w:p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lang w:val="en-IN"/>
        </w:rPr>
        <w:lastRenderedPageBreak/>
        <w:t>Chakraborty, S. B., &amp; Hancz, C. (2011).</w:t>
      </w:r>
      <w:r w:rsidRPr="007347E6">
        <w:rPr>
          <w:rFonts w:ascii="Times New Roman" w:hAnsi="Times New Roman" w:cs="Times New Roman"/>
          <w:sz w:val="24"/>
          <w:szCs w:val="24"/>
          <w:lang w:val="en-IN"/>
        </w:rPr>
        <w:t xml:space="preserve"> Application of phytochemicals as immunostimulant, antipathogenicandantistress agents in finfish culture. </w:t>
      </w:r>
      <w:r w:rsidRPr="007347E6">
        <w:rPr>
          <w:rFonts w:ascii="Times New Roman" w:hAnsi="Times New Roman" w:cs="Times New Roman"/>
          <w:i/>
          <w:iCs/>
          <w:sz w:val="24"/>
          <w:szCs w:val="24"/>
          <w:lang w:val="en-IN"/>
        </w:rPr>
        <w:t>Reviews in Aquaculture</w:t>
      </w:r>
      <w:r w:rsidRPr="007347E6">
        <w:rPr>
          <w:rFonts w:ascii="Times New Roman" w:hAnsi="Times New Roman" w:cs="Times New Roman"/>
          <w:sz w:val="24"/>
          <w:szCs w:val="24"/>
          <w:lang w:val="en-IN"/>
        </w:rPr>
        <w:t>, </w:t>
      </w:r>
      <w:r w:rsidRPr="007347E6">
        <w:rPr>
          <w:rFonts w:ascii="Times New Roman" w:hAnsi="Times New Roman" w:cs="Times New Roman"/>
          <w:i/>
          <w:iCs/>
          <w:sz w:val="24"/>
          <w:szCs w:val="24"/>
          <w:lang w:val="en-IN"/>
        </w:rPr>
        <w:t>3</w:t>
      </w:r>
      <w:r w:rsidRPr="007347E6">
        <w:rPr>
          <w:rFonts w:ascii="Times New Roman" w:hAnsi="Times New Roman" w:cs="Times New Roman"/>
          <w:sz w:val="24"/>
          <w:szCs w:val="24"/>
          <w:lang w:val="en-IN"/>
        </w:rPr>
        <w:t>(3), 103-119.</w:t>
      </w:r>
    </w:p>
    <w:p w:rsidR="00EE5D43" w:rsidRPr="007347E6" w:rsidRDefault="00EE5D43" w:rsidP="007347E6">
      <w:pPr>
        <w:spacing w:line="360" w:lineRule="auto"/>
        <w:jc w:val="both"/>
        <w:rPr>
          <w:rFonts w:ascii="Times New Roman" w:hAnsi="Times New Roman" w:cs="Times New Roman"/>
          <w:sz w:val="24"/>
          <w:szCs w:val="24"/>
          <w:shd w:val="clear" w:color="auto" w:fill="FFFFFF"/>
        </w:rPr>
      </w:pPr>
      <w:r w:rsidRPr="007347E6">
        <w:rPr>
          <w:rFonts w:ascii="Times New Roman" w:hAnsi="Times New Roman" w:cs="Times New Roman"/>
          <w:b/>
          <w:sz w:val="24"/>
          <w:szCs w:val="24"/>
        </w:rPr>
        <w:t>Department of Fisheries. (2023).</w:t>
      </w:r>
      <w:r w:rsidRPr="007347E6">
        <w:rPr>
          <w:rFonts w:ascii="Times New Roman" w:hAnsi="Times New Roman" w:cs="Times New Roman"/>
          <w:sz w:val="24"/>
          <w:szCs w:val="24"/>
        </w:rPr>
        <w:t xml:space="preserve"> Handbook on Fisheries Statistics 2023. Ministry of Fisheries, Animal Husbandry &amp; Dairying, Government of India. https://dof.gov.in/</w:t>
      </w:r>
    </w:p>
    <w:p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lang w:bidi="ar-SA"/>
        </w:rPr>
        <w:t>FAO. (2024).</w:t>
      </w:r>
      <w:r w:rsidRPr="007347E6">
        <w:rPr>
          <w:rFonts w:ascii="Times New Roman" w:hAnsi="Times New Roman" w:cs="Times New Roman"/>
          <w:sz w:val="24"/>
          <w:szCs w:val="24"/>
          <w:lang w:bidi="ar-SA"/>
        </w:rPr>
        <w:t xml:space="preserve">Food and Agriculture Organization. The State of World Fisheries and Aquaculture 2024 – Blue transformation in action. Rome. </w:t>
      </w:r>
      <w:hyperlink r:id="rId8" w:history="1">
        <w:r w:rsidRPr="007347E6">
          <w:rPr>
            <w:rStyle w:val="Hyperlink"/>
            <w:rFonts w:ascii="Times New Roman" w:hAnsi="Times New Roman" w:cs="Times New Roman"/>
            <w:sz w:val="24"/>
            <w:szCs w:val="24"/>
            <w:lang w:bidi="ar-SA"/>
          </w:rPr>
          <w:t>https://doi.org/10.4060/cd0683</w:t>
        </w:r>
      </w:hyperlink>
    </w:p>
    <w:p w:rsidR="00EE5D43" w:rsidRPr="007347E6" w:rsidRDefault="00EE5D43" w:rsidP="007347E6">
      <w:pPr>
        <w:spacing w:line="360" w:lineRule="auto"/>
        <w:jc w:val="both"/>
        <w:rPr>
          <w:rFonts w:ascii="Times New Roman" w:hAnsi="Times New Roman" w:cs="Times New Roman"/>
          <w:sz w:val="24"/>
          <w:szCs w:val="24"/>
          <w:shd w:val="clear" w:color="auto" w:fill="FFFFFF"/>
        </w:rPr>
      </w:pPr>
      <w:r w:rsidRPr="007347E6">
        <w:rPr>
          <w:rFonts w:ascii="Times New Roman" w:hAnsi="Times New Roman" w:cs="Times New Roman"/>
          <w:b/>
          <w:sz w:val="24"/>
          <w:szCs w:val="24"/>
          <w:shd w:val="clear" w:color="auto" w:fill="FFFFFF"/>
        </w:rPr>
        <w:t>Harikrishnan, R., Balasundaram, C. and Heo, M.S., 2011</w:t>
      </w:r>
      <w:r w:rsidRPr="007347E6">
        <w:rPr>
          <w:rFonts w:ascii="Times New Roman" w:hAnsi="Times New Roman" w:cs="Times New Roman"/>
          <w:sz w:val="24"/>
          <w:szCs w:val="24"/>
          <w:shd w:val="clear" w:color="auto" w:fill="FFFFFF"/>
        </w:rPr>
        <w:t>. Impact of plant products on innate and adaptive   immune system of cultured finfish and shellfish. </w:t>
      </w:r>
      <w:r w:rsidRPr="007347E6">
        <w:rPr>
          <w:rFonts w:ascii="Times New Roman" w:hAnsi="Times New Roman" w:cs="Times New Roman"/>
          <w:i/>
          <w:iCs/>
          <w:sz w:val="24"/>
          <w:szCs w:val="24"/>
          <w:shd w:val="clear" w:color="auto" w:fill="FFFFFF"/>
        </w:rPr>
        <w:t>Aquaculture</w:t>
      </w:r>
      <w:r w:rsidRPr="007347E6">
        <w:rPr>
          <w:rFonts w:ascii="Times New Roman" w:hAnsi="Times New Roman" w:cs="Times New Roman"/>
          <w:sz w:val="24"/>
          <w:szCs w:val="24"/>
          <w:shd w:val="clear" w:color="auto" w:fill="FFFFFF"/>
        </w:rPr>
        <w:t>, </w:t>
      </w:r>
      <w:r w:rsidRPr="007347E6">
        <w:rPr>
          <w:rFonts w:ascii="Times New Roman" w:hAnsi="Times New Roman" w:cs="Times New Roman"/>
          <w:i/>
          <w:iCs/>
          <w:sz w:val="24"/>
          <w:szCs w:val="24"/>
          <w:shd w:val="clear" w:color="auto" w:fill="FFFFFF"/>
        </w:rPr>
        <w:t>317</w:t>
      </w:r>
      <w:r w:rsidRPr="007347E6">
        <w:rPr>
          <w:rFonts w:ascii="Times New Roman" w:hAnsi="Times New Roman" w:cs="Times New Roman"/>
          <w:sz w:val="24"/>
          <w:szCs w:val="24"/>
          <w:shd w:val="clear" w:color="auto" w:fill="FFFFFF"/>
        </w:rPr>
        <w:t>(1-4): 1-15.</w:t>
      </w:r>
    </w:p>
    <w:p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t>Hasan, T. C., &amp; Olsen, M. R. (2009).</w:t>
      </w:r>
      <w:r w:rsidRPr="007347E6">
        <w:rPr>
          <w:rFonts w:ascii="Times New Roman" w:hAnsi="Times New Roman" w:cs="Times New Roman"/>
          <w:sz w:val="24"/>
          <w:szCs w:val="24"/>
        </w:rPr>
        <w:t xml:space="preserve"> Fish as feed inputs for aquaculture–practices, sustainability and implications: a global synthesis. </w:t>
      </w:r>
      <w:r w:rsidRPr="007347E6">
        <w:rPr>
          <w:rFonts w:ascii="Times New Roman" w:hAnsi="Times New Roman" w:cs="Times New Roman"/>
          <w:i/>
          <w:iCs/>
          <w:sz w:val="24"/>
          <w:szCs w:val="24"/>
        </w:rPr>
        <w:t>FAO Fisheries and Aquaculture Technical Paper</w:t>
      </w:r>
      <w:r w:rsidRPr="007347E6">
        <w:rPr>
          <w:rFonts w:ascii="Times New Roman" w:hAnsi="Times New Roman" w:cs="Times New Roman"/>
          <w:sz w:val="24"/>
          <w:szCs w:val="24"/>
        </w:rPr>
        <w:t>, </w:t>
      </w:r>
      <w:r w:rsidRPr="007347E6">
        <w:rPr>
          <w:rFonts w:ascii="Times New Roman" w:hAnsi="Times New Roman" w:cs="Times New Roman"/>
          <w:i/>
          <w:iCs/>
          <w:sz w:val="24"/>
          <w:szCs w:val="24"/>
        </w:rPr>
        <w:t>518</w:t>
      </w:r>
      <w:r w:rsidRPr="007347E6">
        <w:rPr>
          <w:rFonts w:ascii="Times New Roman" w:hAnsi="Times New Roman" w:cs="Times New Roman"/>
          <w:sz w:val="24"/>
          <w:szCs w:val="24"/>
        </w:rPr>
        <w:t>, 1-61.</w:t>
      </w:r>
    </w:p>
    <w:p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t>Idowu, E., Adewumi, A., Oso, J., Edward, J., &amp;Obaronbi, G. (2017).</w:t>
      </w:r>
      <w:r w:rsidRPr="007347E6">
        <w:rPr>
          <w:rFonts w:ascii="Times New Roman" w:hAnsi="Times New Roman" w:cs="Times New Roman"/>
          <w:sz w:val="24"/>
          <w:szCs w:val="24"/>
        </w:rPr>
        <w:t xml:space="preserve"> Effects of varying levels of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on growth performance and nutrient utilization of </w:t>
      </w:r>
      <w:r w:rsidRPr="007347E6">
        <w:rPr>
          <w:rFonts w:ascii="Times New Roman" w:hAnsi="Times New Roman" w:cs="Times New Roman"/>
          <w:i/>
          <w:sz w:val="24"/>
          <w:szCs w:val="24"/>
        </w:rPr>
        <w:t>Clariasgariepinus</w:t>
      </w:r>
      <w:r w:rsidRPr="007347E6">
        <w:rPr>
          <w:rFonts w:ascii="Times New Roman" w:hAnsi="Times New Roman" w:cs="Times New Roman"/>
          <w:sz w:val="24"/>
          <w:szCs w:val="24"/>
        </w:rPr>
        <w:t xml:space="preserve"> post-fingerlings. </w:t>
      </w:r>
      <w:r w:rsidRPr="007347E6">
        <w:rPr>
          <w:rFonts w:ascii="Times New Roman" w:hAnsi="Times New Roman" w:cs="Times New Roman"/>
          <w:i/>
          <w:sz w:val="24"/>
          <w:szCs w:val="24"/>
        </w:rPr>
        <w:t>American Academic Scientific Research Journal for Engineering, Technology, and Sciences,</w:t>
      </w:r>
      <w:r w:rsidRPr="007347E6">
        <w:rPr>
          <w:rFonts w:ascii="Times New Roman" w:hAnsi="Times New Roman" w:cs="Times New Roman"/>
          <w:sz w:val="24"/>
          <w:szCs w:val="24"/>
        </w:rPr>
        <w:t xml:space="preserve"> 32(1), 79-95.</w:t>
      </w:r>
    </w:p>
    <w:p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t xml:space="preserve">Imran, M., Khan, N., Secombes, C. J., Martin, S. A., Rasool, F., Iqbal, K. J., &amp; Mughal, M. S. (2018). </w:t>
      </w:r>
      <w:r w:rsidRPr="007347E6">
        <w:rPr>
          <w:rFonts w:ascii="Times New Roman" w:hAnsi="Times New Roman" w:cs="Times New Roman"/>
          <w:sz w:val="24"/>
          <w:szCs w:val="24"/>
        </w:rPr>
        <w:t xml:space="preserve">Moringa meal as an alternate protein source for </w:t>
      </w:r>
      <w:r w:rsidRPr="007347E6">
        <w:rPr>
          <w:rFonts w:ascii="Times New Roman" w:hAnsi="Times New Roman" w:cs="Times New Roman"/>
          <w:i/>
          <w:sz w:val="24"/>
          <w:szCs w:val="24"/>
        </w:rPr>
        <w:t>Labeo rohita</w:t>
      </w:r>
      <w:r w:rsidRPr="007347E6">
        <w:rPr>
          <w:rFonts w:ascii="Times New Roman" w:hAnsi="Times New Roman" w:cs="Times New Roman"/>
          <w:sz w:val="24"/>
          <w:szCs w:val="24"/>
        </w:rPr>
        <w:t xml:space="preserve"> fingerlings: Effects on growth and body composition. </w:t>
      </w:r>
      <w:r w:rsidRPr="007347E6">
        <w:rPr>
          <w:rFonts w:ascii="Times New Roman" w:hAnsi="Times New Roman" w:cs="Times New Roman"/>
          <w:i/>
          <w:sz w:val="24"/>
          <w:szCs w:val="24"/>
        </w:rPr>
        <w:t>Pak. J. Zool,</w:t>
      </w:r>
      <w:r w:rsidRPr="007347E6">
        <w:rPr>
          <w:rFonts w:ascii="Times New Roman" w:hAnsi="Times New Roman" w:cs="Times New Roman"/>
          <w:sz w:val="24"/>
          <w:szCs w:val="24"/>
        </w:rPr>
        <w:t xml:space="preserve"> 13, 226-232.</w:t>
      </w:r>
    </w:p>
    <w:p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t>KhalIl, F. and KornI, F.M., 2017.</w:t>
      </w:r>
      <w:r w:rsidRPr="007347E6">
        <w:rPr>
          <w:rFonts w:ascii="Times New Roman" w:hAnsi="Times New Roman" w:cs="Times New Roman"/>
          <w:sz w:val="24"/>
          <w:szCs w:val="24"/>
        </w:rPr>
        <w:t xml:space="preserve"> Evaluation of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leaves and their aqueous extract in improving growth, immunity and mitigating effect of stress on common carp (</w:t>
      </w:r>
      <w:r w:rsidRPr="007347E6">
        <w:rPr>
          <w:rFonts w:ascii="Times New Roman" w:hAnsi="Times New Roman" w:cs="Times New Roman"/>
          <w:i/>
          <w:sz w:val="24"/>
          <w:szCs w:val="24"/>
        </w:rPr>
        <w:t>Cyprinus carpio</w:t>
      </w:r>
      <w:r w:rsidRPr="007347E6">
        <w:rPr>
          <w:rFonts w:ascii="Times New Roman" w:hAnsi="Times New Roman" w:cs="Times New Roman"/>
          <w:sz w:val="24"/>
          <w:szCs w:val="24"/>
        </w:rPr>
        <w:t xml:space="preserve">) fingerlings. </w:t>
      </w:r>
      <w:r w:rsidRPr="007347E6">
        <w:rPr>
          <w:rFonts w:ascii="Times New Roman" w:hAnsi="Times New Roman" w:cs="Times New Roman"/>
          <w:i/>
          <w:sz w:val="24"/>
          <w:szCs w:val="24"/>
        </w:rPr>
        <w:t>Aquatic Sciences and Engineering</w:t>
      </w:r>
      <w:r w:rsidRPr="007347E6">
        <w:rPr>
          <w:rFonts w:ascii="Times New Roman" w:hAnsi="Times New Roman" w:cs="Times New Roman"/>
          <w:sz w:val="24"/>
          <w:szCs w:val="24"/>
        </w:rPr>
        <w:t xml:space="preserve">, </w:t>
      </w:r>
      <w:r w:rsidRPr="007347E6">
        <w:rPr>
          <w:rFonts w:ascii="Times New Roman" w:hAnsi="Times New Roman" w:cs="Times New Roman"/>
          <w:i/>
          <w:sz w:val="24"/>
          <w:szCs w:val="24"/>
        </w:rPr>
        <w:t>32</w:t>
      </w:r>
      <w:r w:rsidRPr="007347E6">
        <w:rPr>
          <w:rFonts w:ascii="Times New Roman" w:hAnsi="Times New Roman" w:cs="Times New Roman"/>
          <w:sz w:val="24"/>
          <w:szCs w:val="24"/>
        </w:rPr>
        <w:t>(3): 170-177.</w:t>
      </w:r>
    </w:p>
    <w:p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t>Masood, D., Khan, N., Iqbal, K. J., Dogar, S., Hanan, A., Nazir, S., &amp;Secombes, C. J. (2020).</w:t>
      </w:r>
      <w:r w:rsidRPr="007347E6">
        <w:rPr>
          <w:rFonts w:ascii="Times New Roman" w:hAnsi="Times New Roman" w:cs="Times New Roman"/>
          <w:sz w:val="24"/>
          <w:szCs w:val="24"/>
        </w:rPr>
        <w:t xml:space="preserve"> Effect of Substituting Soybean Meal with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Meal on the Growth and Body Composition of </w:t>
      </w:r>
      <w:r w:rsidRPr="007347E6">
        <w:rPr>
          <w:rFonts w:ascii="Times New Roman" w:hAnsi="Times New Roman" w:cs="Times New Roman"/>
          <w:i/>
          <w:sz w:val="24"/>
          <w:szCs w:val="24"/>
        </w:rPr>
        <w:t>Labeo rohita</w:t>
      </w:r>
      <w:r w:rsidRPr="007347E6">
        <w:rPr>
          <w:rFonts w:ascii="Times New Roman" w:hAnsi="Times New Roman" w:cs="Times New Roman"/>
          <w:sz w:val="24"/>
          <w:szCs w:val="24"/>
        </w:rPr>
        <w:t xml:space="preserve"> Fingerlings. </w:t>
      </w:r>
      <w:r w:rsidRPr="007347E6">
        <w:rPr>
          <w:rFonts w:ascii="Times New Roman" w:hAnsi="Times New Roman" w:cs="Times New Roman"/>
          <w:i/>
          <w:sz w:val="24"/>
          <w:szCs w:val="24"/>
        </w:rPr>
        <w:t>Pakistan Journal of Zoology</w:t>
      </w:r>
      <w:r w:rsidRPr="007347E6">
        <w:rPr>
          <w:rFonts w:ascii="Times New Roman" w:hAnsi="Times New Roman" w:cs="Times New Roman"/>
          <w:sz w:val="24"/>
          <w:szCs w:val="24"/>
        </w:rPr>
        <w:t>. https://dx.doi. org/10.17582/journal.pjz/20190825090821.</w:t>
      </w:r>
    </w:p>
    <w:p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lastRenderedPageBreak/>
        <w:t>Shahzad, U., Khan, M. A., Jaskani, M. J., Khan, I. A., &amp; Korban, S. S. (2013).</w:t>
      </w:r>
      <w:r w:rsidRPr="007347E6">
        <w:rPr>
          <w:rFonts w:ascii="Times New Roman" w:hAnsi="Times New Roman" w:cs="Times New Roman"/>
          <w:sz w:val="24"/>
          <w:szCs w:val="24"/>
        </w:rPr>
        <w:t xml:space="preserve"> Genetic diversity and population structure of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w:t>
      </w:r>
      <w:r w:rsidRPr="007347E6">
        <w:rPr>
          <w:rFonts w:ascii="Times New Roman" w:hAnsi="Times New Roman" w:cs="Times New Roman"/>
          <w:i/>
          <w:sz w:val="24"/>
          <w:szCs w:val="24"/>
        </w:rPr>
        <w:t>Conservation Genetics</w:t>
      </w:r>
      <w:r w:rsidRPr="007347E6">
        <w:rPr>
          <w:rFonts w:ascii="Times New Roman" w:hAnsi="Times New Roman" w:cs="Times New Roman"/>
          <w:sz w:val="24"/>
          <w:szCs w:val="24"/>
        </w:rPr>
        <w:t>, 14, 1161-1172.</w:t>
      </w:r>
    </w:p>
    <w:p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t>Sharma, N., &amp; Shahzad. N., (2012).</w:t>
      </w:r>
      <w:r w:rsidRPr="007347E6">
        <w:rPr>
          <w:rFonts w:ascii="Times New Roman" w:hAnsi="Times New Roman" w:cs="Times New Roman"/>
          <w:sz w:val="24"/>
          <w:szCs w:val="24"/>
        </w:rPr>
        <w:t xml:space="preserve"> Phytochemical and pharmacological studies in genus Berberis. </w:t>
      </w:r>
      <w:r w:rsidRPr="007347E6">
        <w:rPr>
          <w:rFonts w:ascii="Times New Roman" w:hAnsi="Times New Roman" w:cs="Times New Roman"/>
          <w:i/>
          <w:iCs/>
          <w:sz w:val="24"/>
          <w:szCs w:val="24"/>
        </w:rPr>
        <w:t>Phytochemistry reviews</w:t>
      </w:r>
      <w:r w:rsidRPr="007347E6">
        <w:rPr>
          <w:rFonts w:ascii="Times New Roman" w:hAnsi="Times New Roman" w:cs="Times New Roman"/>
          <w:sz w:val="24"/>
          <w:szCs w:val="24"/>
        </w:rPr>
        <w:t>, </w:t>
      </w:r>
      <w:r w:rsidRPr="007347E6">
        <w:rPr>
          <w:rFonts w:ascii="Times New Roman" w:hAnsi="Times New Roman" w:cs="Times New Roman"/>
          <w:i/>
          <w:iCs/>
          <w:sz w:val="24"/>
          <w:szCs w:val="24"/>
        </w:rPr>
        <w:t>11</w:t>
      </w:r>
      <w:r w:rsidRPr="007347E6">
        <w:rPr>
          <w:rFonts w:ascii="Times New Roman" w:hAnsi="Times New Roman" w:cs="Times New Roman"/>
          <w:sz w:val="24"/>
          <w:szCs w:val="24"/>
        </w:rPr>
        <w:t>, 523-542.</w:t>
      </w:r>
    </w:p>
    <w:p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t xml:space="preserve">Sharma, V., Paliwal, R., Janmeda, P., &amp; Sharma, S. (2012). </w:t>
      </w:r>
      <w:r w:rsidRPr="007347E6">
        <w:rPr>
          <w:rFonts w:ascii="Times New Roman" w:hAnsi="Times New Roman" w:cs="Times New Roman"/>
          <w:sz w:val="24"/>
          <w:szCs w:val="24"/>
        </w:rPr>
        <w:t xml:space="preserve">Chemopreventive efficacy of </w:t>
      </w:r>
      <w:r w:rsidRPr="007347E6">
        <w:rPr>
          <w:rFonts w:ascii="Times New Roman" w:hAnsi="Times New Roman" w:cs="Times New Roman"/>
          <w:i/>
          <w:sz w:val="24"/>
          <w:szCs w:val="24"/>
        </w:rPr>
        <w:t>Moringa oleifera</w:t>
      </w:r>
      <w:r w:rsidRPr="007347E6">
        <w:rPr>
          <w:rFonts w:ascii="Times New Roman" w:hAnsi="Times New Roman" w:cs="Times New Roman"/>
          <w:sz w:val="24"/>
          <w:szCs w:val="24"/>
        </w:rPr>
        <w:t xml:space="preserve"> pods against 7, 12-dimethylbenz [a] anthracene induced hepatic carcinogenesis in mice. </w:t>
      </w:r>
      <w:r w:rsidRPr="007347E6">
        <w:rPr>
          <w:rFonts w:ascii="Times New Roman" w:hAnsi="Times New Roman" w:cs="Times New Roman"/>
          <w:i/>
          <w:sz w:val="24"/>
          <w:szCs w:val="24"/>
        </w:rPr>
        <w:t>Asian Pacific Journal of Cancer Prevention</w:t>
      </w:r>
      <w:r w:rsidRPr="007347E6">
        <w:rPr>
          <w:rFonts w:ascii="Times New Roman" w:hAnsi="Times New Roman" w:cs="Times New Roman"/>
          <w:sz w:val="24"/>
          <w:szCs w:val="24"/>
        </w:rPr>
        <w:t>, 13(6), 2563-2569.</w:t>
      </w:r>
    </w:p>
    <w:p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t>Sherif, A. H., El-Gamal, A. M., Tolan, A. E., (2014).</w:t>
      </w:r>
      <w:r w:rsidRPr="007347E6">
        <w:rPr>
          <w:rFonts w:ascii="Times New Roman" w:hAnsi="Times New Roman" w:cs="Times New Roman"/>
          <w:sz w:val="24"/>
          <w:szCs w:val="24"/>
        </w:rPr>
        <w:t xml:space="preserve"> Incorporation of Moringa oleifera leaf    in Nile tilapia </w:t>
      </w:r>
      <w:r w:rsidRPr="007347E6">
        <w:rPr>
          <w:rFonts w:ascii="Times New Roman" w:hAnsi="Times New Roman" w:cs="Times New Roman"/>
          <w:i/>
          <w:sz w:val="24"/>
          <w:szCs w:val="24"/>
        </w:rPr>
        <w:t>Oreochromis niloticus</w:t>
      </w:r>
      <w:r w:rsidRPr="007347E6">
        <w:rPr>
          <w:rFonts w:ascii="Times New Roman" w:hAnsi="Times New Roman" w:cs="Times New Roman"/>
          <w:sz w:val="24"/>
          <w:szCs w:val="24"/>
        </w:rPr>
        <w:t xml:space="preserve"> diet and its effect on growth performance and immune   status. </w:t>
      </w:r>
      <w:r w:rsidRPr="007347E6">
        <w:rPr>
          <w:rFonts w:ascii="Times New Roman" w:hAnsi="Times New Roman" w:cs="Times New Roman"/>
          <w:i/>
          <w:sz w:val="24"/>
          <w:szCs w:val="24"/>
        </w:rPr>
        <w:t xml:space="preserve">J. Vet. Sci. </w:t>
      </w:r>
      <w:r w:rsidRPr="007347E6">
        <w:rPr>
          <w:rFonts w:ascii="Times New Roman" w:hAnsi="Times New Roman" w:cs="Times New Roman"/>
          <w:sz w:val="24"/>
          <w:szCs w:val="24"/>
        </w:rPr>
        <w:t>1, 806–814.</w:t>
      </w:r>
    </w:p>
    <w:p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color w:val="222222"/>
          <w:sz w:val="24"/>
          <w:szCs w:val="24"/>
          <w:shd w:val="clear" w:color="auto" w:fill="FFFFFF"/>
        </w:rPr>
        <w:t>Van Hai, N. (2015).</w:t>
      </w:r>
      <w:r w:rsidRPr="007347E6">
        <w:rPr>
          <w:rFonts w:ascii="Times New Roman" w:hAnsi="Times New Roman" w:cs="Times New Roman"/>
          <w:color w:val="222222"/>
          <w:sz w:val="24"/>
          <w:szCs w:val="24"/>
          <w:shd w:val="clear" w:color="auto" w:fill="FFFFFF"/>
        </w:rPr>
        <w:t xml:space="preserve"> The use of medicinal plants as immunostimulants in aquaculture: A review. </w:t>
      </w:r>
      <w:r w:rsidRPr="007347E6">
        <w:rPr>
          <w:rFonts w:ascii="Times New Roman" w:hAnsi="Times New Roman" w:cs="Times New Roman"/>
          <w:i/>
          <w:iCs/>
          <w:color w:val="222222"/>
          <w:sz w:val="24"/>
          <w:szCs w:val="24"/>
          <w:shd w:val="clear" w:color="auto" w:fill="FFFFFF"/>
        </w:rPr>
        <w:t>Aquaculture</w:t>
      </w:r>
      <w:r w:rsidRPr="007347E6">
        <w:rPr>
          <w:rFonts w:ascii="Times New Roman" w:hAnsi="Times New Roman" w:cs="Times New Roman"/>
          <w:color w:val="222222"/>
          <w:sz w:val="24"/>
          <w:szCs w:val="24"/>
          <w:shd w:val="clear" w:color="auto" w:fill="FFFFFF"/>
        </w:rPr>
        <w:t>, </w:t>
      </w:r>
      <w:r w:rsidRPr="007347E6">
        <w:rPr>
          <w:rFonts w:ascii="Times New Roman" w:hAnsi="Times New Roman" w:cs="Times New Roman"/>
          <w:i/>
          <w:iCs/>
          <w:color w:val="222222"/>
          <w:sz w:val="24"/>
          <w:szCs w:val="24"/>
          <w:shd w:val="clear" w:color="auto" w:fill="FFFFFF"/>
        </w:rPr>
        <w:t>446</w:t>
      </w:r>
      <w:r w:rsidRPr="007347E6">
        <w:rPr>
          <w:rFonts w:ascii="Times New Roman" w:hAnsi="Times New Roman" w:cs="Times New Roman"/>
          <w:color w:val="222222"/>
          <w:sz w:val="24"/>
          <w:szCs w:val="24"/>
          <w:shd w:val="clear" w:color="auto" w:fill="FFFFFF"/>
        </w:rPr>
        <w:t>, 88-96.</w:t>
      </w:r>
    </w:p>
    <w:p w:rsidR="00EE5D43" w:rsidRPr="007347E6" w:rsidRDefault="00EE5D43" w:rsidP="007347E6">
      <w:pPr>
        <w:spacing w:before="240" w:after="240" w:line="360" w:lineRule="auto"/>
        <w:jc w:val="both"/>
        <w:rPr>
          <w:rFonts w:ascii="Times New Roman" w:hAnsi="Times New Roman" w:cs="Times New Roman"/>
          <w:sz w:val="24"/>
          <w:szCs w:val="24"/>
        </w:rPr>
      </w:pPr>
      <w:r w:rsidRPr="007347E6">
        <w:rPr>
          <w:rFonts w:ascii="Times New Roman" w:hAnsi="Times New Roman" w:cs="Times New Roman"/>
          <w:b/>
          <w:sz w:val="24"/>
          <w:szCs w:val="24"/>
        </w:rPr>
        <w:t>Yadav, M. K., Ojha, M. L., &amp; Keer, N. R. (2023).</w:t>
      </w:r>
      <w:r w:rsidRPr="007347E6">
        <w:rPr>
          <w:rFonts w:ascii="Times New Roman" w:hAnsi="Times New Roman" w:cs="Times New Roman"/>
          <w:sz w:val="24"/>
          <w:szCs w:val="24"/>
        </w:rPr>
        <w:t xml:space="preserve"> Effect Vegetable Oils on Growth, Feed Utilization and Digestive Enzyme Activities of (Hamilton 1822) </w:t>
      </w:r>
      <w:r w:rsidRPr="007347E6">
        <w:rPr>
          <w:rFonts w:ascii="Times New Roman" w:hAnsi="Times New Roman" w:cs="Times New Roman"/>
          <w:i/>
          <w:sz w:val="24"/>
          <w:szCs w:val="24"/>
        </w:rPr>
        <w:t>Labeo rohita</w:t>
      </w:r>
      <w:r w:rsidRPr="007347E6">
        <w:rPr>
          <w:rFonts w:ascii="Times New Roman" w:hAnsi="Times New Roman" w:cs="Times New Roman"/>
          <w:sz w:val="24"/>
          <w:szCs w:val="24"/>
        </w:rPr>
        <w:t xml:space="preserve">. </w:t>
      </w:r>
      <w:r w:rsidRPr="007347E6">
        <w:rPr>
          <w:rFonts w:ascii="Times New Roman" w:hAnsi="Times New Roman" w:cs="Times New Roman"/>
          <w:i/>
          <w:sz w:val="24"/>
          <w:szCs w:val="24"/>
        </w:rPr>
        <w:t>Indian Journal of Ecology</w:t>
      </w:r>
      <w:r w:rsidRPr="007347E6">
        <w:rPr>
          <w:rFonts w:ascii="Times New Roman" w:hAnsi="Times New Roman" w:cs="Times New Roman"/>
          <w:sz w:val="24"/>
          <w:szCs w:val="24"/>
        </w:rPr>
        <w:t>, 50(5), 1772-1775.</w:t>
      </w:r>
    </w:p>
    <w:sectPr w:rsidR="00EE5D43" w:rsidRPr="007347E6" w:rsidSect="0046745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240" w:rsidRDefault="00795240" w:rsidP="00916CBA">
      <w:pPr>
        <w:spacing w:line="240" w:lineRule="auto"/>
      </w:pPr>
      <w:r>
        <w:separator/>
      </w:r>
    </w:p>
  </w:endnote>
  <w:endnote w:type="continuationSeparator" w:id="1">
    <w:p w:rsidR="00795240" w:rsidRDefault="00795240" w:rsidP="00916C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BA" w:rsidRDefault="00916C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BA" w:rsidRDefault="00916C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BA" w:rsidRDefault="00916C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240" w:rsidRDefault="00795240" w:rsidP="00916CBA">
      <w:pPr>
        <w:spacing w:line="240" w:lineRule="auto"/>
      </w:pPr>
      <w:r>
        <w:separator/>
      </w:r>
    </w:p>
  </w:footnote>
  <w:footnote w:type="continuationSeparator" w:id="1">
    <w:p w:rsidR="00795240" w:rsidRDefault="00795240" w:rsidP="00916CB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BA" w:rsidRDefault="00467456">
    <w:pPr>
      <w:pStyle w:val="Header"/>
    </w:pPr>
    <w:r w:rsidRPr="0046745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379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BA" w:rsidRDefault="00467456">
    <w:pPr>
      <w:pStyle w:val="Header"/>
    </w:pPr>
    <w:r w:rsidRPr="0046745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379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BA" w:rsidRDefault="00467456">
    <w:pPr>
      <w:pStyle w:val="Header"/>
    </w:pPr>
    <w:r w:rsidRPr="0046745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379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F51FB"/>
    <w:rsid w:val="000147F2"/>
    <w:rsid w:val="000674E7"/>
    <w:rsid w:val="001178B8"/>
    <w:rsid w:val="001715B9"/>
    <w:rsid w:val="001F1DC1"/>
    <w:rsid w:val="002110F1"/>
    <w:rsid w:val="00215EFC"/>
    <w:rsid w:val="0023578D"/>
    <w:rsid w:val="003175E2"/>
    <w:rsid w:val="00362896"/>
    <w:rsid w:val="0037430C"/>
    <w:rsid w:val="003D603F"/>
    <w:rsid w:val="003E577D"/>
    <w:rsid w:val="004172AA"/>
    <w:rsid w:val="00467456"/>
    <w:rsid w:val="00470BB0"/>
    <w:rsid w:val="004876E6"/>
    <w:rsid w:val="00551529"/>
    <w:rsid w:val="00586B8C"/>
    <w:rsid w:val="005C1D98"/>
    <w:rsid w:val="006769A9"/>
    <w:rsid w:val="00691361"/>
    <w:rsid w:val="006A017E"/>
    <w:rsid w:val="006D432E"/>
    <w:rsid w:val="007008D9"/>
    <w:rsid w:val="007347E6"/>
    <w:rsid w:val="0076406F"/>
    <w:rsid w:val="00786870"/>
    <w:rsid w:val="00795240"/>
    <w:rsid w:val="007D5354"/>
    <w:rsid w:val="008910D8"/>
    <w:rsid w:val="00894497"/>
    <w:rsid w:val="008B39EC"/>
    <w:rsid w:val="008D5B60"/>
    <w:rsid w:val="00916CBA"/>
    <w:rsid w:val="0095574B"/>
    <w:rsid w:val="00973A85"/>
    <w:rsid w:val="009A04CB"/>
    <w:rsid w:val="00A2495E"/>
    <w:rsid w:val="00A54328"/>
    <w:rsid w:val="00A65717"/>
    <w:rsid w:val="00A95460"/>
    <w:rsid w:val="00AD5B78"/>
    <w:rsid w:val="00B55F7D"/>
    <w:rsid w:val="00B86B11"/>
    <w:rsid w:val="00B921DC"/>
    <w:rsid w:val="00BB72E7"/>
    <w:rsid w:val="00BF51FB"/>
    <w:rsid w:val="00C073B7"/>
    <w:rsid w:val="00C50C44"/>
    <w:rsid w:val="00C90C7A"/>
    <w:rsid w:val="00CE21C8"/>
    <w:rsid w:val="00CF7EE5"/>
    <w:rsid w:val="00D862AC"/>
    <w:rsid w:val="00DC0ABF"/>
    <w:rsid w:val="00E23EF2"/>
    <w:rsid w:val="00E30A46"/>
    <w:rsid w:val="00E34600"/>
    <w:rsid w:val="00E832D5"/>
    <w:rsid w:val="00E85064"/>
    <w:rsid w:val="00EE5D43"/>
    <w:rsid w:val="00F921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GB"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456"/>
  </w:style>
  <w:style w:type="paragraph" w:styleId="Heading1">
    <w:name w:val="heading 1"/>
    <w:basedOn w:val="Normal"/>
    <w:next w:val="Normal"/>
    <w:uiPriority w:val="9"/>
    <w:qFormat/>
    <w:rsid w:val="00467456"/>
    <w:pPr>
      <w:keepNext/>
      <w:keepLines/>
      <w:spacing w:before="400" w:after="120"/>
      <w:outlineLvl w:val="0"/>
    </w:pPr>
    <w:rPr>
      <w:sz w:val="40"/>
      <w:szCs w:val="40"/>
    </w:rPr>
  </w:style>
  <w:style w:type="paragraph" w:styleId="Heading2">
    <w:name w:val="heading 2"/>
    <w:basedOn w:val="Normal"/>
    <w:next w:val="Normal"/>
    <w:uiPriority w:val="9"/>
    <w:unhideWhenUsed/>
    <w:qFormat/>
    <w:rsid w:val="00467456"/>
    <w:pPr>
      <w:keepNext/>
      <w:keepLines/>
      <w:spacing w:before="360" w:after="120"/>
      <w:outlineLvl w:val="1"/>
    </w:pPr>
    <w:rPr>
      <w:sz w:val="32"/>
      <w:szCs w:val="32"/>
    </w:rPr>
  </w:style>
  <w:style w:type="paragraph" w:styleId="Heading3">
    <w:name w:val="heading 3"/>
    <w:basedOn w:val="Normal"/>
    <w:next w:val="Normal"/>
    <w:uiPriority w:val="9"/>
    <w:unhideWhenUsed/>
    <w:qFormat/>
    <w:rsid w:val="00467456"/>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467456"/>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467456"/>
    <w:pPr>
      <w:keepNext/>
      <w:keepLines/>
      <w:spacing w:before="240" w:after="80"/>
      <w:outlineLvl w:val="4"/>
    </w:pPr>
    <w:rPr>
      <w:color w:val="666666"/>
    </w:rPr>
  </w:style>
  <w:style w:type="paragraph" w:styleId="Heading6">
    <w:name w:val="heading 6"/>
    <w:basedOn w:val="Normal"/>
    <w:next w:val="Normal"/>
    <w:uiPriority w:val="9"/>
    <w:semiHidden/>
    <w:unhideWhenUsed/>
    <w:qFormat/>
    <w:rsid w:val="0046745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67456"/>
    <w:pPr>
      <w:keepNext/>
      <w:keepLines/>
      <w:spacing w:after="60"/>
    </w:pPr>
    <w:rPr>
      <w:sz w:val="52"/>
      <w:szCs w:val="52"/>
    </w:rPr>
  </w:style>
  <w:style w:type="paragraph" w:styleId="Subtitle">
    <w:name w:val="Subtitle"/>
    <w:basedOn w:val="Normal"/>
    <w:next w:val="Normal"/>
    <w:uiPriority w:val="11"/>
    <w:qFormat/>
    <w:rsid w:val="00467456"/>
    <w:pPr>
      <w:keepNext/>
      <w:keepLines/>
      <w:spacing w:after="320"/>
    </w:pPr>
    <w:rPr>
      <w:color w:val="666666"/>
      <w:sz w:val="30"/>
      <w:szCs w:val="30"/>
    </w:rPr>
  </w:style>
  <w:style w:type="table" w:customStyle="1" w:styleId="a">
    <w:basedOn w:val="TableNormal"/>
    <w:rsid w:val="00467456"/>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467456"/>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715B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715B9"/>
    <w:rPr>
      <w:rFonts w:ascii="Tahoma" w:hAnsi="Tahoma" w:cs="Mangal"/>
      <w:sz w:val="16"/>
      <w:szCs w:val="14"/>
    </w:rPr>
  </w:style>
  <w:style w:type="paragraph" w:customStyle="1" w:styleId="TableParagraph">
    <w:name w:val="Table Paragraph"/>
    <w:basedOn w:val="Normal"/>
    <w:uiPriority w:val="1"/>
    <w:qFormat/>
    <w:rsid w:val="00E85064"/>
    <w:pPr>
      <w:widowControl w:val="0"/>
      <w:autoSpaceDE w:val="0"/>
      <w:autoSpaceDN w:val="0"/>
      <w:spacing w:before="59" w:line="240" w:lineRule="auto"/>
      <w:jc w:val="center"/>
    </w:pPr>
    <w:rPr>
      <w:rFonts w:ascii="Times New Roman" w:eastAsia="Times New Roman" w:hAnsi="Times New Roman" w:cs="Times New Roman"/>
      <w:lang w:val="en-US" w:eastAsia="en-US" w:bidi="ar-SA"/>
    </w:rPr>
  </w:style>
  <w:style w:type="paragraph" w:styleId="NormalWeb">
    <w:name w:val="Normal (Web)"/>
    <w:basedOn w:val="Normal"/>
    <w:uiPriority w:val="99"/>
    <w:semiHidden/>
    <w:unhideWhenUsed/>
    <w:rsid w:val="00A65717"/>
    <w:rPr>
      <w:rFonts w:ascii="Times New Roman" w:hAnsi="Times New Roman" w:cs="Mangal"/>
      <w:sz w:val="24"/>
      <w:szCs w:val="21"/>
    </w:rPr>
  </w:style>
  <w:style w:type="paragraph" w:customStyle="1" w:styleId="Default">
    <w:name w:val="Default"/>
    <w:qFormat/>
    <w:rsid w:val="00E30A46"/>
    <w:pPr>
      <w:autoSpaceDE w:val="0"/>
      <w:autoSpaceDN w:val="0"/>
      <w:adjustRightInd w:val="0"/>
      <w:spacing w:line="240" w:lineRule="auto"/>
    </w:pPr>
    <w:rPr>
      <w:rFonts w:eastAsia="SimSun"/>
      <w:color w:val="000000"/>
      <w:sz w:val="24"/>
      <w:szCs w:val="24"/>
      <w:lang w:val="en-US" w:eastAsia="en-US" w:bidi="ar-SA"/>
    </w:rPr>
  </w:style>
  <w:style w:type="paragraph" w:styleId="TOCHeading">
    <w:name w:val="TOC Heading"/>
    <w:basedOn w:val="Heading1"/>
    <w:next w:val="Normal"/>
    <w:uiPriority w:val="39"/>
    <w:unhideWhenUsed/>
    <w:qFormat/>
    <w:rsid w:val="00E30A46"/>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bidi="ar-SA"/>
    </w:rPr>
  </w:style>
  <w:style w:type="paragraph" w:styleId="TOC2">
    <w:name w:val="toc 2"/>
    <w:basedOn w:val="Normal"/>
    <w:next w:val="Normal"/>
    <w:autoRedefine/>
    <w:uiPriority w:val="39"/>
    <w:unhideWhenUsed/>
    <w:rsid w:val="00E30A46"/>
    <w:pPr>
      <w:spacing w:after="100"/>
      <w:ind w:left="220"/>
    </w:pPr>
    <w:rPr>
      <w:rFonts w:cs="Mangal"/>
      <w:szCs w:val="20"/>
    </w:rPr>
  </w:style>
  <w:style w:type="paragraph" w:styleId="TOC3">
    <w:name w:val="toc 3"/>
    <w:basedOn w:val="Normal"/>
    <w:next w:val="Normal"/>
    <w:autoRedefine/>
    <w:uiPriority w:val="39"/>
    <w:unhideWhenUsed/>
    <w:rsid w:val="00E30A46"/>
    <w:pPr>
      <w:spacing w:after="100"/>
      <w:ind w:left="440"/>
    </w:pPr>
    <w:rPr>
      <w:rFonts w:cs="Mangal"/>
      <w:szCs w:val="20"/>
    </w:rPr>
  </w:style>
  <w:style w:type="character" w:styleId="Hyperlink">
    <w:name w:val="Hyperlink"/>
    <w:basedOn w:val="DefaultParagraphFont"/>
    <w:uiPriority w:val="99"/>
    <w:unhideWhenUsed/>
    <w:rsid w:val="00E30A46"/>
    <w:rPr>
      <w:color w:val="0000FF" w:themeColor="hyperlink"/>
      <w:u w:val="single"/>
    </w:rPr>
  </w:style>
  <w:style w:type="paragraph" w:styleId="Header">
    <w:name w:val="header"/>
    <w:basedOn w:val="Normal"/>
    <w:link w:val="HeaderChar"/>
    <w:uiPriority w:val="99"/>
    <w:unhideWhenUsed/>
    <w:rsid w:val="00916CBA"/>
    <w:pPr>
      <w:tabs>
        <w:tab w:val="center" w:pos="4680"/>
        <w:tab w:val="right" w:pos="9360"/>
      </w:tabs>
      <w:spacing w:line="240" w:lineRule="auto"/>
    </w:pPr>
    <w:rPr>
      <w:rFonts w:cs="Mangal"/>
      <w:szCs w:val="20"/>
    </w:rPr>
  </w:style>
  <w:style w:type="character" w:customStyle="1" w:styleId="HeaderChar">
    <w:name w:val="Header Char"/>
    <w:basedOn w:val="DefaultParagraphFont"/>
    <w:link w:val="Header"/>
    <w:uiPriority w:val="99"/>
    <w:rsid w:val="00916CBA"/>
    <w:rPr>
      <w:rFonts w:cs="Mangal"/>
      <w:szCs w:val="20"/>
    </w:rPr>
  </w:style>
  <w:style w:type="paragraph" w:styleId="Footer">
    <w:name w:val="footer"/>
    <w:basedOn w:val="Normal"/>
    <w:link w:val="FooterChar"/>
    <w:uiPriority w:val="99"/>
    <w:unhideWhenUsed/>
    <w:rsid w:val="00916CBA"/>
    <w:pPr>
      <w:tabs>
        <w:tab w:val="center" w:pos="4680"/>
        <w:tab w:val="right" w:pos="9360"/>
      </w:tabs>
      <w:spacing w:line="240" w:lineRule="auto"/>
    </w:pPr>
    <w:rPr>
      <w:rFonts w:cs="Mangal"/>
      <w:szCs w:val="20"/>
    </w:rPr>
  </w:style>
  <w:style w:type="character" w:customStyle="1" w:styleId="FooterChar">
    <w:name w:val="Footer Char"/>
    <w:basedOn w:val="DefaultParagraphFont"/>
    <w:link w:val="Footer"/>
    <w:uiPriority w:val="99"/>
    <w:rsid w:val="00916CBA"/>
    <w:rPr>
      <w:rFonts w:cs="Mangal"/>
      <w:szCs w:val="20"/>
    </w:rPr>
  </w:style>
</w:styles>
</file>

<file path=word/webSettings.xml><?xml version="1.0" encoding="utf-8"?>
<w:webSettings xmlns:r="http://schemas.openxmlformats.org/officeDocument/2006/relationships" xmlns:w="http://schemas.openxmlformats.org/wordprocessingml/2006/main">
  <w:divs>
    <w:div w:id="44988656">
      <w:bodyDiv w:val="1"/>
      <w:marLeft w:val="0"/>
      <w:marRight w:val="0"/>
      <w:marTop w:val="0"/>
      <w:marBottom w:val="0"/>
      <w:divBdr>
        <w:top w:val="none" w:sz="0" w:space="0" w:color="auto"/>
        <w:left w:val="none" w:sz="0" w:space="0" w:color="auto"/>
        <w:bottom w:val="none" w:sz="0" w:space="0" w:color="auto"/>
        <w:right w:val="none" w:sz="0" w:space="0" w:color="auto"/>
      </w:divBdr>
    </w:div>
    <w:div w:id="79259989">
      <w:bodyDiv w:val="1"/>
      <w:marLeft w:val="0"/>
      <w:marRight w:val="0"/>
      <w:marTop w:val="0"/>
      <w:marBottom w:val="0"/>
      <w:divBdr>
        <w:top w:val="none" w:sz="0" w:space="0" w:color="auto"/>
        <w:left w:val="none" w:sz="0" w:space="0" w:color="auto"/>
        <w:bottom w:val="none" w:sz="0" w:space="0" w:color="auto"/>
        <w:right w:val="none" w:sz="0" w:space="0" w:color="auto"/>
      </w:divBdr>
    </w:div>
    <w:div w:id="166213905">
      <w:bodyDiv w:val="1"/>
      <w:marLeft w:val="0"/>
      <w:marRight w:val="0"/>
      <w:marTop w:val="0"/>
      <w:marBottom w:val="0"/>
      <w:divBdr>
        <w:top w:val="none" w:sz="0" w:space="0" w:color="auto"/>
        <w:left w:val="none" w:sz="0" w:space="0" w:color="auto"/>
        <w:bottom w:val="none" w:sz="0" w:space="0" w:color="auto"/>
        <w:right w:val="none" w:sz="0" w:space="0" w:color="auto"/>
      </w:divBdr>
    </w:div>
    <w:div w:id="539561422">
      <w:bodyDiv w:val="1"/>
      <w:marLeft w:val="0"/>
      <w:marRight w:val="0"/>
      <w:marTop w:val="0"/>
      <w:marBottom w:val="0"/>
      <w:divBdr>
        <w:top w:val="none" w:sz="0" w:space="0" w:color="auto"/>
        <w:left w:val="none" w:sz="0" w:space="0" w:color="auto"/>
        <w:bottom w:val="none" w:sz="0" w:space="0" w:color="auto"/>
        <w:right w:val="none" w:sz="0" w:space="0" w:color="auto"/>
      </w:divBdr>
    </w:div>
    <w:div w:id="657030552">
      <w:bodyDiv w:val="1"/>
      <w:marLeft w:val="0"/>
      <w:marRight w:val="0"/>
      <w:marTop w:val="0"/>
      <w:marBottom w:val="0"/>
      <w:divBdr>
        <w:top w:val="none" w:sz="0" w:space="0" w:color="auto"/>
        <w:left w:val="none" w:sz="0" w:space="0" w:color="auto"/>
        <w:bottom w:val="none" w:sz="0" w:space="0" w:color="auto"/>
        <w:right w:val="none" w:sz="0" w:space="0" w:color="auto"/>
      </w:divBdr>
    </w:div>
    <w:div w:id="780994202">
      <w:bodyDiv w:val="1"/>
      <w:marLeft w:val="0"/>
      <w:marRight w:val="0"/>
      <w:marTop w:val="0"/>
      <w:marBottom w:val="0"/>
      <w:divBdr>
        <w:top w:val="none" w:sz="0" w:space="0" w:color="auto"/>
        <w:left w:val="none" w:sz="0" w:space="0" w:color="auto"/>
        <w:bottom w:val="none" w:sz="0" w:space="0" w:color="auto"/>
        <w:right w:val="none" w:sz="0" w:space="0" w:color="auto"/>
      </w:divBdr>
    </w:div>
    <w:div w:id="839542249">
      <w:bodyDiv w:val="1"/>
      <w:marLeft w:val="0"/>
      <w:marRight w:val="0"/>
      <w:marTop w:val="0"/>
      <w:marBottom w:val="0"/>
      <w:divBdr>
        <w:top w:val="none" w:sz="0" w:space="0" w:color="auto"/>
        <w:left w:val="none" w:sz="0" w:space="0" w:color="auto"/>
        <w:bottom w:val="none" w:sz="0" w:space="0" w:color="auto"/>
        <w:right w:val="none" w:sz="0" w:space="0" w:color="auto"/>
      </w:divBdr>
    </w:div>
    <w:div w:id="979264984">
      <w:bodyDiv w:val="1"/>
      <w:marLeft w:val="0"/>
      <w:marRight w:val="0"/>
      <w:marTop w:val="0"/>
      <w:marBottom w:val="0"/>
      <w:divBdr>
        <w:top w:val="none" w:sz="0" w:space="0" w:color="auto"/>
        <w:left w:val="none" w:sz="0" w:space="0" w:color="auto"/>
        <w:bottom w:val="none" w:sz="0" w:space="0" w:color="auto"/>
        <w:right w:val="none" w:sz="0" w:space="0" w:color="auto"/>
      </w:divBdr>
    </w:div>
    <w:div w:id="1064331101">
      <w:bodyDiv w:val="1"/>
      <w:marLeft w:val="0"/>
      <w:marRight w:val="0"/>
      <w:marTop w:val="0"/>
      <w:marBottom w:val="0"/>
      <w:divBdr>
        <w:top w:val="none" w:sz="0" w:space="0" w:color="auto"/>
        <w:left w:val="none" w:sz="0" w:space="0" w:color="auto"/>
        <w:bottom w:val="none" w:sz="0" w:space="0" w:color="auto"/>
        <w:right w:val="none" w:sz="0" w:space="0" w:color="auto"/>
      </w:divBdr>
    </w:div>
    <w:div w:id="1546871617">
      <w:bodyDiv w:val="1"/>
      <w:marLeft w:val="0"/>
      <w:marRight w:val="0"/>
      <w:marTop w:val="0"/>
      <w:marBottom w:val="0"/>
      <w:divBdr>
        <w:top w:val="none" w:sz="0" w:space="0" w:color="auto"/>
        <w:left w:val="none" w:sz="0" w:space="0" w:color="auto"/>
        <w:bottom w:val="none" w:sz="0" w:space="0" w:color="auto"/>
        <w:right w:val="none" w:sz="0" w:space="0" w:color="auto"/>
      </w:divBdr>
    </w:div>
    <w:div w:id="1546983892">
      <w:bodyDiv w:val="1"/>
      <w:marLeft w:val="0"/>
      <w:marRight w:val="0"/>
      <w:marTop w:val="0"/>
      <w:marBottom w:val="0"/>
      <w:divBdr>
        <w:top w:val="none" w:sz="0" w:space="0" w:color="auto"/>
        <w:left w:val="none" w:sz="0" w:space="0" w:color="auto"/>
        <w:bottom w:val="none" w:sz="0" w:space="0" w:color="auto"/>
        <w:right w:val="none" w:sz="0" w:space="0" w:color="auto"/>
      </w:divBdr>
    </w:div>
    <w:div w:id="1868712114">
      <w:bodyDiv w:val="1"/>
      <w:marLeft w:val="0"/>
      <w:marRight w:val="0"/>
      <w:marTop w:val="0"/>
      <w:marBottom w:val="0"/>
      <w:divBdr>
        <w:top w:val="none" w:sz="0" w:space="0" w:color="auto"/>
        <w:left w:val="none" w:sz="0" w:space="0" w:color="auto"/>
        <w:bottom w:val="none" w:sz="0" w:space="0" w:color="auto"/>
        <w:right w:val="none" w:sz="0" w:space="0" w:color="auto"/>
      </w:divBdr>
    </w:div>
    <w:div w:id="1877111730">
      <w:bodyDiv w:val="1"/>
      <w:marLeft w:val="0"/>
      <w:marRight w:val="0"/>
      <w:marTop w:val="0"/>
      <w:marBottom w:val="0"/>
      <w:divBdr>
        <w:top w:val="none" w:sz="0" w:space="0" w:color="auto"/>
        <w:left w:val="none" w:sz="0" w:space="0" w:color="auto"/>
        <w:bottom w:val="none" w:sz="0" w:space="0" w:color="auto"/>
        <w:right w:val="none" w:sz="0" w:space="0" w:color="auto"/>
      </w:divBdr>
    </w:div>
    <w:div w:id="189904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060/cd068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297D7-EB9D-4F5E-B736-A0C254ED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2575</Words>
  <Characters>14682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Khilesh Kumar Thakur</dc:creator>
  <cp:lastModifiedBy>Javed</cp:lastModifiedBy>
  <cp:revision>5</cp:revision>
  <cp:lastPrinted>2025-07-10T08:10:00Z</cp:lastPrinted>
  <dcterms:created xsi:type="dcterms:W3CDTF">2025-07-14T09:49:00Z</dcterms:created>
  <dcterms:modified xsi:type="dcterms:W3CDTF">2025-07-14T10:22:00Z</dcterms:modified>
</cp:coreProperties>
</file>