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4298" w14:textId="206311AC" w:rsidR="005A1076" w:rsidRPr="00931606" w:rsidRDefault="00931606">
      <w:pPr>
        <w:pStyle w:val="Title"/>
        <w:spacing w:after="0"/>
        <w:jc w:val="both"/>
        <w:rPr>
          <w:rFonts w:ascii="Arial" w:hAnsi="Arial"/>
          <w:u w:val="single"/>
        </w:rPr>
      </w:pPr>
      <w:r w:rsidRPr="00931606">
        <w:rPr>
          <w:rFonts w:ascii="Arial" w:hAnsi="Arial"/>
          <w:u w:val="single"/>
        </w:rPr>
        <w:t>Short Research Article</w:t>
      </w:r>
    </w:p>
    <w:p w14:paraId="561701A5" w14:textId="77777777" w:rsidR="00931606" w:rsidRDefault="00931606">
      <w:pPr>
        <w:pStyle w:val="Author"/>
        <w:spacing w:line="240" w:lineRule="auto"/>
        <w:rPr>
          <w:rFonts w:ascii="Arial" w:hAnsi="Arial"/>
          <w:kern w:val="28"/>
          <w:sz w:val="36"/>
          <w:szCs w:val="36"/>
        </w:rPr>
      </w:pPr>
    </w:p>
    <w:p w14:paraId="407CA0C1" w14:textId="30BCCD26" w:rsidR="005A1076" w:rsidRDefault="00A31EB4">
      <w:pPr>
        <w:pStyle w:val="Author"/>
        <w:spacing w:line="240" w:lineRule="auto"/>
        <w:rPr>
          <w:rFonts w:ascii="Arial" w:eastAsia="Arial" w:hAnsi="Arial" w:cs="Arial"/>
          <w:kern w:val="28"/>
          <w:sz w:val="36"/>
          <w:szCs w:val="36"/>
        </w:rPr>
      </w:pPr>
      <w:r>
        <w:rPr>
          <w:rFonts w:ascii="Arial" w:hAnsi="Arial"/>
          <w:kern w:val="28"/>
          <w:sz w:val="36"/>
          <w:szCs w:val="36"/>
        </w:rPr>
        <w:t>Hematological and biochemical evaluation of lokivetmab therapy in moderate canine atopic dermatitis: First clinical study from India</w:t>
      </w:r>
    </w:p>
    <w:p w14:paraId="082FD64C" w14:textId="77777777" w:rsidR="005A1076" w:rsidRDefault="005A1076">
      <w:pPr>
        <w:pStyle w:val="Author"/>
        <w:spacing w:line="240" w:lineRule="auto"/>
        <w:jc w:val="both"/>
        <w:rPr>
          <w:rFonts w:ascii="Arial" w:eastAsia="Arial" w:hAnsi="Arial" w:cs="Arial"/>
          <w:sz w:val="36"/>
          <w:szCs w:val="36"/>
        </w:rPr>
      </w:pPr>
    </w:p>
    <w:p w14:paraId="7E75E0D3" w14:textId="77777777" w:rsidR="00931606" w:rsidRDefault="00931606">
      <w:pPr>
        <w:pStyle w:val="Affiliation"/>
        <w:spacing w:after="0" w:line="240" w:lineRule="auto"/>
        <w:rPr>
          <w:rFonts w:ascii="Arial" w:eastAsia="Arial" w:hAnsi="Arial" w:cs="Arial"/>
        </w:rPr>
      </w:pPr>
    </w:p>
    <w:p w14:paraId="175479B3" w14:textId="77777777" w:rsidR="005A1076" w:rsidRDefault="00A31EB4">
      <w:pPr>
        <w:pStyle w:val="Copyright"/>
        <w:spacing w:after="0" w:line="240" w:lineRule="auto"/>
        <w:jc w:val="both"/>
        <w:rPr>
          <w:rFonts w:ascii="Arial" w:eastAsia="Arial" w:hAnsi="Arial" w:cs="Arial"/>
        </w:rPr>
      </w:pPr>
      <w:r>
        <w:rPr>
          <w:rFonts w:ascii="Arial" w:eastAsia="Arial" w:hAnsi="Arial" w:cs="Arial"/>
          <w:noProof/>
        </w:rPr>
        <mc:AlternateContent>
          <mc:Choice Requires="wps">
            <w:drawing>
              <wp:inline distT="0" distB="0" distL="0" distR="0" wp14:anchorId="334058BE" wp14:editId="469952CE">
                <wp:extent cx="5211955" cy="0"/>
                <wp:effectExtent l="0" t="0" r="0" b="0"/>
                <wp:docPr id="1073741825" name="officeArt object" descr="Line"/>
                <wp:cNvGraphicFramePr/>
                <a:graphic xmlns:a="http://schemas.openxmlformats.org/drawingml/2006/main">
                  <a:graphicData uri="http://schemas.microsoft.com/office/word/2010/wordprocessingShape">
                    <wps:wsp>
                      <wps:cNvCnPr/>
                      <wps:spPr>
                        <a:xfrm>
                          <a:off x="0" y="0"/>
                          <a:ext cx="5211955" cy="0"/>
                        </a:xfrm>
                        <a:prstGeom prst="line">
                          <a:avLst/>
                        </a:prstGeom>
                        <a:noFill/>
                        <a:ln w="19050" cap="flat">
                          <a:solidFill>
                            <a:srgbClr val="000000"/>
                          </a:solidFill>
                          <a:prstDash val="solid"/>
                          <a:round/>
                        </a:ln>
                        <a:effectLst/>
                      </wps:spPr>
                      <wps:bodyPr/>
                    </wps:wsp>
                  </a:graphicData>
                </a:graphic>
              </wp:inline>
            </w:drawing>
          </mc:Choice>
          <mc:Fallback xmlns:w16sdtfl="http://schemas.microsoft.com/office/word/2024/wordml/sdtformatlock">
            <w:pict>
              <v:line id="_x0000_s1026" style="visibility:visible;width:410.4pt;height:0.0pt;">
                <v:fill on="f"/>
                <v:stroke filltype="solid" color="#000000" opacity="100.0%" weight="1.5pt" dashstyle="solid" endcap="flat" joinstyle="round" linestyle="single" startarrow="none" startarrowwidth="medium" startarrowlength="medium" endarrow="none" endarrowwidth="medium" endarrowlength="medium"/>
              </v:line>
            </w:pict>
          </mc:Fallback>
        </mc:AlternateContent>
      </w:r>
    </w:p>
    <w:tbl>
      <w:tblPr>
        <w:tblW w:w="80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90"/>
      </w:tblGrid>
      <w:tr w:rsidR="005A1076" w14:paraId="6ED40E6F" w14:textId="77777777">
        <w:trPr>
          <w:trHeight w:val="7063"/>
        </w:trPr>
        <w:tc>
          <w:tcPr>
            <w:tcW w:w="80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CD7E81" w14:textId="77777777" w:rsidR="005A1076" w:rsidRDefault="00A31EB4">
            <w:pPr>
              <w:pStyle w:val="BodyA"/>
              <w:spacing w:after="0"/>
              <w:rPr>
                <w:rFonts w:ascii="Arial" w:eastAsia="Arial" w:hAnsi="Arial" w:cs="Arial"/>
                <w:b/>
                <w:bCs/>
              </w:rPr>
            </w:pPr>
            <w:r>
              <w:rPr>
                <w:rFonts w:ascii="Arial" w:hAnsi="Arial"/>
                <w:b/>
                <w:bCs/>
              </w:rPr>
              <w:t>Abstract:</w:t>
            </w:r>
          </w:p>
          <w:p w14:paraId="4C7AD05D" w14:textId="77777777" w:rsidR="005A1076" w:rsidRDefault="00A31EB4">
            <w:pPr>
              <w:pStyle w:val="BodyA"/>
              <w:spacing w:after="0"/>
              <w:rPr>
                <w:rFonts w:ascii="Arial" w:eastAsia="Arial" w:hAnsi="Arial" w:cs="Arial"/>
                <w:b/>
                <w:bCs/>
              </w:rPr>
            </w:pPr>
            <w:r>
              <w:rPr>
                <w:rFonts w:ascii="Arial" w:hAnsi="Arial"/>
                <w:b/>
                <w:bCs/>
              </w:rPr>
              <w:t>Aims: T</w:t>
            </w:r>
            <w:r>
              <w:rPr>
                <w:rFonts w:ascii="Arial" w:hAnsi="Arial"/>
              </w:rPr>
              <w:t>o evaluate the hematological and biochemical safety profile of lokivetmab in client-owned dogs diagnosed with moderate canine atopic dermatitis (CAD) over a 90-day treatment period</w:t>
            </w:r>
            <w:r>
              <w:rPr>
                <w:rFonts w:ascii="Arial" w:hAnsi="Arial"/>
                <w:b/>
                <w:bCs/>
              </w:rPr>
              <w:t>.</w:t>
            </w:r>
          </w:p>
          <w:p w14:paraId="1E984DCA" w14:textId="77777777" w:rsidR="005A1076" w:rsidRDefault="005A1076">
            <w:pPr>
              <w:pStyle w:val="BodyA"/>
              <w:spacing w:after="0"/>
              <w:rPr>
                <w:rFonts w:ascii="Arial" w:eastAsia="Arial" w:hAnsi="Arial" w:cs="Arial"/>
                <w:b/>
                <w:bCs/>
              </w:rPr>
            </w:pPr>
          </w:p>
          <w:p w14:paraId="53ECF53B" w14:textId="77777777" w:rsidR="005A1076" w:rsidRDefault="00A31EB4">
            <w:pPr>
              <w:pStyle w:val="BodyA"/>
              <w:spacing w:after="0"/>
              <w:rPr>
                <w:rFonts w:ascii="Arial" w:eastAsia="Arial" w:hAnsi="Arial" w:cs="Arial"/>
                <w:b/>
                <w:bCs/>
              </w:rPr>
            </w:pPr>
            <w:r>
              <w:rPr>
                <w:rFonts w:ascii="Arial" w:hAnsi="Arial"/>
                <w:b/>
                <w:bCs/>
              </w:rPr>
              <w:t xml:space="preserve">Study design:  </w:t>
            </w:r>
            <w:r>
              <w:rPr>
                <w:rFonts w:ascii="Arial" w:hAnsi="Arial"/>
              </w:rPr>
              <w:t>Prospective, longitudinal clinical safety study.</w:t>
            </w:r>
          </w:p>
          <w:p w14:paraId="4488B0C6" w14:textId="77777777" w:rsidR="005A1076" w:rsidRDefault="005A1076">
            <w:pPr>
              <w:pStyle w:val="BodyA"/>
              <w:spacing w:after="0"/>
              <w:rPr>
                <w:rFonts w:ascii="Arial" w:eastAsia="Arial" w:hAnsi="Arial" w:cs="Arial"/>
                <w:b/>
                <w:bCs/>
              </w:rPr>
            </w:pPr>
          </w:p>
          <w:p w14:paraId="4AF27BB0" w14:textId="77777777" w:rsidR="005A1076" w:rsidRDefault="00A31EB4">
            <w:pPr>
              <w:pStyle w:val="BodyA"/>
              <w:spacing w:after="0"/>
              <w:rPr>
                <w:rFonts w:ascii="Arial" w:eastAsia="Arial" w:hAnsi="Arial" w:cs="Arial"/>
                <w:b/>
                <w:bCs/>
              </w:rPr>
            </w:pPr>
            <w:r>
              <w:rPr>
                <w:rFonts w:ascii="Arial" w:hAnsi="Arial"/>
                <w:b/>
                <w:bCs/>
              </w:rPr>
              <w:t xml:space="preserve">Place and Duration of Study: </w:t>
            </w:r>
            <w:r>
              <w:rPr>
                <w:rFonts w:ascii="Arial" w:hAnsi="Arial"/>
              </w:rPr>
              <w:t>Teaching Veterinary Clinical Complex, College of Veterinary and Animal Sciences, Mannuthy, Thrissur, Kerala Veterinary and Animal Sciences University (KVASU), India, between July 2024 and February 2025</w:t>
            </w:r>
            <w:r>
              <w:rPr>
                <w:rFonts w:ascii="Arial" w:hAnsi="Arial"/>
                <w:b/>
                <w:bCs/>
              </w:rPr>
              <w:t>.</w:t>
            </w:r>
          </w:p>
          <w:p w14:paraId="537FEE05" w14:textId="77777777" w:rsidR="005A1076" w:rsidRDefault="005A1076">
            <w:pPr>
              <w:pStyle w:val="BodyA"/>
              <w:spacing w:after="0"/>
              <w:rPr>
                <w:rFonts w:ascii="Arial" w:eastAsia="Arial" w:hAnsi="Arial" w:cs="Arial"/>
                <w:b/>
                <w:bCs/>
              </w:rPr>
            </w:pPr>
          </w:p>
          <w:p w14:paraId="6DDB22E9" w14:textId="77777777" w:rsidR="005A1076" w:rsidRDefault="00A31EB4">
            <w:pPr>
              <w:pStyle w:val="BodyA"/>
              <w:spacing w:after="0"/>
              <w:rPr>
                <w:rFonts w:ascii="Arial" w:eastAsia="Arial" w:hAnsi="Arial" w:cs="Arial"/>
                <w:b/>
                <w:bCs/>
              </w:rPr>
            </w:pPr>
            <w:r>
              <w:rPr>
                <w:rFonts w:ascii="Arial" w:hAnsi="Arial"/>
                <w:b/>
                <w:bCs/>
              </w:rPr>
              <w:t xml:space="preserve">Methodology: </w:t>
            </w:r>
            <w:r>
              <w:rPr>
                <w:rFonts w:ascii="Arial" w:hAnsi="Arial"/>
              </w:rPr>
              <w:t>Eight client-owned dogs with moderate CAD were selected for the therapeutic study. All the eight animals were administered with lokivetmab injections (subcutaneously)(2 mg/kg) on Days 0, 30 and 60. Hematological and serum biochemical parameters were assessed on Day 0 and Day 90 of therapy and compared with healthy control dogs. Hematological parameters included packed cell volume (PCV), red blood cell (RBC) count, total and differential leukocyte counts. Biochemical assessments included blood urea nitrogen (BUN), creatinine, alanine aminotransferase (ALT), alkaline phosphatase (ALP), total protein (TP), albumin and globulin. Statistical comparisons were made using one-way ANOVA and paired t-tests.</w:t>
            </w:r>
          </w:p>
          <w:p w14:paraId="0AD73078" w14:textId="77777777" w:rsidR="005A1076" w:rsidRDefault="005A1076">
            <w:pPr>
              <w:pStyle w:val="BodyA"/>
              <w:spacing w:after="0"/>
              <w:rPr>
                <w:rFonts w:ascii="Arial" w:eastAsia="Arial" w:hAnsi="Arial" w:cs="Arial"/>
                <w:b/>
                <w:bCs/>
              </w:rPr>
            </w:pPr>
          </w:p>
          <w:p w14:paraId="7C6B2DC1" w14:textId="77777777" w:rsidR="005A1076" w:rsidRDefault="00A31EB4">
            <w:pPr>
              <w:pStyle w:val="BodyA"/>
              <w:spacing w:after="0"/>
              <w:rPr>
                <w:rFonts w:ascii="Arial" w:eastAsia="Arial" w:hAnsi="Arial" w:cs="Arial"/>
              </w:rPr>
            </w:pPr>
            <w:r>
              <w:rPr>
                <w:rFonts w:ascii="Arial" w:hAnsi="Arial"/>
                <w:b/>
                <w:bCs/>
              </w:rPr>
              <w:t xml:space="preserve">Results: </w:t>
            </w:r>
            <w:r>
              <w:rPr>
                <w:rFonts w:ascii="Arial" w:hAnsi="Arial"/>
              </w:rPr>
              <w:t>Hemoglobin levels remained stable. PCV increased significantly from 33.88 ± 2.02 per cent to 42.49 ± 1.04 per cent (p = 0.05) and RBC counts improved from 5.09 ± 0.32 to 6.32 ± 0.26 million/μL (p = 0.09). WBC, granulocyte and lymphocyte counts showed significant improvement. Renal parameters remained stable. ALP was significantly higher in CAD dogs at baseline (72.25 ± 17.95 IU/L) compared to controls (21.75 ± 4.80 IU/L; p = 0.02) but declined by Day 90. ALT also decreased post-treatment. Total Protein, albumin and globulin increased modestly without statistical significance.</w:t>
            </w:r>
          </w:p>
          <w:p w14:paraId="36C72DDD" w14:textId="77777777" w:rsidR="005A1076" w:rsidRDefault="005A1076">
            <w:pPr>
              <w:pStyle w:val="BodyA"/>
              <w:spacing w:after="0"/>
              <w:rPr>
                <w:rFonts w:ascii="Arial" w:eastAsia="Arial" w:hAnsi="Arial" w:cs="Arial"/>
                <w:b/>
                <w:bCs/>
              </w:rPr>
            </w:pPr>
          </w:p>
          <w:p w14:paraId="12374EBB" w14:textId="77777777" w:rsidR="005A1076" w:rsidRDefault="00A31EB4">
            <w:pPr>
              <w:pStyle w:val="BodyA"/>
              <w:spacing w:after="0"/>
            </w:pPr>
            <w:r>
              <w:rPr>
                <w:rFonts w:ascii="Arial" w:hAnsi="Arial"/>
                <w:b/>
                <w:bCs/>
              </w:rPr>
              <w:t xml:space="preserve">Conclusion: </w:t>
            </w:r>
            <w:r>
              <w:rPr>
                <w:rFonts w:ascii="Arial" w:hAnsi="Arial"/>
              </w:rPr>
              <w:t>The hematological and biochemical safety of 90-day lokivetmab therapy is documented in Indian dogs with atopic dermatitis.</w:t>
            </w:r>
          </w:p>
        </w:tc>
      </w:tr>
    </w:tbl>
    <w:p w14:paraId="583AA27F" w14:textId="77777777" w:rsidR="005A1076" w:rsidRDefault="005A1076">
      <w:pPr>
        <w:pStyle w:val="Copyright"/>
        <w:widowControl w:val="0"/>
        <w:spacing w:after="0" w:line="240" w:lineRule="auto"/>
        <w:ind w:left="108" w:hanging="108"/>
        <w:rPr>
          <w:rFonts w:ascii="Arial" w:eastAsia="Arial" w:hAnsi="Arial" w:cs="Arial"/>
        </w:rPr>
      </w:pPr>
    </w:p>
    <w:p w14:paraId="5C78CACF" w14:textId="77777777" w:rsidR="005A1076" w:rsidRDefault="005A1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ts w:ascii="Arial" w:eastAsia="Arial" w:hAnsi="Arial" w:cs="Arial"/>
          <w:i/>
          <w:iCs/>
        </w:rPr>
      </w:pPr>
      <w:r>
        <w:rPr>
          <w:rFonts w:ascii="Arial" w:hAnsi="Arial"/>
          <w:i/>
          <w:iCs/>
        </w:rPr>
        <w:t>Keywords: Lokivetmab therapy, Hematobiochemical monitoring, Clinical safety assessment</w:t>
      </w:r>
    </w:p>
    <w:p w14:paraId="7F639C83" w14:textId="77777777" w:rsidR="005A1076" w:rsidRDefault="005A1076">
      <w:pPr>
        <w:pStyle w:val="BodyA"/>
        <w:spacing w:after="0"/>
        <w:rPr>
          <w:rFonts w:ascii="Arial" w:eastAsia="Arial" w:hAnsi="Arial" w:cs="Arial"/>
          <w:i/>
          <w:iCs/>
        </w:rPr>
      </w:pPr>
    </w:p>
    <w:p w14:paraId="3F2DEF03" w14:textId="77777777" w:rsidR="005A1076" w:rsidRDefault="005A1076">
      <w:pPr>
        <w:pStyle w:val="BodyA"/>
        <w:spacing w:after="0"/>
        <w:rPr>
          <w:rFonts w:ascii="Arial" w:eastAsia="Arial" w:hAnsi="Arial" w:cs="Arial"/>
        </w:rPr>
      </w:pPr>
    </w:p>
    <w:p w14:paraId="603712AA" w14:textId="77777777" w:rsidR="005A1076" w:rsidRDefault="005A1076">
      <w:pPr>
        <w:pStyle w:val="AbstHead"/>
        <w:spacing w:after="0"/>
        <w:jc w:val="both"/>
        <w:rPr>
          <w:rFonts w:ascii="Arial" w:eastAsia="Arial" w:hAnsi="Arial" w:cs="Arial"/>
        </w:rPr>
      </w:pPr>
    </w:p>
    <w:p w14:paraId="3BD3F606" w14:textId="77777777" w:rsidR="005A1076" w:rsidRDefault="005A1076">
      <w:pPr>
        <w:pStyle w:val="AbstHead"/>
        <w:spacing w:after="0"/>
        <w:jc w:val="both"/>
        <w:rPr>
          <w:rFonts w:ascii="Arial" w:eastAsia="Arial" w:hAnsi="Arial" w:cs="Arial"/>
        </w:rPr>
      </w:pPr>
    </w:p>
    <w:p w14:paraId="4D921E18" w14:textId="77777777" w:rsidR="005A1076" w:rsidRDefault="00A31EB4">
      <w:pPr>
        <w:pStyle w:val="AbstHead"/>
        <w:spacing w:after="0"/>
        <w:jc w:val="both"/>
        <w:rPr>
          <w:rFonts w:ascii="Arial" w:eastAsia="Arial" w:hAnsi="Arial" w:cs="Arial"/>
        </w:rPr>
      </w:pPr>
      <w:r>
        <w:rPr>
          <w:rFonts w:ascii="Arial" w:hAnsi="Arial"/>
        </w:rPr>
        <w:t xml:space="preserve">1. INTRODUCTION </w:t>
      </w:r>
    </w:p>
    <w:p w14:paraId="7999575B" w14:textId="77777777" w:rsidR="005A1076" w:rsidRDefault="005A1076">
      <w:pPr>
        <w:pStyle w:val="BodyA"/>
        <w:spacing w:after="0"/>
        <w:rPr>
          <w:rFonts w:ascii="Arial" w:eastAsia="Arial" w:hAnsi="Arial" w:cs="Arial"/>
        </w:rPr>
      </w:pPr>
    </w:p>
    <w:p w14:paraId="0AB939B2" w14:textId="77777777" w:rsidR="005A1076" w:rsidRDefault="00A31EB4">
      <w:pPr>
        <w:pStyle w:val="BodyA"/>
        <w:spacing w:after="0"/>
        <w:rPr>
          <w:rFonts w:ascii="Arial" w:eastAsia="Arial" w:hAnsi="Arial" w:cs="Arial"/>
        </w:rPr>
      </w:pPr>
      <w:r>
        <w:rPr>
          <w:rFonts w:ascii="Arial" w:hAnsi="Arial"/>
        </w:rPr>
        <w:t xml:space="preserve">Canine atopic dermatitis (CAD) is a chronic, recurring, itchy and inflammatory skin condition which affects around 10–15 per cent of dogs worldwide.  CAD, a multifactorial disorder includes genetic susceptibility, sensitivity to environmental allergens, dysfunction of the skin </w:t>
      </w:r>
      <w:r>
        <w:rPr>
          <w:rFonts w:ascii="Arial" w:hAnsi="Arial"/>
        </w:rPr>
        <w:lastRenderedPageBreak/>
        <w:t>barrier and immune system irregularities (Hillier and Griffin, 2001). The age range of CAD remains between 6 months and 3 years.</w:t>
      </w:r>
    </w:p>
    <w:p w14:paraId="7EE70A0C" w14:textId="77777777" w:rsidR="005A1076" w:rsidRDefault="005A1076">
      <w:pPr>
        <w:pStyle w:val="BodyA"/>
        <w:spacing w:after="0"/>
        <w:rPr>
          <w:rFonts w:ascii="Arial" w:eastAsia="Arial" w:hAnsi="Arial" w:cs="Arial"/>
        </w:rPr>
      </w:pPr>
    </w:p>
    <w:p w14:paraId="00796AE5" w14:textId="77777777" w:rsidR="005A1076" w:rsidRDefault="00A31EB4">
      <w:pPr>
        <w:pStyle w:val="BodyA"/>
        <w:spacing w:after="0"/>
        <w:rPr>
          <w:rFonts w:ascii="Arial" w:eastAsia="Arial" w:hAnsi="Arial" w:cs="Arial"/>
        </w:rPr>
      </w:pPr>
      <w:r>
        <w:rPr>
          <w:rFonts w:ascii="Arial" w:hAnsi="Arial"/>
        </w:rPr>
        <w:t xml:space="preserve">Conventional treatments-including corticosteroids, cyclosporine and Janus kinase (JAK) inhibitors like oclacitinib-are effective in reducing clinical symptoms but results in side effects </w:t>
      </w:r>
      <w:commentRangeStart w:id="0"/>
      <w:r>
        <w:rPr>
          <w:rFonts w:ascii="Arial" w:hAnsi="Arial"/>
        </w:rPr>
        <w:t>on</w:t>
      </w:r>
      <w:commentRangeEnd w:id="0"/>
      <w:r w:rsidR="007D3E2B">
        <w:rPr>
          <w:rStyle w:val="CommentReference"/>
          <w:rFonts w:ascii="Times New Roman" w:hAnsi="Times New Roman" w:cs="Times New Roman"/>
          <w:color w:val="auto"/>
          <w:rtl/>
        </w:rPr>
        <w:commentReference w:id="0"/>
      </w:r>
      <w:r>
        <w:rPr>
          <w:rFonts w:ascii="Arial" w:hAnsi="Arial"/>
        </w:rPr>
        <w:t xml:space="preserve"> the longer run. </w:t>
      </w:r>
    </w:p>
    <w:p w14:paraId="4D068278" w14:textId="77777777" w:rsidR="005A1076" w:rsidRDefault="005A1076">
      <w:pPr>
        <w:pStyle w:val="BodyA"/>
        <w:spacing w:after="0"/>
        <w:rPr>
          <w:rFonts w:ascii="Arial" w:eastAsia="Arial" w:hAnsi="Arial" w:cs="Arial"/>
        </w:rPr>
      </w:pPr>
    </w:p>
    <w:p w14:paraId="0DC8270A" w14:textId="77777777" w:rsidR="005A1076" w:rsidRDefault="00A31EB4">
      <w:pPr>
        <w:pStyle w:val="BodyA"/>
        <w:spacing w:after="0"/>
        <w:rPr>
          <w:rFonts w:ascii="Arial" w:eastAsia="Arial" w:hAnsi="Arial" w:cs="Arial"/>
        </w:rPr>
      </w:pPr>
      <w:r>
        <w:rPr>
          <w:rFonts w:ascii="Arial" w:hAnsi="Arial"/>
        </w:rPr>
        <w:t xml:space="preserve">Biological therapy  has emerged as a safe alternative to traditional medications in veterinary dermatology. Lokivetmab, a caninized anti-interleukin-31 (IL-31) monoclonal antibody, specifically binds  and neutralizes circulating canine IL-31 (Michels </w:t>
      </w:r>
      <w:r>
        <w:rPr>
          <w:rFonts w:ascii="Arial" w:hAnsi="Arial"/>
          <w:i/>
          <w:iCs/>
        </w:rPr>
        <w:t>et al.,</w:t>
      </w:r>
      <w:r>
        <w:rPr>
          <w:rFonts w:ascii="Arial" w:hAnsi="Arial"/>
        </w:rPr>
        <w:t xml:space="preserve"> 2016a). This remains as one of the major cytokine involved in the development of itchiness and inflammation in CAD. Its high specificity, minimal off-target effects  and lower risk of liver or kidney toxicity paved an option for long-term treatment (Moyaert </w:t>
      </w:r>
      <w:r>
        <w:rPr>
          <w:rFonts w:ascii="Arial" w:hAnsi="Arial"/>
          <w:i/>
          <w:iCs/>
        </w:rPr>
        <w:t>et al.,</w:t>
      </w:r>
      <w:r>
        <w:rPr>
          <w:rFonts w:ascii="Arial" w:hAnsi="Arial"/>
        </w:rPr>
        <w:t xml:space="preserve"> 2017).</w:t>
      </w:r>
    </w:p>
    <w:p w14:paraId="528E69B9" w14:textId="77777777" w:rsidR="005A1076" w:rsidRDefault="005A1076">
      <w:pPr>
        <w:pStyle w:val="BodyA"/>
        <w:spacing w:after="0"/>
        <w:rPr>
          <w:rFonts w:ascii="Arial" w:eastAsia="Arial" w:hAnsi="Arial" w:cs="Arial"/>
        </w:rPr>
      </w:pPr>
    </w:p>
    <w:p w14:paraId="3C7AB5CC" w14:textId="77777777" w:rsidR="005A1076" w:rsidRDefault="00A31EB4">
      <w:pPr>
        <w:pStyle w:val="BodyA"/>
        <w:spacing w:after="0"/>
        <w:rPr>
          <w:rFonts w:ascii="Arial" w:eastAsia="Arial" w:hAnsi="Arial" w:cs="Arial"/>
        </w:rPr>
      </w:pPr>
      <w:r>
        <w:rPr>
          <w:rFonts w:ascii="Arial" w:hAnsi="Arial"/>
        </w:rPr>
        <w:t xml:space="preserve">Global studies have demonstrated that lokivetmab significantly reduces pruritus and skin lesion scores with a rapid onset and prolonged action following monthly subcutaneous administration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Van Brussel </w:t>
      </w:r>
      <w:r>
        <w:rPr>
          <w:rFonts w:ascii="Arial" w:hAnsi="Arial"/>
          <w:i/>
          <w:iCs/>
        </w:rPr>
        <w:t>et al.,</w:t>
      </w:r>
      <w:r>
        <w:rPr>
          <w:rFonts w:ascii="Arial" w:hAnsi="Arial"/>
        </w:rPr>
        <w:t xml:space="preserve"> 2021). The pharmacokinetics of lokivetmab, characterized by FcRn-mediated recycling and proteolytic clearance, eliminate concerns regarding hepatic metabolism and drug-drug interactions ( Ovacik and Lin, 2018). Despite this, most safety and efficacy data are derived from Western or multinational studies, and there is limited published evidence evaluating its safety profile in Indian canine patients, as they are exposed to different environmental allergens and possess distinct genetic backgrounds.</w:t>
      </w:r>
    </w:p>
    <w:p w14:paraId="4A9D39E9" w14:textId="77777777" w:rsidR="005A1076" w:rsidRDefault="005A1076">
      <w:pPr>
        <w:pStyle w:val="BodyA"/>
        <w:spacing w:after="0"/>
        <w:rPr>
          <w:rFonts w:ascii="Arial" w:eastAsia="Arial" w:hAnsi="Arial" w:cs="Arial"/>
        </w:rPr>
      </w:pPr>
    </w:p>
    <w:p w14:paraId="0CC38194" w14:textId="77777777" w:rsidR="005A1076" w:rsidRDefault="00A31EB4">
      <w:pPr>
        <w:pStyle w:val="BodyA"/>
        <w:spacing w:after="0"/>
        <w:rPr>
          <w:rFonts w:ascii="Arial" w:eastAsia="Arial" w:hAnsi="Arial" w:cs="Arial"/>
        </w:rPr>
      </w:pPr>
      <w:r>
        <w:rPr>
          <w:rFonts w:ascii="Arial" w:hAnsi="Arial"/>
        </w:rPr>
        <w:t>To address this knowledge gap, the present study was aimed to evaluate the hematological and biochemical safety profile of lokivetmab in dogs diagnosed with moderate CAD in India. Eight client-owned dogs were administered with three doses of lokivetmab (2 mg/kg, subcutaneously) at 30-day intervals, with hematological and biochemical assessments performed on Days 0 and 90. The study was conducted at the Teaching Veterinary Clinical Complex, College of Veterinary and Animal Sciences, Mannuthy, Kerala Veterinary and Animal Sciences University (KVASU). The results of this study are expected to provide safety information relevant to the region, which will enhance clinical decision-making about the application of lokivetmab in CAD patients in India</w:t>
      </w:r>
    </w:p>
    <w:p w14:paraId="434ECDC0" w14:textId="77777777" w:rsidR="005A1076" w:rsidRDefault="005A1076">
      <w:pPr>
        <w:pStyle w:val="BodyA"/>
        <w:spacing w:after="0"/>
        <w:rPr>
          <w:rFonts w:ascii="Arial" w:eastAsia="Arial" w:hAnsi="Arial" w:cs="Arial"/>
        </w:rPr>
      </w:pPr>
    </w:p>
    <w:p w14:paraId="4138276D" w14:textId="77777777" w:rsidR="005A1076" w:rsidRDefault="005A1076">
      <w:pPr>
        <w:pStyle w:val="BodyA"/>
        <w:spacing w:after="0"/>
        <w:rPr>
          <w:rFonts w:ascii="Arial" w:eastAsia="Arial" w:hAnsi="Arial" w:cs="Arial"/>
        </w:rPr>
      </w:pPr>
    </w:p>
    <w:p w14:paraId="224D50EC" w14:textId="77777777" w:rsidR="005A1076" w:rsidRDefault="00A31EB4">
      <w:pPr>
        <w:pStyle w:val="AbstHead"/>
        <w:spacing w:after="0"/>
        <w:jc w:val="both"/>
        <w:rPr>
          <w:rFonts w:ascii="Arial" w:eastAsia="Arial" w:hAnsi="Arial" w:cs="Arial"/>
        </w:rPr>
      </w:pPr>
      <w:r>
        <w:rPr>
          <w:rFonts w:ascii="Arial" w:hAnsi="Arial"/>
        </w:rPr>
        <w:t>2. material and methods</w:t>
      </w:r>
    </w:p>
    <w:p w14:paraId="0B263CCA" w14:textId="77777777" w:rsidR="005A1076" w:rsidRDefault="005A1076">
      <w:pPr>
        <w:pStyle w:val="BodyA"/>
        <w:spacing w:after="0"/>
        <w:rPr>
          <w:rFonts w:ascii="Arial" w:eastAsia="Arial" w:hAnsi="Arial" w:cs="Arial"/>
        </w:rPr>
      </w:pPr>
    </w:p>
    <w:p w14:paraId="54F6B6B2" w14:textId="77777777" w:rsidR="005A1076" w:rsidRDefault="00A31EB4">
      <w:pPr>
        <w:pStyle w:val="BodyA"/>
        <w:spacing w:after="0"/>
        <w:rPr>
          <w:rFonts w:ascii="Arial" w:eastAsia="Arial" w:hAnsi="Arial" w:cs="Arial"/>
          <w:b/>
          <w:bCs/>
          <w:sz w:val="22"/>
          <w:szCs w:val="22"/>
        </w:rPr>
      </w:pPr>
      <w:r>
        <w:rPr>
          <w:rFonts w:ascii="Arial" w:hAnsi="Arial"/>
          <w:b/>
          <w:bCs/>
          <w:sz w:val="22"/>
          <w:szCs w:val="22"/>
        </w:rPr>
        <w:t>2.1 STUDY POPULATION</w:t>
      </w:r>
    </w:p>
    <w:p w14:paraId="17CBB60A" w14:textId="77777777" w:rsidR="005A1076" w:rsidRDefault="005A1076">
      <w:pPr>
        <w:pStyle w:val="BodyA"/>
        <w:spacing w:after="0"/>
        <w:rPr>
          <w:rFonts w:ascii="Arial" w:eastAsia="Arial" w:hAnsi="Arial" w:cs="Arial"/>
        </w:rPr>
      </w:pPr>
    </w:p>
    <w:p w14:paraId="7D135C45" w14:textId="77777777" w:rsidR="005A1076" w:rsidRDefault="00A31EB4">
      <w:pPr>
        <w:pStyle w:val="BodyA"/>
        <w:spacing w:after="0"/>
        <w:rPr>
          <w:rFonts w:ascii="Arial" w:eastAsia="Arial" w:hAnsi="Arial" w:cs="Arial"/>
          <w:b/>
          <w:bCs/>
        </w:rPr>
      </w:pPr>
      <w:r>
        <w:rPr>
          <w:rFonts w:ascii="Arial" w:hAnsi="Arial"/>
          <w:b/>
          <w:bCs/>
        </w:rPr>
        <w:t>2.1.1 Inclusion Criteria</w:t>
      </w:r>
    </w:p>
    <w:p w14:paraId="6AC7BD92" w14:textId="77777777" w:rsidR="005A1076" w:rsidRDefault="005A1076">
      <w:pPr>
        <w:pStyle w:val="BodyA"/>
        <w:spacing w:after="0"/>
        <w:rPr>
          <w:rFonts w:ascii="Arial" w:eastAsia="Arial" w:hAnsi="Arial" w:cs="Arial"/>
        </w:rPr>
      </w:pPr>
    </w:p>
    <w:p w14:paraId="0BC089A5" w14:textId="77777777" w:rsidR="005A1076" w:rsidRDefault="00A31EB4">
      <w:pPr>
        <w:pStyle w:val="BodyA"/>
        <w:spacing w:after="0"/>
        <w:rPr>
          <w:rFonts w:ascii="Arial" w:eastAsia="Arial" w:hAnsi="Arial" w:cs="Arial"/>
        </w:rPr>
      </w:pPr>
      <w:r>
        <w:rPr>
          <w:rFonts w:ascii="Arial" w:hAnsi="Arial"/>
        </w:rPr>
        <w:t xml:space="preserve">Eight client-owned dogs diagnosed with moderate atopic dermatitis (AD) were enrolled in this study. Diagnosis was based on Favrot’s diagnostic criteria (Favrot </w:t>
      </w:r>
      <w:r>
        <w:rPr>
          <w:rFonts w:ascii="Arial" w:hAnsi="Arial"/>
          <w:i/>
          <w:iCs/>
        </w:rPr>
        <w:t>et al</w:t>
      </w:r>
      <w:r>
        <w:rPr>
          <w:rFonts w:ascii="Arial" w:hAnsi="Arial"/>
        </w:rPr>
        <w:t>., 2010),includes clinical history, physical examination,  lesion distribution and exclusion of other pruritic causes such as flea allergy dermatitis, ectoparasitic infestations and food-induced hypersensitivity. Dogs aged between 1 and 8 years, of either sex and varying breeds, were eligible for inclusion. All selected animals were otherwise healthy and had not previously received lokivetmab therapy.</w:t>
      </w:r>
    </w:p>
    <w:p w14:paraId="746D3F4D" w14:textId="77777777" w:rsidR="005A1076" w:rsidRDefault="005A1076">
      <w:pPr>
        <w:pStyle w:val="BodyA"/>
        <w:spacing w:after="0"/>
        <w:rPr>
          <w:rFonts w:ascii="Arial" w:eastAsia="Arial" w:hAnsi="Arial" w:cs="Arial"/>
        </w:rPr>
      </w:pPr>
    </w:p>
    <w:p w14:paraId="1E226E4D" w14:textId="77777777" w:rsidR="005A1076" w:rsidRDefault="00A31EB4">
      <w:pPr>
        <w:pStyle w:val="BodyA"/>
        <w:spacing w:after="0"/>
        <w:rPr>
          <w:rFonts w:ascii="Arial" w:eastAsia="Arial" w:hAnsi="Arial" w:cs="Arial"/>
          <w:b/>
          <w:bCs/>
        </w:rPr>
      </w:pPr>
      <w:r>
        <w:rPr>
          <w:rFonts w:ascii="Arial" w:hAnsi="Arial"/>
          <w:b/>
          <w:bCs/>
        </w:rPr>
        <w:t>2.1.2 Exclusion Criteria</w:t>
      </w:r>
    </w:p>
    <w:p w14:paraId="29EE473B" w14:textId="77777777" w:rsidR="005A1076" w:rsidRDefault="005A1076">
      <w:pPr>
        <w:pStyle w:val="BodyA"/>
        <w:spacing w:after="0"/>
        <w:rPr>
          <w:rFonts w:ascii="Arial" w:eastAsia="Arial" w:hAnsi="Arial" w:cs="Arial"/>
        </w:rPr>
      </w:pPr>
    </w:p>
    <w:p w14:paraId="352F724F" w14:textId="77777777" w:rsidR="005A1076" w:rsidRDefault="00A31EB4">
      <w:pPr>
        <w:pStyle w:val="BodyA"/>
        <w:spacing w:after="0"/>
        <w:rPr>
          <w:rFonts w:ascii="Arial" w:eastAsia="Arial" w:hAnsi="Arial" w:cs="Arial"/>
        </w:rPr>
      </w:pPr>
      <w:r>
        <w:rPr>
          <w:rFonts w:ascii="Arial" w:hAnsi="Arial"/>
        </w:rPr>
        <w:t>Dogs with severe systemic illness, undergoing pregnancy or lactation, or receiving systemic immunosuppressive or anti-inflammatory treatments (e.g., corticosteroids, cyclosporine, oclacitinib) within four weeks prior to enrollment were excluded to avoid confounding effects on hematological and biochemical parameters.</w:t>
      </w:r>
    </w:p>
    <w:p w14:paraId="78410C4C" w14:textId="77777777" w:rsidR="005A1076" w:rsidRDefault="005A1076">
      <w:pPr>
        <w:pStyle w:val="BodyA"/>
        <w:spacing w:after="0"/>
        <w:rPr>
          <w:rFonts w:ascii="Arial" w:eastAsia="Arial" w:hAnsi="Arial" w:cs="Arial"/>
        </w:rPr>
      </w:pPr>
    </w:p>
    <w:p w14:paraId="7281CA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2.2 STUDY DESIGN AND TREATMENT PROTOCOL</w:t>
      </w:r>
    </w:p>
    <w:p w14:paraId="783DADFF" w14:textId="77777777" w:rsidR="005A1076" w:rsidRDefault="005A1076">
      <w:pPr>
        <w:pStyle w:val="BodyA"/>
        <w:spacing w:after="0"/>
        <w:rPr>
          <w:rFonts w:ascii="Arial" w:eastAsia="Arial" w:hAnsi="Arial" w:cs="Arial"/>
        </w:rPr>
      </w:pPr>
    </w:p>
    <w:p w14:paraId="714909D8" w14:textId="77777777" w:rsidR="005A1076" w:rsidRDefault="00A31EB4">
      <w:pPr>
        <w:pStyle w:val="BodyA"/>
        <w:spacing w:after="0"/>
        <w:rPr>
          <w:rFonts w:ascii="Arial" w:eastAsia="Arial" w:hAnsi="Arial" w:cs="Arial"/>
        </w:rPr>
      </w:pPr>
      <w:r>
        <w:rPr>
          <w:rFonts w:ascii="Arial" w:hAnsi="Arial"/>
        </w:rPr>
        <w:t xml:space="preserve">This was a prospective, open-label, longitudinal safety evaluation study. All dogs received subcutaneous injections of lokivetmab (Cytopoint®, Zoetis Inc., USA) at a dose of </w:t>
      </w:r>
      <w:commentRangeStart w:id="1"/>
      <w:r>
        <w:rPr>
          <w:rFonts w:ascii="Arial" w:hAnsi="Arial"/>
        </w:rPr>
        <w:t xml:space="preserve">2 mg/kg </w:t>
      </w:r>
      <w:commentRangeEnd w:id="1"/>
      <w:r w:rsidR="004C5901">
        <w:rPr>
          <w:rStyle w:val="CommentReference"/>
          <w:rFonts w:ascii="Times New Roman" w:hAnsi="Times New Roman" w:cs="Times New Roman"/>
          <w:color w:val="auto"/>
        </w:rPr>
        <w:commentReference w:id="1"/>
      </w:r>
      <w:r>
        <w:rPr>
          <w:rFonts w:ascii="Arial" w:hAnsi="Arial"/>
        </w:rPr>
        <w:t>body weight every 30 days, for a total of three doses administered on Day 0, Day 30, and Day 60. Dogs were monitored for 90 days following the final injection to assess medium-term hematological and biochemical safety.</w:t>
      </w:r>
    </w:p>
    <w:p w14:paraId="1A0B8733" w14:textId="77777777" w:rsidR="005A1076" w:rsidRDefault="005A1076">
      <w:pPr>
        <w:pStyle w:val="BodyA"/>
        <w:spacing w:after="0"/>
        <w:rPr>
          <w:rFonts w:ascii="Arial" w:eastAsia="Arial" w:hAnsi="Arial" w:cs="Arial"/>
        </w:rPr>
      </w:pPr>
    </w:p>
    <w:p w14:paraId="474E8060" w14:textId="77777777" w:rsidR="005A1076" w:rsidRDefault="00A31EB4">
      <w:pPr>
        <w:pStyle w:val="BodyA"/>
        <w:spacing w:after="0"/>
        <w:rPr>
          <w:rFonts w:ascii="Arial" w:eastAsia="Arial" w:hAnsi="Arial" w:cs="Arial"/>
          <w:b/>
          <w:bCs/>
          <w:sz w:val="22"/>
          <w:szCs w:val="22"/>
        </w:rPr>
      </w:pPr>
      <w:r>
        <w:rPr>
          <w:rFonts w:ascii="Arial" w:hAnsi="Arial"/>
          <w:b/>
          <w:bCs/>
          <w:sz w:val="22"/>
          <w:szCs w:val="22"/>
        </w:rPr>
        <w:t>2.3 CLINICAL AND LABORATORY EVALUATIONS</w:t>
      </w:r>
    </w:p>
    <w:p w14:paraId="299FBC57" w14:textId="77777777" w:rsidR="005A1076" w:rsidRDefault="005A1076">
      <w:pPr>
        <w:pStyle w:val="BodyA"/>
        <w:spacing w:after="0"/>
        <w:rPr>
          <w:rFonts w:ascii="Arial" w:eastAsia="Arial" w:hAnsi="Arial" w:cs="Arial"/>
        </w:rPr>
      </w:pPr>
    </w:p>
    <w:p w14:paraId="70092ACC" w14:textId="77777777" w:rsidR="005A1076" w:rsidRDefault="00A31EB4">
      <w:pPr>
        <w:pStyle w:val="BodyA"/>
        <w:spacing w:after="0"/>
        <w:rPr>
          <w:rFonts w:ascii="Arial" w:eastAsia="Arial" w:hAnsi="Arial" w:cs="Arial"/>
          <w:b/>
          <w:bCs/>
        </w:rPr>
      </w:pPr>
      <w:r>
        <w:rPr>
          <w:rFonts w:ascii="Arial" w:hAnsi="Arial"/>
          <w:b/>
          <w:bCs/>
        </w:rPr>
        <w:t>2.3.1 Blood Sample Collection</w:t>
      </w:r>
    </w:p>
    <w:p w14:paraId="2ABBC21B" w14:textId="77777777" w:rsidR="005A1076" w:rsidRDefault="005A1076">
      <w:pPr>
        <w:pStyle w:val="BodyA"/>
        <w:spacing w:after="0"/>
        <w:rPr>
          <w:rFonts w:ascii="Arial" w:eastAsia="Arial" w:hAnsi="Arial" w:cs="Arial"/>
        </w:rPr>
      </w:pPr>
    </w:p>
    <w:p w14:paraId="0012522A" w14:textId="77777777" w:rsidR="005A1076" w:rsidRDefault="00A31EB4">
      <w:pPr>
        <w:pStyle w:val="BodyA"/>
        <w:spacing w:after="0"/>
        <w:rPr>
          <w:rFonts w:ascii="Arial" w:eastAsia="Arial" w:hAnsi="Arial" w:cs="Arial"/>
        </w:rPr>
      </w:pPr>
      <w:r>
        <w:rPr>
          <w:rFonts w:ascii="Arial" w:hAnsi="Arial"/>
        </w:rPr>
        <w:t>Venous blood samples were collected aseptically from the cephalic or lateral saphenous vein into ethylenediaminetetraacetic acid (EDTA) tubes for hematological analysis and into plain clot-activator tubes for serum biochemical evaluation. Samples were collected on Day 0 (baseline), Day 90 (after three doses). For comparison, blood samples were also obtained from healthy, age- and breed-matched dogs (not receiving any medication) to establish baseline reference values.</w:t>
      </w:r>
    </w:p>
    <w:p w14:paraId="59E6CC41" w14:textId="77777777" w:rsidR="005A1076" w:rsidRDefault="005A1076">
      <w:pPr>
        <w:pStyle w:val="BodyA"/>
        <w:spacing w:after="0"/>
        <w:rPr>
          <w:rFonts w:ascii="Arial" w:eastAsia="Arial" w:hAnsi="Arial" w:cs="Arial"/>
          <w:b/>
          <w:bCs/>
        </w:rPr>
      </w:pPr>
    </w:p>
    <w:p w14:paraId="0636BFE5" w14:textId="77777777" w:rsidR="005A1076" w:rsidRDefault="00A31EB4">
      <w:pPr>
        <w:pStyle w:val="BodyA"/>
        <w:spacing w:after="0"/>
        <w:rPr>
          <w:rFonts w:ascii="Arial" w:eastAsia="Arial" w:hAnsi="Arial" w:cs="Arial"/>
          <w:b/>
          <w:bCs/>
        </w:rPr>
      </w:pPr>
      <w:r>
        <w:rPr>
          <w:rFonts w:ascii="Arial" w:hAnsi="Arial"/>
          <w:b/>
          <w:bCs/>
        </w:rPr>
        <w:t>2.3.2 Hematological Analysis</w:t>
      </w:r>
    </w:p>
    <w:p w14:paraId="7D6C72FA" w14:textId="77777777" w:rsidR="005A1076" w:rsidRDefault="005A1076">
      <w:pPr>
        <w:pStyle w:val="BodyA"/>
        <w:spacing w:after="0"/>
        <w:rPr>
          <w:rFonts w:ascii="Arial" w:eastAsia="Arial" w:hAnsi="Arial" w:cs="Arial"/>
        </w:rPr>
      </w:pPr>
    </w:p>
    <w:p w14:paraId="4483E944" w14:textId="77777777" w:rsidR="005A1076" w:rsidRDefault="00A31EB4">
      <w:pPr>
        <w:pStyle w:val="BodyA"/>
        <w:spacing w:after="0"/>
        <w:rPr>
          <w:rFonts w:ascii="Arial" w:eastAsia="Arial" w:hAnsi="Arial" w:cs="Arial"/>
        </w:rPr>
      </w:pPr>
      <w:r>
        <w:rPr>
          <w:rFonts w:ascii="Arial" w:hAnsi="Arial"/>
        </w:rPr>
        <w:t>Complete blood count (CBC) parameters—including hemoglobin (Hb), packed cell volume (PCV), red blood cell (RBC) count, white blood cell (WBC) count, differential leukocyte counts (neutrophils, lymphocytes, monocytes), and platelet counts—were analyzed using an automated hematology analyzer (Mindray BC-2800 Vet). All hematological evaluations were performed within 20 minutes of sample collection to ensure accuracy and stability of the samples.</w:t>
      </w:r>
    </w:p>
    <w:p w14:paraId="1398A6B4" w14:textId="77777777" w:rsidR="005A1076" w:rsidRDefault="005A1076">
      <w:pPr>
        <w:pStyle w:val="BodyA"/>
        <w:spacing w:after="0"/>
        <w:rPr>
          <w:rFonts w:ascii="Arial" w:eastAsia="Arial" w:hAnsi="Arial" w:cs="Arial"/>
        </w:rPr>
      </w:pPr>
    </w:p>
    <w:p w14:paraId="6240086D" w14:textId="77777777" w:rsidR="005A1076" w:rsidRDefault="00A31EB4">
      <w:pPr>
        <w:pStyle w:val="BodyA"/>
        <w:spacing w:after="0"/>
        <w:rPr>
          <w:rFonts w:ascii="Arial" w:eastAsia="Arial" w:hAnsi="Arial" w:cs="Arial"/>
          <w:b/>
          <w:bCs/>
        </w:rPr>
      </w:pPr>
      <w:r>
        <w:rPr>
          <w:rFonts w:ascii="Arial" w:hAnsi="Arial"/>
          <w:b/>
          <w:bCs/>
        </w:rPr>
        <w:t>2.3.3 Biochemical Analysis</w:t>
      </w:r>
    </w:p>
    <w:p w14:paraId="4D9030E9" w14:textId="77777777" w:rsidR="005A1076" w:rsidRDefault="005A1076">
      <w:pPr>
        <w:pStyle w:val="BodyA"/>
        <w:spacing w:after="0"/>
        <w:rPr>
          <w:rFonts w:ascii="Arial" w:eastAsia="Arial" w:hAnsi="Arial" w:cs="Arial"/>
        </w:rPr>
      </w:pPr>
    </w:p>
    <w:p w14:paraId="2FB14964" w14:textId="77777777" w:rsidR="005A1076" w:rsidRDefault="00A31EB4">
      <w:pPr>
        <w:pStyle w:val="BodyA"/>
        <w:spacing w:after="0"/>
        <w:rPr>
          <w:rFonts w:ascii="Arial" w:eastAsia="Arial" w:hAnsi="Arial" w:cs="Arial"/>
        </w:rPr>
      </w:pPr>
      <w:r>
        <w:rPr>
          <w:rFonts w:ascii="Arial" w:hAnsi="Arial"/>
        </w:rPr>
        <w:t>Serum was separated by centrifugation at 3000 rpm for 10 minutes and analyzed immediately or stored at –20°C for batch analysis. The following serum biochemical parameters were evaluated using a semi-automated clinical chemistry analyzer: Blood urea nitrogen (BUN) Creatinine, Total protein (TP), Albumin, Globulin, Alkaline phosphatase (ALP) and Alanine aminotransferase (ALT).</w:t>
      </w:r>
    </w:p>
    <w:p w14:paraId="3F5946A3" w14:textId="77777777" w:rsidR="005A1076" w:rsidRDefault="005A1076">
      <w:pPr>
        <w:pStyle w:val="BodyA"/>
        <w:spacing w:after="0"/>
        <w:rPr>
          <w:rFonts w:ascii="Arial" w:eastAsia="Arial" w:hAnsi="Arial" w:cs="Arial"/>
        </w:rPr>
      </w:pPr>
    </w:p>
    <w:p w14:paraId="5EF7B5BA" w14:textId="77777777" w:rsidR="005A1076" w:rsidRDefault="00A31EB4">
      <w:pPr>
        <w:pStyle w:val="BodyA"/>
        <w:spacing w:after="0"/>
        <w:rPr>
          <w:rFonts w:ascii="Arial" w:eastAsia="Arial" w:hAnsi="Arial" w:cs="Arial"/>
        </w:rPr>
      </w:pPr>
      <w:r>
        <w:rPr>
          <w:rFonts w:ascii="Arial" w:hAnsi="Arial"/>
        </w:rPr>
        <w:t>All reagents used were species-specific and validated for canine serum. Standard quality control procedures were followed and assays were performed in accordance with the manufacturer’s instructions and previously published veterinary protocols (Kaneko et al., 2008).</w:t>
      </w:r>
    </w:p>
    <w:p w14:paraId="60038A98" w14:textId="77777777" w:rsidR="005A1076" w:rsidRDefault="005A1076">
      <w:pPr>
        <w:pStyle w:val="BodyA"/>
        <w:spacing w:after="0"/>
        <w:rPr>
          <w:rFonts w:ascii="Arial" w:eastAsia="Arial" w:hAnsi="Arial" w:cs="Arial"/>
        </w:rPr>
      </w:pPr>
    </w:p>
    <w:p w14:paraId="02E8C3E3" w14:textId="77777777" w:rsidR="005A1076" w:rsidRDefault="00A31EB4">
      <w:pPr>
        <w:pStyle w:val="BodyA"/>
        <w:spacing w:after="0"/>
        <w:rPr>
          <w:rFonts w:ascii="Arial" w:eastAsia="Arial" w:hAnsi="Arial" w:cs="Arial"/>
          <w:b/>
          <w:bCs/>
          <w:sz w:val="22"/>
          <w:szCs w:val="22"/>
        </w:rPr>
      </w:pPr>
      <w:r>
        <w:rPr>
          <w:rFonts w:ascii="Arial" w:hAnsi="Arial"/>
          <w:b/>
          <w:bCs/>
          <w:sz w:val="22"/>
          <w:szCs w:val="22"/>
        </w:rPr>
        <w:t>2.4 ETHICAL CONSIDERATIONS</w:t>
      </w:r>
    </w:p>
    <w:p w14:paraId="36AF86B3" w14:textId="77777777" w:rsidR="005A1076" w:rsidRDefault="005A1076">
      <w:pPr>
        <w:pStyle w:val="BodyA"/>
        <w:spacing w:after="0"/>
        <w:rPr>
          <w:rFonts w:ascii="Arial" w:eastAsia="Arial" w:hAnsi="Arial" w:cs="Arial"/>
        </w:rPr>
      </w:pPr>
    </w:p>
    <w:p w14:paraId="06CF5374" w14:textId="77777777" w:rsidR="005A1076" w:rsidRDefault="00A31EB4">
      <w:pPr>
        <w:pStyle w:val="BodyA"/>
        <w:spacing w:after="0"/>
        <w:rPr>
          <w:rFonts w:ascii="Arial" w:eastAsia="Arial" w:hAnsi="Arial" w:cs="Arial"/>
        </w:rPr>
      </w:pPr>
      <w:r>
        <w:rPr>
          <w:rFonts w:ascii="Arial" w:hAnsi="Arial"/>
        </w:rPr>
        <w:t>This clinical study involved client-owned dogs presented for the treatment of naturally occurring moderate atopic dermatitis. All procedures were carried out with informed consent from the pet owners. Lokivetmab is a licensed therapeutic agent in India and the treatment was provided as part of routine clinical care. The research was conducted under the approved Ph.D. research programme of the Kerala Veterinary and Animal Sciences University (KVASU), Wayanad, Kerala, India.</w:t>
      </w:r>
    </w:p>
    <w:p w14:paraId="5AC14C20" w14:textId="77777777" w:rsidR="005A1076" w:rsidRDefault="005A1076">
      <w:pPr>
        <w:pStyle w:val="BodyA"/>
        <w:spacing w:after="0"/>
        <w:rPr>
          <w:rFonts w:ascii="Arial" w:eastAsia="Arial" w:hAnsi="Arial" w:cs="Arial"/>
        </w:rPr>
      </w:pPr>
    </w:p>
    <w:p w14:paraId="4492504D" w14:textId="77777777" w:rsidR="005A1076" w:rsidRDefault="00A31EB4">
      <w:pPr>
        <w:pStyle w:val="BodyA"/>
        <w:spacing w:after="0"/>
        <w:rPr>
          <w:rFonts w:ascii="Arial" w:eastAsia="Arial" w:hAnsi="Arial" w:cs="Arial"/>
          <w:b/>
          <w:bCs/>
          <w:sz w:val="22"/>
          <w:szCs w:val="22"/>
        </w:rPr>
      </w:pPr>
      <w:r>
        <w:rPr>
          <w:rFonts w:ascii="Arial" w:hAnsi="Arial"/>
          <w:b/>
          <w:bCs/>
          <w:sz w:val="22"/>
          <w:szCs w:val="22"/>
        </w:rPr>
        <w:t>2.5 STATISTICAL ANALYSIS</w:t>
      </w:r>
    </w:p>
    <w:p w14:paraId="3C1F6A4C" w14:textId="77777777" w:rsidR="005A1076" w:rsidRDefault="005A1076">
      <w:pPr>
        <w:pStyle w:val="BodyA"/>
        <w:spacing w:after="0"/>
        <w:rPr>
          <w:rFonts w:ascii="Arial" w:eastAsia="Arial" w:hAnsi="Arial" w:cs="Arial"/>
        </w:rPr>
      </w:pPr>
    </w:p>
    <w:p w14:paraId="1C3DB4A9" w14:textId="77777777" w:rsidR="005A1076" w:rsidRDefault="00A31EB4">
      <w:pPr>
        <w:pStyle w:val="BodyA"/>
        <w:spacing w:after="0"/>
        <w:rPr>
          <w:rFonts w:ascii="Arial" w:eastAsia="Arial" w:hAnsi="Arial" w:cs="Arial"/>
        </w:rPr>
      </w:pPr>
      <w:r>
        <w:rPr>
          <w:rFonts w:ascii="Arial" w:hAnsi="Arial"/>
        </w:rPr>
        <w:t>Data were analyzed using IBM SPSS Statistics version 24.0 (IBM Corp., Armonk, NY). Descriptive statistics were expressed as mean ± standard error (SE). One-way analysis of variance (ANOVA) was used to assess differences among groups, while paired t-tests were employed to compare values before and after treatment (Day 0 vs. Day 90). A p-value of less than 0.05 was considered statistically significant).</w:t>
      </w:r>
    </w:p>
    <w:p w14:paraId="06488313" w14:textId="77777777" w:rsidR="005A1076" w:rsidRDefault="005A1076">
      <w:pPr>
        <w:pStyle w:val="BodyA"/>
        <w:spacing w:after="0"/>
        <w:rPr>
          <w:rFonts w:ascii="Arial" w:eastAsia="Arial" w:hAnsi="Arial" w:cs="Arial"/>
        </w:rPr>
      </w:pPr>
    </w:p>
    <w:p w14:paraId="26D934EA" w14:textId="77777777" w:rsidR="005A1076" w:rsidRDefault="005A1076">
      <w:pPr>
        <w:pStyle w:val="BodyA"/>
        <w:spacing w:after="0"/>
        <w:rPr>
          <w:rFonts w:ascii="Arial" w:eastAsia="Arial" w:hAnsi="Arial" w:cs="Arial"/>
        </w:rPr>
      </w:pPr>
    </w:p>
    <w:p w14:paraId="75CFB3A5" w14:textId="77777777" w:rsidR="005A1076" w:rsidRDefault="00A31EB4">
      <w:pPr>
        <w:pStyle w:val="Head1"/>
        <w:spacing w:after="0"/>
        <w:jc w:val="both"/>
        <w:rPr>
          <w:rFonts w:ascii="Arial" w:eastAsia="Arial" w:hAnsi="Arial" w:cs="Arial"/>
        </w:rPr>
      </w:pPr>
      <w:r>
        <w:rPr>
          <w:rFonts w:ascii="Arial" w:hAnsi="Arial"/>
        </w:rPr>
        <w:t>3. results and discussion</w:t>
      </w:r>
    </w:p>
    <w:p w14:paraId="3C2BBB73" w14:textId="77777777" w:rsidR="005A1076" w:rsidRDefault="005A1076">
      <w:pPr>
        <w:pStyle w:val="BodyA"/>
        <w:spacing w:after="0"/>
        <w:rPr>
          <w:rFonts w:ascii="Arial" w:eastAsia="Arial" w:hAnsi="Arial" w:cs="Arial"/>
        </w:rPr>
      </w:pPr>
    </w:p>
    <w:p w14:paraId="74C30404" w14:textId="77777777" w:rsidR="005A1076" w:rsidRDefault="00A31EB4">
      <w:pPr>
        <w:pStyle w:val="BodyA"/>
        <w:spacing w:after="0"/>
        <w:rPr>
          <w:rFonts w:ascii="Arial" w:eastAsia="Arial" w:hAnsi="Arial" w:cs="Arial"/>
          <w:b/>
          <w:bCs/>
          <w:sz w:val="22"/>
          <w:szCs w:val="22"/>
        </w:rPr>
      </w:pPr>
      <w:r>
        <w:rPr>
          <w:rFonts w:ascii="Arial" w:hAnsi="Arial"/>
          <w:b/>
          <w:bCs/>
          <w:sz w:val="22"/>
          <w:szCs w:val="22"/>
        </w:rPr>
        <w:t>3.1 Study Population and Clinical Response</w:t>
      </w:r>
    </w:p>
    <w:p w14:paraId="787DF41A" w14:textId="77777777" w:rsidR="005A1076" w:rsidRDefault="005A1076">
      <w:pPr>
        <w:pStyle w:val="BodyA"/>
        <w:spacing w:after="0"/>
        <w:rPr>
          <w:rFonts w:ascii="Arial" w:eastAsia="Arial" w:hAnsi="Arial" w:cs="Arial"/>
        </w:rPr>
      </w:pPr>
    </w:p>
    <w:p w14:paraId="130A83F5" w14:textId="77777777" w:rsidR="005A1076" w:rsidRDefault="00A31EB4">
      <w:pPr>
        <w:pStyle w:val="BodyA"/>
        <w:spacing w:after="0"/>
        <w:rPr>
          <w:rFonts w:ascii="Arial" w:eastAsia="Arial" w:hAnsi="Arial" w:cs="Arial"/>
          <w:b/>
          <w:bCs/>
        </w:rPr>
      </w:pPr>
      <w:r>
        <w:rPr>
          <w:rFonts w:ascii="Arial" w:hAnsi="Arial"/>
          <w:b/>
          <w:bCs/>
        </w:rPr>
        <w:t>3.1.1 Signalment and Clinical Severity at Baseline</w:t>
      </w:r>
    </w:p>
    <w:p w14:paraId="157500E2" w14:textId="77777777" w:rsidR="005A1076" w:rsidRDefault="005A1076">
      <w:pPr>
        <w:pStyle w:val="BodyA"/>
        <w:spacing w:after="0"/>
        <w:rPr>
          <w:rFonts w:ascii="Arial" w:eastAsia="Arial" w:hAnsi="Arial" w:cs="Arial"/>
        </w:rPr>
      </w:pPr>
    </w:p>
    <w:p w14:paraId="44AF9E64" w14:textId="77777777" w:rsidR="005A1076" w:rsidRDefault="00A31EB4">
      <w:pPr>
        <w:pStyle w:val="BodyA"/>
        <w:spacing w:after="0"/>
        <w:rPr>
          <w:rFonts w:ascii="Arial" w:eastAsia="Arial" w:hAnsi="Arial" w:cs="Arial"/>
        </w:rPr>
      </w:pPr>
      <w:r>
        <w:rPr>
          <w:rFonts w:ascii="Arial" w:hAnsi="Arial"/>
        </w:rPr>
        <w:t xml:space="preserve">Eight client-owned dogs diagnosed with moderate atopic dermatitis were enrolled. All fulfilled at least six of Favrot’s criteria, confirming the diagnosis of canine atopic dermatitis (Favrot </w:t>
      </w:r>
      <w:r>
        <w:rPr>
          <w:rFonts w:ascii="Arial" w:hAnsi="Arial"/>
          <w:i/>
          <w:iCs/>
        </w:rPr>
        <w:t>et al</w:t>
      </w:r>
      <w:r>
        <w:rPr>
          <w:rFonts w:ascii="Arial" w:hAnsi="Arial"/>
        </w:rPr>
        <w:t>., 2010). The cohort included five Beagles, one Spitz, one Shih Tzu, and one Jack Russell Terrier, with a balanced distribution of sex and neuter status. At baseline (Day 0), the mean CADESI-04 score was 55.88 ± 6.56, and the PVAS score was 6.00 ± 0.00, consistent with moderate to severe disease (Table 1).</w:t>
      </w:r>
    </w:p>
    <w:p w14:paraId="35F9727B" w14:textId="77777777" w:rsidR="001168AD" w:rsidRDefault="001168AD">
      <w:pPr>
        <w:pStyle w:val="BodyB"/>
        <w:tabs>
          <w:tab w:val="left" w:pos="1080"/>
        </w:tabs>
        <w:spacing w:line="480" w:lineRule="auto"/>
        <w:jc w:val="both"/>
        <w:rPr>
          <w:rFonts w:ascii="Arial" w:hAnsi="Arial"/>
          <w:b/>
          <w:bCs/>
        </w:rPr>
      </w:pPr>
    </w:p>
    <w:p w14:paraId="205C3653" w14:textId="0F366CD2" w:rsidR="005A1076" w:rsidRDefault="00A31EB4">
      <w:pPr>
        <w:pStyle w:val="BodyB"/>
        <w:tabs>
          <w:tab w:val="left" w:pos="1080"/>
        </w:tabs>
        <w:spacing w:line="480" w:lineRule="auto"/>
        <w:jc w:val="both"/>
        <w:rPr>
          <w:rFonts w:ascii="Arial" w:eastAsia="Arial" w:hAnsi="Arial" w:cs="Arial"/>
        </w:rPr>
      </w:pPr>
      <w:r>
        <w:rPr>
          <w:rFonts w:ascii="Arial" w:hAnsi="Arial"/>
          <w:b/>
          <w:bCs/>
        </w:rPr>
        <w:t>Table 1. Signalment and Baseline Clinical Scores of Dogs Enrolled in the Study</w:t>
      </w:r>
    </w:p>
    <w:tbl>
      <w:tblPr>
        <w:tblW w:w="8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6"/>
        <w:gridCol w:w="921"/>
        <w:gridCol w:w="1168"/>
        <w:gridCol w:w="1216"/>
        <w:gridCol w:w="1309"/>
        <w:gridCol w:w="1404"/>
        <w:gridCol w:w="1434"/>
      </w:tblGrid>
      <w:tr w:rsidR="005A1076" w14:paraId="5BB78DF9" w14:textId="77777777">
        <w:trPr>
          <w:trHeight w:val="673"/>
          <w:jc w:val="center"/>
        </w:trPr>
        <w:tc>
          <w:tcPr>
            <w:tcW w:w="757"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0C9CD962"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Dog ID</w:t>
            </w:r>
          </w:p>
        </w:tc>
        <w:tc>
          <w:tcPr>
            <w:tcW w:w="921"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784C4629"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Breed</w:t>
            </w:r>
          </w:p>
        </w:tc>
        <w:tc>
          <w:tcPr>
            <w:tcW w:w="1167"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212C90A0"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Age (years)</w:t>
            </w:r>
          </w:p>
        </w:tc>
        <w:tc>
          <w:tcPr>
            <w:tcW w:w="1215"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45B51C2C"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Gender</w:t>
            </w:r>
          </w:p>
        </w:tc>
        <w:tc>
          <w:tcPr>
            <w:tcW w:w="1308"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500699DA"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Favrot Criteria Score</w:t>
            </w:r>
          </w:p>
        </w:tc>
        <w:tc>
          <w:tcPr>
            <w:tcW w:w="1403"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2849202E"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CADESI-04 Score</w:t>
            </w:r>
          </w:p>
        </w:tc>
        <w:tc>
          <w:tcPr>
            <w:tcW w:w="1433" w:type="dxa"/>
            <w:tcBorders>
              <w:top w:val="single" w:sz="4" w:space="0" w:color="000000"/>
              <w:left w:val="nil"/>
              <w:bottom w:val="single" w:sz="4" w:space="0" w:color="FFFFFF"/>
              <w:right w:val="nil"/>
            </w:tcBorders>
            <w:shd w:val="clear" w:color="auto" w:fill="auto"/>
            <w:tcMar>
              <w:top w:w="80" w:type="dxa"/>
              <w:left w:w="80" w:type="dxa"/>
              <w:bottom w:w="80" w:type="dxa"/>
              <w:right w:w="80" w:type="dxa"/>
            </w:tcMar>
            <w:vAlign w:val="center"/>
          </w:tcPr>
          <w:p w14:paraId="18645257" w14:textId="77777777" w:rsidR="005A1076" w:rsidRDefault="00A31EB4">
            <w:pPr>
              <w:pStyle w:val="Body"/>
              <w:jc w:val="center"/>
            </w:pPr>
            <w:r>
              <w:rPr>
                <w:rFonts w:ascii="Arial" w:hAnsi="Arial"/>
                <w:b/>
                <w:bCs/>
                <w:sz w:val="20"/>
                <w:szCs w:val="20"/>
                <w14:textOutline w14:w="12700" w14:cap="flat" w14:cmpd="sng" w14:algn="ctr">
                  <w14:noFill/>
                  <w14:prstDash w14:val="solid"/>
                  <w14:miter w14:lim="400000"/>
                </w14:textOutline>
              </w:rPr>
              <w:t>PVAS Score</w:t>
            </w:r>
          </w:p>
        </w:tc>
      </w:tr>
      <w:tr w:rsidR="005A1076" w14:paraId="39200608" w14:textId="77777777">
        <w:trPr>
          <w:trHeight w:val="458"/>
          <w:jc w:val="center"/>
        </w:trPr>
        <w:tc>
          <w:tcPr>
            <w:tcW w:w="757" w:type="dxa"/>
            <w:tcBorders>
              <w:top w:val="single" w:sz="4" w:space="0" w:color="FFFFFF"/>
              <w:left w:val="single" w:sz="8" w:space="0" w:color="FFFFFF"/>
              <w:bottom w:val="single" w:sz="4" w:space="0" w:color="FFFFFF"/>
              <w:right w:val="nil"/>
            </w:tcBorders>
            <w:shd w:val="clear" w:color="auto" w:fill="auto"/>
            <w:tcMar>
              <w:top w:w="80" w:type="dxa"/>
              <w:left w:w="80" w:type="dxa"/>
              <w:bottom w:w="80" w:type="dxa"/>
              <w:right w:w="80" w:type="dxa"/>
            </w:tcMar>
          </w:tcPr>
          <w:p w14:paraId="2BCE766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1</w:t>
            </w:r>
          </w:p>
        </w:tc>
        <w:tc>
          <w:tcPr>
            <w:tcW w:w="921"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2AA12B4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040719A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1F706FC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377D7AD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single" w:sz="4" w:space="0" w:color="FFFFFF"/>
              <w:right w:val="nil"/>
            </w:tcBorders>
            <w:shd w:val="clear" w:color="auto" w:fill="auto"/>
            <w:tcMar>
              <w:top w:w="80" w:type="dxa"/>
              <w:left w:w="80" w:type="dxa"/>
              <w:bottom w:w="80" w:type="dxa"/>
              <w:right w:w="80" w:type="dxa"/>
            </w:tcMar>
          </w:tcPr>
          <w:p w14:paraId="63DE578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tcPr>
          <w:p w14:paraId="63CFE20D"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561D4813" w14:textId="77777777">
        <w:trPr>
          <w:trHeight w:val="458"/>
          <w:jc w:val="center"/>
        </w:trPr>
        <w:tc>
          <w:tcPr>
            <w:tcW w:w="757" w:type="dxa"/>
            <w:tcBorders>
              <w:top w:val="single" w:sz="4" w:space="0" w:color="FFFFFF"/>
              <w:left w:val="nil"/>
              <w:bottom w:val="nil"/>
              <w:right w:val="nil"/>
            </w:tcBorders>
            <w:shd w:val="clear" w:color="auto" w:fill="auto"/>
            <w:tcMar>
              <w:top w:w="80" w:type="dxa"/>
              <w:left w:w="80" w:type="dxa"/>
              <w:bottom w:w="80" w:type="dxa"/>
              <w:right w:w="80" w:type="dxa"/>
            </w:tcMar>
          </w:tcPr>
          <w:p w14:paraId="1C943DA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w:t>
            </w:r>
          </w:p>
        </w:tc>
        <w:tc>
          <w:tcPr>
            <w:tcW w:w="921" w:type="dxa"/>
            <w:tcBorders>
              <w:top w:val="single" w:sz="4" w:space="0" w:color="FFFFFF"/>
              <w:left w:val="nil"/>
              <w:bottom w:val="nil"/>
              <w:right w:val="nil"/>
            </w:tcBorders>
            <w:shd w:val="clear" w:color="auto" w:fill="auto"/>
            <w:tcMar>
              <w:top w:w="80" w:type="dxa"/>
              <w:left w:w="80" w:type="dxa"/>
              <w:bottom w:w="80" w:type="dxa"/>
              <w:right w:w="80" w:type="dxa"/>
            </w:tcMar>
          </w:tcPr>
          <w:p w14:paraId="7E0E9E0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single" w:sz="4" w:space="0" w:color="FFFFFF"/>
              <w:left w:val="nil"/>
              <w:bottom w:val="nil"/>
              <w:right w:val="nil"/>
            </w:tcBorders>
            <w:shd w:val="clear" w:color="auto" w:fill="auto"/>
            <w:tcMar>
              <w:top w:w="80" w:type="dxa"/>
              <w:left w:w="80" w:type="dxa"/>
              <w:bottom w:w="80" w:type="dxa"/>
              <w:right w:w="80" w:type="dxa"/>
            </w:tcMar>
          </w:tcPr>
          <w:p w14:paraId="11D0D19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single" w:sz="4" w:space="0" w:color="FFFFFF"/>
              <w:left w:val="nil"/>
              <w:bottom w:val="nil"/>
              <w:right w:val="nil"/>
            </w:tcBorders>
            <w:shd w:val="clear" w:color="auto" w:fill="auto"/>
            <w:tcMar>
              <w:top w:w="80" w:type="dxa"/>
              <w:left w:w="80" w:type="dxa"/>
              <w:bottom w:w="80" w:type="dxa"/>
              <w:right w:w="80" w:type="dxa"/>
            </w:tcMar>
          </w:tcPr>
          <w:p w14:paraId="1304D13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single" w:sz="4" w:space="0" w:color="FFFFFF"/>
              <w:left w:val="nil"/>
              <w:bottom w:val="nil"/>
              <w:right w:val="nil"/>
            </w:tcBorders>
            <w:shd w:val="clear" w:color="auto" w:fill="auto"/>
            <w:tcMar>
              <w:top w:w="80" w:type="dxa"/>
              <w:left w:w="80" w:type="dxa"/>
              <w:bottom w:w="80" w:type="dxa"/>
              <w:right w:w="80" w:type="dxa"/>
            </w:tcMar>
          </w:tcPr>
          <w:p w14:paraId="3ADBED0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8</w:t>
            </w:r>
          </w:p>
        </w:tc>
        <w:tc>
          <w:tcPr>
            <w:tcW w:w="1403" w:type="dxa"/>
            <w:tcBorders>
              <w:top w:val="single" w:sz="4" w:space="0" w:color="FFFFFF"/>
              <w:left w:val="nil"/>
              <w:bottom w:val="nil"/>
              <w:right w:val="nil"/>
            </w:tcBorders>
            <w:shd w:val="clear" w:color="auto" w:fill="auto"/>
            <w:tcMar>
              <w:top w:w="80" w:type="dxa"/>
              <w:left w:w="80" w:type="dxa"/>
              <w:bottom w:w="80" w:type="dxa"/>
              <w:right w:w="80" w:type="dxa"/>
            </w:tcMar>
          </w:tcPr>
          <w:p w14:paraId="2220CD2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Severe</w:t>
            </w:r>
          </w:p>
        </w:tc>
        <w:tc>
          <w:tcPr>
            <w:tcW w:w="1433" w:type="dxa"/>
            <w:tcBorders>
              <w:top w:val="single" w:sz="4" w:space="0" w:color="FFFFFF"/>
              <w:left w:val="nil"/>
              <w:bottom w:val="nil"/>
              <w:right w:val="nil"/>
            </w:tcBorders>
            <w:shd w:val="clear" w:color="auto" w:fill="auto"/>
            <w:tcMar>
              <w:top w:w="80" w:type="dxa"/>
              <w:left w:w="80" w:type="dxa"/>
              <w:bottom w:w="80" w:type="dxa"/>
              <w:right w:w="80" w:type="dxa"/>
            </w:tcMar>
          </w:tcPr>
          <w:p w14:paraId="5F6C3AE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2EFF1B3"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3C62E0A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921" w:type="dxa"/>
            <w:tcBorders>
              <w:top w:val="nil"/>
              <w:left w:val="nil"/>
              <w:bottom w:val="nil"/>
              <w:right w:val="nil"/>
            </w:tcBorders>
            <w:shd w:val="clear" w:color="auto" w:fill="auto"/>
            <w:tcMar>
              <w:top w:w="80" w:type="dxa"/>
              <w:left w:w="80" w:type="dxa"/>
              <w:bottom w:w="80" w:type="dxa"/>
              <w:right w:w="80" w:type="dxa"/>
            </w:tcMar>
          </w:tcPr>
          <w:p w14:paraId="3851927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2C6D3F6B"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215" w:type="dxa"/>
            <w:tcBorders>
              <w:top w:val="nil"/>
              <w:left w:val="nil"/>
              <w:bottom w:val="nil"/>
              <w:right w:val="nil"/>
            </w:tcBorders>
            <w:shd w:val="clear" w:color="auto" w:fill="auto"/>
            <w:tcMar>
              <w:top w:w="80" w:type="dxa"/>
              <w:left w:w="80" w:type="dxa"/>
              <w:bottom w:w="80" w:type="dxa"/>
              <w:right w:w="80" w:type="dxa"/>
            </w:tcMar>
          </w:tcPr>
          <w:p w14:paraId="7626B15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auto"/>
            <w:tcMar>
              <w:top w:w="80" w:type="dxa"/>
              <w:left w:w="80" w:type="dxa"/>
              <w:bottom w:w="80" w:type="dxa"/>
              <w:right w:w="80" w:type="dxa"/>
            </w:tcMar>
          </w:tcPr>
          <w:p w14:paraId="456DCBF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auto"/>
            <w:tcMar>
              <w:top w:w="80" w:type="dxa"/>
              <w:left w:w="80" w:type="dxa"/>
              <w:bottom w:w="80" w:type="dxa"/>
              <w:right w:w="80" w:type="dxa"/>
            </w:tcMar>
          </w:tcPr>
          <w:p w14:paraId="2036A4A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6B57D0B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3115262"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6A1830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921" w:type="dxa"/>
            <w:tcBorders>
              <w:top w:val="nil"/>
              <w:left w:val="nil"/>
              <w:bottom w:val="nil"/>
              <w:right w:val="nil"/>
            </w:tcBorders>
            <w:shd w:val="clear" w:color="auto" w:fill="auto"/>
            <w:tcMar>
              <w:top w:w="80" w:type="dxa"/>
              <w:left w:w="80" w:type="dxa"/>
              <w:bottom w:w="80" w:type="dxa"/>
              <w:right w:w="80" w:type="dxa"/>
            </w:tcMar>
          </w:tcPr>
          <w:p w14:paraId="3D069B9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418CC3F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w:t>
            </w:r>
          </w:p>
        </w:tc>
        <w:tc>
          <w:tcPr>
            <w:tcW w:w="1215" w:type="dxa"/>
            <w:tcBorders>
              <w:top w:val="nil"/>
              <w:left w:val="nil"/>
              <w:bottom w:val="nil"/>
              <w:right w:val="nil"/>
            </w:tcBorders>
            <w:shd w:val="clear" w:color="auto" w:fill="auto"/>
            <w:tcMar>
              <w:top w:w="80" w:type="dxa"/>
              <w:left w:w="80" w:type="dxa"/>
              <w:bottom w:w="80" w:type="dxa"/>
              <w:right w:w="80" w:type="dxa"/>
            </w:tcMar>
          </w:tcPr>
          <w:p w14:paraId="504653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shd w:val="clear" w:color="auto" w:fill="auto"/>
            <w:tcMar>
              <w:top w:w="80" w:type="dxa"/>
              <w:left w:w="80" w:type="dxa"/>
              <w:bottom w:w="80" w:type="dxa"/>
              <w:right w:w="80" w:type="dxa"/>
            </w:tcMar>
          </w:tcPr>
          <w:p w14:paraId="34F9DE7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shd w:val="clear" w:color="auto" w:fill="auto"/>
            <w:tcMar>
              <w:top w:w="80" w:type="dxa"/>
              <w:left w:w="80" w:type="dxa"/>
              <w:bottom w:w="80" w:type="dxa"/>
              <w:right w:w="80" w:type="dxa"/>
            </w:tcMar>
          </w:tcPr>
          <w:p w14:paraId="70D7A15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1B547B7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1CFC1549" w14:textId="77777777">
        <w:trPr>
          <w:trHeight w:val="233"/>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A923E6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921" w:type="dxa"/>
            <w:tcBorders>
              <w:top w:val="nil"/>
              <w:left w:val="nil"/>
              <w:bottom w:val="nil"/>
              <w:right w:val="nil"/>
            </w:tcBorders>
            <w:shd w:val="clear" w:color="auto" w:fill="auto"/>
            <w:tcMar>
              <w:top w:w="80" w:type="dxa"/>
              <w:left w:w="80" w:type="dxa"/>
              <w:bottom w:w="80" w:type="dxa"/>
              <w:right w:w="80" w:type="dxa"/>
            </w:tcMar>
          </w:tcPr>
          <w:p w14:paraId="77702C0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Beagle</w:t>
            </w:r>
          </w:p>
        </w:tc>
        <w:tc>
          <w:tcPr>
            <w:tcW w:w="1167" w:type="dxa"/>
            <w:tcBorders>
              <w:top w:val="nil"/>
              <w:left w:val="nil"/>
              <w:bottom w:val="nil"/>
              <w:right w:val="nil"/>
            </w:tcBorders>
            <w:shd w:val="clear" w:color="auto" w:fill="auto"/>
            <w:tcMar>
              <w:top w:w="80" w:type="dxa"/>
              <w:left w:w="80" w:type="dxa"/>
              <w:bottom w:w="80" w:type="dxa"/>
              <w:right w:w="80" w:type="dxa"/>
            </w:tcMar>
          </w:tcPr>
          <w:p w14:paraId="2557425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w:t>
            </w:r>
          </w:p>
        </w:tc>
        <w:tc>
          <w:tcPr>
            <w:tcW w:w="1215" w:type="dxa"/>
            <w:tcBorders>
              <w:top w:val="nil"/>
              <w:left w:val="nil"/>
              <w:bottom w:val="nil"/>
              <w:right w:val="nil"/>
            </w:tcBorders>
            <w:shd w:val="clear" w:color="auto" w:fill="auto"/>
            <w:tcMar>
              <w:top w:w="80" w:type="dxa"/>
              <w:left w:w="80" w:type="dxa"/>
              <w:bottom w:w="80" w:type="dxa"/>
              <w:right w:w="80" w:type="dxa"/>
            </w:tcMar>
          </w:tcPr>
          <w:p w14:paraId="1F981BD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auto"/>
            <w:tcMar>
              <w:top w:w="80" w:type="dxa"/>
              <w:left w:w="80" w:type="dxa"/>
              <w:bottom w:w="80" w:type="dxa"/>
              <w:right w:w="80" w:type="dxa"/>
            </w:tcMar>
          </w:tcPr>
          <w:p w14:paraId="29707E4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auto"/>
            <w:tcMar>
              <w:top w:w="80" w:type="dxa"/>
              <w:left w:w="80" w:type="dxa"/>
              <w:bottom w:w="80" w:type="dxa"/>
              <w:right w:w="80" w:type="dxa"/>
            </w:tcMar>
          </w:tcPr>
          <w:p w14:paraId="5BA8BFE8"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73D712E0"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2784114E" w14:textId="77777777">
        <w:trPr>
          <w:trHeight w:val="1100"/>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0DC9596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w:t>
            </w:r>
          </w:p>
        </w:tc>
        <w:tc>
          <w:tcPr>
            <w:tcW w:w="921" w:type="dxa"/>
            <w:tcBorders>
              <w:top w:val="nil"/>
              <w:left w:val="nil"/>
              <w:bottom w:val="nil"/>
              <w:right w:val="nil"/>
            </w:tcBorders>
            <w:shd w:val="clear" w:color="auto" w:fill="auto"/>
            <w:tcMar>
              <w:top w:w="80" w:type="dxa"/>
              <w:left w:w="80" w:type="dxa"/>
              <w:bottom w:w="80" w:type="dxa"/>
              <w:right w:w="80" w:type="dxa"/>
            </w:tcMar>
          </w:tcPr>
          <w:p w14:paraId="0076992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Jack Russell</w:t>
            </w:r>
          </w:p>
        </w:tc>
        <w:tc>
          <w:tcPr>
            <w:tcW w:w="1167" w:type="dxa"/>
            <w:tcBorders>
              <w:top w:val="nil"/>
              <w:left w:val="nil"/>
              <w:bottom w:val="nil"/>
              <w:right w:val="nil"/>
            </w:tcBorders>
            <w:shd w:val="clear" w:color="auto" w:fill="auto"/>
            <w:tcMar>
              <w:top w:w="80" w:type="dxa"/>
              <w:left w:w="80" w:type="dxa"/>
              <w:bottom w:w="80" w:type="dxa"/>
              <w:right w:w="80" w:type="dxa"/>
            </w:tcMar>
          </w:tcPr>
          <w:p w14:paraId="60DD7E5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w:t>
            </w:r>
          </w:p>
        </w:tc>
        <w:tc>
          <w:tcPr>
            <w:tcW w:w="1215" w:type="dxa"/>
            <w:tcBorders>
              <w:top w:val="nil"/>
              <w:left w:val="nil"/>
              <w:bottom w:val="nil"/>
              <w:right w:val="nil"/>
            </w:tcBorders>
            <w:shd w:val="clear" w:color="auto" w:fill="auto"/>
            <w:tcMar>
              <w:top w:w="80" w:type="dxa"/>
              <w:left w:w="80" w:type="dxa"/>
              <w:bottom w:w="80" w:type="dxa"/>
              <w:right w:w="80" w:type="dxa"/>
            </w:tcMar>
          </w:tcPr>
          <w:p w14:paraId="2C4503B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Male</w:t>
            </w:r>
          </w:p>
        </w:tc>
        <w:tc>
          <w:tcPr>
            <w:tcW w:w="1308" w:type="dxa"/>
            <w:tcBorders>
              <w:top w:val="nil"/>
              <w:left w:val="nil"/>
              <w:bottom w:val="nil"/>
              <w:right w:val="nil"/>
            </w:tcBorders>
            <w:shd w:val="clear" w:color="auto" w:fill="auto"/>
            <w:tcMar>
              <w:top w:w="80" w:type="dxa"/>
              <w:left w:w="80" w:type="dxa"/>
              <w:bottom w:w="80" w:type="dxa"/>
              <w:right w:w="80" w:type="dxa"/>
            </w:tcMar>
          </w:tcPr>
          <w:p w14:paraId="6EAD1BB6"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7</w:t>
            </w:r>
          </w:p>
        </w:tc>
        <w:tc>
          <w:tcPr>
            <w:tcW w:w="1403" w:type="dxa"/>
            <w:tcBorders>
              <w:top w:val="nil"/>
              <w:left w:val="nil"/>
              <w:bottom w:val="nil"/>
              <w:right w:val="nil"/>
            </w:tcBorders>
            <w:shd w:val="clear" w:color="auto" w:fill="auto"/>
            <w:tcMar>
              <w:top w:w="80" w:type="dxa"/>
              <w:left w:w="80" w:type="dxa"/>
              <w:bottom w:w="80" w:type="dxa"/>
              <w:right w:w="80" w:type="dxa"/>
            </w:tcMar>
          </w:tcPr>
          <w:p w14:paraId="020CFBD9"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47266882"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Moderate</w:t>
            </w:r>
          </w:p>
        </w:tc>
      </w:tr>
      <w:tr w:rsidR="005A1076" w14:paraId="7D63D53F" w14:textId="77777777">
        <w:trPr>
          <w:trHeight w:val="362"/>
          <w:jc w:val="center"/>
        </w:trPr>
        <w:tc>
          <w:tcPr>
            <w:tcW w:w="757" w:type="dxa"/>
            <w:tcBorders>
              <w:top w:val="nil"/>
              <w:left w:val="nil"/>
              <w:bottom w:val="nil"/>
              <w:right w:val="nil"/>
            </w:tcBorders>
            <w:shd w:val="clear" w:color="auto" w:fill="auto"/>
            <w:tcMar>
              <w:top w:w="80" w:type="dxa"/>
              <w:left w:w="80" w:type="dxa"/>
              <w:bottom w:w="80" w:type="dxa"/>
              <w:right w:w="80" w:type="dxa"/>
            </w:tcMar>
          </w:tcPr>
          <w:p w14:paraId="1098B22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7</w:t>
            </w:r>
          </w:p>
        </w:tc>
        <w:tc>
          <w:tcPr>
            <w:tcW w:w="921" w:type="dxa"/>
            <w:tcBorders>
              <w:top w:val="nil"/>
              <w:left w:val="nil"/>
              <w:bottom w:val="nil"/>
              <w:right w:val="nil"/>
            </w:tcBorders>
            <w:shd w:val="clear" w:color="auto" w:fill="auto"/>
            <w:tcMar>
              <w:top w:w="80" w:type="dxa"/>
              <w:left w:w="80" w:type="dxa"/>
              <w:bottom w:w="80" w:type="dxa"/>
              <w:right w:w="80" w:type="dxa"/>
            </w:tcMar>
          </w:tcPr>
          <w:p w14:paraId="4CF773A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Spitz</w:t>
            </w:r>
          </w:p>
        </w:tc>
        <w:tc>
          <w:tcPr>
            <w:tcW w:w="1167" w:type="dxa"/>
            <w:tcBorders>
              <w:top w:val="nil"/>
              <w:left w:val="nil"/>
              <w:bottom w:val="nil"/>
              <w:right w:val="nil"/>
            </w:tcBorders>
            <w:shd w:val="clear" w:color="auto" w:fill="FFFFFF"/>
            <w:tcMar>
              <w:top w:w="80" w:type="dxa"/>
              <w:left w:w="80" w:type="dxa"/>
              <w:bottom w:w="80" w:type="dxa"/>
              <w:right w:w="80" w:type="dxa"/>
            </w:tcMar>
          </w:tcPr>
          <w:p w14:paraId="4C1DE18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nil"/>
              <w:right w:val="nil"/>
            </w:tcBorders>
            <w:shd w:val="clear" w:color="auto" w:fill="auto"/>
            <w:tcMar>
              <w:top w:w="80" w:type="dxa"/>
              <w:left w:w="80" w:type="dxa"/>
              <w:bottom w:w="80" w:type="dxa"/>
              <w:right w:w="80" w:type="dxa"/>
            </w:tcMar>
          </w:tcPr>
          <w:p w14:paraId="3161F9E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nil"/>
              <w:right w:val="nil"/>
            </w:tcBorders>
            <w:shd w:val="clear" w:color="auto" w:fill="FFFFFF"/>
            <w:tcMar>
              <w:top w:w="80" w:type="dxa"/>
              <w:left w:w="80" w:type="dxa"/>
              <w:bottom w:w="80" w:type="dxa"/>
              <w:right w:w="80" w:type="dxa"/>
            </w:tcMar>
          </w:tcPr>
          <w:p w14:paraId="16BC97B7"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nil"/>
              <w:right w:val="nil"/>
            </w:tcBorders>
            <w:shd w:val="clear" w:color="auto" w:fill="FFFFFF"/>
            <w:tcMar>
              <w:top w:w="80" w:type="dxa"/>
              <w:left w:w="80" w:type="dxa"/>
              <w:bottom w:w="80" w:type="dxa"/>
              <w:right w:w="80" w:type="dxa"/>
            </w:tcMar>
          </w:tcPr>
          <w:p w14:paraId="5C1512E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nil"/>
              <w:right w:val="nil"/>
            </w:tcBorders>
            <w:shd w:val="clear" w:color="auto" w:fill="auto"/>
            <w:tcMar>
              <w:top w:w="80" w:type="dxa"/>
              <w:left w:w="80" w:type="dxa"/>
              <w:bottom w:w="80" w:type="dxa"/>
              <w:right w:w="80" w:type="dxa"/>
            </w:tcMar>
          </w:tcPr>
          <w:p w14:paraId="2F84314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r w:rsidR="005A1076" w14:paraId="78824D45" w14:textId="77777777">
        <w:trPr>
          <w:trHeight w:val="662"/>
          <w:jc w:val="center"/>
        </w:trPr>
        <w:tc>
          <w:tcPr>
            <w:tcW w:w="757" w:type="dxa"/>
            <w:tcBorders>
              <w:top w:val="nil"/>
              <w:left w:val="nil"/>
              <w:bottom w:val="single" w:sz="4" w:space="0" w:color="000000"/>
              <w:right w:val="nil"/>
            </w:tcBorders>
            <w:shd w:val="clear" w:color="auto" w:fill="FFFFFF"/>
            <w:tcMar>
              <w:top w:w="80" w:type="dxa"/>
              <w:left w:w="80" w:type="dxa"/>
              <w:bottom w:w="80" w:type="dxa"/>
              <w:right w:w="80" w:type="dxa"/>
            </w:tcMar>
          </w:tcPr>
          <w:p w14:paraId="79F8CB44"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8</w:t>
            </w:r>
          </w:p>
        </w:tc>
        <w:tc>
          <w:tcPr>
            <w:tcW w:w="921" w:type="dxa"/>
            <w:tcBorders>
              <w:top w:val="nil"/>
              <w:left w:val="nil"/>
              <w:bottom w:val="single" w:sz="4" w:space="0" w:color="000000"/>
              <w:right w:val="nil"/>
            </w:tcBorders>
            <w:shd w:val="clear" w:color="auto" w:fill="FFFFFF"/>
            <w:tcMar>
              <w:top w:w="80" w:type="dxa"/>
              <w:left w:w="80" w:type="dxa"/>
              <w:bottom w:w="80" w:type="dxa"/>
              <w:right w:w="80" w:type="dxa"/>
            </w:tcMar>
          </w:tcPr>
          <w:p w14:paraId="589AF9CB"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Shih Tzu</w:t>
            </w:r>
          </w:p>
        </w:tc>
        <w:tc>
          <w:tcPr>
            <w:tcW w:w="1167" w:type="dxa"/>
            <w:tcBorders>
              <w:top w:val="nil"/>
              <w:left w:val="nil"/>
              <w:bottom w:val="single" w:sz="4" w:space="0" w:color="000000"/>
              <w:right w:val="nil"/>
            </w:tcBorders>
            <w:shd w:val="clear" w:color="auto" w:fill="FFFFFF"/>
            <w:tcMar>
              <w:top w:w="80" w:type="dxa"/>
              <w:left w:w="80" w:type="dxa"/>
              <w:bottom w:w="80" w:type="dxa"/>
              <w:right w:w="80" w:type="dxa"/>
            </w:tcMar>
          </w:tcPr>
          <w:p w14:paraId="4C6DD7F5"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3.5</w:t>
            </w:r>
          </w:p>
        </w:tc>
        <w:tc>
          <w:tcPr>
            <w:tcW w:w="1215" w:type="dxa"/>
            <w:tcBorders>
              <w:top w:val="nil"/>
              <w:left w:val="nil"/>
              <w:bottom w:val="single" w:sz="4" w:space="0" w:color="000000"/>
              <w:right w:val="nil"/>
            </w:tcBorders>
            <w:shd w:val="clear" w:color="auto" w:fill="FFFFFF"/>
            <w:tcMar>
              <w:top w:w="80" w:type="dxa"/>
              <w:left w:w="80" w:type="dxa"/>
              <w:bottom w:w="80" w:type="dxa"/>
              <w:right w:w="80" w:type="dxa"/>
            </w:tcMar>
          </w:tcPr>
          <w:p w14:paraId="2D02AB78"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Female</w:t>
            </w:r>
          </w:p>
        </w:tc>
        <w:tc>
          <w:tcPr>
            <w:tcW w:w="1308" w:type="dxa"/>
            <w:tcBorders>
              <w:top w:val="nil"/>
              <w:left w:val="nil"/>
              <w:bottom w:val="single" w:sz="4" w:space="0" w:color="000000"/>
              <w:right w:val="nil"/>
            </w:tcBorders>
            <w:shd w:val="clear" w:color="auto" w:fill="FFFFFF"/>
            <w:tcMar>
              <w:top w:w="80" w:type="dxa"/>
              <w:left w:w="80" w:type="dxa"/>
              <w:bottom w:w="80" w:type="dxa"/>
              <w:right w:w="80" w:type="dxa"/>
            </w:tcMar>
          </w:tcPr>
          <w:p w14:paraId="5A78EFC9"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6</w:t>
            </w:r>
          </w:p>
        </w:tc>
        <w:tc>
          <w:tcPr>
            <w:tcW w:w="1403" w:type="dxa"/>
            <w:tcBorders>
              <w:top w:val="nil"/>
              <w:left w:val="nil"/>
              <w:bottom w:val="single" w:sz="4" w:space="0" w:color="000000"/>
              <w:right w:val="nil"/>
            </w:tcBorders>
            <w:shd w:val="clear" w:color="auto" w:fill="FFFFFF"/>
            <w:tcMar>
              <w:top w:w="80" w:type="dxa"/>
              <w:left w:w="80" w:type="dxa"/>
              <w:bottom w:w="80" w:type="dxa"/>
              <w:right w:w="80" w:type="dxa"/>
            </w:tcMar>
          </w:tcPr>
          <w:p w14:paraId="6C93E003"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c>
          <w:tcPr>
            <w:tcW w:w="1433" w:type="dxa"/>
            <w:tcBorders>
              <w:top w:val="nil"/>
              <w:left w:val="nil"/>
              <w:bottom w:val="single" w:sz="4" w:space="0" w:color="000000"/>
              <w:right w:val="nil"/>
            </w:tcBorders>
            <w:shd w:val="clear" w:color="auto" w:fill="FFFFFF"/>
            <w:tcMar>
              <w:top w:w="80" w:type="dxa"/>
              <w:left w:w="80" w:type="dxa"/>
              <w:bottom w:w="80" w:type="dxa"/>
              <w:right w:w="80" w:type="dxa"/>
            </w:tcMar>
          </w:tcPr>
          <w:p w14:paraId="0005C5CF" w14:textId="77777777" w:rsidR="005A1076" w:rsidRDefault="00A31EB4">
            <w:pPr>
              <w:pStyle w:val="Body"/>
              <w:suppressAutoHyphens/>
              <w:spacing w:before="20" w:line="480" w:lineRule="auto"/>
              <w:jc w:val="center"/>
              <w:outlineLvl w:val="0"/>
            </w:pPr>
            <w:r>
              <w:rPr>
                <w:rFonts w:ascii="Arial" w:hAnsi="Arial"/>
                <w:sz w:val="20"/>
                <w:szCs w:val="20"/>
                <w14:textOutline w14:w="12700" w14:cap="flat" w14:cmpd="sng" w14:algn="ctr">
                  <w14:noFill/>
                  <w14:prstDash w14:val="solid"/>
                  <w14:miter w14:lim="400000"/>
                </w14:textOutline>
              </w:rPr>
              <w:t>Moderate</w:t>
            </w:r>
          </w:p>
        </w:tc>
      </w:tr>
    </w:tbl>
    <w:p w14:paraId="39DB3D50" w14:textId="77777777" w:rsidR="005A1076" w:rsidRDefault="005A1076">
      <w:pPr>
        <w:pStyle w:val="BodyB"/>
        <w:widowControl w:val="0"/>
        <w:tabs>
          <w:tab w:val="left" w:pos="1080"/>
        </w:tabs>
        <w:ind w:left="108" w:hanging="108"/>
        <w:jc w:val="center"/>
        <w:rPr>
          <w:rFonts w:ascii="Arial" w:eastAsia="Arial" w:hAnsi="Arial" w:cs="Arial"/>
        </w:rPr>
      </w:pPr>
    </w:p>
    <w:p w14:paraId="2ACC0765" w14:textId="77777777" w:rsidR="005A1076" w:rsidRDefault="005A1076">
      <w:pPr>
        <w:pStyle w:val="BodyB"/>
        <w:widowControl w:val="0"/>
        <w:tabs>
          <w:tab w:val="left" w:pos="1080"/>
        </w:tabs>
        <w:jc w:val="center"/>
        <w:rPr>
          <w:rFonts w:ascii="Arial" w:eastAsia="Arial" w:hAnsi="Arial" w:cs="Arial"/>
          <w:b/>
          <w:bCs/>
        </w:rPr>
      </w:pPr>
    </w:p>
    <w:p w14:paraId="704485A8" w14:textId="77777777" w:rsidR="005A1076" w:rsidRDefault="00A31EB4">
      <w:pPr>
        <w:pStyle w:val="BodyA"/>
        <w:spacing w:after="0" w:line="480" w:lineRule="auto"/>
        <w:rPr>
          <w:rFonts w:ascii="Arial" w:eastAsia="Arial" w:hAnsi="Arial" w:cs="Arial"/>
          <w:b/>
          <w:bCs/>
        </w:rPr>
      </w:pPr>
      <w:r>
        <w:rPr>
          <w:rFonts w:ascii="Arial" w:hAnsi="Arial"/>
          <w:b/>
          <w:bCs/>
        </w:rPr>
        <w:t>3.1.2 Clinical Improvement Following Lokivetmab Therapy</w:t>
      </w:r>
    </w:p>
    <w:p w14:paraId="0FC86151" w14:textId="77777777" w:rsidR="005A1076" w:rsidRDefault="005A1076">
      <w:pPr>
        <w:pStyle w:val="BodyA"/>
        <w:spacing w:after="0"/>
        <w:rPr>
          <w:rFonts w:ascii="Arial" w:eastAsia="Arial" w:hAnsi="Arial" w:cs="Arial"/>
        </w:rPr>
      </w:pPr>
    </w:p>
    <w:p w14:paraId="154A0777" w14:textId="77777777" w:rsidR="005A1076" w:rsidRDefault="00A31EB4">
      <w:pPr>
        <w:pStyle w:val="BodyA"/>
        <w:spacing w:after="0"/>
        <w:rPr>
          <w:rFonts w:ascii="Arial" w:eastAsia="Arial" w:hAnsi="Arial" w:cs="Arial"/>
        </w:rPr>
      </w:pPr>
      <w:r>
        <w:rPr>
          <w:rFonts w:ascii="Arial" w:hAnsi="Arial"/>
        </w:rPr>
        <w:t>Progressive clinical improvement was observed following three monthly doses of lokivetmab. CADESI-04 scores steadily declined to 34.00 ± 6.98 by Day 90, while PVAS scores dropped to 2.63 ± 0.32 by Day 60 and remained stable through Day 90 (Table 2).</w:t>
      </w:r>
    </w:p>
    <w:p w14:paraId="540D2C0F" w14:textId="77777777" w:rsidR="005A1076" w:rsidRDefault="005A1076">
      <w:pPr>
        <w:pStyle w:val="BodyText3"/>
        <w:tabs>
          <w:tab w:val="left" w:pos="1080"/>
        </w:tabs>
        <w:spacing w:after="0"/>
        <w:ind w:left="1080" w:hanging="1080"/>
        <w:jc w:val="both"/>
        <w:rPr>
          <w:rFonts w:ascii="Arial" w:eastAsia="Arial" w:hAnsi="Arial" w:cs="Arial"/>
          <w:b/>
          <w:bCs/>
          <w:sz w:val="20"/>
          <w:szCs w:val="20"/>
        </w:rPr>
      </w:pPr>
    </w:p>
    <w:p w14:paraId="18600E6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t xml:space="preserve">Table 2. Clinical Response Over Time (Mean </w:t>
      </w:r>
      <w:r>
        <w:rPr>
          <w:rFonts w:ascii="Arial Unicode MS" w:hAnsi="Arial Unicode MS"/>
        </w:rPr>
        <w:t xml:space="preserve">± </w:t>
      </w:r>
      <w:r>
        <w:rPr>
          <w:rFonts w:ascii="Arial" w:hAnsi="Arial"/>
          <w:b/>
          <w:bCs/>
          <w:lang w:val="pt-PT"/>
        </w:rPr>
        <w:t>SE)</w:t>
      </w:r>
    </w:p>
    <w:tbl>
      <w:tblPr>
        <w:tblW w:w="73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5"/>
        <w:gridCol w:w="3097"/>
        <w:gridCol w:w="3074"/>
      </w:tblGrid>
      <w:tr w:rsidR="005A1076" w14:paraId="0BC9102B" w14:textId="77777777">
        <w:trPr>
          <w:trHeight w:val="439"/>
          <w:jc w:val="center"/>
        </w:trPr>
        <w:tc>
          <w:tcPr>
            <w:tcW w:w="11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15157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lastRenderedPageBreak/>
              <w:t>Day</w:t>
            </w:r>
          </w:p>
        </w:tc>
        <w:tc>
          <w:tcPr>
            <w:tcW w:w="30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BE4D809"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CADESI-04 Score (Mean ± SE)</w:t>
            </w:r>
          </w:p>
        </w:tc>
        <w:tc>
          <w:tcPr>
            <w:tcW w:w="307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540A364" w14:textId="77777777" w:rsidR="005A1076" w:rsidRDefault="00A31EB4">
            <w:pPr>
              <w:pStyle w:val="Body"/>
              <w:spacing w:line="360" w:lineRule="auto"/>
              <w:jc w:val="center"/>
            </w:pPr>
            <w:r>
              <w:rPr>
                <w:rFonts w:ascii="Arial" w:hAnsi="Arial"/>
                <w:b/>
                <w:bCs/>
                <w:sz w:val="20"/>
                <w:szCs w:val="20"/>
                <w14:textOutline w14:w="12700" w14:cap="flat" w14:cmpd="sng" w14:algn="ctr">
                  <w14:noFill/>
                  <w14:prstDash w14:val="solid"/>
                  <w14:miter w14:lim="400000"/>
                </w14:textOutline>
              </w:rPr>
              <w:t>PVAS Score (Mean ± SE)</w:t>
            </w:r>
          </w:p>
        </w:tc>
      </w:tr>
      <w:tr w:rsidR="005A1076" w14:paraId="6FC6028F" w14:textId="77777777">
        <w:trPr>
          <w:trHeight w:val="296"/>
          <w:jc w:val="center"/>
        </w:trPr>
        <w:tc>
          <w:tcPr>
            <w:tcW w:w="114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B7DF71F"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0</w:t>
            </w:r>
          </w:p>
        </w:tc>
        <w:tc>
          <w:tcPr>
            <w:tcW w:w="309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A7E2E4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55.88 ± 6.56</w:t>
            </w:r>
          </w:p>
        </w:tc>
        <w:tc>
          <w:tcPr>
            <w:tcW w:w="307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5C19D8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6.00 ± 0.00</w:t>
            </w:r>
          </w:p>
        </w:tc>
      </w:tr>
      <w:tr w:rsidR="005A1076" w14:paraId="6E9C1029"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1A5D2E13"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03BD47C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46.12 ± 6.60</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0F774B9A"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4.25 ± 0.25</w:t>
            </w:r>
          </w:p>
        </w:tc>
      </w:tr>
      <w:tr w:rsidR="005A1076" w14:paraId="357B3EB6"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7424DE17"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60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45691975"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41.38 ± 7.03</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6C027624"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r w:rsidR="005A1076" w14:paraId="214D8361" w14:textId="77777777">
        <w:trPr>
          <w:trHeight w:val="291"/>
          <w:jc w:val="center"/>
        </w:trPr>
        <w:tc>
          <w:tcPr>
            <w:tcW w:w="1145" w:type="dxa"/>
            <w:tcBorders>
              <w:top w:val="nil"/>
              <w:left w:val="nil"/>
              <w:bottom w:val="nil"/>
              <w:right w:val="nil"/>
            </w:tcBorders>
            <w:shd w:val="clear" w:color="auto" w:fill="auto"/>
            <w:tcMar>
              <w:top w:w="80" w:type="dxa"/>
              <w:left w:w="80" w:type="dxa"/>
              <w:bottom w:w="80" w:type="dxa"/>
              <w:right w:w="80" w:type="dxa"/>
            </w:tcMar>
            <w:vAlign w:val="center"/>
          </w:tcPr>
          <w:p w14:paraId="54219ADE"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90</w:t>
            </w:r>
          </w:p>
        </w:tc>
        <w:tc>
          <w:tcPr>
            <w:tcW w:w="3097" w:type="dxa"/>
            <w:tcBorders>
              <w:top w:val="nil"/>
              <w:left w:val="nil"/>
              <w:bottom w:val="nil"/>
              <w:right w:val="nil"/>
            </w:tcBorders>
            <w:shd w:val="clear" w:color="auto" w:fill="auto"/>
            <w:tcMar>
              <w:top w:w="80" w:type="dxa"/>
              <w:left w:w="80" w:type="dxa"/>
              <w:bottom w:w="80" w:type="dxa"/>
              <w:right w:w="80" w:type="dxa"/>
            </w:tcMar>
            <w:vAlign w:val="center"/>
          </w:tcPr>
          <w:p w14:paraId="283F0CD1"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34.00 ± 6.98</w:t>
            </w:r>
          </w:p>
        </w:tc>
        <w:tc>
          <w:tcPr>
            <w:tcW w:w="3074" w:type="dxa"/>
            <w:tcBorders>
              <w:top w:val="nil"/>
              <w:left w:val="nil"/>
              <w:bottom w:val="nil"/>
              <w:right w:val="nil"/>
            </w:tcBorders>
            <w:shd w:val="clear" w:color="auto" w:fill="auto"/>
            <w:tcMar>
              <w:top w:w="80" w:type="dxa"/>
              <w:left w:w="80" w:type="dxa"/>
              <w:bottom w:w="80" w:type="dxa"/>
              <w:right w:w="80" w:type="dxa"/>
            </w:tcMar>
            <w:vAlign w:val="center"/>
          </w:tcPr>
          <w:p w14:paraId="15DB836C" w14:textId="77777777" w:rsidR="005A1076" w:rsidRDefault="00A31EB4">
            <w:pPr>
              <w:pStyle w:val="Body"/>
              <w:spacing w:line="480" w:lineRule="auto"/>
              <w:jc w:val="center"/>
            </w:pPr>
            <w:r>
              <w:rPr>
                <w:rFonts w:ascii="Arial" w:hAnsi="Arial"/>
                <w:sz w:val="20"/>
                <w:szCs w:val="20"/>
                <w14:textOutline w14:w="12700" w14:cap="flat" w14:cmpd="sng" w14:algn="ctr">
                  <w14:noFill/>
                  <w14:prstDash w14:val="solid"/>
                  <w14:miter w14:lim="400000"/>
                </w14:textOutline>
              </w:rPr>
              <w:t>2.63 ± 0.32</w:t>
            </w:r>
          </w:p>
        </w:tc>
      </w:tr>
    </w:tbl>
    <w:p w14:paraId="35B5DC1B" w14:textId="77777777" w:rsidR="005A1076" w:rsidRDefault="005A1076">
      <w:pPr>
        <w:pStyle w:val="BodyB"/>
        <w:widowControl w:val="0"/>
        <w:tabs>
          <w:tab w:val="left" w:pos="1080"/>
        </w:tabs>
        <w:ind w:left="108" w:hanging="108"/>
        <w:jc w:val="center"/>
        <w:rPr>
          <w:rFonts w:ascii="Arial" w:eastAsia="Arial" w:hAnsi="Arial" w:cs="Arial"/>
        </w:rPr>
      </w:pPr>
    </w:p>
    <w:p w14:paraId="1CC9D6AC" w14:textId="77777777" w:rsidR="005A1076" w:rsidRDefault="005A1076">
      <w:pPr>
        <w:pStyle w:val="BodyB"/>
        <w:widowControl w:val="0"/>
        <w:tabs>
          <w:tab w:val="left" w:pos="1080"/>
        </w:tabs>
        <w:jc w:val="center"/>
        <w:rPr>
          <w:rFonts w:ascii="Arial" w:eastAsia="Arial" w:hAnsi="Arial" w:cs="Arial"/>
          <w:b/>
          <w:bCs/>
        </w:rPr>
      </w:pPr>
    </w:p>
    <w:p w14:paraId="063D3651"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Note: Scores reflect progressive clinical improvement following lokivetmab therapy.</w:t>
      </w:r>
    </w:p>
    <w:p w14:paraId="75596CE2" w14:textId="77777777" w:rsidR="005A1076" w:rsidRDefault="005A1076">
      <w:pPr>
        <w:pStyle w:val="BodyText3"/>
        <w:tabs>
          <w:tab w:val="left" w:pos="1080"/>
        </w:tabs>
        <w:spacing w:after="0"/>
        <w:ind w:left="1080" w:hanging="1080"/>
        <w:jc w:val="both"/>
        <w:rPr>
          <w:rFonts w:ascii="Arial" w:eastAsia="Arial" w:hAnsi="Arial" w:cs="Arial"/>
        </w:rPr>
      </w:pPr>
    </w:p>
    <w:p w14:paraId="02B3016F" w14:textId="77777777" w:rsidR="005A1076" w:rsidRDefault="00A31EB4">
      <w:pPr>
        <w:pStyle w:val="BodyA"/>
        <w:spacing w:after="0"/>
        <w:rPr>
          <w:rFonts w:ascii="Arial" w:eastAsia="Arial" w:hAnsi="Arial" w:cs="Arial"/>
          <w:b/>
          <w:bCs/>
          <w:sz w:val="22"/>
          <w:szCs w:val="22"/>
        </w:rPr>
      </w:pPr>
      <w:r>
        <w:rPr>
          <w:rFonts w:ascii="Arial" w:hAnsi="Arial"/>
          <w:b/>
          <w:bCs/>
          <w:sz w:val="22"/>
          <w:szCs w:val="22"/>
        </w:rPr>
        <w:t>3.2 Hematological Parameters</w:t>
      </w:r>
    </w:p>
    <w:p w14:paraId="284A9F05" w14:textId="77777777" w:rsidR="005A1076" w:rsidRDefault="005A1076">
      <w:pPr>
        <w:pStyle w:val="BodyA"/>
        <w:spacing w:after="0"/>
        <w:rPr>
          <w:rFonts w:ascii="Arial" w:eastAsia="Arial" w:hAnsi="Arial" w:cs="Arial"/>
        </w:rPr>
      </w:pPr>
    </w:p>
    <w:p w14:paraId="51C3564A" w14:textId="77777777" w:rsidR="005A1076" w:rsidRDefault="00A31EB4">
      <w:pPr>
        <w:pStyle w:val="BodyA"/>
        <w:spacing w:after="0"/>
        <w:rPr>
          <w:rFonts w:ascii="Arial" w:eastAsia="Arial" w:hAnsi="Arial" w:cs="Arial"/>
          <w:b/>
          <w:bCs/>
        </w:rPr>
      </w:pPr>
      <w:r>
        <w:rPr>
          <w:rFonts w:ascii="Arial" w:hAnsi="Arial"/>
          <w:b/>
          <w:bCs/>
        </w:rPr>
        <w:t>3.2.1 Erythrocyte Indices</w:t>
      </w:r>
    </w:p>
    <w:p w14:paraId="4DD22CB3" w14:textId="77777777" w:rsidR="005A1076" w:rsidRDefault="005A1076">
      <w:pPr>
        <w:pStyle w:val="BodyA"/>
        <w:spacing w:after="0"/>
        <w:rPr>
          <w:rFonts w:ascii="Arial" w:eastAsia="Arial" w:hAnsi="Arial" w:cs="Arial"/>
        </w:rPr>
      </w:pPr>
    </w:p>
    <w:p w14:paraId="1309A460" w14:textId="77777777" w:rsidR="005A1076" w:rsidRDefault="00A31EB4">
      <w:pPr>
        <w:pStyle w:val="BodyA"/>
        <w:spacing w:after="0"/>
        <w:rPr>
          <w:rFonts w:ascii="Arial" w:eastAsia="Arial" w:hAnsi="Arial" w:cs="Arial"/>
        </w:rPr>
      </w:pPr>
      <w:r>
        <w:rPr>
          <w:rFonts w:ascii="Arial" w:hAnsi="Arial"/>
        </w:rPr>
        <w:t>Hemoglobin levels showed no significant changes throughout the duration of the treatment. The packed cell volume (PCV) was lower at Day 0 (33.88 ± 2.02 per cent) when compared to healthy controls (39.69 ± 1.73%) and showed a significant increase by Day 90 (42.49 ± 1.04 per cent). The red blood cell (RBC) count also increased from 5.09 ± 0.32 to 6.32 ± 0.26 million/μL by Day 90 (Table 3)</w:t>
      </w:r>
    </w:p>
    <w:p w14:paraId="73F3A614" w14:textId="77777777" w:rsidR="005A1076" w:rsidRDefault="005A1076">
      <w:pPr>
        <w:pStyle w:val="BodyA"/>
        <w:spacing w:after="0"/>
        <w:rPr>
          <w:rFonts w:ascii="Arial" w:eastAsia="Arial" w:hAnsi="Arial" w:cs="Arial"/>
        </w:rPr>
      </w:pPr>
    </w:p>
    <w:p w14:paraId="653737BD" w14:textId="77777777" w:rsidR="005A1076" w:rsidRDefault="00A31EB4">
      <w:pPr>
        <w:pStyle w:val="BodyA"/>
        <w:spacing w:after="0"/>
        <w:rPr>
          <w:rFonts w:ascii="Arial" w:eastAsia="Arial" w:hAnsi="Arial" w:cs="Arial"/>
          <w:b/>
          <w:bCs/>
        </w:rPr>
      </w:pPr>
      <w:r>
        <w:rPr>
          <w:rFonts w:ascii="Arial" w:hAnsi="Arial"/>
          <w:b/>
          <w:bCs/>
        </w:rPr>
        <w:t>3.2.2 Leukocyte and Platelet Profiles</w:t>
      </w:r>
    </w:p>
    <w:p w14:paraId="12622BD9" w14:textId="77777777" w:rsidR="005A1076" w:rsidRDefault="005A1076">
      <w:pPr>
        <w:pStyle w:val="BodyA"/>
        <w:spacing w:after="0"/>
        <w:rPr>
          <w:rFonts w:ascii="Arial" w:eastAsia="Arial" w:hAnsi="Arial" w:cs="Arial"/>
        </w:rPr>
      </w:pPr>
    </w:p>
    <w:p w14:paraId="5B38E3AB" w14:textId="77777777" w:rsidR="005A1076" w:rsidRDefault="00A31EB4">
      <w:pPr>
        <w:pStyle w:val="BodyA"/>
        <w:spacing w:after="0"/>
        <w:rPr>
          <w:rFonts w:ascii="Arial" w:eastAsia="Arial" w:hAnsi="Arial" w:cs="Arial"/>
        </w:rPr>
      </w:pPr>
      <w:r>
        <w:rPr>
          <w:rFonts w:ascii="Arial" w:hAnsi="Arial"/>
        </w:rPr>
        <w:t>The total white blood cell (WBC) count on day 0 were decreased (9.24 ± 0.71 × 10³/μL) when compared to the healthy controls (12.53 ± 1.26 × 10³/μL), and increased by Day 90 (10.95 ± 0.80 × 10³/μL). Granulocyte count had increased from 7.45 ± 0.62 to 7.95 ± 0.55 × 10³/μL . The lymphocyte counts significantly increased from 1.49 ± 0.16 to 3.60 ± 1.08 × 10³/μL. Monocyte and platelet counts remained consistent throughout all time points (Table 3).</w:t>
      </w:r>
    </w:p>
    <w:p w14:paraId="30830E09" w14:textId="77777777" w:rsidR="005A1076" w:rsidRDefault="005A1076">
      <w:pPr>
        <w:pStyle w:val="BodyText3"/>
        <w:tabs>
          <w:tab w:val="left" w:pos="1080"/>
        </w:tabs>
        <w:spacing w:after="0"/>
        <w:ind w:left="1080" w:hanging="1080"/>
        <w:jc w:val="both"/>
        <w:rPr>
          <w:rFonts w:ascii="Arial" w:eastAsia="Arial" w:hAnsi="Arial" w:cs="Arial"/>
          <w:i/>
          <w:iCs/>
          <w:sz w:val="18"/>
          <w:szCs w:val="18"/>
        </w:rPr>
      </w:pPr>
    </w:p>
    <w:p w14:paraId="2EBE2CDD" w14:textId="77777777" w:rsidR="005A1076" w:rsidRDefault="00A31EB4">
      <w:pPr>
        <w:pStyle w:val="BodyText3"/>
        <w:tabs>
          <w:tab w:val="left" w:pos="1080"/>
        </w:tabs>
        <w:spacing w:after="0" w:line="480" w:lineRule="auto"/>
        <w:ind w:left="1080" w:hanging="1080"/>
        <w:jc w:val="both"/>
        <w:rPr>
          <w:rFonts w:ascii="Arial" w:eastAsia="Arial" w:hAnsi="Arial" w:cs="Arial"/>
          <w:sz w:val="20"/>
          <w:szCs w:val="20"/>
        </w:rPr>
      </w:pPr>
      <w:r>
        <w:rPr>
          <w:rFonts w:ascii="Arial" w:hAnsi="Arial"/>
          <w:b/>
          <w:bCs/>
          <w:sz w:val="20"/>
          <w:szCs w:val="20"/>
        </w:rPr>
        <w:t>Table 3. Hematological Changes Over Time</w:t>
      </w:r>
    </w:p>
    <w:tbl>
      <w:tblPr>
        <w:tblW w:w="72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899"/>
        <w:gridCol w:w="868"/>
        <w:gridCol w:w="888"/>
        <w:gridCol w:w="609"/>
        <w:gridCol w:w="633"/>
        <w:gridCol w:w="652"/>
        <w:gridCol w:w="617"/>
        <w:gridCol w:w="648"/>
        <w:gridCol w:w="585"/>
      </w:tblGrid>
      <w:tr w:rsidR="005A1076" w14:paraId="05854ECC" w14:textId="77777777">
        <w:trPr>
          <w:trHeight w:val="1189"/>
          <w:jc w:val="center"/>
        </w:trPr>
        <w:tc>
          <w:tcPr>
            <w:tcW w:w="86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0CBD999"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Parameter</w:t>
            </w:r>
          </w:p>
        </w:tc>
        <w:tc>
          <w:tcPr>
            <w:tcW w:w="89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67AF14"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Healthy</w:t>
            </w:r>
          </w:p>
        </w:tc>
        <w:tc>
          <w:tcPr>
            <w:tcW w:w="8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FB46CB5" w14:textId="77777777" w:rsidR="005A1076" w:rsidRDefault="00A31EB4">
            <w:pPr>
              <w:pStyle w:val="Body"/>
              <w:spacing w:line="264" w:lineRule="auto"/>
              <w:jc w:val="both"/>
            </w:pPr>
            <w:r>
              <w:rPr>
                <w:rFonts w:ascii="Arial" w:hAnsi="Arial"/>
                <w:b/>
                <w:bCs/>
                <w:sz w:val="20"/>
                <w:szCs w:val="20"/>
                <w14:textOutline w14:w="12700" w14:cap="flat" w14:cmpd="sng" w14:algn="ctr">
                  <w14:noFill/>
                  <w14:prstDash w14:val="solid"/>
                  <w14:miter w14:lim="400000"/>
                </w14:textOutline>
              </w:rPr>
              <w:t>Day 0</w:t>
            </w:r>
          </w:p>
        </w:tc>
        <w:tc>
          <w:tcPr>
            <w:tcW w:w="88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7BB1872"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Day 90</w:t>
            </w:r>
          </w:p>
        </w:tc>
        <w:tc>
          <w:tcPr>
            <w:tcW w:w="609"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0FA5AC34"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F value</w:t>
            </w:r>
          </w:p>
        </w:tc>
        <w:tc>
          <w:tcPr>
            <w:tcW w:w="63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1CBF1BF"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 value</w:t>
            </w:r>
          </w:p>
        </w:tc>
        <w:tc>
          <w:tcPr>
            <w:tcW w:w="65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80628B1"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t </w:t>
            </w:r>
          </w:p>
          <w:p w14:paraId="4F53F540"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(H vs D0)</w:t>
            </w:r>
          </w:p>
        </w:tc>
        <w:tc>
          <w:tcPr>
            <w:tcW w:w="61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62F4881E"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w:t>
            </w:r>
          </w:p>
          <w:p w14:paraId="5A16C801"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 (H vs D0)</w:t>
            </w:r>
          </w:p>
        </w:tc>
        <w:tc>
          <w:tcPr>
            <w:tcW w:w="64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3703B7CA"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 xml:space="preserve">t </w:t>
            </w:r>
          </w:p>
          <w:p w14:paraId="24AE89AA"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(D0 vs D90)</w:t>
            </w:r>
          </w:p>
        </w:tc>
        <w:tc>
          <w:tcPr>
            <w:tcW w:w="58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vAlign w:val="center"/>
          </w:tcPr>
          <w:p w14:paraId="56E40AF5" w14:textId="77777777" w:rsidR="005A1076" w:rsidRDefault="00A31EB4">
            <w:pPr>
              <w:pStyle w:val="Body"/>
              <w:suppressAutoHyphens/>
              <w:spacing w:line="264" w:lineRule="auto"/>
              <w:outlineLvl w:val="0"/>
            </w:pPr>
            <w:r>
              <w:rPr>
                <w:rFonts w:ascii="Arial" w:hAnsi="Arial"/>
                <w:b/>
                <w:bCs/>
                <w:sz w:val="20"/>
                <w:szCs w:val="20"/>
                <w14:textOutline w14:w="12700" w14:cap="flat" w14:cmpd="sng" w14:algn="ctr">
                  <w14:noFill/>
                  <w14:prstDash w14:val="solid"/>
                  <w14:miter w14:lim="400000"/>
                </w14:textOutline>
              </w:rPr>
              <w:t>P (D0 vs D90)</w:t>
            </w:r>
          </w:p>
        </w:tc>
      </w:tr>
      <w:tr w:rsidR="005A1076" w14:paraId="14586FEA" w14:textId="77777777">
        <w:trPr>
          <w:trHeight w:val="1093"/>
          <w:jc w:val="center"/>
        </w:trPr>
        <w:tc>
          <w:tcPr>
            <w:tcW w:w="867"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62C89E6"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Hb</w:t>
            </w:r>
          </w:p>
        </w:tc>
        <w:tc>
          <w:tcPr>
            <w:tcW w:w="89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5B339AF"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13.43 ± 0.71</w:t>
            </w:r>
          </w:p>
        </w:tc>
        <w:tc>
          <w:tcPr>
            <w:tcW w:w="86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57B8D573"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13.43 ± 0.75</w:t>
            </w:r>
          </w:p>
        </w:tc>
        <w:tc>
          <w:tcPr>
            <w:tcW w:w="88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68E185A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14.31 ± 0.40</w:t>
            </w:r>
          </w:p>
        </w:tc>
        <w:tc>
          <w:tcPr>
            <w:tcW w:w="609"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2ED2231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0.13</w:t>
            </w:r>
          </w:p>
        </w:tc>
        <w:tc>
          <w:tcPr>
            <w:tcW w:w="633"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E9878F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.73</w:t>
            </w:r>
          </w:p>
        </w:tc>
        <w:tc>
          <w:tcPr>
            <w:tcW w:w="652"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A64F57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w:t>
            </w:r>
          </w:p>
        </w:tc>
        <w:tc>
          <w:tcPr>
            <w:tcW w:w="617"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E28D0D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1.00</w:t>
            </w:r>
          </w:p>
        </w:tc>
        <w:tc>
          <w:tcPr>
            <w:tcW w:w="648"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1EE1557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-1.23</w:t>
            </w:r>
          </w:p>
        </w:tc>
        <w:tc>
          <w:tcPr>
            <w:tcW w:w="585" w:type="dxa"/>
            <w:tcBorders>
              <w:top w:val="single" w:sz="4" w:space="0" w:color="000000"/>
              <w:left w:val="nil"/>
              <w:bottom w:val="nil"/>
              <w:right w:val="nil"/>
            </w:tcBorders>
            <w:shd w:val="clear" w:color="auto" w:fill="FFFFFF"/>
            <w:tcMar>
              <w:top w:w="80" w:type="dxa"/>
              <w:left w:w="80" w:type="dxa"/>
              <w:bottom w:w="80" w:type="dxa"/>
              <w:right w:w="80" w:type="dxa"/>
            </w:tcMar>
            <w:vAlign w:val="center"/>
          </w:tcPr>
          <w:p w14:paraId="4598DCB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1.00</w:t>
            </w:r>
          </w:p>
        </w:tc>
      </w:tr>
      <w:tr w:rsidR="005A1076" w14:paraId="088D9C9E"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1FCA1B28"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PCV</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27809B62"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39.69 ± 1.73</w:t>
            </w:r>
          </w:p>
        </w:tc>
        <w:tc>
          <w:tcPr>
            <w:tcW w:w="868" w:type="dxa"/>
            <w:tcBorders>
              <w:top w:val="nil"/>
              <w:left w:val="nil"/>
              <w:bottom w:val="nil"/>
              <w:right w:val="nil"/>
            </w:tcBorders>
            <w:shd w:val="clear" w:color="auto" w:fill="FFFFFF"/>
            <w:tcMar>
              <w:top w:w="80" w:type="dxa"/>
              <w:left w:w="80" w:type="dxa"/>
              <w:bottom w:w="80" w:type="dxa"/>
              <w:right w:w="80" w:type="dxa"/>
            </w:tcMar>
            <w:vAlign w:val="center"/>
          </w:tcPr>
          <w:p w14:paraId="0BD5CDE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33.88 ± 2.02</w:t>
            </w:r>
          </w:p>
        </w:tc>
        <w:tc>
          <w:tcPr>
            <w:tcW w:w="888" w:type="dxa"/>
            <w:tcBorders>
              <w:top w:val="nil"/>
              <w:left w:val="nil"/>
              <w:bottom w:val="nil"/>
              <w:right w:val="nil"/>
            </w:tcBorders>
            <w:shd w:val="clear" w:color="auto" w:fill="FFFFFF"/>
            <w:tcMar>
              <w:top w:w="80" w:type="dxa"/>
              <w:left w:w="80" w:type="dxa"/>
              <w:bottom w:w="80" w:type="dxa"/>
              <w:right w:w="80" w:type="dxa"/>
            </w:tcMar>
            <w:vAlign w:val="center"/>
          </w:tcPr>
          <w:p w14:paraId="2447EAF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42.49 ± 1.04</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760D980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0.35</w:t>
            </w:r>
          </w:p>
        </w:tc>
        <w:tc>
          <w:tcPr>
            <w:tcW w:w="633" w:type="dxa"/>
            <w:tcBorders>
              <w:top w:val="nil"/>
              <w:left w:val="nil"/>
              <w:bottom w:val="nil"/>
              <w:right w:val="nil"/>
            </w:tcBorders>
            <w:shd w:val="clear" w:color="auto" w:fill="auto"/>
            <w:tcMar>
              <w:top w:w="80" w:type="dxa"/>
              <w:left w:w="80" w:type="dxa"/>
              <w:bottom w:w="80" w:type="dxa"/>
              <w:right w:w="80" w:type="dxa"/>
            </w:tcMar>
            <w:vAlign w:val="center"/>
          </w:tcPr>
          <w:p w14:paraId="028D913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.56</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0C08DB0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2.19</w:t>
            </w:r>
          </w:p>
        </w:tc>
        <w:tc>
          <w:tcPr>
            <w:tcW w:w="617" w:type="dxa"/>
            <w:tcBorders>
              <w:top w:val="nil"/>
              <w:left w:val="nil"/>
              <w:bottom w:val="nil"/>
              <w:right w:val="nil"/>
            </w:tcBorders>
            <w:shd w:val="clear" w:color="auto" w:fill="auto"/>
            <w:tcMar>
              <w:top w:w="80" w:type="dxa"/>
              <w:left w:w="80" w:type="dxa"/>
              <w:bottom w:w="80" w:type="dxa"/>
              <w:right w:w="80" w:type="dxa"/>
            </w:tcMar>
            <w:vAlign w:val="center"/>
          </w:tcPr>
          <w:p w14:paraId="4AC657A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.05*</w:t>
            </w:r>
          </w:p>
        </w:tc>
        <w:tc>
          <w:tcPr>
            <w:tcW w:w="648" w:type="dxa"/>
            <w:tcBorders>
              <w:top w:val="nil"/>
              <w:left w:val="nil"/>
              <w:bottom w:val="nil"/>
              <w:right w:val="nil"/>
            </w:tcBorders>
            <w:shd w:val="clear" w:color="auto" w:fill="FFFFFF"/>
            <w:tcMar>
              <w:top w:w="80" w:type="dxa"/>
              <w:left w:w="80" w:type="dxa"/>
              <w:bottom w:w="80" w:type="dxa"/>
              <w:right w:w="80" w:type="dxa"/>
            </w:tcMar>
            <w:vAlign w:val="center"/>
          </w:tcPr>
          <w:p w14:paraId="361EA66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-3.98</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50E1FC0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.05*</w:t>
            </w:r>
          </w:p>
        </w:tc>
      </w:tr>
      <w:tr w:rsidR="005A1076" w14:paraId="242A72C5"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3BBDFC3E"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lastRenderedPageBreak/>
              <w:t>RBC</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02829BC3"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6.02 ± 0.39</w:t>
            </w:r>
          </w:p>
        </w:tc>
        <w:tc>
          <w:tcPr>
            <w:tcW w:w="868" w:type="dxa"/>
            <w:tcBorders>
              <w:top w:val="nil"/>
              <w:left w:val="nil"/>
              <w:bottom w:val="nil"/>
              <w:right w:val="nil"/>
            </w:tcBorders>
            <w:shd w:val="clear" w:color="auto" w:fill="auto"/>
            <w:tcMar>
              <w:top w:w="80" w:type="dxa"/>
              <w:left w:w="80" w:type="dxa"/>
              <w:bottom w:w="80" w:type="dxa"/>
              <w:right w:w="80" w:type="dxa"/>
            </w:tcMar>
            <w:vAlign w:val="center"/>
          </w:tcPr>
          <w:p w14:paraId="679E3505"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5.09 ± 0.32</w:t>
            </w:r>
          </w:p>
        </w:tc>
        <w:tc>
          <w:tcPr>
            <w:tcW w:w="888" w:type="dxa"/>
            <w:tcBorders>
              <w:top w:val="nil"/>
              <w:left w:val="nil"/>
              <w:bottom w:val="nil"/>
              <w:right w:val="nil"/>
            </w:tcBorders>
            <w:shd w:val="clear" w:color="auto" w:fill="auto"/>
            <w:tcMar>
              <w:top w:w="80" w:type="dxa"/>
              <w:left w:w="80" w:type="dxa"/>
              <w:bottom w:w="80" w:type="dxa"/>
              <w:right w:w="80" w:type="dxa"/>
            </w:tcMar>
            <w:vAlign w:val="center"/>
          </w:tcPr>
          <w:p w14:paraId="3B64EEF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6.32 ± 0.26</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2A3044A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0.43</w:t>
            </w:r>
          </w:p>
        </w:tc>
        <w:tc>
          <w:tcPr>
            <w:tcW w:w="633" w:type="dxa"/>
            <w:tcBorders>
              <w:top w:val="nil"/>
              <w:left w:val="nil"/>
              <w:bottom w:val="nil"/>
              <w:right w:val="nil"/>
            </w:tcBorders>
            <w:shd w:val="clear" w:color="auto" w:fill="FFFFFF"/>
            <w:tcMar>
              <w:top w:w="80" w:type="dxa"/>
              <w:left w:w="80" w:type="dxa"/>
              <w:bottom w:w="80" w:type="dxa"/>
              <w:right w:w="80" w:type="dxa"/>
            </w:tcMar>
            <w:vAlign w:val="center"/>
          </w:tcPr>
          <w:p w14:paraId="18C6D37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.52</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1EAAA44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1.82</w:t>
            </w:r>
          </w:p>
        </w:tc>
        <w:tc>
          <w:tcPr>
            <w:tcW w:w="617" w:type="dxa"/>
            <w:tcBorders>
              <w:top w:val="nil"/>
              <w:left w:val="nil"/>
              <w:bottom w:val="nil"/>
              <w:right w:val="nil"/>
            </w:tcBorders>
            <w:shd w:val="clear" w:color="auto" w:fill="FFFFFF"/>
            <w:tcMar>
              <w:top w:w="80" w:type="dxa"/>
              <w:left w:w="80" w:type="dxa"/>
              <w:bottom w:w="80" w:type="dxa"/>
              <w:right w:w="80" w:type="dxa"/>
            </w:tcMar>
            <w:vAlign w:val="center"/>
          </w:tcPr>
          <w:p w14:paraId="136C951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c>
          <w:tcPr>
            <w:tcW w:w="648" w:type="dxa"/>
            <w:tcBorders>
              <w:top w:val="nil"/>
              <w:left w:val="nil"/>
              <w:bottom w:val="nil"/>
              <w:right w:val="nil"/>
            </w:tcBorders>
            <w:shd w:val="clear" w:color="auto" w:fill="auto"/>
            <w:tcMar>
              <w:top w:w="80" w:type="dxa"/>
              <w:left w:w="80" w:type="dxa"/>
              <w:bottom w:w="80" w:type="dxa"/>
              <w:right w:w="80" w:type="dxa"/>
            </w:tcMar>
            <w:vAlign w:val="center"/>
          </w:tcPr>
          <w:p w14:paraId="47A0DC7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013688CB"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.09</w:t>
            </w:r>
          </w:p>
        </w:tc>
      </w:tr>
      <w:tr w:rsidR="005A1076" w14:paraId="75F1A43D" w14:textId="77777777">
        <w:trPr>
          <w:trHeight w:val="1083"/>
          <w:jc w:val="center"/>
        </w:trPr>
        <w:tc>
          <w:tcPr>
            <w:tcW w:w="867" w:type="dxa"/>
            <w:tcBorders>
              <w:top w:val="nil"/>
              <w:left w:val="nil"/>
              <w:bottom w:val="nil"/>
              <w:right w:val="nil"/>
            </w:tcBorders>
            <w:shd w:val="clear" w:color="auto" w:fill="FFFFFF"/>
            <w:tcMar>
              <w:top w:w="80" w:type="dxa"/>
              <w:left w:w="80" w:type="dxa"/>
              <w:bottom w:w="80" w:type="dxa"/>
              <w:right w:w="80" w:type="dxa"/>
            </w:tcMar>
            <w:vAlign w:val="center"/>
          </w:tcPr>
          <w:p w14:paraId="0B81AAB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WBC</w:t>
            </w:r>
          </w:p>
        </w:tc>
        <w:tc>
          <w:tcPr>
            <w:tcW w:w="898" w:type="dxa"/>
            <w:tcBorders>
              <w:top w:val="nil"/>
              <w:left w:val="nil"/>
              <w:bottom w:val="nil"/>
              <w:right w:val="nil"/>
            </w:tcBorders>
            <w:shd w:val="clear" w:color="auto" w:fill="FFFFFF"/>
            <w:tcMar>
              <w:top w:w="80" w:type="dxa"/>
              <w:left w:w="80" w:type="dxa"/>
              <w:bottom w:w="80" w:type="dxa"/>
              <w:right w:w="80" w:type="dxa"/>
            </w:tcMar>
            <w:vAlign w:val="center"/>
          </w:tcPr>
          <w:p w14:paraId="087DECFB"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12.53 ± 1.26</w:t>
            </w:r>
          </w:p>
        </w:tc>
        <w:tc>
          <w:tcPr>
            <w:tcW w:w="868" w:type="dxa"/>
            <w:tcBorders>
              <w:top w:val="nil"/>
              <w:left w:val="nil"/>
              <w:bottom w:val="nil"/>
              <w:right w:val="nil"/>
            </w:tcBorders>
            <w:shd w:val="clear" w:color="auto" w:fill="FFFFFF"/>
            <w:tcMar>
              <w:top w:w="80" w:type="dxa"/>
              <w:left w:w="80" w:type="dxa"/>
              <w:bottom w:w="80" w:type="dxa"/>
              <w:right w:w="80" w:type="dxa"/>
            </w:tcMar>
            <w:vAlign w:val="center"/>
          </w:tcPr>
          <w:p w14:paraId="61F91C81"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9.24 ± 0.71</w:t>
            </w:r>
          </w:p>
        </w:tc>
        <w:tc>
          <w:tcPr>
            <w:tcW w:w="888" w:type="dxa"/>
            <w:tcBorders>
              <w:top w:val="nil"/>
              <w:left w:val="nil"/>
              <w:bottom w:val="nil"/>
              <w:right w:val="nil"/>
            </w:tcBorders>
            <w:shd w:val="clear" w:color="auto" w:fill="FFFFFF"/>
            <w:tcMar>
              <w:top w:w="80" w:type="dxa"/>
              <w:left w:w="80" w:type="dxa"/>
              <w:bottom w:w="80" w:type="dxa"/>
              <w:right w:w="80" w:type="dxa"/>
            </w:tcMar>
            <w:vAlign w:val="center"/>
          </w:tcPr>
          <w:p w14:paraId="2CC775B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10.95 ± 0.80</w:t>
            </w:r>
          </w:p>
        </w:tc>
        <w:tc>
          <w:tcPr>
            <w:tcW w:w="609" w:type="dxa"/>
            <w:tcBorders>
              <w:top w:val="nil"/>
              <w:left w:val="nil"/>
              <w:bottom w:val="nil"/>
              <w:right w:val="nil"/>
            </w:tcBorders>
            <w:shd w:val="clear" w:color="auto" w:fill="FFFFFF"/>
            <w:tcMar>
              <w:top w:w="80" w:type="dxa"/>
              <w:left w:w="80" w:type="dxa"/>
              <w:bottom w:w="80" w:type="dxa"/>
              <w:right w:w="80" w:type="dxa"/>
            </w:tcMar>
            <w:vAlign w:val="center"/>
          </w:tcPr>
          <w:p w14:paraId="7AFBBE6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0.82</w:t>
            </w:r>
          </w:p>
        </w:tc>
        <w:tc>
          <w:tcPr>
            <w:tcW w:w="633" w:type="dxa"/>
            <w:tcBorders>
              <w:top w:val="nil"/>
              <w:left w:val="nil"/>
              <w:bottom w:val="nil"/>
              <w:right w:val="nil"/>
            </w:tcBorders>
            <w:shd w:val="clear" w:color="auto" w:fill="FFFFFF"/>
            <w:tcMar>
              <w:top w:w="80" w:type="dxa"/>
              <w:left w:w="80" w:type="dxa"/>
              <w:bottom w:w="80" w:type="dxa"/>
              <w:right w:w="80" w:type="dxa"/>
            </w:tcMar>
            <w:vAlign w:val="center"/>
          </w:tcPr>
          <w:p w14:paraId="26C455D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.38</w:t>
            </w:r>
          </w:p>
        </w:tc>
        <w:tc>
          <w:tcPr>
            <w:tcW w:w="652" w:type="dxa"/>
            <w:tcBorders>
              <w:top w:val="nil"/>
              <w:left w:val="nil"/>
              <w:bottom w:val="nil"/>
              <w:right w:val="nil"/>
            </w:tcBorders>
            <w:shd w:val="clear" w:color="auto" w:fill="FFFFFF"/>
            <w:tcMar>
              <w:top w:w="80" w:type="dxa"/>
              <w:left w:w="80" w:type="dxa"/>
              <w:bottom w:w="80" w:type="dxa"/>
              <w:right w:w="80" w:type="dxa"/>
            </w:tcMar>
            <w:vAlign w:val="center"/>
          </w:tcPr>
          <w:p w14:paraId="551E5D5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2.28</w:t>
            </w:r>
          </w:p>
        </w:tc>
        <w:tc>
          <w:tcPr>
            <w:tcW w:w="617" w:type="dxa"/>
            <w:tcBorders>
              <w:top w:val="nil"/>
              <w:left w:val="nil"/>
              <w:bottom w:val="nil"/>
              <w:right w:val="nil"/>
            </w:tcBorders>
            <w:shd w:val="clear" w:color="auto" w:fill="FFFFFF"/>
            <w:tcMar>
              <w:top w:w="80" w:type="dxa"/>
              <w:left w:w="80" w:type="dxa"/>
              <w:bottom w:w="80" w:type="dxa"/>
              <w:right w:w="80" w:type="dxa"/>
            </w:tcMar>
            <w:vAlign w:val="center"/>
          </w:tcPr>
          <w:p w14:paraId="08EFC7F2"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48" w:type="dxa"/>
            <w:tcBorders>
              <w:top w:val="nil"/>
              <w:left w:val="nil"/>
              <w:bottom w:val="nil"/>
              <w:right w:val="nil"/>
            </w:tcBorders>
            <w:shd w:val="clear" w:color="auto" w:fill="FFFFFF"/>
            <w:tcMar>
              <w:top w:w="80" w:type="dxa"/>
              <w:left w:w="80" w:type="dxa"/>
              <w:bottom w:w="80" w:type="dxa"/>
              <w:right w:w="80" w:type="dxa"/>
            </w:tcMar>
            <w:vAlign w:val="center"/>
          </w:tcPr>
          <w:p w14:paraId="71D6539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-1.53</w:t>
            </w:r>
          </w:p>
        </w:tc>
        <w:tc>
          <w:tcPr>
            <w:tcW w:w="585" w:type="dxa"/>
            <w:tcBorders>
              <w:top w:val="nil"/>
              <w:left w:val="nil"/>
              <w:bottom w:val="nil"/>
              <w:right w:val="nil"/>
            </w:tcBorders>
            <w:shd w:val="clear" w:color="auto" w:fill="FFFFFF"/>
            <w:tcMar>
              <w:top w:w="80" w:type="dxa"/>
              <w:left w:w="80" w:type="dxa"/>
              <w:bottom w:w="80" w:type="dxa"/>
              <w:right w:w="80" w:type="dxa"/>
            </w:tcMar>
            <w:vAlign w:val="center"/>
          </w:tcPr>
          <w:p w14:paraId="4652EA4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r>
      <w:tr w:rsidR="005A1076" w14:paraId="5920DB66" w14:textId="77777777">
        <w:trPr>
          <w:trHeight w:val="1083"/>
          <w:jc w:val="center"/>
        </w:trPr>
        <w:tc>
          <w:tcPr>
            <w:tcW w:w="867"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5236B630"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Granulocytes</w:t>
            </w:r>
          </w:p>
        </w:tc>
        <w:tc>
          <w:tcPr>
            <w:tcW w:w="898"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17F83D5C"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12.05 ± 1.67</w:t>
            </w:r>
          </w:p>
        </w:tc>
        <w:tc>
          <w:tcPr>
            <w:tcW w:w="868" w:type="dxa"/>
            <w:tcBorders>
              <w:top w:val="nil"/>
              <w:left w:val="nil"/>
              <w:bottom w:val="single" w:sz="8" w:space="0" w:color="FFFFFF"/>
              <w:right w:val="nil"/>
            </w:tcBorders>
            <w:shd w:val="clear" w:color="auto" w:fill="FFFFFF"/>
            <w:tcMar>
              <w:top w:w="80" w:type="dxa"/>
              <w:left w:w="80" w:type="dxa"/>
              <w:bottom w:w="80" w:type="dxa"/>
              <w:right w:w="80" w:type="dxa"/>
            </w:tcMar>
            <w:vAlign w:val="center"/>
          </w:tcPr>
          <w:p w14:paraId="2956B7CF" w14:textId="77777777" w:rsidR="005A1076" w:rsidRDefault="00A31EB4">
            <w:pPr>
              <w:pStyle w:val="Body"/>
              <w:spacing w:line="480" w:lineRule="auto"/>
              <w:jc w:val="both"/>
            </w:pPr>
            <w:r>
              <w:rPr>
                <w:rFonts w:ascii="Arial" w:hAnsi="Arial"/>
                <w:sz w:val="20"/>
                <w:szCs w:val="20"/>
                <w14:textOutline w14:w="12700" w14:cap="flat" w14:cmpd="sng" w14:algn="ctr">
                  <w14:noFill/>
                  <w14:prstDash w14:val="solid"/>
                  <w14:miter w14:lim="400000"/>
                </w14:textOutline>
              </w:rPr>
              <w:t>7.45 ± 0.62</w:t>
            </w:r>
          </w:p>
        </w:tc>
        <w:tc>
          <w:tcPr>
            <w:tcW w:w="888"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7ED63B5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7.95 ± 0.55</w:t>
            </w:r>
          </w:p>
        </w:tc>
        <w:tc>
          <w:tcPr>
            <w:tcW w:w="609"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7BAE785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5.18</w:t>
            </w:r>
          </w:p>
        </w:tc>
        <w:tc>
          <w:tcPr>
            <w:tcW w:w="633"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6F4B098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52"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2CBA5AB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2.58</w:t>
            </w:r>
          </w:p>
        </w:tc>
        <w:tc>
          <w:tcPr>
            <w:tcW w:w="617"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0437C98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.02*</w:t>
            </w:r>
          </w:p>
        </w:tc>
        <w:tc>
          <w:tcPr>
            <w:tcW w:w="648"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6B3ACA6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-0.77</w:t>
            </w:r>
          </w:p>
        </w:tc>
        <w:tc>
          <w:tcPr>
            <w:tcW w:w="585" w:type="dxa"/>
            <w:tcBorders>
              <w:top w:val="nil"/>
              <w:left w:val="nil"/>
              <w:bottom w:val="single" w:sz="4" w:space="0" w:color="FFFFFF"/>
              <w:right w:val="nil"/>
            </w:tcBorders>
            <w:shd w:val="clear" w:color="auto" w:fill="FFFFFF"/>
            <w:tcMar>
              <w:top w:w="80" w:type="dxa"/>
              <w:left w:w="80" w:type="dxa"/>
              <w:bottom w:w="80" w:type="dxa"/>
              <w:right w:w="80" w:type="dxa"/>
            </w:tcMar>
            <w:vAlign w:val="center"/>
          </w:tcPr>
          <w:p w14:paraId="4972EDFD"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.02*</w:t>
            </w:r>
          </w:p>
        </w:tc>
      </w:tr>
      <w:tr w:rsidR="005A1076" w14:paraId="34D18F0B" w14:textId="77777777">
        <w:trPr>
          <w:trHeight w:val="1103"/>
          <w:jc w:val="center"/>
        </w:trPr>
        <w:tc>
          <w:tcPr>
            <w:tcW w:w="86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C8DC5C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Lymphocytes</w:t>
            </w:r>
          </w:p>
        </w:tc>
        <w:tc>
          <w:tcPr>
            <w:tcW w:w="89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5E82D9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2.43 ± 0.39</w:t>
            </w:r>
          </w:p>
        </w:tc>
        <w:tc>
          <w:tcPr>
            <w:tcW w:w="86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729E7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1.49 ± 0.16</w:t>
            </w:r>
          </w:p>
        </w:tc>
        <w:tc>
          <w:tcPr>
            <w:tcW w:w="88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DAAA2C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3.60 ± 1.08</w:t>
            </w:r>
          </w:p>
        </w:tc>
        <w:tc>
          <w:tcPr>
            <w:tcW w:w="609"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6349E8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9.14</w:t>
            </w:r>
          </w:p>
        </w:tc>
        <w:tc>
          <w:tcPr>
            <w:tcW w:w="633"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BB1F41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w:t>
            </w:r>
          </w:p>
        </w:tc>
        <w:tc>
          <w:tcPr>
            <w:tcW w:w="652"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4EDCA6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2.22</w:t>
            </w:r>
          </w:p>
        </w:tc>
        <w:tc>
          <w:tcPr>
            <w:tcW w:w="617"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17BC105"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c>
          <w:tcPr>
            <w:tcW w:w="64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A8953E"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-1.84</w:t>
            </w:r>
          </w:p>
        </w:tc>
        <w:tc>
          <w:tcPr>
            <w:tcW w:w="585"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572166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.04*</w:t>
            </w:r>
          </w:p>
        </w:tc>
      </w:tr>
      <w:tr w:rsidR="005A1076" w14:paraId="5B7A100C" w14:textId="77777777">
        <w:trPr>
          <w:trHeight w:val="1103"/>
          <w:jc w:val="center"/>
        </w:trPr>
        <w:tc>
          <w:tcPr>
            <w:tcW w:w="867"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666960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Monocytes</w:t>
            </w:r>
          </w:p>
        </w:tc>
        <w:tc>
          <w:tcPr>
            <w:tcW w:w="898"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73AFACB5"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0.74 ± 0.16</w:t>
            </w:r>
          </w:p>
        </w:tc>
        <w:tc>
          <w:tcPr>
            <w:tcW w:w="868" w:type="dxa"/>
            <w:tcBorders>
              <w:top w:val="single" w:sz="8" w:space="0" w:color="FFFFFF"/>
              <w:left w:val="nil"/>
              <w:bottom w:val="single" w:sz="8" w:space="0" w:color="FFFFFF"/>
              <w:right w:val="nil"/>
            </w:tcBorders>
            <w:shd w:val="clear" w:color="auto" w:fill="FFFFFF"/>
            <w:tcMar>
              <w:top w:w="80" w:type="dxa"/>
              <w:left w:w="80" w:type="dxa"/>
              <w:bottom w:w="80" w:type="dxa"/>
              <w:right w:w="80" w:type="dxa"/>
            </w:tcMar>
            <w:vAlign w:val="center"/>
          </w:tcPr>
          <w:p w14:paraId="35819B5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0.84 ± 0.50</w:t>
            </w:r>
          </w:p>
        </w:tc>
        <w:tc>
          <w:tcPr>
            <w:tcW w:w="888" w:type="dxa"/>
            <w:tcBorders>
              <w:top w:val="single" w:sz="8" w:space="0" w:color="FFFFFF"/>
              <w:left w:val="nil"/>
              <w:bottom w:val="single" w:sz="8" w:space="0" w:color="FFFFFF"/>
              <w:right w:val="single" w:sz="8" w:space="0" w:color="FFFFFF"/>
            </w:tcBorders>
            <w:shd w:val="clear" w:color="auto" w:fill="FFFFFF"/>
            <w:tcMar>
              <w:top w:w="80" w:type="dxa"/>
              <w:left w:w="80" w:type="dxa"/>
              <w:bottom w:w="80" w:type="dxa"/>
              <w:right w:w="80" w:type="dxa"/>
            </w:tcMar>
            <w:vAlign w:val="center"/>
          </w:tcPr>
          <w:p w14:paraId="4831D8C9"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0.68 ± 0.09</w:t>
            </w:r>
          </w:p>
        </w:tc>
        <w:tc>
          <w:tcPr>
            <w:tcW w:w="609"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B5671F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1.95</w:t>
            </w:r>
          </w:p>
        </w:tc>
        <w:tc>
          <w:tcPr>
            <w:tcW w:w="633"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7E5F97A6"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.18</w:t>
            </w:r>
          </w:p>
        </w:tc>
        <w:tc>
          <w:tcPr>
            <w:tcW w:w="65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449C9F8"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-0.19</w:t>
            </w:r>
          </w:p>
        </w:tc>
        <w:tc>
          <w:tcPr>
            <w:tcW w:w="61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DD602F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c>
          <w:tcPr>
            <w:tcW w:w="6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663B94D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0.37</w:t>
            </w:r>
          </w:p>
        </w:tc>
        <w:tc>
          <w:tcPr>
            <w:tcW w:w="58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6C9EC47"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.85</w:t>
            </w:r>
          </w:p>
        </w:tc>
      </w:tr>
      <w:tr w:rsidR="005A1076" w14:paraId="6CE57B32" w14:textId="77777777">
        <w:trPr>
          <w:trHeight w:val="1103"/>
          <w:jc w:val="center"/>
        </w:trPr>
        <w:tc>
          <w:tcPr>
            <w:tcW w:w="867" w:type="dxa"/>
            <w:tcBorders>
              <w:top w:val="single" w:sz="8" w:space="0" w:color="FFFFFF"/>
              <w:left w:val="single" w:sz="8" w:space="0" w:color="FFFFFF"/>
              <w:bottom w:val="single" w:sz="4" w:space="0" w:color="FFFFFF"/>
              <w:right w:val="nil"/>
            </w:tcBorders>
            <w:shd w:val="clear" w:color="auto" w:fill="FFFFFF"/>
            <w:tcMar>
              <w:top w:w="80" w:type="dxa"/>
              <w:left w:w="80" w:type="dxa"/>
              <w:bottom w:w="80" w:type="dxa"/>
              <w:right w:w="80" w:type="dxa"/>
            </w:tcMar>
            <w:vAlign w:val="center"/>
          </w:tcPr>
          <w:p w14:paraId="74C6754C"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Platelets</w:t>
            </w:r>
          </w:p>
        </w:tc>
        <w:tc>
          <w:tcPr>
            <w:tcW w:w="898" w:type="dxa"/>
            <w:tcBorders>
              <w:top w:val="single" w:sz="8" w:space="0" w:color="FFFFFF"/>
              <w:left w:val="nil"/>
              <w:bottom w:val="single" w:sz="4" w:space="0" w:color="FFFFFF"/>
              <w:right w:val="nil"/>
            </w:tcBorders>
            <w:shd w:val="clear" w:color="auto" w:fill="FFFFFF"/>
            <w:tcMar>
              <w:top w:w="80" w:type="dxa"/>
              <w:left w:w="80" w:type="dxa"/>
              <w:bottom w:w="80" w:type="dxa"/>
              <w:right w:w="80" w:type="dxa"/>
            </w:tcMar>
            <w:vAlign w:val="center"/>
          </w:tcPr>
          <w:p w14:paraId="7C8ED5BF"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349.75 ± 41.45</w:t>
            </w:r>
          </w:p>
        </w:tc>
        <w:tc>
          <w:tcPr>
            <w:tcW w:w="868" w:type="dxa"/>
            <w:tcBorders>
              <w:top w:val="single" w:sz="8" w:space="0" w:color="FFFFFF"/>
              <w:left w:val="nil"/>
              <w:bottom w:val="single" w:sz="4" w:space="0" w:color="FFFFFF"/>
              <w:right w:val="nil"/>
            </w:tcBorders>
            <w:shd w:val="clear" w:color="auto" w:fill="FFFFFF"/>
            <w:tcMar>
              <w:top w:w="80" w:type="dxa"/>
              <w:left w:w="80" w:type="dxa"/>
              <w:bottom w:w="80" w:type="dxa"/>
              <w:right w:w="80" w:type="dxa"/>
            </w:tcMar>
            <w:vAlign w:val="center"/>
          </w:tcPr>
          <w:p w14:paraId="0EAB0B62"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294.75 ± 35.61</w:t>
            </w:r>
          </w:p>
        </w:tc>
        <w:tc>
          <w:tcPr>
            <w:tcW w:w="888" w:type="dxa"/>
            <w:tcBorders>
              <w:top w:val="single" w:sz="8" w:space="0" w:color="FFFFFF"/>
              <w:left w:val="nil"/>
              <w:bottom w:val="single" w:sz="8" w:space="0" w:color="FFFFFF"/>
              <w:right w:val="single" w:sz="8" w:space="0" w:color="FFFFFF"/>
            </w:tcBorders>
            <w:shd w:val="clear" w:color="auto" w:fill="FFFFFF"/>
            <w:tcMar>
              <w:top w:w="80" w:type="dxa"/>
              <w:left w:w="80" w:type="dxa"/>
              <w:bottom w:w="80" w:type="dxa"/>
              <w:right w:w="80" w:type="dxa"/>
            </w:tcMar>
            <w:vAlign w:val="center"/>
          </w:tcPr>
          <w:p w14:paraId="52E05FFA"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362.75 ± 32.79</w:t>
            </w:r>
          </w:p>
        </w:tc>
        <w:tc>
          <w:tcPr>
            <w:tcW w:w="609"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4CEEE90"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0.86</w:t>
            </w:r>
          </w:p>
        </w:tc>
        <w:tc>
          <w:tcPr>
            <w:tcW w:w="633"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11A2BDA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.37</w:t>
            </w:r>
          </w:p>
        </w:tc>
        <w:tc>
          <w:tcPr>
            <w:tcW w:w="65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B52005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1.01</w:t>
            </w:r>
          </w:p>
        </w:tc>
        <w:tc>
          <w:tcPr>
            <w:tcW w:w="61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E2DEB3"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c>
          <w:tcPr>
            <w:tcW w:w="64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1862024"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-1.44</w:t>
            </w:r>
          </w:p>
        </w:tc>
        <w:tc>
          <w:tcPr>
            <w:tcW w:w="58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18BD7E1" w14:textId="77777777" w:rsidR="005A1076" w:rsidRDefault="00A31EB4">
            <w:pPr>
              <w:pStyle w:val="Body"/>
              <w:suppressAutoHyphens/>
              <w:spacing w:line="480" w:lineRule="auto"/>
              <w:outlineLvl w:val="0"/>
            </w:pPr>
            <w:r>
              <w:rPr>
                <w:rFonts w:ascii="Arial" w:hAnsi="Arial"/>
                <w:sz w:val="20"/>
                <w:szCs w:val="20"/>
                <w14:textOutline w14:w="12700" w14:cap="flat" w14:cmpd="sng" w14:algn="ctr">
                  <w14:noFill/>
                  <w14:prstDash w14:val="solid"/>
                  <w14:miter w14:lim="400000"/>
                </w14:textOutline>
              </w:rPr>
              <w:t>.33</w:t>
            </w:r>
          </w:p>
        </w:tc>
      </w:tr>
    </w:tbl>
    <w:p w14:paraId="3AB430AA" w14:textId="77777777" w:rsidR="005A1076" w:rsidRDefault="005A1076">
      <w:pPr>
        <w:pStyle w:val="BodyText3"/>
        <w:widowControl w:val="0"/>
        <w:tabs>
          <w:tab w:val="left" w:pos="1080"/>
        </w:tabs>
        <w:spacing w:after="0"/>
        <w:ind w:left="108" w:hanging="108"/>
        <w:jc w:val="center"/>
        <w:rPr>
          <w:rFonts w:ascii="Arial" w:eastAsia="Arial" w:hAnsi="Arial" w:cs="Arial"/>
          <w:sz w:val="20"/>
          <w:szCs w:val="20"/>
        </w:rPr>
      </w:pPr>
    </w:p>
    <w:p w14:paraId="2DBBC6BF" w14:textId="77777777" w:rsidR="005A1076" w:rsidRDefault="005A1076">
      <w:pPr>
        <w:pStyle w:val="BodyB"/>
        <w:widowControl w:val="0"/>
        <w:tabs>
          <w:tab w:val="left" w:pos="1080"/>
        </w:tabs>
        <w:jc w:val="center"/>
        <w:rPr>
          <w:rFonts w:ascii="Arial" w:eastAsia="Arial" w:hAnsi="Arial" w:cs="Arial"/>
          <w:b/>
          <w:bCs/>
        </w:rPr>
      </w:pPr>
    </w:p>
    <w:p w14:paraId="17C450D3"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a.ANOVA across groups; b.Comparison: Healthy vs Day 0; c.Comparison: Day 0 vs Day 90</w:t>
      </w:r>
    </w:p>
    <w:p w14:paraId="615D7469"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*P &lt; .05; **P &lt; .01</w:t>
      </w:r>
    </w:p>
    <w:p w14:paraId="5947BE1A" w14:textId="77777777" w:rsidR="005A1076" w:rsidRDefault="00A31EB4">
      <w:pPr>
        <w:pStyle w:val="BodyA"/>
        <w:spacing w:after="0"/>
        <w:rPr>
          <w:rFonts w:ascii="Arial" w:eastAsia="Arial" w:hAnsi="Arial" w:cs="Arial"/>
          <w:b/>
          <w:bCs/>
          <w:sz w:val="22"/>
          <w:szCs w:val="22"/>
        </w:rPr>
      </w:pPr>
      <w:r>
        <w:rPr>
          <w:rFonts w:ascii="Arial" w:hAnsi="Arial"/>
          <w:b/>
          <w:bCs/>
          <w:sz w:val="22"/>
          <w:szCs w:val="22"/>
        </w:rPr>
        <w:t>3.3 Biochemical Parameters</w:t>
      </w:r>
    </w:p>
    <w:p w14:paraId="3054E31B" w14:textId="77777777" w:rsidR="005A1076" w:rsidRDefault="005A1076">
      <w:pPr>
        <w:pStyle w:val="BodyA"/>
        <w:spacing w:after="0"/>
        <w:rPr>
          <w:rFonts w:ascii="Arial" w:eastAsia="Arial" w:hAnsi="Arial" w:cs="Arial"/>
        </w:rPr>
      </w:pPr>
    </w:p>
    <w:p w14:paraId="43995FB8" w14:textId="77777777" w:rsidR="005A1076" w:rsidRDefault="00A31EB4">
      <w:pPr>
        <w:pStyle w:val="BodyA"/>
        <w:spacing w:after="0"/>
        <w:rPr>
          <w:rFonts w:ascii="Arial" w:eastAsia="Arial" w:hAnsi="Arial" w:cs="Arial"/>
          <w:b/>
          <w:bCs/>
        </w:rPr>
      </w:pPr>
      <w:r>
        <w:rPr>
          <w:rFonts w:ascii="Arial" w:hAnsi="Arial"/>
          <w:b/>
          <w:bCs/>
        </w:rPr>
        <w:t>3.3.1 Renal Function Markers</w:t>
      </w:r>
    </w:p>
    <w:p w14:paraId="6DF9F8AC" w14:textId="77777777" w:rsidR="005A1076" w:rsidRDefault="005A1076">
      <w:pPr>
        <w:pStyle w:val="BodyA"/>
        <w:spacing w:after="0"/>
        <w:rPr>
          <w:rFonts w:ascii="Arial" w:eastAsia="Arial" w:hAnsi="Arial" w:cs="Arial"/>
        </w:rPr>
      </w:pPr>
    </w:p>
    <w:p w14:paraId="29C5CEBB" w14:textId="77777777" w:rsidR="005A1076" w:rsidRDefault="00A31EB4">
      <w:pPr>
        <w:pStyle w:val="BodyA"/>
        <w:spacing w:after="0"/>
        <w:rPr>
          <w:rFonts w:ascii="Arial" w:eastAsia="Arial" w:hAnsi="Arial" w:cs="Arial"/>
        </w:rPr>
      </w:pPr>
      <w:r>
        <w:rPr>
          <w:rFonts w:ascii="Arial" w:hAnsi="Arial"/>
        </w:rPr>
        <w:t>Blood urea nitrogen (BUN) and creatinine levels were within physiological limits with no significant variation across the study period. BUN values increased from 11.95 ± 1.14 at Day 0 to 12.75 ± 1.66 mg/dL at Day 90. The creatinine values increased from 0.95 ± 0.07 to 0.99 ± 0.06 mg/dL (Table 4).</w:t>
      </w:r>
    </w:p>
    <w:p w14:paraId="2498934F" w14:textId="77777777" w:rsidR="005A1076" w:rsidRDefault="005A1076">
      <w:pPr>
        <w:pStyle w:val="BodyA"/>
        <w:spacing w:after="0"/>
        <w:rPr>
          <w:rFonts w:ascii="Arial" w:eastAsia="Arial" w:hAnsi="Arial" w:cs="Arial"/>
        </w:rPr>
      </w:pPr>
    </w:p>
    <w:p w14:paraId="0C57FA18" w14:textId="77777777" w:rsidR="005A1076" w:rsidRDefault="00A31EB4">
      <w:pPr>
        <w:pStyle w:val="BodyA"/>
        <w:spacing w:after="0"/>
        <w:rPr>
          <w:rFonts w:ascii="Arial" w:eastAsia="Arial" w:hAnsi="Arial" w:cs="Arial"/>
          <w:b/>
          <w:bCs/>
        </w:rPr>
      </w:pPr>
      <w:r>
        <w:rPr>
          <w:rFonts w:ascii="Arial" w:hAnsi="Arial"/>
          <w:b/>
          <w:bCs/>
        </w:rPr>
        <w:t>3.3.2 Liver Enzyme Activity and Serum Proteins</w:t>
      </w:r>
    </w:p>
    <w:p w14:paraId="26222DA2" w14:textId="77777777" w:rsidR="005A1076" w:rsidRDefault="005A1076">
      <w:pPr>
        <w:pStyle w:val="BodyA"/>
        <w:spacing w:after="0"/>
        <w:rPr>
          <w:rFonts w:ascii="Arial" w:eastAsia="Arial" w:hAnsi="Arial" w:cs="Arial"/>
        </w:rPr>
      </w:pPr>
    </w:p>
    <w:p w14:paraId="083D5B33" w14:textId="77777777" w:rsidR="005A1076" w:rsidRDefault="00A31EB4">
      <w:pPr>
        <w:pStyle w:val="BodyA"/>
        <w:spacing w:after="0"/>
        <w:rPr>
          <w:rFonts w:ascii="Arial" w:eastAsia="Arial" w:hAnsi="Arial" w:cs="Arial"/>
        </w:rPr>
      </w:pPr>
      <w:r>
        <w:rPr>
          <w:rFonts w:ascii="Arial" w:hAnsi="Arial"/>
        </w:rPr>
        <w:t>Serum alkaline phosphatase (ALP) levels were significantly increased at Day 0 (85.50 ± 26.41 IU/L) compared to healthy dogs (19.25 ± 5.05 IU/L) and at Day 90 the levels were 121.26 ± 31.89 IU/L. Serum Alanine aminotransferase (ALT) increased from 17.50 ± 1.38 (control) to 32.29 ± 8.52 IU/L at Day 0, and decreased to 23.60 ± 3.78 IU/L by Day 90.</w:t>
      </w:r>
    </w:p>
    <w:p w14:paraId="34E0619C" w14:textId="77777777" w:rsidR="005A1076" w:rsidRDefault="005A1076">
      <w:pPr>
        <w:pStyle w:val="BodyA"/>
        <w:spacing w:after="0"/>
        <w:rPr>
          <w:rFonts w:ascii="Arial" w:eastAsia="Arial" w:hAnsi="Arial" w:cs="Arial"/>
        </w:rPr>
      </w:pPr>
    </w:p>
    <w:p w14:paraId="1F0D6C59" w14:textId="77777777" w:rsidR="005A1076" w:rsidRDefault="00A31EB4">
      <w:pPr>
        <w:pStyle w:val="BodyA"/>
        <w:spacing w:after="0"/>
        <w:rPr>
          <w:rFonts w:ascii="Arial" w:eastAsia="Arial" w:hAnsi="Arial" w:cs="Arial"/>
        </w:rPr>
      </w:pPr>
      <w:r>
        <w:rPr>
          <w:rFonts w:ascii="Arial" w:hAnsi="Arial"/>
        </w:rPr>
        <w:t>Total protein (TP), albumin, and globulin levels showed mild increases and not statistically significant.(Table 4)</w:t>
      </w:r>
    </w:p>
    <w:p w14:paraId="61026188" w14:textId="77777777" w:rsidR="005A1076" w:rsidRDefault="005A1076">
      <w:pPr>
        <w:pStyle w:val="BodyB"/>
        <w:widowControl w:val="0"/>
        <w:tabs>
          <w:tab w:val="left" w:pos="1080"/>
        </w:tabs>
        <w:jc w:val="center"/>
        <w:rPr>
          <w:rFonts w:ascii="Arial" w:eastAsia="Arial" w:hAnsi="Arial" w:cs="Arial"/>
          <w:b/>
          <w:bCs/>
        </w:rPr>
      </w:pPr>
    </w:p>
    <w:p w14:paraId="33647806" w14:textId="77777777" w:rsidR="005A1076" w:rsidRDefault="00A31EB4">
      <w:pPr>
        <w:pStyle w:val="BodyB"/>
        <w:tabs>
          <w:tab w:val="left" w:pos="1080"/>
        </w:tabs>
        <w:spacing w:line="480" w:lineRule="auto"/>
        <w:jc w:val="both"/>
        <w:rPr>
          <w:rFonts w:ascii="Arial" w:eastAsia="Arial" w:hAnsi="Arial" w:cs="Arial"/>
        </w:rPr>
      </w:pPr>
      <w:r>
        <w:rPr>
          <w:rFonts w:ascii="Arial" w:hAnsi="Arial"/>
          <w:b/>
          <w:bCs/>
        </w:rPr>
        <w:lastRenderedPageBreak/>
        <w:t>Table 4. Biochemical Changes Over Time</w:t>
      </w:r>
    </w:p>
    <w:tbl>
      <w:tblPr>
        <w:tblW w:w="82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6"/>
        <w:gridCol w:w="991"/>
        <w:gridCol w:w="818"/>
        <w:gridCol w:w="712"/>
        <w:gridCol w:w="681"/>
        <w:gridCol w:w="676"/>
        <w:gridCol w:w="710"/>
        <w:gridCol w:w="768"/>
        <w:gridCol w:w="900"/>
        <w:gridCol w:w="935"/>
      </w:tblGrid>
      <w:tr w:rsidR="005A1076" w14:paraId="1BA6EB9E" w14:textId="77777777">
        <w:trPr>
          <w:trHeight w:val="770"/>
          <w:jc w:val="center"/>
        </w:trPr>
        <w:tc>
          <w:tcPr>
            <w:tcW w:w="101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05D3AF3" w14:textId="77777777" w:rsidR="005A1076" w:rsidRDefault="00A31EB4">
            <w:pPr>
              <w:pStyle w:val="BodyB"/>
              <w:spacing w:before="40" w:after="40"/>
            </w:pPr>
            <w:r>
              <w:rPr>
                <w:b/>
                <w:bCs/>
              </w:rPr>
              <w:t>Parameter</w:t>
            </w:r>
          </w:p>
        </w:tc>
        <w:tc>
          <w:tcPr>
            <w:tcW w:w="99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3AB3BAC" w14:textId="77777777" w:rsidR="005A1076" w:rsidRDefault="00A31EB4">
            <w:pPr>
              <w:pStyle w:val="BodyB"/>
              <w:spacing w:before="40" w:after="40"/>
            </w:pPr>
            <w:r>
              <w:rPr>
                <w:b/>
                <w:bCs/>
              </w:rPr>
              <w:t>Healthy</w:t>
            </w:r>
          </w:p>
        </w:tc>
        <w:tc>
          <w:tcPr>
            <w:tcW w:w="81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B1CDC39" w14:textId="77777777" w:rsidR="005A1076" w:rsidRDefault="00A31EB4">
            <w:pPr>
              <w:pStyle w:val="BodyB"/>
              <w:spacing w:before="40" w:after="40"/>
            </w:pPr>
            <w:r>
              <w:rPr>
                <w:b/>
                <w:bCs/>
              </w:rPr>
              <w:t>Day 0</w:t>
            </w:r>
          </w:p>
        </w:tc>
        <w:tc>
          <w:tcPr>
            <w:tcW w:w="712"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7D394D05" w14:textId="77777777" w:rsidR="005A1076" w:rsidRDefault="00A31EB4">
            <w:pPr>
              <w:pStyle w:val="BodyB"/>
              <w:spacing w:before="40" w:after="40"/>
            </w:pPr>
            <w:r>
              <w:rPr>
                <w:b/>
                <w:bCs/>
              </w:rPr>
              <w:t>Day 90</w:t>
            </w:r>
          </w:p>
        </w:tc>
        <w:tc>
          <w:tcPr>
            <w:tcW w:w="68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A4CC29D" w14:textId="77777777" w:rsidR="005A1076" w:rsidRDefault="00A31EB4">
            <w:pPr>
              <w:pStyle w:val="BodyB"/>
              <w:spacing w:before="40" w:after="40"/>
            </w:pPr>
            <w:r>
              <w:rPr>
                <w:b/>
                <w:bCs/>
              </w:rPr>
              <w:t>F value</w:t>
            </w:r>
          </w:p>
        </w:tc>
        <w:tc>
          <w:tcPr>
            <w:tcW w:w="67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DD2B603" w14:textId="77777777" w:rsidR="005A1076" w:rsidRDefault="00A31EB4">
            <w:pPr>
              <w:pStyle w:val="BodyB"/>
              <w:spacing w:before="40" w:after="40"/>
            </w:pPr>
            <w:r>
              <w:rPr>
                <w:b/>
                <w:bCs/>
              </w:rPr>
              <w:t>P value</w:t>
            </w:r>
          </w:p>
        </w:tc>
        <w:tc>
          <w:tcPr>
            <w:tcW w:w="71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79D54AC" w14:textId="77777777" w:rsidR="005A1076" w:rsidRDefault="00A31EB4">
            <w:pPr>
              <w:pStyle w:val="BodyB"/>
              <w:spacing w:before="40" w:after="40"/>
            </w:pPr>
            <w:r>
              <w:rPr>
                <w:b/>
                <w:bCs/>
              </w:rPr>
              <w:t>t (H vs D0)</w:t>
            </w:r>
          </w:p>
        </w:tc>
        <w:tc>
          <w:tcPr>
            <w:tcW w:w="7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19C6448C" w14:textId="77777777" w:rsidR="005A1076" w:rsidRDefault="00A31EB4">
            <w:pPr>
              <w:pStyle w:val="BodyB"/>
              <w:spacing w:before="40" w:after="40"/>
            </w:pPr>
            <w:r>
              <w:rPr>
                <w:b/>
                <w:bCs/>
              </w:rPr>
              <w:t>P (H vs D0)</w:t>
            </w:r>
          </w:p>
        </w:tc>
        <w:tc>
          <w:tcPr>
            <w:tcW w:w="900"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6405E36" w14:textId="77777777" w:rsidR="005A1076" w:rsidRDefault="00A31EB4">
            <w:pPr>
              <w:pStyle w:val="BodyB"/>
              <w:spacing w:before="40" w:after="40"/>
            </w:pPr>
            <w:r>
              <w:rPr>
                <w:b/>
                <w:bCs/>
              </w:rPr>
              <w:t>t</w:t>
            </w:r>
          </w:p>
          <w:p w14:paraId="4E6B3607" w14:textId="77777777" w:rsidR="005A1076" w:rsidRDefault="00A31EB4">
            <w:pPr>
              <w:pStyle w:val="BodyB"/>
              <w:spacing w:before="40" w:after="40"/>
            </w:pPr>
            <w:r>
              <w:rPr>
                <w:b/>
                <w:bCs/>
              </w:rPr>
              <w:t xml:space="preserve"> (D0 vs D90)</w:t>
            </w:r>
          </w:p>
        </w:tc>
        <w:tc>
          <w:tcPr>
            <w:tcW w:w="93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204806A" w14:textId="77777777" w:rsidR="005A1076" w:rsidRDefault="00A31EB4">
            <w:pPr>
              <w:pStyle w:val="BodyB"/>
              <w:spacing w:before="40" w:after="40"/>
            </w:pPr>
            <w:r>
              <w:rPr>
                <w:b/>
                <w:bCs/>
              </w:rPr>
              <w:t xml:space="preserve">P </w:t>
            </w:r>
          </w:p>
          <w:p w14:paraId="01BF1C22" w14:textId="77777777" w:rsidR="005A1076" w:rsidRDefault="00A31EB4">
            <w:pPr>
              <w:pStyle w:val="BodyB"/>
              <w:spacing w:before="40" w:after="40"/>
            </w:pPr>
            <w:r>
              <w:rPr>
                <w:b/>
                <w:bCs/>
              </w:rPr>
              <w:t>(D0 vs D90)</w:t>
            </w:r>
          </w:p>
        </w:tc>
      </w:tr>
      <w:tr w:rsidR="005A1076" w14:paraId="359CD10F" w14:textId="77777777">
        <w:trPr>
          <w:trHeight w:val="1215"/>
          <w:jc w:val="center"/>
        </w:trPr>
        <w:tc>
          <w:tcPr>
            <w:tcW w:w="1015" w:type="dxa"/>
            <w:tcBorders>
              <w:top w:val="single" w:sz="4" w:space="0" w:color="000000"/>
              <w:left w:val="nil"/>
              <w:bottom w:val="nil"/>
              <w:right w:val="nil"/>
            </w:tcBorders>
            <w:shd w:val="clear" w:color="auto" w:fill="FFFFFF"/>
            <w:tcMar>
              <w:top w:w="80" w:type="dxa"/>
              <w:left w:w="80" w:type="dxa"/>
              <w:bottom w:w="80" w:type="dxa"/>
              <w:right w:w="80" w:type="dxa"/>
            </w:tcMar>
          </w:tcPr>
          <w:p w14:paraId="6DA9DDC3" w14:textId="77777777" w:rsidR="005A1076" w:rsidRDefault="00A31EB4">
            <w:pPr>
              <w:pStyle w:val="BodyB"/>
              <w:spacing w:line="480" w:lineRule="auto"/>
            </w:pPr>
            <w:r>
              <w:t>BUN</w:t>
            </w:r>
          </w:p>
        </w:tc>
        <w:tc>
          <w:tcPr>
            <w:tcW w:w="990" w:type="dxa"/>
            <w:tcBorders>
              <w:top w:val="single" w:sz="4" w:space="0" w:color="000000"/>
              <w:left w:val="nil"/>
              <w:bottom w:val="nil"/>
              <w:right w:val="nil"/>
            </w:tcBorders>
            <w:shd w:val="clear" w:color="auto" w:fill="FFFFFF"/>
            <w:tcMar>
              <w:top w:w="80" w:type="dxa"/>
              <w:left w:w="80" w:type="dxa"/>
              <w:bottom w:w="80" w:type="dxa"/>
              <w:right w:w="80" w:type="dxa"/>
            </w:tcMar>
          </w:tcPr>
          <w:p w14:paraId="28AD8471" w14:textId="77777777" w:rsidR="005A1076" w:rsidRDefault="00A31EB4">
            <w:pPr>
              <w:pStyle w:val="BodyB"/>
              <w:spacing w:line="480" w:lineRule="auto"/>
            </w:pPr>
            <w:r>
              <w:t>13.30 ± 1.28</w:t>
            </w:r>
          </w:p>
        </w:tc>
        <w:tc>
          <w:tcPr>
            <w:tcW w:w="818" w:type="dxa"/>
            <w:tcBorders>
              <w:top w:val="single" w:sz="4" w:space="0" w:color="000000"/>
              <w:left w:val="nil"/>
              <w:bottom w:val="nil"/>
              <w:right w:val="nil"/>
            </w:tcBorders>
            <w:shd w:val="clear" w:color="auto" w:fill="FFFFFF"/>
            <w:tcMar>
              <w:top w:w="80" w:type="dxa"/>
              <w:left w:w="80" w:type="dxa"/>
              <w:bottom w:w="80" w:type="dxa"/>
              <w:right w:w="80" w:type="dxa"/>
            </w:tcMar>
          </w:tcPr>
          <w:p w14:paraId="23BEAD9B" w14:textId="77777777" w:rsidR="005A1076" w:rsidRDefault="00A31EB4">
            <w:pPr>
              <w:pStyle w:val="BodyB"/>
              <w:spacing w:line="480" w:lineRule="auto"/>
            </w:pPr>
            <w:r>
              <w:t>11.95 ± 1.14</w:t>
            </w:r>
          </w:p>
        </w:tc>
        <w:tc>
          <w:tcPr>
            <w:tcW w:w="712" w:type="dxa"/>
            <w:tcBorders>
              <w:top w:val="single" w:sz="4" w:space="0" w:color="000000"/>
              <w:left w:val="nil"/>
              <w:bottom w:val="nil"/>
              <w:right w:val="nil"/>
            </w:tcBorders>
            <w:shd w:val="clear" w:color="auto" w:fill="FFFFFF"/>
            <w:tcMar>
              <w:top w:w="80" w:type="dxa"/>
              <w:left w:w="80" w:type="dxa"/>
              <w:bottom w:w="80" w:type="dxa"/>
              <w:right w:w="80" w:type="dxa"/>
            </w:tcMar>
          </w:tcPr>
          <w:p w14:paraId="6516E2E1" w14:textId="77777777" w:rsidR="005A1076" w:rsidRDefault="00A31EB4">
            <w:pPr>
              <w:pStyle w:val="BodyB"/>
              <w:spacing w:line="480" w:lineRule="auto"/>
            </w:pPr>
            <w:r>
              <w:t>12.75 ± 1.66</w:t>
            </w:r>
          </w:p>
        </w:tc>
        <w:tc>
          <w:tcPr>
            <w:tcW w:w="681" w:type="dxa"/>
            <w:tcBorders>
              <w:top w:val="single" w:sz="4" w:space="0" w:color="000000"/>
              <w:left w:val="nil"/>
              <w:bottom w:val="nil"/>
              <w:right w:val="nil"/>
            </w:tcBorders>
            <w:shd w:val="clear" w:color="auto" w:fill="FFFFFF"/>
            <w:tcMar>
              <w:top w:w="80" w:type="dxa"/>
              <w:left w:w="80" w:type="dxa"/>
              <w:bottom w:w="80" w:type="dxa"/>
              <w:right w:w="80" w:type="dxa"/>
            </w:tcMar>
          </w:tcPr>
          <w:p w14:paraId="3A0ACE32" w14:textId="77777777" w:rsidR="005A1076" w:rsidRDefault="00A31EB4">
            <w:pPr>
              <w:pStyle w:val="BodyB"/>
              <w:spacing w:line="480" w:lineRule="auto"/>
            </w:pPr>
            <w:r>
              <w:t>0.45</w:t>
            </w:r>
          </w:p>
        </w:tc>
        <w:tc>
          <w:tcPr>
            <w:tcW w:w="676" w:type="dxa"/>
            <w:tcBorders>
              <w:top w:val="single" w:sz="4" w:space="0" w:color="000000"/>
              <w:left w:val="nil"/>
              <w:bottom w:val="nil"/>
              <w:right w:val="nil"/>
            </w:tcBorders>
            <w:shd w:val="clear" w:color="auto" w:fill="FFFFFF"/>
            <w:tcMar>
              <w:top w:w="80" w:type="dxa"/>
              <w:left w:w="80" w:type="dxa"/>
              <w:bottom w:w="80" w:type="dxa"/>
              <w:right w:w="80" w:type="dxa"/>
            </w:tcMar>
          </w:tcPr>
          <w:p w14:paraId="4B9522B0" w14:textId="77777777" w:rsidR="005A1076" w:rsidRDefault="00A31EB4">
            <w:pPr>
              <w:pStyle w:val="BodyB"/>
              <w:spacing w:line="480" w:lineRule="auto"/>
            </w:pPr>
            <w:r>
              <w:t>.51</w:t>
            </w:r>
          </w:p>
        </w:tc>
        <w:tc>
          <w:tcPr>
            <w:tcW w:w="710" w:type="dxa"/>
            <w:tcBorders>
              <w:top w:val="single" w:sz="4" w:space="0" w:color="000000"/>
              <w:left w:val="nil"/>
              <w:bottom w:val="nil"/>
              <w:right w:val="nil"/>
            </w:tcBorders>
            <w:shd w:val="clear" w:color="auto" w:fill="FFFFFF"/>
            <w:tcMar>
              <w:top w:w="80" w:type="dxa"/>
              <w:left w:w="80" w:type="dxa"/>
              <w:bottom w:w="80" w:type="dxa"/>
              <w:right w:w="80" w:type="dxa"/>
            </w:tcMar>
          </w:tcPr>
          <w:p w14:paraId="3360A190" w14:textId="77777777" w:rsidR="005A1076" w:rsidRDefault="00A31EB4">
            <w:pPr>
              <w:pStyle w:val="BodyB"/>
              <w:spacing w:line="480" w:lineRule="auto"/>
            </w:pPr>
            <w:r>
              <w:t>0.79</w:t>
            </w:r>
          </w:p>
        </w:tc>
        <w:tc>
          <w:tcPr>
            <w:tcW w:w="768" w:type="dxa"/>
            <w:tcBorders>
              <w:top w:val="single" w:sz="4" w:space="0" w:color="000000"/>
              <w:left w:val="nil"/>
              <w:bottom w:val="nil"/>
              <w:right w:val="nil"/>
            </w:tcBorders>
            <w:shd w:val="clear" w:color="auto" w:fill="FFFFFF"/>
            <w:tcMar>
              <w:top w:w="80" w:type="dxa"/>
              <w:left w:w="80" w:type="dxa"/>
              <w:bottom w:w="80" w:type="dxa"/>
              <w:right w:w="80" w:type="dxa"/>
            </w:tcMar>
          </w:tcPr>
          <w:p w14:paraId="1D22F32C" w14:textId="77777777" w:rsidR="005A1076" w:rsidRDefault="00A31EB4">
            <w:pPr>
              <w:pStyle w:val="BodyB"/>
              <w:spacing w:line="480" w:lineRule="auto"/>
            </w:pPr>
            <w:r>
              <w:t>.44</w:t>
            </w:r>
          </w:p>
        </w:tc>
        <w:tc>
          <w:tcPr>
            <w:tcW w:w="900" w:type="dxa"/>
            <w:tcBorders>
              <w:top w:val="single" w:sz="4" w:space="0" w:color="000000"/>
              <w:left w:val="nil"/>
              <w:bottom w:val="nil"/>
              <w:right w:val="nil"/>
            </w:tcBorders>
            <w:shd w:val="clear" w:color="auto" w:fill="FFFFFF"/>
            <w:tcMar>
              <w:top w:w="80" w:type="dxa"/>
              <w:left w:w="80" w:type="dxa"/>
              <w:bottom w:w="80" w:type="dxa"/>
              <w:right w:w="80" w:type="dxa"/>
            </w:tcMar>
          </w:tcPr>
          <w:p w14:paraId="60D79B00" w14:textId="77777777" w:rsidR="005A1076" w:rsidRDefault="00A31EB4">
            <w:pPr>
              <w:pStyle w:val="BodyB"/>
              <w:spacing w:line="480" w:lineRule="auto"/>
            </w:pPr>
            <w:r>
              <w:t>0.44</w:t>
            </w:r>
          </w:p>
        </w:tc>
        <w:tc>
          <w:tcPr>
            <w:tcW w:w="935" w:type="dxa"/>
            <w:tcBorders>
              <w:top w:val="single" w:sz="4" w:space="0" w:color="000000"/>
              <w:left w:val="nil"/>
              <w:bottom w:val="nil"/>
              <w:right w:val="nil"/>
            </w:tcBorders>
            <w:shd w:val="clear" w:color="auto" w:fill="FFFFFF"/>
            <w:tcMar>
              <w:top w:w="80" w:type="dxa"/>
              <w:left w:w="80" w:type="dxa"/>
              <w:bottom w:w="80" w:type="dxa"/>
              <w:right w:w="80" w:type="dxa"/>
            </w:tcMar>
          </w:tcPr>
          <w:p w14:paraId="4A623BCC" w14:textId="77777777" w:rsidR="005A1076" w:rsidRDefault="00A31EB4">
            <w:pPr>
              <w:pStyle w:val="BodyB"/>
              <w:spacing w:line="480" w:lineRule="auto"/>
            </w:pPr>
            <w:r>
              <w:t>.68</w:t>
            </w:r>
          </w:p>
        </w:tc>
      </w:tr>
      <w:tr w:rsidR="005A1076" w14:paraId="42742355"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5C0CFF05" w14:textId="77777777" w:rsidR="005A1076" w:rsidRDefault="00A31EB4">
            <w:pPr>
              <w:pStyle w:val="BodyB"/>
              <w:spacing w:line="480" w:lineRule="auto"/>
            </w:pPr>
            <w:r>
              <w:t>Creatinine</w:t>
            </w:r>
          </w:p>
        </w:tc>
        <w:tc>
          <w:tcPr>
            <w:tcW w:w="990" w:type="dxa"/>
            <w:tcBorders>
              <w:top w:val="nil"/>
              <w:left w:val="nil"/>
              <w:bottom w:val="nil"/>
              <w:right w:val="nil"/>
            </w:tcBorders>
            <w:shd w:val="clear" w:color="auto" w:fill="FFFFFF"/>
            <w:tcMar>
              <w:top w:w="80" w:type="dxa"/>
              <w:left w:w="80" w:type="dxa"/>
              <w:bottom w:w="80" w:type="dxa"/>
              <w:right w:w="80" w:type="dxa"/>
            </w:tcMar>
          </w:tcPr>
          <w:p w14:paraId="79A04319" w14:textId="77777777" w:rsidR="005A1076" w:rsidRDefault="00A31EB4">
            <w:pPr>
              <w:pStyle w:val="BodyB"/>
              <w:spacing w:line="480" w:lineRule="auto"/>
            </w:pPr>
            <w:r>
              <w:t>0.94 ± 0.09</w:t>
            </w:r>
          </w:p>
        </w:tc>
        <w:tc>
          <w:tcPr>
            <w:tcW w:w="818" w:type="dxa"/>
            <w:tcBorders>
              <w:top w:val="nil"/>
              <w:left w:val="nil"/>
              <w:bottom w:val="nil"/>
              <w:right w:val="nil"/>
            </w:tcBorders>
            <w:shd w:val="clear" w:color="auto" w:fill="FFFFFF"/>
            <w:tcMar>
              <w:top w:w="80" w:type="dxa"/>
              <w:left w:w="80" w:type="dxa"/>
              <w:bottom w:w="80" w:type="dxa"/>
              <w:right w:w="80" w:type="dxa"/>
            </w:tcMar>
          </w:tcPr>
          <w:p w14:paraId="143AFF96" w14:textId="77777777" w:rsidR="005A1076" w:rsidRDefault="00A31EB4">
            <w:pPr>
              <w:pStyle w:val="BodyB"/>
              <w:spacing w:line="480" w:lineRule="auto"/>
            </w:pPr>
            <w:r>
              <w:t>0.95 ± 0.07</w:t>
            </w:r>
          </w:p>
        </w:tc>
        <w:tc>
          <w:tcPr>
            <w:tcW w:w="712" w:type="dxa"/>
            <w:tcBorders>
              <w:top w:val="nil"/>
              <w:left w:val="nil"/>
              <w:bottom w:val="nil"/>
              <w:right w:val="nil"/>
            </w:tcBorders>
            <w:shd w:val="clear" w:color="auto" w:fill="FFFFFF"/>
            <w:tcMar>
              <w:top w:w="80" w:type="dxa"/>
              <w:left w:w="80" w:type="dxa"/>
              <w:bottom w:w="80" w:type="dxa"/>
              <w:right w:w="80" w:type="dxa"/>
            </w:tcMar>
          </w:tcPr>
          <w:p w14:paraId="366BC761" w14:textId="77777777" w:rsidR="005A1076" w:rsidRDefault="00A31EB4">
            <w:pPr>
              <w:pStyle w:val="BodyB"/>
              <w:spacing w:line="480" w:lineRule="auto"/>
            </w:pPr>
            <w:r>
              <w:t>0.99 ± 0.06</w:t>
            </w:r>
          </w:p>
        </w:tc>
        <w:tc>
          <w:tcPr>
            <w:tcW w:w="681" w:type="dxa"/>
            <w:tcBorders>
              <w:top w:val="nil"/>
              <w:left w:val="nil"/>
              <w:bottom w:val="nil"/>
              <w:right w:val="nil"/>
            </w:tcBorders>
            <w:shd w:val="clear" w:color="auto" w:fill="FFFFFF"/>
            <w:tcMar>
              <w:top w:w="80" w:type="dxa"/>
              <w:left w:w="80" w:type="dxa"/>
              <w:bottom w:w="80" w:type="dxa"/>
              <w:right w:w="80" w:type="dxa"/>
            </w:tcMar>
          </w:tcPr>
          <w:p w14:paraId="5FCC9C51" w14:textId="77777777" w:rsidR="005A1076" w:rsidRDefault="00A31EB4">
            <w:pPr>
              <w:pStyle w:val="BodyB"/>
              <w:spacing w:line="480" w:lineRule="auto"/>
            </w:pPr>
            <w:r>
              <w:t>0.69</w:t>
            </w:r>
          </w:p>
        </w:tc>
        <w:tc>
          <w:tcPr>
            <w:tcW w:w="676" w:type="dxa"/>
            <w:tcBorders>
              <w:top w:val="nil"/>
              <w:left w:val="nil"/>
              <w:bottom w:val="nil"/>
              <w:right w:val="nil"/>
            </w:tcBorders>
            <w:shd w:val="clear" w:color="auto" w:fill="FFFFFF"/>
            <w:tcMar>
              <w:top w:w="80" w:type="dxa"/>
              <w:left w:w="80" w:type="dxa"/>
              <w:bottom w:w="80" w:type="dxa"/>
              <w:right w:w="80" w:type="dxa"/>
            </w:tcMar>
          </w:tcPr>
          <w:p w14:paraId="4795C596" w14:textId="77777777" w:rsidR="005A1076" w:rsidRDefault="00A31EB4">
            <w:pPr>
              <w:pStyle w:val="BodyB"/>
              <w:spacing w:line="480" w:lineRule="auto"/>
            </w:pPr>
            <w:r>
              <w:t>.42</w:t>
            </w:r>
          </w:p>
        </w:tc>
        <w:tc>
          <w:tcPr>
            <w:tcW w:w="710" w:type="dxa"/>
            <w:tcBorders>
              <w:top w:val="nil"/>
              <w:left w:val="nil"/>
              <w:bottom w:val="nil"/>
              <w:right w:val="nil"/>
            </w:tcBorders>
            <w:shd w:val="clear" w:color="auto" w:fill="FFFFFF"/>
            <w:tcMar>
              <w:top w:w="80" w:type="dxa"/>
              <w:left w:w="80" w:type="dxa"/>
              <w:bottom w:w="80" w:type="dxa"/>
              <w:right w:w="80" w:type="dxa"/>
            </w:tcMar>
          </w:tcPr>
          <w:p w14:paraId="57C9F67D" w14:textId="77777777" w:rsidR="005A1076" w:rsidRDefault="00A31EB4">
            <w:pPr>
              <w:pStyle w:val="BodyB"/>
              <w:spacing w:line="480" w:lineRule="auto"/>
            </w:pPr>
            <w:r>
              <w:t>0.14</w:t>
            </w:r>
          </w:p>
        </w:tc>
        <w:tc>
          <w:tcPr>
            <w:tcW w:w="768" w:type="dxa"/>
            <w:tcBorders>
              <w:top w:val="nil"/>
              <w:left w:val="nil"/>
              <w:bottom w:val="nil"/>
              <w:right w:val="nil"/>
            </w:tcBorders>
            <w:shd w:val="clear" w:color="auto" w:fill="auto"/>
            <w:tcMar>
              <w:top w:w="80" w:type="dxa"/>
              <w:left w:w="80" w:type="dxa"/>
              <w:bottom w:w="80" w:type="dxa"/>
              <w:right w:w="80" w:type="dxa"/>
            </w:tcMar>
          </w:tcPr>
          <w:p w14:paraId="7A0201EF" w14:textId="77777777" w:rsidR="005A1076" w:rsidRDefault="00A31EB4">
            <w:pPr>
              <w:pStyle w:val="BodyB"/>
              <w:spacing w:line="480" w:lineRule="auto"/>
            </w:pPr>
            <w:r>
              <w:t>.89</w:t>
            </w:r>
          </w:p>
        </w:tc>
        <w:tc>
          <w:tcPr>
            <w:tcW w:w="900" w:type="dxa"/>
            <w:tcBorders>
              <w:top w:val="nil"/>
              <w:left w:val="nil"/>
              <w:bottom w:val="nil"/>
              <w:right w:val="nil"/>
            </w:tcBorders>
            <w:shd w:val="clear" w:color="auto" w:fill="FFFFFF"/>
            <w:tcMar>
              <w:top w:w="80" w:type="dxa"/>
              <w:left w:w="80" w:type="dxa"/>
              <w:bottom w:w="80" w:type="dxa"/>
              <w:right w:w="80" w:type="dxa"/>
            </w:tcMar>
          </w:tcPr>
          <w:p w14:paraId="3A111693" w14:textId="77777777" w:rsidR="005A1076" w:rsidRDefault="00A31EB4">
            <w:pPr>
              <w:pStyle w:val="BodyB"/>
              <w:spacing w:line="480" w:lineRule="auto"/>
            </w:pPr>
            <w:r>
              <w:t>0.36</w:t>
            </w:r>
          </w:p>
        </w:tc>
        <w:tc>
          <w:tcPr>
            <w:tcW w:w="935" w:type="dxa"/>
            <w:tcBorders>
              <w:top w:val="nil"/>
              <w:left w:val="nil"/>
              <w:bottom w:val="nil"/>
              <w:right w:val="nil"/>
            </w:tcBorders>
            <w:shd w:val="clear" w:color="auto" w:fill="FFFFFF"/>
            <w:tcMar>
              <w:top w:w="80" w:type="dxa"/>
              <w:left w:w="80" w:type="dxa"/>
              <w:bottom w:w="80" w:type="dxa"/>
              <w:right w:w="80" w:type="dxa"/>
            </w:tcMar>
          </w:tcPr>
          <w:p w14:paraId="3C9BDCD8" w14:textId="77777777" w:rsidR="005A1076" w:rsidRDefault="00A31EB4">
            <w:pPr>
              <w:pStyle w:val="BodyB"/>
              <w:spacing w:line="480" w:lineRule="auto"/>
            </w:pPr>
            <w:r>
              <w:t>.73</w:t>
            </w:r>
          </w:p>
        </w:tc>
      </w:tr>
      <w:tr w:rsidR="005A1076" w14:paraId="785E9EA4"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7C7C5E0D" w14:textId="77777777" w:rsidR="005A1076" w:rsidRDefault="00A31EB4">
            <w:pPr>
              <w:pStyle w:val="BodyB"/>
              <w:spacing w:line="480" w:lineRule="auto"/>
            </w:pPr>
            <w:r>
              <w:t>ALP</w:t>
            </w:r>
          </w:p>
        </w:tc>
        <w:tc>
          <w:tcPr>
            <w:tcW w:w="990" w:type="dxa"/>
            <w:tcBorders>
              <w:top w:val="nil"/>
              <w:left w:val="nil"/>
              <w:bottom w:val="nil"/>
              <w:right w:val="nil"/>
            </w:tcBorders>
            <w:shd w:val="clear" w:color="auto" w:fill="auto"/>
            <w:tcMar>
              <w:top w:w="80" w:type="dxa"/>
              <w:left w:w="80" w:type="dxa"/>
              <w:bottom w:w="80" w:type="dxa"/>
              <w:right w:w="80" w:type="dxa"/>
            </w:tcMar>
          </w:tcPr>
          <w:p w14:paraId="4A310152" w14:textId="77777777" w:rsidR="005A1076" w:rsidRDefault="00A31EB4">
            <w:pPr>
              <w:pStyle w:val="BodyB"/>
              <w:spacing w:line="480" w:lineRule="auto"/>
            </w:pPr>
            <w:r>
              <w:t>19.25 ± 5.05</w:t>
            </w:r>
          </w:p>
        </w:tc>
        <w:tc>
          <w:tcPr>
            <w:tcW w:w="818" w:type="dxa"/>
            <w:tcBorders>
              <w:top w:val="nil"/>
              <w:left w:val="nil"/>
              <w:bottom w:val="nil"/>
              <w:right w:val="nil"/>
            </w:tcBorders>
            <w:shd w:val="clear" w:color="auto" w:fill="FFFFFF"/>
            <w:tcMar>
              <w:top w:w="80" w:type="dxa"/>
              <w:left w:w="80" w:type="dxa"/>
              <w:bottom w:w="80" w:type="dxa"/>
              <w:right w:w="80" w:type="dxa"/>
            </w:tcMar>
          </w:tcPr>
          <w:p w14:paraId="550C9682" w14:textId="77777777" w:rsidR="005A1076" w:rsidRDefault="00A31EB4">
            <w:pPr>
              <w:pStyle w:val="BodyB"/>
              <w:spacing w:line="480" w:lineRule="auto"/>
            </w:pPr>
            <w:r>
              <w:t>85.50 ± 26.41</w:t>
            </w:r>
          </w:p>
        </w:tc>
        <w:tc>
          <w:tcPr>
            <w:tcW w:w="712" w:type="dxa"/>
            <w:tcBorders>
              <w:top w:val="nil"/>
              <w:left w:val="nil"/>
              <w:bottom w:val="nil"/>
              <w:right w:val="nil"/>
            </w:tcBorders>
            <w:shd w:val="clear" w:color="auto" w:fill="FFFFFF"/>
            <w:tcMar>
              <w:top w:w="80" w:type="dxa"/>
              <w:left w:w="80" w:type="dxa"/>
              <w:bottom w:w="80" w:type="dxa"/>
              <w:right w:w="80" w:type="dxa"/>
            </w:tcMar>
          </w:tcPr>
          <w:p w14:paraId="5EF6CC65" w14:textId="77777777" w:rsidR="005A1076" w:rsidRDefault="00A31EB4">
            <w:pPr>
              <w:pStyle w:val="BodyB"/>
              <w:spacing w:line="480" w:lineRule="auto"/>
            </w:pPr>
            <w:r>
              <w:t>121.26 ± 31.89</w:t>
            </w:r>
          </w:p>
        </w:tc>
        <w:tc>
          <w:tcPr>
            <w:tcW w:w="681" w:type="dxa"/>
            <w:tcBorders>
              <w:top w:val="nil"/>
              <w:left w:val="nil"/>
              <w:bottom w:val="nil"/>
              <w:right w:val="nil"/>
            </w:tcBorders>
            <w:shd w:val="clear" w:color="auto" w:fill="auto"/>
            <w:tcMar>
              <w:top w:w="80" w:type="dxa"/>
              <w:left w:w="80" w:type="dxa"/>
              <w:bottom w:w="80" w:type="dxa"/>
              <w:right w:w="80" w:type="dxa"/>
            </w:tcMar>
          </w:tcPr>
          <w:p w14:paraId="3D0C305C" w14:textId="77777777" w:rsidR="005A1076" w:rsidRDefault="00A31EB4">
            <w:pPr>
              <w:pStyle w:val="BodyB"/>
              <w:spacing w:line="480" w:lineRule="auto"/>
            </w:pPr>
            <w:r>
              <w:t>11.06</w:t>
            </w:r>
          </w:p>
        </w:tc>
        <w:tc>
          <w:tcPr>
            <w:tcW w:w="676" w:type="dxa"/>
            <w:tcBorders>
              <w:top w:val="nil"/>
              <w:left w:val="nil"/>
              <w:bottom w:val="nil"/>
              <w:right w:val="nil"/>
            </w:tcBorders>
            <w:shd w:val="clear" w:color="auto" w:fill="FFFFFF"/>
            <w:tcMar>
              <w:top w:w="80" w:type="dxa"/>
              <w:left w:w="80" w:type="dxa"/>
              <w:bottom w:w="80" w:type="dxa"/>
              <w:right w:w="80" w:type="dxa"/>
            </w:tcMar>
          </w:tcPr>
          <w:p w14:paraId="17A801F5" w14:textId="77777777" w:rsidR="005A1076" w:rsidRDefault="00A31EB4">
            <w:pPr>
              <w:pStyle w:val="BodyB"/>
              <w:spacing w:line="480" w:lineRule="auto"/>
            </w:pPr>
            <w:r>
              <w:t>.00**</w:t>
            </w:r>
          </w:p>
        </w:tc>
        <w:tc>
          <w:tcPr>
            <w:tcW w:w="710" w:type="dxa"/>
            <w:tcBorders>
              <w:top w:val="nil"/>
              <w:left w:val="nil"/>
              <w:bottom w:val="nil"/>
              <w:right w:val="nil"/>
            </w:tcBorders>
            <w:shd w:val="clear" w:color="auto" w:fill="FFFFFF"/>
            <w:tcMar>
              <w:top w:w="80" w:type="dxa"/>
              <w:left w:w="80" w:type="dxa"/>
              <w:bottom w:w="80" w:type="dxa"/>
              <w:right w:w="80" w:type="dxa"/>
            </w:tcMar>
          </w:tcPr>
          <w:p w14:paraId="235FC0E3" w14:textId="77777777" w:rsidR="005A1076" w:rsidRDefault="00A31EB4">
            <w:pPr>
              <w:pStyle w:val="BodyB"/>
              <w:spacing w:line="480" w:lineRule="auto"/>
            </w:pPr>
            <w:r>
              <w:t>2.47</w:t>
            </w:r>
          </w:p>
        </w:tc>
        <w:tc>
          <w:tcPr>
            <w:tcW w:w="768" w:type="dxa"/>
            <w:tcBorders>
              <w:top w:val="nil"/>
              <w:left w:val="nil"/>
              <w:bottom w:val="nil"/>
              <w:right w:val="nil"/>
            </w:tcBorders>
            <w:shd w:val="clear" w:color="auto" w:fill="FFFFFF"/>
            <w:tcMar>
              <w:top w:w="80" w:type="dxa"/>
              <w:left w:w="80" w:type="dxa"/>
              <w:bottom w:w="80" w:type="dxa"/>
              <w:right w:w="80" w:type="dxa"/>
            </w:tcMar>
          </w:tcPr>
          <w:p w14:paraId="2B7796BD" w14:textId="77777777" w:rsidR="005A1076" w:rsidRDefault="00A31EB4">
            <w:pPr>
              <w:pStyle w:val="BodyB"/>
              <w:spacing w:line="480" w:lineRule="auto"/>
            </w:pPr>
            <w:r>
              <w:t>.03*</w:t>
            </w:r>
          </w:p>
        </w:tc>
        <w:tc>
          <w:tcPr>
            <w:tcW w:w="900" w:type="dxa"/>
            <w:tcBorders>
              <w:top w:val="nil"/>
              <w:left w:val="nil"/>
              <w:bottom w:val="nil"/>
              <w:right w:val="nil"/>
            </w:tcBorders>
            <w:shd w:val="clear" w:color="auto" w:fill="FFFFFF"/>
            <w:tcMar>
              <w:top w:w="80" w:type="dxa"/>
              <w:left w:w="80" w:type="dxa"/>
              <w:bottom w:w="80" w:type="dxa"/>
              <w:right w:w="80" w:type="dxa"/>
            </w:tcMar>
          </w:tcPr>
          <w:p w14:paraId="25DE9512" w14:textId="77777777" w:rsidR="005A1076" w:rsidRDefault="00A31EB4">
            <w:pPr>
              <w:pStyle w:val="BodyB"/>
              <w:spacing w:line="480" w:lineRule="auto"/>
            </w:pPr>
            <w:r>
              <w:t>1.25</w:t>
            </w:r>
          </w:p>
        </w:tc>
        <w:tc>
          <w:tcPr>
            <w:tcW w:w="935" w:type="dxa"/>
            <w:tcBorders>
              <w:top w:val="nil"/>
              <w:left w:val="nil"/>
              <w:bottom w:val="nil"/>
              <w:right w:val="nil"/>
            </w:tcBorders>
            <w:shd w:val="clear" w:color="auto" w:fill="FFFFFF"/>
            <w:tcMar>
              <w:top w:w="80" w:type="dxa"/>
              <w:left w:w="80" w:type="dxa"/>
              <w:bottom w:w="80" w:type="dxa"/>
              <w:right w:w="80" w:type="dxa"/>
            </w:tcMar>
          </w:tcPr>
          <w:p w14:paraId="6709A728" w14:textId="77777777" w:rsidR="005A1076" w:rsidRDefault="00A31EB4">
            <w:pPr>
              <w:pStyle w:val="BodyB"/>
              <w:spacing w:line="480" w:lineRule="auto"/>
            </w:pPr>
            <w:r>
              <w:t>.25</w:t>
            </w:r>
          </w:p>
        </w:tc>
      </w:tr>
      <w:tr w:rsidR="005A1076" w14:paraId="0092E5AD" w14:textId="77777777">
        <w:trPr>
          <w:trHeight w:val="1220"/>
          <w:jc w:val="center"/>
        </w:trPr>
        <w:tc>
          <w:tcPr>
            <w:tcW w:w="1015" w:type="dxa"/>
            <w:tcBorders>
              <w:top w:val="nil"/>
              <w:left w:val="nil"/>
              <w:bottom w:val="nil"/>
              <w:right w:val="nil"/>
            </w:tcBorders>
            <w:shd w:val="clear" w:color="auto" w:fill="FFFFFF"/>
            <w:tcMar>
              <w:top w:w="80" w:type="dxa"/>
              <w:left w:w="80" w:type="dxa"/>
              <w:bottom w:w="80" w:type="dxa"/>
              <w:right w:w="80" w:type="dxa"/>
            </w:tcMar>
          </w:tcPr>
          <w:p w14:paraId="60F8F61B" w14:textId="77777777" w:rsidR="005A1076" w:rsidRDefault="00A31EB4">
            <w:pPr>
              <w:pStyle w:val="BodyB"/>
              <w:spacing w:line="480" w:lineRule="auto"/>
            </w:pPr>
            <w:r>
              <w:t>ALT</w:t>
            </w:r>
          </w:p>
        </w:tc>
        <w:tc>
          <w:tcPr>
            <w:tcW w:w="990" w:type="dxa"/>
            <w:tcBorders>
              <w:top w:val="nil"/>
              <w:left w:val="nil"/>
              <w:bottom w:val="nil"/>
              <w:right w:val="nil"/>
            </w:tcBorders>
            <w:shd w:val="clear" w:color="auto" w:fill="FFFFFF"/>
            <w:tcMar>
              <w:top w:w="80" w:type="dxa"/>
              <w:left w:w="80" w:type="dxa"/>
              <w:bottom w:w="80" w:type="dxa"/>
              <w:right w:w="80" w:type="dxa"/>
            </w:tcMar>
          </w:tcPr>
          <w:p w14:paraId="4A0665D1" w14:textId="77777777" w:rsidR="005A1076" w:rsidRDefault="00A31EB4">
            <w:pPr>
              <w:pStyle w:val="BodyB"/>
              <w:spacing w:line="480" w:lineRule="auto"/>
            </w:pPr>
            <w:r>
              <w:t>17.50 ± 1.38</w:t>
            </w:r>
          </w:p>
        </w:tc>
        <w:tc>
          <w:tcPr>
            <w:tcW w:w="818" w:type="dxa"/>
            <w:tcBorders>
              <w:top w:val="nil"/>
              <w:left w:val="nil"/>
              <w:bottom w:val="nil"/>
              <w:right w:val="nil"/>
            </w:tcBorders>
            <w:shd w:val="clear" w:color="auto" w:fill="FFFFFF"/>
            <w:tcMar>
              <w:top w:w="80" w:type="dxa"/>
              <w:left w:w="80" w:type="dxa"/>
              <w:bottom w:w="80" w:type="dxa"/>
              <w:right w:w="80" w:type="dxa"/>
            </w:tcMar>
          </w:tcPr>
          <w:p w14:paraId="727CCE00" w14:textId="77777777" w:rsidR="005A1076" w:rsidRDefault="00A31EB4">
            <w:pPr>
              <w:pStyle w:val="BodyB"/>
              <w:spacing w:line="480" w:lineRule="auto"/>
            </w:pPr>
            <w:r>
              <w:t>32.29 ± 8.52</w:t>
            </w:r>
          </w:p>
        </w:tc>
        <w:tc>
          <w:tcPr>
            <w:tcW w:w="712" w:type="dxa"/>
            <w:tcBorders>
              <w:top w:val="nil"/>
              <w:left w:val="nil"/>
              <w:bottom w:val="nil"/>
              <w:right w:val="nil"/>
            </w:tcBorders>
            <w:shd w:val="clear" w:color="auto" w:fill="FFFFFF"/>
            <w:tcMar>
              <w:top w:w="80" w:type="dxa"/>
              <w:left w:w="80" w:type="dxa"/>
              <w:bottom w:w="80" w:type="dxa"/>
              <w:right w:w="80" w:type="dxa"/>
            </w:tcMar>
          </w:tcPr>
          <w:p w14:paraId="38F7D65A" w14:textId="77777777" w:rsidR="005A1076" w:rsidRDefault="00A31EB4">
            <w:pPr>
              <w:pStyle w:val="BodyB"/>
              <w:spacing w:line="480" w:lineRule="auto"/>
            </w:pPr>
            <w:r>
              <w:t>23.60 ± 3.78</w:t>
            </w:r>
          </w:p>
        </w:tc>
        <w:tc>
          <w:tcPr>
            <w:tcW w:w="681" w:type="dxa"/>
            <w:tcBorders>
              <w:top w:val="nil"/>
              <w:left w:val="nil"/>
              <w:bottom w:val="nil"/>
              <w:right w:val="nil"/>
            </w:tcBorders>
            <w:shd w:val="clear" w:color="auto" w:fill="FFFFFF"/>
            <w:tcMar>
              <w:top w:w="80" w:type="dxa"/>
              <w:left w:w="80" w:type="dxa"/>
              <w:bottom w:w="80" w:type="dxa"/>
              <w:right w:w="80" w:type="dxa"/>
            </w:tcMar>
          </w:tcPr>
          <w:p w14:paraId="16E71A62" w14:textId="77777777" w:rsidR="005A1076" w:rsidRDefault="00A31EB4">
            <w:pPr>
              <w:pStyle w:val="BodyB"/>
              <w:spacing w:line="480" w:lineRule="auto"/>
            </w:pPr>
            <w:r>
              <w:t>5.6</w:t>
            </w:r>
          </w:p>
        </w:tc>
        <w:tc>
          <w:tcPr>
            <w:tcW w:w="676" w:type="dxa"/>
            <w:tcBorders>
              <w:top w:val="nil"/>
              <w:left w:val="nil"/>
              <w:bottom w:val="nil"/>
              <w:right w:val="nil"/>
            </w:tcBorders>
            <w:shd w:val="clear" w:color="auto" w:fill="FFFFFF"/>
            <w:tcMar>
              <w:top w:w="80" w:type="dxa"/>
              <w:left w:w="80" w:type="dxa"/>
              <w:bottom w:w="80" w:type="dxa"/>
              <w:right w:w="80" w:type="dxa"/>
            </w:tcMar>
          </w:tcPr>
          <w:p w14:paraId="3AEBD35B" w14:textId="77777777" w:rsidR="005A1076" w:rsidRDefault="00A31EB4">
            <w:pPr>
              <w:pStyle w:val="BodyB"/>
              <w:spacing w:line="480" w:lineRule="auto"/>
            </w:pPr>
            <w:r>
              <w:t>.03*</w:t>
            </w:r>
          </w:p>
        </w:tc>
        <w:tc>
          <w:tcPr>
            <w:tcW w:w="710" w:type="dxa"/>
            <w:tcBorders>
              <w:top w:val="nil"/>
              <w:left w:val="nil"/>
              <w:bottom w:val="nil"/>
              <w:right w:val="nil"/>
            </w:tcBorders>
            <w:shd w:val="clear" w:color="auto" w:fill="FFFFFF"/>
            <w:tcMar>
              <w:top w:w="80" w:type="dxa"/>
              <w:left w:w="80" w:type="dxa"/>
              <w:bottom w:w="80" w:type="dxa"/>
              <w:right w:w="80" w:type="dxa"/>
            </w:tcMar>
          </w:tcPr>
          <w:p w14:paraId="041814EA" w14:textId="77777777" w:rsidR="005A1076" w:rsidRDefault="00A31EB4">
            <w:pPr>
              <w:pStyle w:val="BodyB"/>
              <w:spacing w:line="480" w:lineRule="auto"/>
            </w:pPr>
            <w:r>
              <w:t>1.71</w:t>
            </w:r>
          </w:p>
        </w:tc>
        <w:tc>
          <w:tcPr>
            <w:tcW w:w="768" w:type="dxa"/>
            <w:tcBorders>
              <w:top w:val="nil"/>
              <w:left w:val="nil"/>
              <w:bottom w:val="nil"/>
              <w:right w:val="nil"/>
            </w:tcBorders>
            <w:shd w:val="clear" w:color="auto" w:fill="FFFFFF"/>
            <w:tcMar>
              <w:top w:w="80" w:type="dxa"/>
              <w:left w:w="80" w:type="dxa"/>
              <w:bottom w:w="80" w:type="dxa"/>
              <w:right w:w="80" w:type="dxa"/>
            </w:tcMar>
          </w:tcPr>
          <w:p w14:paraId="2AE71A18" w14:textId="77777777" w:rsidR="005A1076" w:rsidRDefault="00A31EB4">
            <w:pPr>
              <w:pStyle w:val="BodyB"/>
              <w:spacing w:line="480" w:lineRule="auto"/>
            </w:pPr>
            <w:r>
              <w:t>.11</w:t>
            </w:r>
          </w:p>
        </w:tc>
        <w:tc>
          <w:tcPr>
            <w:tcW w:w="900" w:type="dxa"/>
            <w:tcBorders>
              <w:top w:val="nil"/>
              <w:left w:val="nil"/>
              <w:bottom w:val="nil"/>
              <w:right w:val="nil"/>
            </w:tcBorders>
            <w:shd w:val="clear" w:color="auto" w:fill="FFFFFF"/>
            <w:tcMar>
              <w:top w:w="80" w:type="dxa"/>
              <w:left w:w="80" w:type="dxa"/>
              <w:bottom w:w="80" w:type="dxa"/>
              <w:right w:w="80" w:type="dxa"/>
            </w:tcMar>
          </w:tcPr>
          <w:p w14:paraId="7EE0D053" w14:textId="77777777" w:rsidR="005A1076" w:rsidRDefault="00A31EB4">
            <w:pPr>
              <w:pStyle w:val="BodyB"/>
              <w:spacing w:line="480" w:lineRule="auto"/>
            </w:pPr>
            <w:r>
              <w:t>0.84</w:t>
            </w:r>
          </w:p>
        </w:tc>
        <w:tc>
          <w:tcPr>
            <w:tcW w:w="935" w:type="dxa"/>
            <w:tcBorders>
              <w:top w:val="nil"/>
              <w:left w:val="nil"/>
              <w:bottom w:val="nil"/>
              <w:right w:val="nil"/>
            </w:tcBorders>
            <w:shd w:val="clear" w:color="auto" w:fill="FFFFFF"/>
            <w:tcMar>
              <w:top w:w="80" w:type="dxa"/>
              <w:left w:w="80" w:type="dxa"/>
              <w:bottom w:w="80" w:type="dxa"/>
              <w:right w:w="80" w:type="dxa"/>
            </w:tcMar>
          </w:tcPr>
          <w:p w14:paraId="11A4F68B" w14:textId="77777777" w:rsidR="005A1076" w:rsidRDefault="00A31EB4">
            <w:pPr>
              <w:pStyle w:val="BodyB"/>
              <w:spacing w:line="480" w:lineRule="auto"/>
            </w:pPr>
            <w:r>
              <w:t>.43</w:t>
            </w:r>
          </w:p>
        </w:tc>
      </w:tr>
      <w:tr w:rsidR="005A1076" w14:paraId="178664C8" w14:textId="77777777">
        <w:trPr>
          <w:trHeight w:val="1220"/>
          <w:jc w:val="center"/>
        </w:trPr>
        <w:tc>
          <w:tcPr>
            <w:tcW w:w="1015" w:type="dxa"/>
            <w:tcBorders>
              <w:top w:val="nil"/>
              <w:left w:val="nil"/>
              <w:bottom w:val="single" w:sz="8" w:space="0" w:color="FFFFFF"/>
              <w:right w:val="nil"/>
            </w:tcBorders>
            <w:shd w:val="clear" w:color="auto" w:fill="FFFFFF"/>
            <w:tcMar>
              <w:top w:w="80" w:type="dxa"/>
              <w:left w:w="80" w:type="dxa"/>
              <w:bottom w:w="80" w:type="dxa"/>
              <w:right w:w="80" w:type="dxa"/>
            </w:tcMar>
          </w:tcPr>
          <w:p w14:paraId="1E81D3A6" w14:textId="77777777" w:rsidR="005A1076" w:rsidRDefault="00A31EB4">
            <w:pPr>
              <w:pStyle w:val="BodyB"/>
              <w:spacing w:line="480" w:lineRule="auto"/>
            </w:pPr>
            <w:r>
              <w:t>Total Protein</w:t>
            </w:r>
          </w:p>
        </w:tc>
        <w:tc>
          <w:tcPr>
            <w:tcW w:w="990" w:type="dxa"/>
            <w:tcBorders>
              <w:top w:val="nil"/>
              <w:left w:val="nil"/>
              <w:bottom w:val="single" w:sz="8" w:space="0" w:color="FFFFFF"/>
              <w:right w:val="nil"/>
            </w:tcBorders>
            <w:shd w:val="clear" w:color="auto" w:fill="FFFFFF"/>
            <w:tcMar>
              <w:top w:w="80" w:type="dxa"/>
              <w:left w:w="80" w:type="dxa"/>
              <w:bottom w:w="80" w:type="dxa"/>
              <w:right w:w="80" w:type="dxa"/>
            </w:tcMar>
          </w:tcPr>
          <w:p w14:paraId="75A14AD0" w14:textId="77777777" w:rsidR="005A1076" w:rsidRDefault="00A31EB4">
            <w:pPr>
              <w:pStyle w:val="BodyB"/>
              <w:spacing w:line="480" w:lineRule="auto"/>
            </w:pPr>
            <w:r>
              <w:t>6.33 ± 0.42</w:t>
            </w:r>
          </w:p>
        </w:tc>
        <w:tc>
          <w:tcPr>
            <w:tcW w:w="818" w:type="dxa"/>
            <w:tcBorders>
              <w:top w:val="nil"/>
              <w:left w:val="nil"/>
              <w:bottom w:val="single" w:sz="8" w:space="0" w:color="FFFFFF"/>
              <w:right w:val="nil"/>
            </w:tcBorders>
            <w:shd w:val="clear" w:color="auto" w:fill="FFFFFF"/>
            <w:tcMar>
              <w:top w:w="80" w:type="dxa"/>
              <w:left w:w="80" w:type="dxa"/>
              <w:bottom w:w="80" w:type="dxa"/>
              <w:right w:w="80" w:type="dxa"/>
            </w:tcMar>
          </w:tcPr>
          <w:p w14:paraId="47C00C27" w14:textId="77777777" w:rsidR="005A1076" w:rsidRDefault="00A31EB4">
            <w:pPr>
              <w:pStyle w:val="BodyB"/>
              <w:spacing w:line="480" w:lineRule="auto"/>
            </w:pPr>
            <w:r>
              <w:t>6.87 ± 0.26</w:t>
            </w:r>
          </w:p>
        </w:tc>
        <w:tc>
          <w:tcPr>
            <w:tcW w:w="712" w:type="dxa"/>
            <w:tcBorders>
              <w:top w:val="nil"/>
              <w:left w:val="nil"/>
              <w:bottom w:val="single" w:sz="4" w:space="0" w:color="FFFFFF"/>
              <w:right w:val="nil"/>
            </w:tcBorders>
            <w:shd w:val="clear" w:color="auto" w:fill="FFFFFF"/>
            <w:tcMar>
              <w:top w:w="80" w:type="dxa"/>
              <w:left w:w="80" w:type="dxa"/>
              <w:bottom w:w="80" w:type="dxa"/>
              <w:right w:w="80" w:type="dxa"/>
            </w:tcMar>
          </w:tcPr>
          <w:p w14:paraId="2D9F1CB2" w14:textId="77777777" w:rsidR="005A1076" w:rsidRDefault="00A31EB4">
            <w:pPr>
              <w:pStyle w:val="BodyB"/>
              <w:spacing w:line="480" w:lineRule="auto"/>
            </w:pPr>
            <w:r>
              <w:t>7.21 ± 0.39</w:t>
            </w:r>
          </w:p>
        </w:tc>
        <w:tc>
          <w:tcPr>
            <w:tcW w:w="681" w:type="dxa"/>
            <w:tcBorders>
              <w:top w:val="nil"/>
              <w:left w:val="nil"/>
              <w:bottom w:val="single" w:sz="4" w:space="0" w:color="FFFFFF"/>
              <w:right w:val="nil"/>
            </w:tcBorders>
            <w:shd w:val="clear" w:color="auto" w:fill="FFFFFF"/>
            <w:tcMar>
              <w:top w:w="80" w:type="dxa"/>
              <w:left w:w="80" w:type="dxa"/>
              <w:bottom w:w="80" w:type="dxa"/>
              <w:right w:w="80" w:type="dxa"/>
            </w:tcMar>
          </w:tcPr>
          <w:p w14:paraId="4C1C9B0D" w14:textId="77777777" w:rsidR="005A1076" w:rsidRDefault="00A31EB4">
            <w:pPr>
              <w:pStyle w:val="BodyB"/>
              <w:spacing w:line="480" w:lineRule="auto"/>
            </w:pPr>
            <w:r>
              <w:t>2.21</w:t>
            </w:r>
          </w:p>
        </w:tc>
        <w:tc>
          <w:tcPr>
            <w:tcW w:w="676" w:type="dxa"/>
            <w:tcBorders>
              <w:top w:val="nil"/>
              <w:left w:val="nil"/>
              <w:bottom w:val="single" w:sz="4" w:space="0" w:color="FFFFFF"/>
              <w:right w:val="nil"/>
            </w:tcBorders>
            <w:shd w:val="clear" w:color="auto" w:fill="FFFFFF"/>
            <w:tcMar>
              <w:top w:w="80" w:type="dxa"/>
              <w:left w:w="80" w:type="dxa"/>
              <w:bottom w:w="80" w:type="dxa"/>
              <w:right w:w="80" w:type="dxa"/>
            </w:tcMar>
          </w:tcPr>
          <w:p w14:paraId="00751905" w14:textId="77777777" w:rsidR="005A1076" w:rsidRDefault="00A31EB4">
            <w:pPr>
              <w:pStyle w:val="BodyB"/>
              <w:spacing w:line="480" w:lineRule="auto"/>
            </w:pPr>
            <w:r>
              <w:t>.16</w:t>
            </w:r>
          </w:p>
        </w:tc>
        <w:tc>
          <w:tcPr>
            <w:tcW w:w="710" w:type="dxa"/>
            <w:tcBorders>
              <w:top w:val="nil"/>
              <w:left w:val="nil"/>
              <w:bottom w:val="single" w:sz="4" w:space="0" w:color="FFFFFF"/>
              <w:right w:val="nil"/>
            </w:tcBorders>
            <w:shd w:val="clear" w:color="auto" w:fill="FFFFFF"/>
            <w:tcMar>
              <w:top w:w="80" w:type="dxa"/>
              <w:left w:w="80" w:type="dxa"/>
              <w:bottom w:w="80" w:type="dxa"/>
              <w:right w:w="80" w:type="dxa"/>
            </w:tcMar>
          </w:tcPr>
          <w:p w14:paraId="274D7962" w14:textId="77777777" w:rsidR="005A1076" w:rsidRDefault="00A31EB4">
            <w:pPr>
              <w:pStyle w:val="BodyB"/>
              <w:spacing w:line="480" w:lineRule="auto"/>
            </w:pPr>
            <w:r>
              <w:t>1.1</w:t>
            </w:r>
          </w:p>
        </w:tc>
        <w:tc>
          <w:tcPr>
            <w:tcW w:w="768" w:type="dxa"/>
            <w:tcBorders>
              <w:top w:val="nil"/>
              <w:left w:val="nil"/>
              <w:bottom w:val="single" w:sz="4" w:space="0" w:color="FFFFFF"/>
              <w:right w:val="nil"/>
            </w:tcBorders>
            <w:shd w:val="clear" w:color="auto" w:fill="FFFFFF"/>
            <w:tcMar>
              <w:top w:w="80" w:type="dxa"/>
              <w:left w:w="80" w:type="dxa"/>
              <w:bottom w:w="80" w:type="dxa"/>
              <w:right w:w="80" w:type="dxa"/>
            </w:tcMar>
          </w:tcPr>
          <w:p w14:paraId="623670A7" w14:textId="77777777" w:rsidR="005A1076" w:rsidRDefault="00A31EB4">
            <w:pPr>
              <w:pStyle w:val="BodyB"/>
              <w:spacing w:line="480" w:lineRule="auto"/>
            </w:pPr>
            <w:r>
              <w:t>.29</w:t>
            </w:r>
          </w:p>
        </w:tc>
        <w:tc>
          <w:tcPr>
            <w:tcW w:w="900" w:type="dxa"/>
            <w:tcBorders>
              <w:top w:val="nil"/>
              <w:left w:val="nil"/>
              <w:bottom w:val="single" w:sz="4" w:space="0" w:color="FFFFFF"/>
              <w:right w:val="nil"/>
            </w:tcBorders>
            <w:shd w:val="clear" w:color="auto" w:fill="FFFFFF"/>
            <w:tcMar>
              <w:top w:w="80" w:type="dxa"/>
              <w:left w:w="80" w:type="dxa"/>
              <w:bottom w:w="80" w:type="dxa"/>
              <w:right w:w="80" w:type="dxa"/>
            </w:tcMar>
          </w:tcPr>
          <w:p w14:paraId="5D8CAA05" w14:textId="77777777" w:rsidR="005A1076" w:rsidRDefault="00A31EB4">
            <w:pPr>
              <w:pStyle w:val="BodyB"/>
              <w:spacing w:line="480" w:lineRule="auto"/>
            </w:pPr>
            <w:r>
              <w:t>1.02</w:t>
            </w:r>
          </w:p>
        </w:tc>
        <w:tc>
          <w:tcPr>
            <w:tcW w:w="935" w:type="dxa"/>
            <w:tcBorders>
              <w:top w:val="nil"/>
              <w:left w:val="nil"/>
              <w:bottom w:val="single" w:sz="4" w:space="0" w:color="FFFFFF"/>
              <w:right w:val="nil"/>
            </w:tcBorders>
            <w:shd w:val="clear" w:color="auto" w:fill="FFFFFF"/>
            <w:tcMar>
              <w:top w:w="80" w:type="dxa"/>
              <w:left w:w="80" w:type="dxa"/>
              <w:bottom w:w="80" w:type="dxa"/>
              <w:right w:w="80" w:type="dxa"/>
            </w:tcMar>
          </w:tcPr>
          <w:p w14:paraId="786360D3" w14:textId="77777777" w:rsidR="005A1076" w:rsidRDefault="00A31EB4">
            <w:pPr>
              <w:pStyle w:val="BodyB"/>
              <w:spacing w:line="480" w:lineRule="auto"/>
            </w:pPr>
            <w:r>
              <w:t>.34</w:t>
            </w:r>
          </w:p>
        </w:tc>
      </w:tr>
      <w:tr w:rsidR="005A1076" w14:paraId="59AF9410" w14:textId="77777777">
        <w:trPr>
          <w:trHeight w:val="1220"/>
          <w:jc w:val="center"/>
        </w:trPr>
        <w:tc>
          <w:tcPr>
            <w:tcW w:w="101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9D51650" w14:textId="77777777" w:rsidR="005A1076" w:rsidRDefault="00A31EB4">
            <w:pPr>
              <w:pStyle w:val="BodyB"/>
              <w:spacing w:line="480" w:lineRule="auto"/>
            </w:pPr>
            <w:r>
              <w:t>Albumin</w:t>
            </w:r>
          </w:p>
        </w:tc>
        <w:tc>
          <w:tcPr>
            <w:tcW w:w="99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EC5C3BF" w14:textId="77777777" w:rsidR="005A1076" w:rsidRDefault="00A31EB4">
            <w:pPr>
              <w:pStyle w:val="BodyB"/>
              <w:spacing w:line="480" w:lineRule="auto"/>
            </w:pPr>
            <w:r>
              <w:t>3.01 ± 0.11</w:t>
            </w:r>
          </w:p>
        </w:tc>
        <w:tc>
          <w:tcPr>
            <w:tcW w:w="81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3F33135" w14:textId="77777777" w:rsidR="005A1076" w:rsidRDefault="00A31EB4">
            <w:pPr>
              <w:pStyle w:val="BodyB"/>
              <w:spacing w:line="480" w:lineRule="auto"/>
            </w:pPr>
            <w:r>
              <w:t>2.99 ± 0.10</w:t>
            </w:r>
          </w:p>
        </w:tc>
        <w:tc>
          <w:tcPr>
            <w:tcW w:w="712"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43B38848" w14:textId="77777777" w:rsidR="005A1076" w:rsidRDefault="00A31EB4">
            <w:pPr>
              <w:pStyle w:val="BodyB"/>
              <w:spacing w:line="480" w:lineRule="auto"/>
            </w:pPr>
            <w:r>
              <w:t>3.12 ± 0.11</w:t>
            </w:r>
          </w:p>
        </w:tc>
        <w:tc>
          <w:tcPr>
            <w:tcW w:w="681"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59801DAD" w14:textId="77777777" w:rsidR="005A1076" w:rsidRDefault="00A31EB4">
            <w:pPr>
              <w:pStyle w:val="BodyB"/>
              <w:spacing w:line="480" w:lineRule="auto"/>
            </w:pPr>
            <w:r>
              <w:t>0.03</w:t>
            </w:r>
          </w:p>
        </w:tc>
        <w:tc>
          <w:tcPr>
            <w:tcW w:w="676"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2FF68CA" w14:textId="77777777" w:rsidR="005A1076" w:rsidRDefault="00A31EB4">
            <w:pPr>
              <w:pStyle w:val="BodyB"/>
              <w:spacing w:line="480" w:lineRule="auto"/>
            </w:pPr>
            <w:r>
              <w:t>.87</w:t>
            </w:r>
          </w:p>
        </w:tc>
        <w:tc>
          <w:tcPr>
            <w:tcW w:w="710"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B63D949" w14:textId="77777777" w:rsidR="005A1076" w:rsidRDefault="00A31EB4">
            <w:pPr>
              <w:pStyle w:val="BodyB"/>
              <w:spacing w:line="480" w:lineRule="auto"/>
            </w:pPr>
            <w:r>
              <w:t>0.19</w:t>
            </w:r>
          </w:p>
        </w:tc>
        <w:tc>
          <w:tcPr>
            <w:tcW w:w="768"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00939F70" w14:textId="77777777" w:rsidR="005A1076" w:rsidRDefault="00A31EB4">
            <w:pPr>
              <w:pStyle w:val="BodyB"/>
              <w:spacing w:line="480" w:lineRule="auto"/>
            </w:pPr>
            <w:r>
              <w:t>.85</w:t>
            </w:r>
          </w:p>
        </w:tc>
        <w:tc>
          <w:tcPr>
            <w:tcW w:w="900"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A583DF7" w14:textId="77777777" w:rsidR="005A1076" w:rsidRDefault="00A31EB4">
            <w:pPr>
              <w:pStyle w:val="BodyB"/>
              <w:spacing w:line="480" w:lineRule="auto"/>
            </w:pPr>
            <w:r>
              <w:t>1.55</w:t>
            </w:r>
          </w:p>
        </w:tc>
        <w:tc>
          <w:tcPr>
            <w:tcW w:w="935" w:type="dxa"/>
            <w:tcBorders>
              <w:top w:val="single" w:sz="4"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664E01FF" w14:textId="77777777" w:rsidR="005A1076" w:rsidRDefault="00A31EB4">
            <w:pPr>
              <w:pStyle w:val="BodyB"/>
              <w:spacing w:line="480" w:lineRule="auto"/>
            </w:pPr>
            <w:r>
              <w:t>.17</w:t>
            </w:r>
          </w:p>
        </w:tc>
      </w:tr>
      <w:tr w:rsidR="005A1076" w14:paraId="10AD6A61" w14:textId="77777777">
        <w:trPr>
          <w:trHeight w:val="1220"/>
          <w:jc w:val="center"/>
        </w:trPr>
        <w:tc>
          <w:tcPr>
            <w:tcW w:w="1015"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3FD01064" w14:textId="77777777" w:rsidR="005A1076" w:rsidRDefault="00A31EB4">
            <w:pPr>
              <w:pStyle w:val="BodyB"/>
              <w:spacing w:line="480" w:lineRule="auto"/>
            </w:pPr>
            <w:r>
              <w:t>Globulin</w:t>
            </w:r>
          </w:p>
        </w:tc>
        <w:tc>
          <w:tcPr>
            <w:tcW w:w="990"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2C11995B" w14:textId="77777777" w:rsidR="005A1076" w:rsidRDefault="00A31EB4">
            <w:pPr>
              <w:pStyle w:val="BodyB"/>
              <w:spacing w:line="480" w:lineRule="auto"/>
            </w:pPr>
            <w:r>
              <w:t>3.31 ± 0.43</w:t>
            </w:r>
          </w:p>
        </w:tc>
        <w:tc>
          <w:tcPr>
            <w:tcW w:w="818" w:type="dxa"/>
            <w:tcBorders>
              <w:top w:val="single" w:sz="8" w:space="0" w:color="FFFFFF"/>
              <w:left w:val="single" w:sz="8" w:space="0" w:color="FFFFFF"/>
              <w:bottom w:val="single" w:sz="4" w:space="0" w:color="FFFFFF"/>
              <w:right w:val="single" w:sz="8" w:space="0" w:color="FFFFFF"/>
            </w:tcBorders>
            <w:shd w:val="clear" w:color="auto" w:fill="FFFFFF"/>
            <w:tcMar>
              <w:top w:w="80" w:type="dxa"/>
              <w:left w:w="80" w:type="dxa"/>
              <w:bottom w:w="80" w:type="dxa"/>
              <w:right w:w="80" w:type="dxa"/>
            </w:tcMar>
          </w:tcPr>
          <w:p w14:paraId="3A350769" w14:textId="77777777" w:rsidR="005A1076" w:rsidRDefault="00A31EB4">
            <w:pPr>
              <w:pStyle w:val="BodyB"/>
              <w:spacing w:line="480" w:lineRule="auto"/>
            </w:pPr>
            <w:r>
              <w:t>3.89 ± 0.25</w:t>
            </w:r>
          </w:p>
        </w:tc>
        <w:tc>
          <w:tcPr>
            <w:tcW w:w="71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F6A0856" w14:textId="77777777" w:rsidR="005A1076" w:rsidRDefault="00A31EB4">
            <w:pPr>
              <w:pStyle w:val="BodyB"/>
              <w:spacing w:line="480" w:lineRule="auto"/>
            </w:pPr>
            <w:r>
              <w:t>4.09 ± 0.34</w:t>
            </w:r>
          </w:p>
        </w:tc>
        <w:tc>
          <w:tcPr>
            <w:tcW w:w="68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41CE7FC4" w14:textId="77777777" w:rsidR="005A1076" w:rsidRDefault="00A31EB4">
            <w:pPr>
              <w:pStyle w:val="BodyB"/>
              <w:spacing w:line="480" w:lineRule="auto"/>
            </w:pPr>
            <w:r>
              <w:t>2.73</w:t>
            </w:r>
          </w:p>
        </w:tc>
        <w:tc>
          <w:tcPr>
            <w:tcW w:w="676"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A0868B5" w14:textId="77777777" w:rsidR="005A1076" w:rsidRDefault="00A31EB4">
            <w:pPr>
              <w:pStyle w:val="BodyB"/>
              <w:spacing w:line="480" w:lineRule="auto"/>
            </w:pPr>
            <w:r>
              <w:t>.12</w:t>
            </w:r>
          </w:p>
        </w:tc>
        <w:tc>
          <w:tcPr>
            <w:tcW w:w="71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FA5ADD0" w14:textId="77777777" w:rsidR="005A1076" w:rsidRDefault="00A31EB4">
            <w:pPr>
              <w:pStyle w:val="BodyB"/>
              <w:spacing w:line="480" w:lineRule="auto"/>
            </w:pPr>
            <w:r>
              <w:t>1.15</w:t>
            </w:r>
          </w:p>
        </w:tc>
        <w:tc>
          <w:tcPr>
            <w:tcW w:w="768"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209D809" w14:textId="77777777" w:rsidR="005A1076" w:rsidRDefault="00A31EB4">
            <w:pPr>
              <w:pStyle w:val="BodyB"/>
              <w:spacing w:line="480" w:lineRule="auto"/>
            </w:pPr>
            <w:r>
              <w:t>.27</w:t>
            </w:r>
          </w:p>
        </w:tc>
        <w:tc>
          <w:tcPr>
            <w:tcW w:w="90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EB19215" w14:textId="77777777" w:rsidR="005A1076" w:rsidRDefault="00A31EB4">
            <w:pPr>
              <w:pStyle w:val="BodyB"/>
              <w:spacing w:line="480" w:lineRule="auto"/>
            </w:pPr>
            <w:r>
              <w:t>0.64</w:t>
            </w:r>
          </w:p>
        </w:tc>
        <w:tc>
          <w:tcPr>
            <w:tcW w:w="9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3D3E0E0A" w14:textId="77777777" w:rsidR="005A1076" w:rsidRDefault="00A31EB4">
            <w:pPr>
              <w:pStyle w:val="BodyB"/>
              <w:spacing w:line="480" w:lineRule="auto"/>
            </w:pPr>
            <w:r>
              <w:t>.54</w:t>
            </w:r>
          </w:p>
        </w:tc>
      </w:tr>
    </w:tbl>
    <w:p w14:paraId="67D6CF6C" w14:textId="77777777" w:rsidR="005A1076" w:rsidRDefault="005A1076">
      <w:pPr>
        <w:pStyle w:val="BodyB"/>
        <w:widowControl w:val="0"/>
        <w:tabs>
          <w:tab w:val="left" w:pos="1080"/>
        </w:tabs>
        <w:ind w:left="108" w:hanging="108"/>
        <w:jc w:val="center"/>
        <w:rPr>
          <w:rFonts w:ascii="Arial" w:eastAsia="Arial" w:hAnsi="Arial" w:cs="Arial"/>
        </w:rPr>
      </w:pPr>
    </w:p>
    <w:p w14:paraId="36E04750" w14:textId="77777777" w:rsidR="005A1076" w:rsidRDefault="005A1076">
      <w:pPr>
        <w:pStyle w:val="BodyB"/>
        <w:widowControl w:val="0"/>
        <w:tabs>
          <w:tab w:val="left" w:pos="1080"/>
        </w:tabs>
        <w:jc w:val="center"/>
        <w:rPr>
          <w:rFonts w:ascii="Arial" w:eastAsia="Arial" w:hAnsi="Arial" w:cs="Arial"/>
          <w:b/>
          <w:bCs/>
        </w:rPr>
      </w:pPr>
    </w:p>
    <w:p w14:paraId="551CA32D" w14:textId="77777777" w:rsidR="005A1076" w:rsidRDefault="00A31EB4">
      <w:pPr>
        <w:pStyle w:val="BodyText3"/>
        <w:tabs>
          <w:tab w:val="left" w:pos="1080"/>
        </w:tabs>
        <w:spacing w:after="0" w:line="480" w:lineRule="auto"/>
        <w:ind w:left="1080" w:hanging="1080"/>
        <w:jc w:val="both"/>
        <w:rPr>
          <w:rFonts w:ascii="Arial" w:eastAsia="Arial" w:hAnsi="Arial" w:cs="Arial"/>
          <w:i/>
          <w:iCs/>
          <w:sz w:val="18"/>
          <w:szCs w:val="18"/>
        </w:rPr>
      </w:pPr>
      <w:r>
        <w:rPr>
          <w:rFonts w:ascii="Arial" w:hAnsi="Arial"/>
          <w:i/>
          <w:iCs/>
          <w:sz w:val="18"/>
          <w:szCs w:val="18"/>
        </w:rPr>
        <w:t>a.ANOVA across groups; b.Comparison: Healthy vs Day 0; c.Comparison: Day 0 vs Day 90</w:t>
      </w:r>
    </w:p>
    <w:p w14:paraId="46ACCA64" w14:textId="77777777" w:rsidR="005A1076" w:rsidRDefault="00A31EB4">
      <w:pPr>
        <w:pStyle w:val="BodyText3"/>
        <w:tabs>
          <w:tab w:val="left" w:pos="1080"/>
        </w:tabs>
        <w:spacing w:after="0" w:line="480" w:lineRule="auto"/>
        <w:ind w:left="1080" w:hanging="1080"/>
        <w:jc w:val="both"/>
        <w:rPr>
          <w:rFonts w:ascii="Arial" w:eastAsia="Arial" w:hAnsi="Arial" w:cs="Arial"/>
        </w:rPr>
      </w:pPr>
      <w:r>
        <w:rPr>
          <w:rFonts w:ascii="Arial" w:hAnsi="Arial"/>
          <w:i/>
          <w:iCs/>
          <w:sz w:val="18"/>
          <w:szCs w:val="18"/>
        </w:rPr>
        <w:lastRenderedPageBreak/>
        <w:t>*P &lt; .05; **P &lt; .01</w:t>
      </w:r>
    </w:p>
    <w:p w14:paraId="6DDD3E62" w14:textId="77777777" w:rsidR="005A1076" w:rsidRDefault="005A1076">
      <w:pPr>
        <w:pStyle w:val="BodyA"/>
        <w:spacing w:after="0"/>
        <w:rPr>
          <w:rFonts w:ascii="Arial" w:eastAsia="Arial" w:hAnsi="Arial" w:cs="Arial"/>
        </w:rPr>
      </w:pPr>
    </w:p>
    <w:p w14:paraId="5BAF308F" w14:textId="77777777" w:rsidR="005A1076" w:rsidRDefault="00A31EB4">
      <w:pPr>
        <w:pStyle w:val="BodyA"/>
        <w:spacing w:after="0"/>
        <w:rPr>
          <w:rFonts w:ascii="Arial" w:eastAsia="Arial" w:hAnsi="Arial" w:cs="Arial"/>
          <w:b/>
          <w:bCs/>
          <w:sz w:val="22"/>
          <w:szCs w:val="22"/>
        </w:rPr>
      </w:pPr>
      <w:r>
        <w:rPr>
          <w:rFonts w:ascii="Arial" w:hAnsi="Arial"/>
          <w:b/>
          <w:bCs/>
          <w:sz w:val="22"/>
          <w:szCs w:val="22"/>
        </w:rPr>
        <w:t>4 Discussion</w:t>
      </w:r>
    </w:p>
    <w:p w14:paraId="6AE6BAA2" w14:textId="77777777" w:rsidR="005A1076" w:rsidRDefault="005A1076">
      <w:pPr>
        <w:pStyle w:val="BodyA"/>
        <w:spacing w:after="0"/>
        <w:rPr>
          <w:rFonts w:ascii="Arial" w:eastAsia="Arial" w:hAnsi="Arial" w:cs="Arial"/>
        </w:rPr>
      </w:pPr>
    </w:p>
    <w:p w14:paraId="3092CD24" w14:textId="77777777" w:rsidR="005A1076" w:rsidRDefault="00A31EB4">
      <w:pPr>
        <w:pStyle w:val="BodyA"/>
        <w:spacing w:after="0"/>
        <w:rPr>
          <w:rFonts w:ascii="Arial" w:eastAsia="Arial" w:hAnsi="Arial" w:cs="Arial"/>
        </w:rPr>
      </w:pPr>
      <w:r>
        <w:rPr>
          <w:rFonts w:ascii="Arial" w:hAnsi="Arial"/>
        </w:rPr>
        <w:t xml:space="preserve">Lokivetmab, a monoclonal antibody specifically designed for dogs that targets and neutralizes canine IL-31. By inhibiting IL-31, it helps to disrupt the cycle of itching and scratching, which in turn promotes the healing of skin lesions. Lokivetmab specifically targets canine IL-31 and does not interact with murine or human IL-31 or any other canine proteins (Zoetis, data on file). Following subcutaneous administration, lokivetmab is absorbed and enters the pool of circulating antibodies. The extended terminal elimination half-life of lokivetmab in dogs, measured at 16.5 ± 3.0 days (Michels </w:t>
      </w:r>
      <w:r>
        <w:rPr>
          <w:rFonts w:ascii="Arial" w:hAnsi="Arial"/>
          <w:i/>
          <w:iCs/>
        </w:rPr>
        <w:t>et al.,</w:t>
      </w:r>
      <w:r>
        <w:rPr>
          <w:rFonts w:ascii="Arial" w:hAnsi="Arial"/>
        </w:rPr>
        <w:t xml:space="preserve"> 2015), results from recycling through the FcRn receptor, which enables monthly injections to sustain effectiveness (Michels </w:t>
      </w:r>
      <w:r>
        <w:rPr>
          <w:rFonts w:ascii="Arial" w:hAnsi="Arial"/>
          <w:i/>
          <w:iCs/>
        </w:rPr>
        <w:t>et al.,</w:t>
      </w:r>
      <w:r>
        <w:rPr>
          <w:rFonts w:ascii="Arial" w:hAnsi="Arial"/>
        </w:rPr>
        <w:t xml:space="preserve"> 2016a, Michels </w:t>
      </w:r>
      <w:r>
        <w:rPr>
          <w:rFonts w:ascii="Arial" w:hAnsi="Arial"/>
          <w:i/>
          <w:iCs/>
        </w:rPr>
        <w:t>et al.,</w:t>
      </w:r>
      <w:r>
        <w:rPr>
          <w:rFonts w:ascii="Arial" w:hAnsi="Arial"/>
        </w:rPr>
        <w:t xml:space="preserve"> 2016b, Moyaert </w:t>
      </w:r>
      <w:r>
        <w:rPr>
          <w:rFonts w:ascii="Arial" w:hAnsi="Arial"/>
          <w:i/>
          <w:iCs/>
        </w:rPr>
        <w:t>et al</w:t>
      </w:r>
      <w:r>
        <w:rPr>
          <w:rFonts w:ascii="Arial" w:hAnsi="Arial"/>
        </w:rPr>
        <w:t xml:space="preserve">., 2017, Van Brussel </w:t>
      </w:r>
      <w:r>
        <w:rPr>
          <w:rFonts w:ascii="Arial" w:hAnsi="Arial"/>
          <w:i/>
          <w:iCs/>
        </w:rPr>
        <w:t>et al.,</w:t>
      </w:r>
      <w:r>
        <w:rPr>
          <w:rFonts w:ascii="Arial" w:hAnsi="Arial"/>
        </w:rPr>
        <w:t xml:space="preserve"> 2021). Its elimination through catabolism is similar to any endogenous protein. Lokivetmab binds to a single epitope on canine IL-31, creating a mAb:IL-31 complex that has pharmacokinetics and elimination characteristics akin to unbound lokivetmab (Qiao </w:t>
      </w:r>
      <w:r>
        <w:rPr>
          <w:rFonts w:ascii="Arial" w:hAnsi="Arial"/>
          <w:i/>
          <w:iCs/>
        </w:rPr>
        <w:t>et al.,</w:t>
      </w:r>
      <w:r>
        <w:rPr>
          <w:rFonts w:ascii="Arial" w:hAnsi="Arial"/>
        </w:rPr>
        <w:t xml:space="preserve"> 2008).</w:t>
      </w:r>
    </w:p>
    <w:p w14:paraId="0AD4B453" w14:textId="77777777" w:rsidR="005A1076" w:rsidRDefault="005A1076">
      <w:pPr>
        <w:pStyle w:val="BodyA"/>
        <w:spacing w:after="0"/>
        <w:rPr>
          <w:rFonts w:ascii="Arial" w:eastAsia="Arial" w:hAnsi="Arial" w:cs="Arial"/>
        </w:rPr>
      </w:pPr>
    </w:p>
    <w:p w14:paraId="1D168A41" w14:textId="77777777" w:rsidR="005A1076" w:rsidRDefault="00A31EB4">
      <w:pPr>
        <w:pStyle w:val="BodyA"/>
        <w:spacing w:after="0"/>
        <w:rPr>
          <w:rFonts w:ascii="Arial" w:eastAsia="Arial" w:hAnsi="Arial" w:cs="Arial"/>
        </w:rPr>
      </w:pPr>
      <w:r>
        <w:rPr>
          <w:rFonts w:ascii="Arial" w:hAnsi="Arial"/>
        </w:rPr>
        <w:t xml:space="preserve">In the present study, baseline hematological and biochemical alterations observed were reduced PCV, lower WBC counts and altered liver enzyme activity—were consistent with the systemic inflammatory and stress responses described by Michels </w:t>
      </w:r>
      <w:r>
        <w:rPr>
          <w:rFonts w:ascii="Arial" w:hAnsi="Arial"/>
          <w:i/>
          <w:iCs/>
        </w:rPr>
        <w:t>et al.</w:t>
      </w:r>
      <w:r>
        <w:rPr>
          <w:rFonts w:ascii="Arial" w:hAnsi="Arial"/>
        </w:rPr>
        <w:t xml:space="preserve">, 2016, Moyaert </w:t>
      </w:r>
      <w:r>
        <w:rPr>
          <w:rFonts w:ascii="Arial" w:hAnsi="Arial"/>
          <w:i/>
          <w:iCs/>
        </w:rPr>
        <w:t>et al.,</w:t>
      </w:r>
      <w:r>
        <w:rPr>
          <w:rFonts w:ascii="Arial" w:hAnsi="Arial"/>
        </w:rPr>
        <w:t xml:space="preserve"> 2017, Van Brussel </w:t>
      </w:r>
      <w:r>
        <w:rPr>
          <w:rFonts w:ascii="Arial" w:hAnsi="Arial"/>
          <w:i/>
          <w:iCs/>
        </w:rPr>
        <w:t>et al.,</w:t>
      </w:r>
      <w:r>
        <w:rPr>
          <w:rFonts w:ascii="Arial" w:hAnsi="Arial"/>
        </w:rPr>
        <w:t xml:space="preserve"> 2021). Ambiliy </w:t>
      </w:r>
      <w:r>
        <w:rPr>
          <w:rFonts w:ascii="Arial" w:hAnsi="Arial"/>
          <w:i/>
          <w:iCs/>
        </w:rPr>
        <w:t>et al.</w:t>
      </w:r>
      <w:r>
        <w:rPr>
          <w:rFonts w:ascii="Arial" w:hAnsi="Arial"/>
        </w:rPr>
        <w:t xml:space="preserve"> (2022), noted lower hemoglobin levels with concurrent neutrophilia. Dulman </w:t>
      </w:r>
      <w:r>
        <w:rPr>
          <w:rFonts w:ascii="Arial" w:hAnsi="Arial"/>
          <w:i/>
          <w:iCs/>
        </w:rPr>
        <w:t>et al.</w:t>
      </w:r>
      <w:r>
        <w:rPr>
          <w:rFonts w:ascii="Arial" w:hAnsi="Arial"/>
        </w:rPr>
        <w:t xml:space="preserve"> (2015) reported that half of atopic dogs exhibited lymphopenia, eosinophilia, neutrophilia, mild anemia and increased liver enzymes, reflecting both immune activation and hepatic insult that occurs in chronic disease conditions. Similarly, Meena </w:t>
      </w:r>
      <w:r>
        <w:rPr>
          <w:rFonts w:ascii="Arial" w:hAnsi="Arial"/>
          <w:i/>
          <w:iCs/>
        </w:rPr>
        <w:t>et al.</w:t>
      </w:r>
      <w:r>
        <w:rPr>
          <w:rFonts w:ascii="Arial" w:hAnsi="Arial"/>
        </w:rPr>
        <w:t xml:space="preserve"> (2022) and Ramos </w:t>
      </w:r>
      <w:r>
        <w:rPr>
          <w:rFonts w:ascii="Arial" w:hAnsi="Arial"/>
          <w:i/>
          <w:iCs/>
        </w:rPr>
        <w:t>et al.</w:t>
      </w:r>
      <w:r>
        <w:rPr>
          <w:rFonts w:ascii="Arial" w:hAnsi="Arial"/>
        </w:rPr>
        <w:t xml:space="preserve"> (2024) described persistent immune activation, altered red cell indices and increased acute-phase proteins in CAD, even in treated dogs.</w:t>
      </w:r>
    </w:p>
    <w:p w14:paraId="04C298A3" w14:textId="77777777" w:rsidR="005A1076" w:rsidRDefault="005A1076">
      <w:pPr>
        <w:pStyle w:val="BodyA"/>
        <w:spacing w:after="0"/>
        <w:rPr>
          <w:rFonts w:ascii="Arial" w:eastAsia="Arial" w:hAnsi="Arial" w:cs="Arial"/>
        </w:rPr>
      </w:pPr>
    </w:p>
    <w:p w14:paraId="38666175" w14:textId="77777777" w:rsidR="005A1076" w:rsidRDefault="00A31EB4">
      <w:pPr>
        <w:pStyle w:val="BodyA"/>
        <w:spacing w:after="0"/>
        <w:rPr>
          <w:rFonts w:ascii="Arial" w:eastAsia="Arial" w:hAnsi="Arial" w:cs="Arial"/>
        </w:rPr>
      </w:pPr>
      <w:r>
        <w:rPr>
          <w:rFonts w:ascii="Arial" w:hAnsi="Arial"/>
        </w:rPr>
        <w:t xml:space="preserve">The lokivetmab administration showed progressive normalization of hematological indices which  indicates the reversal of inflammatory suppression. This supports the hypothesis that IL-31 blockade not only alleviates clinical symptoms but also mitigates underlying systemic inflammation (Ramos </w:t>
      </w:r>
      <w:r>
        <w:rPr>
          <w:rFonts w:ascii="Arial" w:hAnsi="Arial"/>
          <w:i/>
          <w:iCs/>
        </w:rPr>
        <w:t>et al</w:t>
      </w:r>
      <w:r>
        <w:rPr>
          <w:rFonts w:ascii="Arial" w:hAnsi="Arial"/>
        </w:rPr>
        <w:t>., 2024).</w:t>
      </w:r>
    </w:p>
    <w:p w14:paraId="4AB5A0D7" w14:textId="77777777" w:rsidR="005A1076" w:rsidRDefault="00A31EB4">
      <w:pPr>
        <w:pStyle w:val="BodyA"/>
        <w:spacing w:after="0"/>
        <w:rPr>
          <w:rFonts w:ascii="Arial" w:eastAsia="Arial" w:hAnsi="Arial" w:cs="Arial"/>
        </w:rPr>
      </w:pPr>
      <w:r>
        <w:rPr>
          <w:rFonts w:ascii="Arial" w:hAnsi="Arial"/>
        </w:rPr>
        <w:t xml:space="preserve">In the present study,  eosinophil counts after treatment remained stable which  further reinforce the role of targeted immunomodulation. This is in contrast with Brar </w:t>
      </w:r>
      <w:r>
        <w:rPr>
          <w:rFonts w:ascii="Arial" w:hAnsi="Arial"/>
          <w:i/>
          <w:iCs/>
        </w:rPr>
        <w:t>et al</w:t>
      </w:r>
      <w:r>
        <w:rPr>
          <w:rFonts w:ascii="Arial" w:hAnsi="Arial"/>
        </w:rPr>
        <w:t>., 2017 who reported eosinophilia in CAD.</w:t>
      </w:r>
    </w:p>
    <w:p w14:paraId="34E8420E" w14:textId="77777777" w:rsidR="005A1076" w:rsidRDefault="005A1076">
      <w:pPr>
        <w:pStyle w:val="BodyA"/>
        <w:spacing w:after="0"/>
        <w:rPr>
          <w:rFonts w:ascii="Arial" w:eastAsia="Arial" w:hAnsi="Arial" w:cs="Arial"/>
        </w:rPr>
      </w:pPr>
    </w:p>
    <w:p w14:paraId="4D3AE6C8" w14:textId="77777777" w:rsidR="005A1076" w:rsidRDefault="00A31EB4">
      <w:pPr>
        <w:pStyle w:val="BodyA"/>
        <w:spacing w:after="0"/>
        <w:rPr>
          <w:rFonts w:ascii="Arial" w:eastAsia="Arial" w:hAnsi="Arial" w:cs="Arial"/>
        </w:rPr>
      </w:pPr>
      <w:r>
        <w:rPr>
          <w:rFonts w:ascii="Arial" w:hAnsi="Arial"/>
        </w:rPr>
        <w:t xml:space="preserve">Biochemical parameters remained consistent, showing no notable alterations in renal markers along with a slight and temporary increases in liver enzymes. The study findings were consistent with earlier findings indicating that atopic dogs often maintain stable renal and hepatic function even in the presence of low-grade systemic inflammation (Meena </w:t>
      </w:r>
      <w:r>
        <w:rPr>
          <w:rFonts w:ascii="Arial" w:hAnsi="Arial"/>
          <w:i/>
          <w:iCs/>
        </w:rPr>
        <w:t>et al.</w:t>
      </w:r>
      <w:r>
        <w:rPr>
          <w:rFonts w:ascii="Arial" w:hAnsi="Arial"/>
        </w:rPr>
        <w:t>, 2022).</w:t>
      </w:r>
    </w:p>
    <w:p w14:paraId="67B45C5F" w14:textId="77777777" w:rsidR="005A1076" w:rsidRDefault="005A1076">
      <w:pPr>
        <w:pStyle w:val="BodyA"/>
        <w:spacing w:after="0"/>
        <w:rPr>
          <w:rFonts w:ascii="Arial" w:eastAsia="Arial" w:hAnsi="Arial" w:cs="Arial"/>
        </w:rPr>
      </w:pPr>
    </w:p>
    <w:p w14:paraId="0D48A0ED" w14:textId="77777777" w:rsidR="005A1076" w:rsidRDefault="00A31EB4">
      <w:pPr>
        <w:pStyle w:val="BodyA"/>
        <w:spacing w:after="0"/>
        <w:rPr>
          <w:rFonts w:ascii="Arial" w:eastAsia="Arial" w:hAnsi="Arial" w:cs="Arial"/>
        </w:rPr>
      </w:pPr>
      <w:r>
        <w:rPr>
          <w:rFonts w:ascii="Arial" w:hAnsi="Arial"/>
        </w:rPr>
        <w:t xml:space="preserve">The safety profile of lokivetmab observed in this study aligns with findings of clinical trials and safety assessments conducted. Studies by Michels et al. (2016b), Van Brussel </w:t>
      </w:r>
      <w:r>
        <w:rPr>
          <w:rFonts w:ascii="Arial" w:hAnsi="Arial"/>
          <w:i/>
          <w:iCs/>
        </w:rPr>
        <w:t xml:space="preserve">et al. </w:t>
      </w:r>
      <w:r>
        <w:rPr>
          <w:rFonts w:ascii="Arial" w:hAnsi="Arial"/>
        </w:rPr>
        <w:t xml:space="preserve">(2021) and Moyaert </w:t>
      </w:r>
      <w:r>
        <w:rPr>
          <w:rFonts w:ascii="Arial" w:hAnsi="Arial"/>
          <w:i/>
          <w:iCs/>
        </w:rPr>
        <w:t>et al.</w:t>
      </w:r>
      <w:r>
        <w:rPr>
          <w:rFonts w:ascii="Arial" w:hAnsi="Arial"/>
        </w:rPr>
        <w:t xml:space="preserve"> (2017) indicated that lokivetmab remained well-tolerated, with no significant hematological or biochemical alterations. They observed minor changes in laboratory values,  but remained within normal physiological ranges.</w:t>
      </w:r>
    </w:p>
    <w:p w14:paraId="3652539A" w14:textId="77777777" w:rsidR="005A1076" w:rsidRDefault="005A1076">
      <w:pPr>
        <w:pStyle w:val="BodyA"/>
        <w:spacing w:after="0"/>
        <w:rPr>
          <w:rFonts w:ascii="Arial" w:eastAsia="Arial" w:hAnsi="Arial" w:cs="Arial"/>
        </w:rPr>
      </w:pPr>
    </w:p>
    <w:p w14:paraId="0F5E1AEF" w14:textId="77777777" w:rsidR="005A1076" w:rsidRDefault="00A31EB4">
      <w:pPr>
        <w:pStyle w:val="ConcHead"/>
        <w:spacing w:after="0"/>
        <w:jc w:val="both"/>
        <w:rPr>
          <w:rFonts w:ascii="Arial" w:eastAsia="Arial" w:hAnsi="Arial" w:cs="Arial"/>
        </w:rPr>
      </w:pPr>
      <w:r>
        <w:rPr>
          <w:rFonts w:ascii="Arial" w:hAnsi="Arial"/>
        </w:rPr>
        <w:t>4. Conclusion</w:t>
      </w:r>
    </w:p>
    <w:p w14:paraId="283BEA17" w14:textId="77777777" w:rsidR="005A1076" w:rsidRDefault="005A1076">
      <w:pPr>
        <w:pStyle w:val="ConcHead"/>
        <w:spacing w:after="0"/>
        <w:jc w:val="both"/>
        <w:rPr>
          <w:rFonts w:ascii="Arial" w:eastAsia="Arial" w:hAnsi="Arial" w:cs="Arial"/>
        </w:rPr>
      </w:pPr>
    </w:p>
    <w:p w14:paraId="1D902EBA" w14:textId="77777777" w:rsidR="005A1076" w:rsidRDefault="00A31EB4">
      <w:pPr>
        <w:pStyle w:val="BodyA"/>
        <w:spacing w:after="0"/>
        <w:rPr>
          <w:rFonts w:ascii="Arial" w:eastAsia="Arial" w:hAnsi="Arial" w:cs="Arial"/>
        </w:rPr>
      </w:pPr>
      <w:r>
        <w:rPr>
          <w:rFonts w:ascii="Arial" w:hAnsi="Arial"/>
        </w:rPr>
        <w:t>Lokivetmab treatment showed significant clinical and hematological improvements in Indian dogs suffering from moderate CAD. Its specific action, monthly administration and low incidence of systemic side effects strengthen its position as a primary biologic therapy for CAD, particularly in scenarios where traditional treatments might be constrained by systemic side effects or existing hematobiochemical issues.</w:t>
      </w:r>
    </w:p>
    <w:p w14:paraId="3F5D5C27" w14:textId="77777777" w:rsidR="005A1076" w:rsidRDefault="005A1076">
      <w:pPr>
        <w:pStyle w:val="ReferHead"/>
        <w:spacing w:after="0"/>
        <w:jc w:val="both"/>
        <w:rPr>
          <w:rFonts w:ascii="Arial" w:eastAsia="Arial" w:hAnsi="Arial" w:cs="Arial"/>
        </w:rPr>
      </w:pPr>
    </w:p>
    <w:p w14:paraId="58620A42" w14:textId="77777777" w:rsidR="005A1076" w:rsidRDefault="00A31EB4">
      <w:pPr>
        <w:pStyle w:val="ReferHead"/>
        <w:spacing w:after="0"/>
        <w:jc w:val="both"/>
        <w:rPr>
          <w:rFonts w:ascii="Arial" w:eastAsia="Arial" w:hAnsi="Arial" w:cs="Arial"/>
        </w:rPr>
      </w:pPr>
      <w:r>
        <w:rPr>
          <w:rFonts w:ascii="Arial" w:hAnsi="Arial"/>
        </w:rPr>
        <w:t>Consent</w:t>
      </w:r>
    </w:p>
    <w:p w14:paraId="443068CF" w14:textId="77777777" w:rsidR="005A1076" w:rsidRDefault="005A1076">
      <w:pPr>
        <w:pStyle w:val="ReferHead"/>
        <w:spacing w:after="0"/>
        <w:jc w:val="both"/>
        <w:rPr>
          <w:rFonts w:ascii="Arial" w:eastAsia="Arial" w:hAnsi="Arial" w:cs="Arial"/>
        </w:rPr>
      </w:pPr>
    </w:p>
    <w:p w14:paraId="10319715" w14:textId="77777777" w:rsidR="005A1076" w:rsidRDefault="00A31EB4">
      <w:pPr>
        <w:pStyle w:val="ReferHead"/>
        <w:spacing w:after="0"/>
        <w:jc w:val="both"/>
        <w:rPr>
          <w:rFonts w:ascii="Arial" w:eastAsia="Arial" w:hAnsi="Arial" w:cs="Arial"/>
          <w:b w:val="0"/>
          <w:bCs w:val="0"/>
          <w:caps w:val="0"/>
          <w:sz w:val="20"/>
          <w:szCs w:val="20"/>
        </w:rPr>
      </w:pPr>
      <w:r>
        <w:rPr>
          <w:rFonts w:ascii="Arial" w:hAnsi="Arial"/>
          <w:b w:val="0"/>
          <w:bCs w:val="0"/>
          <w:caps w:val="0"/>
          <w:sz w:val="20"/>
          <w:szCs w:val="20"/>
        </w:rPr>
        <w:t xml:space="preserve">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 </w:t>
      </w:r>
    </w:p>
    <w:p w14:paraId="597DB7DA" w14:textId="77777777" w:rsidR="005A1076" w:rsidRDefault="005A1076">
      <w:pPr>
        <w:pStyle w:val="Appendix"/>
        <w:spacing w:after="0"/>
        <w:jc w:val="both"/>
        <w:rPr>
          <w:rFonts w:ascii="Arial" w:eastAsia="Arial" w:hAnsi="Arial" w:cs="Arial"/>
          <w:b w:val="0"/>
          <w:bCs w:val="0"/>
          <w:caps w:val="0"/>
          <w:sz w:val="20"/>
          <w:szCs w:val="20"/>
        </w:rPr>
      </w:pPr>
    </w:p>
    <w:p w14:paraId="4702FB04" w14:textId="77777777" w:rsidR="005A1076" w:rsidRDefault="00A31EB4">
      <w:pPr>
        <w:pStyle w:val="Default"/>
        <w:suppressAutoHyphens/>
        <w:spacing w:before="0" w:line="240" w:lineRule="auto"/>
        <w:rPr>
          <w:rFonts w:ascii="Helvetica" w:eastAsia="Helvetica" w:hAnsi="Helvetica" w:cs="Helvetica"/>
          <w:b/>
          <w:bCs/>
          <w:sz w:val="20"/>
          <w:szCs w:val="20"/>
          <w:shd w:val="clear" w:color="auto" w:fill="FFFFFF"/>
        </w:rPr>
      </w:pPr>
      <w:r>
        <w:rPr>
          <w:rFonts w:ascii="Helvetica" w:hAnsi="Helvetica"/>
          <w:b/>
          <w:bCs/>
          <w:sz w:val="20"/>
          <w:szCs w:val="20"/>
          <w:shd w:val="clear" w:color="auto" w:fill="FFFFFF"/>
        </w:rPr>
        <w:t>DISCLAIMER (ARTIFICIAL INTELLIGENCE)</w:t>
      </w:r>
    </w:p>
    <w:p w14:paraId="5864939B" w14:textId="77777777" w:rsidR="005A1076" w:rsidRDefault="00A31EB4">
      <w:pPr>
        <w:pStyle w:val="Default"/>
        <w:suppressAutoHyphens/>
        <w:spacing w:before="0" w:line="240" w:lineRule="auto"/>
        <w:rPr>
          <w:rFonts w:ascii="Helvetica" w:hAnsi="Helvetica"/>
          <w:sz w:val="20"/>
          <w:szCs w:val="20"/>
          <w:shd w:val="clear" w:color="auto" w:fill="FFFFFF"/>
          <w:lang w:val="en-US"/>
        </w:rPr>
      </w:pPr>
      <w:r>
        <w:rPr>
          <w:rFonts w:ascii="Helvetica" w:hAnsi="Helvetica"/>
          <w:sz w:val="20"/>
          <w:szCs w:val="20"/>
          <w:shd w:val="clear" w:color="auto" w:fill="FFFFFF"/>
          <w:lang w:val="en-US"/>
        </w:rPr>
        <w:t>AI tools such as Copilot were used solely for grammar and language refinement during the preparation of this article. No AI generated content was included.</w:t>
      </w:r>
    </w:p>
    <w:p w14:paraId="0BC4B5D8" w14:textId="77777777" w:rsidR="00E02894" w:rsidRDefault="00E02894">
      <w:pPr>
        <w:pStyle w:val="Default"/>
        <w:suppressAutoHyphens/>
        <w:spacing w:before="0" w:line="240" w:lineRule="auto"/>
        <w:rPr>
          <w:rFonts w:ascii="Helvetica" w:hAnsi="Helvetica"/>
          <w:sz w:val="20"/>
          <w:szCs w:val="20"/>
          <w:shd w:val="clear" w:color="auto" w:fill="FFFFFF"/>
          <w:lang w:val="en-US"/>
        </w:rPr>
      </w:pPr>
    </w:p>
    <w:p w14:paraId="67B08A41" w14:textId="77777777" w:rsidR="00E02894" w:rsidRPr="00E02894"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outlineLvl w:val="0"/>
        <w:rPr>
          <w:rFonts w:ascii="Arial" w:eastAsia="Times New Roman" w:hAnsi="Arial" w:cs="Arial"/>
          <w:sz w:val="22"/>
          <w:szCs w:val="22"/>
          <w:bdr w:val="none" w:sz="0" w:space="0" w:color="auto"/>
          <w:lang w:val="en-GB" w:eastAsia="en-GB"/>
        </w:rPr>
      </w:pPr>
      <w:r w:rsidRPr="00E02894">
        <w:rPr>
          <w:rFonts w:ascii="Arial" w:eastAsia="Times New Roman" w:hAnsi="Arial" w:cs="Arial"/>
          <w:b/>
          <w:bCs/>
          <w:sz w:val="22"/>
          <w:szCs w:val="22"/>
          <w:bdr w:val="none" w:sz="0" w:space="0" w:color="auto"/>
          <w:lang w:val="en-GB" w:eastAsia="en-GB"/>
        </w:rPr>
        <w:t>COMPETING INTERESTS DISCLAIMER:</w:t>
      </w:r>
    </w:p>
    <w:p w14:paraId="7AB4C8C6" w14:textId="77777777" w:rsidR="00E02894" w:rsidRPr="00E02894" w:rsidRDefault="00E02894" w:rsidP="00E028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sz w:val="22"/>
          <w:szCs w:val="22"/>
          <w:bdr w:val="none" w:sz="0" w:space="0" w:color="auto"/>
          <w:lang w:val="en-GB" w:eastAsia="en-GB"/>
        </w:rPr>
      </w:pPr>
      <w:r w:rsidRPr="00E02894">
        <w:rPr>
          <w:rFonts w:ascii="Calibri" w:eastAsia="Times New Roman" w:hAnsi="Calibri"/>
          <w:sz w:val="22"/>
          <w:szCs w:val="22"/>
          <w:bdr w:val="none" w:sz="0" w:space="0" w:color="auto"/>
          <w:lang w:val="en-GB" w:eastAsia="en-GB"/>
        </w:rPr>
        <w:t>Authors have declared that they have no known competing financial interests OR non-financial interests OR personal relationships that could have appeared to influence the work reported in this paper.</w:t>
      </w:r>
    </w:p>
    <w:p w14:paraId="2E06C121" w14:textId="77777777" w:rsidR="00E02894" w:rsidRDefault="00E02894">
      <w:pPr>
        <w:pStyle w:val="Default"/>
        <w:suppressAutoHyphens/>
        <w:spacing w:before="0" w:line="240" w:lineRule="auto"/>
        <w:rPr>
          <w:rFonts w:ascii="Helvetica" w:eastAsia="Helvetica" w:hAnsi="Helvetica" w:cs="Helvetica"/>
          <w:sz w:val="33"/>
          <w:szCs w:val="33"/>
          <w:shd w:val="clear" w:color="auto" w:fill="FFFFFF"/>
          <w:lang w:val="en-US"/>
        </w:rPr>
      </w:pPr>
    </w:p>
    <w:p w14:paraId="257F8245" w14:textId="77777777" w:rsidR="005A1076" w:rsidRDefault="005A1076">
      <w:pPr>
        <w:pStyle w:val="BodyB"/>
        <w:rPr>
          <w:rFonts w:ascii="Arial" w:eastAsia="Arial" w:hAnsi="Arial" w:cs="Arial"/>
        </w:rPr>
      </w:pPr>
    </w:p>
    <w:p w14:paraId="27B54631" w14:textId="77777777" w:rsidR="005A1076" w:rsidRDefault="00A31EB4">
      <w:pPr>
        <w:pStyle w:val="ReferHead"/>
        <w:spacing w:after="0"/>
        <w:jc w:val="both"/>
        <w:rPr>
          <w:rFonts w:ascii="Arial" w:eastAsia="Arial" w:hAnsi="Arial" w:cs="Arial"/>
        </w:rPr>
      </w:pPr>
      <w:r>
        <w:rPr>
          <w:rFonts w:ascii="Arial" w:hAnsi="Arial"/>
        </w:rPr>
        <w:t>References</w:t>
      </w:r>
    </w:p>
    <w:p w14:paraId="70529752" w14:textId="77777777" w:rsidR="005A1076" w:rsidRDefault="005A1076">
      <w:pPr>
        <w:pStyle w:val="BodyA"/>
        <w:spacing w:after="0"/>
        <w:rPr>
          <w:rFonts w:ascii="Arial" w:eastAsia="Arial" w:hAnsi="Arial" w:cs="Arial"/>
        </w:rPr>
      </w:pPr>
    </w:p>
    <w:p w14:paraId="2B84169B" w14:textId="77777777" w:rsidR="005A1076" w:rsidRDefault="00A31EB4">
      <w:pPr>
        <w:pStyle w:val="BodyA"/>
        <w:spacing w:after="0"/>
        <w:ind w:left="720" w:hanging="720"/>
        <w:rPr>
          <w:rFonts w:ascii="Arial" w:eastAsia="Arial" w:hAnsi="Arial" w:cs="Arial"/>
          <w:sz w:val="24"/>
          <w:szCs w:val="24"/>
        </w:rPr>
      </w:pPr>
      <w:r>
        <w:rPr>
          <w:rFonts w:ascii="Arial" w:hAnsi="Arial"/>
        </w:rPr>
        <w:t>A</w:t>
      </w:r>
      <w:r>
        <w:rPr>
          <w:rFonts w:ascii="Arial" w:hAnsi="Arial"/>
          <w:sz w:val="24"/>
          <w:szCs w:val="24"/>
        </w:rPr>
        <w:t>mbiliy, V.R, Usha, N.P, Ajithkumar, S., Deepa, C., Vinu David, P., Maya, S., et al. (2022). A prospective study on haemato-biochemical aspects of atopic dermatitis in dogs. Journal of Veterinary and Animal Sciences, 53(4), 731–739.</w:t>
      </w:r>
    </w:p>
    <w:p w14:paraId="05640EDB" w14:textId="77777777" w:rsidR="005A1076" w:rsidRDefault="005A1076">
      <w:pPr>
        <w:pStyle w:val="BodyA"/>
        <w:spacing w:after="0"/>
        <w:ind w:left="720" w:hanging="720"/>
        <w:rPr>
          <w:rFonts w:ascii="Arial" w:eastAsia="Arial" w:hAnsi="Arial" w:cs="Arial"/>
          <w:sz w:val="24"/>
          <w:szCs w:val="24"/>
        </w:rPr>
      </w:pPr>
    </w:p>
    <w:p w14:paraId="6A9A932A"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Brar, R.K., Dhaliwal, P.S., Kumar, A., Chhabra, S., &amp; Uppal, S.K. (2017). Clinicopathological studies on atopic dermatitis in dogs. Journal of Animal Research, 7(3), 507.</w:t>
      </w:r>
    </w:p>
    <w:p w14:paraId="470CA785" w14:textId="77777777" w:rsidR="005A1076" w:rsidRDefault="005A1076">
      <w:pPr>
        <w:pStyle w:val="BodyA"/>
        <w:spacing w:after="0"/>
        <w:ind w:left="720" w:hanging="720"/>
        <w:rPr>
          <w:rFonts w:ascii="Arial" w:eastAsia="Arial" w:hAnsi="Arial" w:cs="Arial"/>
          <w:sz w:val="24"/>
          <w:szCs w:val="24"/>
        </w:rPr>
      </w:pPr>
    </w:p>
    <w:p w14:paraId="4B837D6C"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Dulman, O.M., Anton, A., &amp; Solcan, G. (2015). Variations in standard blood count and biochemical parameters in dogs with atopic dermatitis. Bulletin of University of Agricultural Sciences and Veterinary Medicine Cluj-Napoca. Veterinary Medicine, 72(1), 86–89.</w:t>
      </w:r>
    </w:p>
    <w:p w14:paraId="0E6F657D" w14:textId="77777777" w:rsidR="005A1076" w:rsidRDefault="005A1076">
      <w:pPr>
        <w:pStyle w:val="BodyA"/>
        <w:spacing w:after="0"/>
        <w:ind w:left="720" w:hanging="720"/>
        <w:rPr>
          <w:rFonts w:ascii="Arial" w:eastAsia="Arial" w:hAnsi="Arial" w:cs="Arial"/>
          <w:sz w:val="24"/>
          <w:szCs w:val="24"/>
        </w:rPr>
      </w:pPr>
    </w:p>
    <w:p w14:paraId="62952A4D"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Hillier, A., &amp; Griffin, C. E. (2001). The ACVD task force on canine atopic dermatitis (I): incidence and prevalence. Veterinary immunology and immunopathology, 81(3-4), 147-151.</w:t>
      </w:r>
    </w:p>
    <w:p w14:paraId="0F84A72A" w14:textId="77777777" w:rsidR="005A1076" w:rsidRDefault="005A1076">
      <w:pPr>
        <w:pStyle w:val="BodyA"/>
        <w:spacing w:after="0"/>
        <w:ind w:left="720" w:hanging="720"/>
        <w:rPr>
          <w:rFonts w:ascii="Arial" w:eastAsia="Arial" w:hAnsi="Arial" w:cs="Arial"/>
          <w:sz w:val="24"/>
          <w:szCs w:val="24"/>
        </w:rPr>
      </w:pPr>
    </w:p>
    <w:p w14:paraId="6F0DABE7"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Meena, A.K., Mali, M.M., Meena, D.S., Jeph, N.K., &amp; Meena, N. (2022). Haemato-biochemical studies on atopic dermatitis in dogs. Veterinary Practitioner, 23(2), 322–324.</w:t>
      </w:r>
    </w:p>
    <w:p w14:paraId="7A88BF37" w14:textId="77777777" w:rsidR="005A1076" w:rsidRDefault="005A1076">
      <w:pPr>
        <w:pStyle w:val="BodyA"/>
        <w:spacing w:after="0"/>
        <w:ind w:left="720" w:hanging="720"/>
        <w:rPr>
          <w:rFonts w:ascii="Arial" w:eastAsia="Arial" w:hAnsi="Arial" w:cs="Arial"/>
          <w:sz w:val="24"/>
          <w:szCs w:val="24"/>
        </w:rPr>
      </w:pPr>
    </w:p>
    <w:p w14:paraId="6B1C9C63"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Michels, G. M., Ramsey, D. S., Mahabir, S., Hoevers, J., Walters, R. R., Martinon, O., &amp; Dunham, S. (2015). Proof-of-concept efficacy and safety study of an anti-interleukin-31 monoclonal antibody for the treatment of atopic dermatitis in client-owned dogs. Veterinary Dermatology, 26(3), 138.</w:t>
      </w:r>
    </w:p>
    <w:p w14:paraId="43A86219" w14:textId="77777777" w:rsidR="005A1076" w:rsidRDefault="005A1076">
      <w:pPr>
        <w:pStyle w:val="BodyA"/>
        <w:spacing w:after="0"/>
        <w:ind w:left="720" w:hanging="720"/>
        <w:rPr>
          <w:rFonts w:ascii="Arial" w:eastAsia="Arial" w:hAnsi="Arial" w:cs="Arial"/>
          <w:sz w:val="24"/>
          <w:szCs w:val="24"/>
        </w:rPr>
      </w:pPr>
    </w:p>
    <w:p w14:paraId="2DC834B9"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lastRenderedPageBreak/>
        <w:t xml:space="preserve">Michels, G. M., Ramsey, D. S., Walsh, K. F., Martinon, O. M., Mahabir, S. P., Hoevers, J. D., ... &amp; Dunham, S. A. (2016a). A blinded, randomized, placebo‐controlled, dose determination trial of lokivetmab (ZTS‐00103289), a caninized, anti‐canine IL‐31 monoclonal antibody in client owned dogs with atopic dermatitis. Veterinary dermatology, </w:t>
      </w:r>
      <w:r>
        <w:rPr>
          <w:rFonts w:ascii="Arial" w:hAnsi="Arial"/>
          <w:i/>
          <w:iCs/>
          <w:sz w:val="24"/>
          <w:szCs w:val="24"/>
        </w:rPr>
        <w:t>27</w:t>
      </w:r>
      <w:r>
        <w:rPr>
          <w:rFonts w:ascii="Arial" w:hAnsi="Arial"/>
          <w:sz w:val="24"/>
          <w:szCs w:val="24"/>
        </w:rPr>
        <w:t>(6), 478-e129.</w:t>
      </w:r>
    </w:p>
    <w:p w14:paraId="749B564D" w14:textId="77777777" w:rsidR="005A1076" w:rsidRDefault="005A1076">
      <w:pPr>
        <w:pStyle w:val="BodyA"/>
        <w:spacing w:after="0"/>
        <w:ind w:left="720" w:hanging="720"/>
        <w:rPr>
          <w:rFonts w:ascii="Arial" w:eastAsia="Arial" w:hAnsi="Arial" w:cs="Arial"/>
          <w:sz w:val="24"/>
          <w:szCs w:val="24"/>
        </w:rPr>
      </w:pPr>
    </w:p>
    <w:p w14:paraId="064AB18D"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Michels, G.M., Walsh, K.F., Kryda, K.A., Mahabir, S.P., Walters, R.R., Hoevers, J.D., et al. (2016b). A blinded, randomized, placebo‐controlled trial of the safety of lokivetmab (ZTS‐00103289), a caninized anti‐canine IL‐31 monoclonal antibody in client‐owned dogs with atopic dermatitis. Veterinary Dermatology, 27(6), 505–e136.</w:t>
      </w:r>
    </w:p>
    <w:p w14:paraId="7A8A1F26" w14:textId="77777777" w:rsidR="005A1076" w:rsidRDefault="005A1076">
      <w:pPr>
        <w:pStyle w:val="BodyA"/>
        <w:spacing w:after="0"/>
        <w:ind w:left="720" w:hanging="720"/>
        <w:rPr>
          <w:rFonts w:ascii="Arial" w:eastAsia="Arial" w:hAnsi="Arial" w:cs="Arial"/>
          <w:sz w:val="24"/>
          <w:szCs w:val="24"/>
        </w:rPr>
      </w:pPr>
    </w:p>
    <w:p w14:paraId="1FD9E619"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Moyaert, H., Van Brussel, L., Borowski, S., Escalada, M., Mahabir, S.P., Walters, R.R., et al. (2017). A blinded, randomized clinical trial evaluating the efficacy and safety of lokivetmab compared to ciclosporin in client‐owned dogs with atopic dermatitis. Veterinary Dermatology, 28(6), 593–e145.</w:t>
      </w:r>
    </w:p>
    <w:p w14:paraId="055D1923" w14:textId="77777777" w:rsidR="005A1076" w:rsidRDefault="005A1076">
      <w:pPr>
        <w:pStyle w:val="BodyA"/>
        <w:spacing w:after="0"/>
        <w:ind w:left="720" w:hanging="720"/>
        <w:rPr>
          <w:rFonts w:ascii="Arial" w:eastAsia="Arial" w:hAnsi="Arial" w:cs="Arial"/>
          <w:sz w:val="24"/>
          <w:szCs w:val="24"/>
        </w:rPr>
      </w:pPr>
    </w:p>
    <w:p w14:paraId="5F9A1533"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Ovacik, M., &amp; Lin, K. (2018). Tutorial on monoclonal antibody pharmacokinetics and its considerations in early development. Clinical and translational science, 11(6), 540-552.</w:t>
      </w:r>
    </w:p>
    <w:p w14:paraId="352C3C4A" w14:textId="77777777" w:rsidR="005A1076" w:rsidRDefault="005A1076">
      <w:pPr>
        <w:pStyle w:val="BodyA"/>
        <w:spacing w:after="0"/>
        <w:ind w:left="720" w:hanging="720"/>
        <w:rPr>
          <w:rFonts w:ascii="Arial" w:eastAsia="Arial" w:hAnsi="Arial" w:cs="Arial"/>
          <w:sz w:val="24"/>
          <w:szCs w:val="24"/>
        </w:rPr>
      </w:pPr>
    </w:p>
    <w:p w14:paraId="7D11B8E6" w14:textId="77777777" w:rsidR="005A1076" w:rsidRDefault="00A31EB4">
      <w:pPr>
        <w:pStyle w:val="BodyA"/>
        <w:spacing w:after="0"/>
        <w:ind w:left="720" w:hanging="720"/>
        <w:rPr>
          <w:rFonts w:ascii="Arial" w:eastAsia="Arial" w:hAnsi="Arial" w:cs="Arial"/>
          <w:sz w:val="24"/>
          <w:szCs w:val="24"/>
        </w:rPr>
      </w:pPr>
      <w:r>
        <w:rPr>
          <w:rFonts w:ascii="Arial" w:hAnsi="Arial"/>
          <w:sz w:val="24"/>
          <w:szCs w:val="24"/>
        </w:rPr>
        <w:t>Ramos, C.F., Doulidis, P.G., Polakova, N., Burgener, I.A., Jensen-Jarolim, E., Cimarelli, G., et al. (2024). Iron deficiency in dogs suffering from atopic dermatitis. BMC Veterinary Research, 20(1), 506.</w:t>
      </w:r>
    </w:p>
    <w:p w14:paraId="2BEF3D7A" w14:textId="77777777" w:rsidR="005A1076" w:rsidRDefault="005A1076">
      <w:pPr>
        <w:pStyle w:val="BodyA"/>
        <w:spacing w:after="0"/>
        <w:ind w:left="720" w:hanging="720"/>
        <w:rPr>
          <w:rFonts w:ascii="Arial" w:eastAsia="Arial" w:hAnsi="Arial" w:cs="Arial"/>
          <w:sz w:val="24"/>
          <w:szCs w:val="24"/>
        </w:rPr>
      </w:pPr>
    </w:p>
    <w:p w14:paraId="141636C8" w14:textId="77777777" w:rsidR="005A1076" w:rsidRDefault="00A31EB4">
      <w:pPr>
        <w:pStyle w:val="BodyA"/>
        <w:spacing w:after="0"/>
        <w:ind w:left="720" w:hanging="720"/>
      </w:pPr>
      <w:r>
        <w:rPr>
          <w:rFonts w:ascii="Arial" w:hAnsi="Arial"/>
          <w:sz w:val="24"/>
          <w:szCs w:val="24"/>
        </w:rPr>
        <w:t>Van Brussel, L., Moyaert, H., Escalada, M., Mahabir, S.P., &amp; Stegemann, M.R. (2021). A masked, randomised clinical trial evaluating the efficacy and safety of lokivetmab compared to saline control in client‐owned dogs with allergic dermatitis. Veterinary Dermatology, 32(5), 477–e131.</w:t>
      </w:r>
    </w:p>
    <w:sectPr w:rsidR="005A1076">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720" w:left="201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25-07-05T06:19:00Z" w:initials="A">
    <w:p w14:paraId="7659CF9B" w14:textId="24ECCDC6" w:rsidR="007D3E2B" w:rsidRDefault="007D3E2B">
      <w:pPr>
        <w:pStyle w:val="CommentText"/>
      </w:pPr>
      <w:r>
        <w:rPr>
          <w:rStyle w:val="CommentReference"/>
        </w:rPr>
        <w:annotationRef/>
      </w:r>
      <w:r>
        <w:t>Name some of them</w:t>
      </w:r>
    </w:p>
  </w:comment>
  <w:comment w:id="1" w:author="Administrator" w:date="2025-07-05T06:09:00Z" w:initials="A">
    <w:p w14:paraId="1C6CFFE7" w14:textId="1E84DDDC" w:rsidR="004C5901" w:rsidRDefault="004C5901">
      <w:pPr>
        <w:pStyle w:val="CommentText"/>
      </w:pPr>
      <w:r>
        <w:rPr>
          <w:rStyle w:val="CommentReference"/>
        </w:rPr>
        <w:annotationRef/>
      </w:r>
      <w:r>
        <w:t>What is the reference of this dose?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9CF9B" w15:done="0"/>
  <w15:commentEx w15:paraId="1C6CF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3428C" w16cex:dateUtc="2025-07-05T13:19:00Z"/>
  <w16cex:commentExtensible w16cex:durableId="2C134005" w16cex:dateUtc="2025-07-05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9CF9B" w16cid:durableId="2C13428C"/>
  <w16cid:commentId w16cid:paraId="1C6CFFE7" w16cid:durableId="2C1340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420F" w14:textId="77777777" w:rsidR="0032146B" w:rsidRDefault="0032146B">
      <w:r>
        <w:separator/>
      </w:r>
    </w:p>
  </w:endnote>
  <w:endnote w:type="continuationSeparator" w:id="0">
    <w:p w14:paraId="17C17582" w14:textId="77777777" w:rsidR="0032146B" w:rsidRDefault="0032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6AAF" w14:textId="77777777" w:rsidR="008749A1" w:rsidRDefault="008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A6D8" w14:textId="77777777" w:rsidR="005A1076" w:rsidRDefault="005A1076">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F36C" w14:textId="77777777" w:rsidR="008749A1" w:rsidRDefault="008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2505" w14:textId="77777777" w:rsidR="0032146B" w:rsidRDefault="0032146B">
      <w:r>
        <w:separator/>
      </w:r>
    </w:p>
  </w:footnote>
  <w:footnote w:type="continuationSeparator" w:id="0">
    <w:p w14:paraId="377F3D19" w14:textId="77777777" w:rsidR="0032146B" w:rsidRDefault="0032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7A09" w14:textId="42B7B1FF" w:rsidR="008749A1" w:rsidRDefault="00000000">
    <w:pPr>
      <w:pStyle w:val="Header"/>
    </w:pPr>
    <w:r>
      <w:rPr>
        <w:noProof/>
      </w:rPr>
      <w:pict w14:anchorId="1B69B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10A1" w14:textId="1AC682BB" w:rsidR="005A1076" w:rsidRDefault="00000000">
    <w:pPr>
      <w:pStyle w:val="HeaderFooter"/>
      <w:rPr>
        <w:rFonts w:hint="eastAsia"/>
      </w:rPr>
    </w:pPr>
    <w:r>
      <w:rPr>
        <w:rFonts w:hint="eastAsia"/>
        <w:noProof/>
      </w:rPr>
      <w:pict w14:anchorId="15C0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D73F" w14:textId="01BB54C1" w:rsidR="008749A1" w:rsidRDefault="00000000">
    <w:pPr>
      <w:pStyle w:val="Header"/>
    </w:pPr>
    <w:r>
      <w:rPr>
        <w:noProof/>
      </w:rPr>
      <w:pict w14:anchorId="308BE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3078"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76"/>
    <w:rsid w:val="000E433B"/>
    <w:rsid w:val="001168AD"/>
    <w:rsid w:val="0032146B"/>
    <w:rsid w:val="004C5901"/>
    <w:rsid w:val="004C6813"/>
    <w:rsid w:val="005A1076"/>
    <w:rsid w:val="007D3E2B"/>
    <w:rsid w:val="00857456"/>
    <w:rsid w:val="008749A1"/>
    <w:rsid w:val="00931606"/>
    <w:rsid w:val="00A31EB4"/>
    <w:rsid w:val="00AD5AAC"/>
    <w:rsid w:val="00C53C75"/>
    <w:rsid w:val="00D36D4D"/>
    <w:rsid w:val="00E02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E61A7"/>
  <w15:docId w15:val="{368D1F2A-183D-4C87-B94D-38D8074C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spacing w:after="360"/>
      <w:jc w:val="right"/>
    </w:pPr>
    <w:rPr>
      <w:rFonts w:ascii="Helvetica" w:hAnsi="Helvetica" w:cs="Arial Unicode MS"/>
      <w:b/>
      <w:bCs/>
      <w:color w:val="000000"/>
      <w:kern w:val="28"/>
      <w:sz w:val="36"/>
      <w:szCs w:val="36"/>
      <w:u w:color="000000"/>
      <w14:textOutline w14:w="12700" w14:cap="flat" w14:cmpd="sng" w14:algn="ctr">
        <w14:noFill/>
        <w14:prstDash w14:val="solid"/>
        <w14:miter w14:lim="400000"/>
      </w14:textOutline>
    </w:rPr>
  </w:style>
  <w:style w:type="paragraph" w:customStyle="1" w:styleId="Author">
    <w:name w:val="Author"/>
    <w:pPr>
      <w:spacing w:line="280" w:lineRule="exact"/>
      <w:jc w:val="right"/>
    </w:pPr>
    <w:rPr>
      <w:rFonts w:ascii="Helvetica" w:hAnsi="Helvetica" w:cs="Arial Unicode MS"/>
      <w:b/>
      <w:bCs/>
      <w:color w:val="000000"/>
      <w:sz w:val="24"/>
      <w:szCs w:val="24"/>
      <w:u w:color="000000"/>
    </w:rPr>
  </w:style>
  <w:style w:type="paragraph" w:customStyle="1" w:styleId="Affiliation">
    <w:name w:val="Affiliation"/>
    <w:pPr>
      <w:spacing w:after="240" w:line="240" w:lineRule="exact"/>
      <w:jc w:val="right"/>
    </w:pPr>
    <w:rPr>
      <w:rFonts w:ascii="Helvetica" w:hAnsi="Helvetica" w:cs="Arial Unicode MS"/>
      <w:color w:val="000000"/>
      <w:u w:color="000000"/>
    </w:rPr>
  </w:style>
  <w:style w:type="paragraph" w:customStyle="1" w:styleId="Copyright">
    <w:name w:val="Copyright"/>
    <w:pPr>
      <w:spacing w:after="960" w:line="200" w:lineRule="exact"/>
    </w:pPr>
    <w:rPr>
      <w:rFonts w:ascii="Helvetica" w:eastAsia="Helvetica" w:hAnsi="Helvetica" w:cs="Helvetica"/>
      <w:color w:val="000000"/>
      <w:sz w:val="16"/>
      <w:szCs w:val="16"/>
      <w:u w:color="000000"/>
    </w:rPr>
  </w:style>
  <w:style w:type="paragraph" w:customStyle="1" w:styleId="BodyA">
    <w:name w:val="Body A"/>
    <w:pPr>
      <w:spacing w:after="240"/>
      <w:jc w:val="both"/>
    </w:pPr>
    <w:rPr>
      <w:rFonts w:ascii="Helvetica" w:hAnsi="Helvetica" w:cs="Arial Unicode MS"/>
      <w:color w:val="000000"/>
      <w:u w:color="000000"/>
    </w:rPr>
  </w:style>
  <w:style w:type="paragraph" w:customStyle="1" w:styleId="AbstHead">
    <w:name w:val="Abst Head"/>
    <w:pPr>
      <w:keepNext/>
      <w:spacing w:after="240"/>
    </w:pPr>
    <w:rPr>
      <w:rFonts w:ascii="Helvetica" w:eastAsia="Helvetica" w:hAnsi="Helvetica" w:cs="Helvetica"/>
      <w:b/>
      <w:bCs/>
      <w:caps/>
      <w:color w:val="000000"/>
      <w:sz w:val="22"/>
      <w:szCs w:val="22"/>
      <w:u w:color="000000"/>
    </w:rPr>
  </w:style>
  <w:style w:type="paragraph" w:customStyle="1" w:styleId="Head1">
    <w:name w:val="Head1"/>
    <w:pPr>
      <w:keepNext/>
      <w:spacing w:after="240"/>
    </w:pPr>
    <w:rPr>
      <w:rFonts w:ascii="Helvetica" w:hAnsi="Helvetica" w:cs="Arial Unicode MS"/>
      <w:b/>
      <w:bCs/>
      <w:caps/>
      <w:color w:val="000000"/>
      <w:sz w:val="22"/>
      <w:szCs w:val="22"/>
      <w:u w:color="000000"/>
    </w:rPr>
  </w:style>
  <w:style w:type="paragraph" w:customStyle="1" w:styleId="BodyB">
    <w:name w:val="Body B"/>
    <w:rPr>
      <w:rFonts w:ascii="Helvetica" w:hAnsi="Helvetica"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BodyText3">
    <w:name w:val="Body Text 3"/>
    <w:pPr>
      <w:spacing w:after="120"/>
    </w:pPr>
    <w:rPr>
      <w:rFonts w:ascii="Helvetica" w:eastAsia="Helvetica" w:hAnsi="Helvetica" w:cs="Helvetica"/>
      <w:color w:val="000000"/>
      <w:sz w:val="16"/>
      <w:szCs w:val="16"/>
      <w:u w:color="000000"/>
    </w:rPr>
  </w:style>
  <w:style w:type="paragraph" w:customStyle="1" w:styleId="ConcHead">
    <w:name w:val="Conc Head"/>
    <w:pPr>
      <w:keepNext/>
      <w:spacing w:after="240"/>
    </w:pPr>
    <w:rPr>
      <w:rFonts w:ascii="Helvetica" w:hAnsi="Helvetica" w:cs="Arial Unicode MS"/>
      <w:b/>
      <w:bCs/>
      <w:caps/>
      <w:color w:val="000000"/>
      <w:sz w:val="22"/>
      <w:szCs w:val="22"/>
      <w:u w:color="000000"/>
    </w:rPr>
  </w:style>
  <w:style w:type="paragraph" w:customStyle="1" w:styleId="ReferHead">
    <w:name w:val="Refer Head"/>
    <w:pPr>
      <w:keepNext/>
      <w:spacing w:after="240"/>
    </w:pPr>
    <w:rPr>
      <w:rFonts w:ascii="Helvetica" w:eastAsia="Helvetica" w:hAnsi="Helvetica" w:cs="Helvetica"/>
      <w:b/>
      <w:bCs/>
      <w:caps/>
      <w:color w:val="000000"/>
      <w:sz w:val="22"/>
      <w:szCs w:val="22"/>
      <w:u w:color="000000"/>
    </w:rPr>
  </w:style>
  <w:style w:type="paragraph" w:customStyle="1" w:styleId="Appendix">
    <w:name w:val="Appendix"/>
    <w:pPr>
      <w:keepNext/>
      <w:spacing w:after="240"/>
    </w:pPr>
    <w:rPr>
      <w:rFonts w:ascii="Helvetica" w:eastAsia="Helvetica" w:hAnsi="Helvetica" w:cs="Helvetica"/>
      <w:b/>
      <w:bCs/>
      <w:cap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0E433B"/>
    <w:rPr>
      <w:color w:val="605E5C"/>
      <w:shd w:val="clear" w:color="auto" w:fill="E1DFDD"/>
    </w:rPr>
  </w:style>
  <w:style w:type="paragraph" w:styleId="Header">
    <w:name w:val="header"/>
    <w:basedOn w:val="Normal"/>
    <w:link w:val="HeaderChar"/>
    <w:uiPriority w:val="99"/>
    <w:unhideWhenUsed/>
    <w:rsid w:val="008749A1"/>
    <w:pPr>
      <w:tabs>
        <w:tab w:val="center" w:pos="4680"/>
        <w:tab w:val="right" w:pos="9360"/>
      </w:tabs>
    </w:pPr>
  </w:style>
  <w:style w:type="character" w:customStyle="1" w:styleId="HeaderChar">
    <w:name w:val="Header Char"/>
    <w:basedOn w:val="DefaultParagraphFont"/>
    <w:link w:val="Header"/>
    <w:uiPriority w:val="99"/>
    <w:rsid w:val="008749A1"/>
    <w:rPr>
      <w:sz w:val="24"/>
      <w:szCs w:val="24"/>
    </w:rPr>
  </w:style>
  <w:style w:type="paragraph" w:styleId="Footer">
    <w:name w:val="footer"/>
    <w:basedOn w:val="Normal"/>
    <w:link w:val="FooterChar"/>
    <w:uiPriority w:val="99"/>
    <w:unhideWhenUsed/>
    <w:rsid w:val="008749A1"/>
    <w:pPr>
      <w:tabs>
        <w:tab w:val="center" w:pos="4680"/>
        <w:tab w:val="right" w:pos="9360"/>
      </w:tabs>
    </w:pPr>
  </w:style>
  <w:style w:type="character" w:customStyle="1" w:styleId="FooterChar">
    <w:name w:val="Footer Char"/>
    <w:basedOn w:val="DefaultParagraphFont"/>
    <w:link w:val="Footer"/>
    <w:uiPriority w:val="99"/>
    <w:rsid w:val="008749A1"/>
    <w:rPr>
      <w:sz w:val="24"/>
      <w:szCs w:val="24"/>
    </w:rPr>
  </w:style>
  <w:style w:type="character" w:styleId="CommentReference">
    <w:name w:val="annotation reference"/>
    <w:basedOn w:val="DefaultParagraphFont"/>
    <w:uiPriority w:val="99"/>
    <w:semiHidden/>
    <w:unhideWhenUsed/>
    <w:rsid w:val="004C5901"/>
    <w:rPr>
      <w:sz w:val="16"/>
      <w:szCs w:val="16"/>
    </w:rPr>
  </w:style>
  <w:style w:type="paragraph" w:styleId="CommentText">
    <w:name w:val="annotation text"/>
    <w:basedOn w:val="Normal"/>
    <w:link w:val="CommentTextChar"/>
    <w:uiPriority w:val="99"/>
    <w:semiHidden/>
    <w:unhideWhenUsed/>
    <w:rsid w:val="004C5901"/>
    <w:rPr>
      <w:sz w:val="20"/>
      <w:szCs w:val="20"/>
    </w:rPr>
  </w:style>
  <w:style w:type="character" w:customStyle="1" w:styleId="CommentTextChar">
    <w:name w:val="Comment Text Char"/>
    <w:basedOn w:val="DefaultParagraphFont"/>
    <w:link w:val="CommentText"/>
    <w:uiPriority w:val="99"/>
    <w:semiHidden/>
    <w:rsid w:val="004C5901"/>
  </w:style>
  <w:style w:type="paragraph" w:styleId="CommentSubject">
    <w:name w:val="annotation subject"/>
    <w:basedOn w:val="CommentText"/>
    <w:next w:val="CommentText"/>
    <w:link w:val="CommentSubjectChar"/>
    <w:uiPriority w:val="99"/>
    <w:semiHidden/>
    <w:unhideWhenUsed/>
    <w:rsid w:val="004C5901"/>
    <w:rPr>
      <w:b/>
      <w:bCs/>
    </w:rPr>
  </w:style>
  <w:style w:type="character" w:customStyle="1" w:styleId="CommentSubjectChar">
    <w:name w:val="Comment Subject Char"/>
    <w:basedOn w:val="CommentTextChar"/>
    <w:link w:val="CommentSubject"/>
    <w:uiPriority w:val="99"/>
    <w:semiHidden/>
    <w:rsid w:val="004C5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3145</Words>
  <Characters>18342</Characters>
  <Application>Microsoft Office Word</Application>
  <DocSecurity>0</DocSecurity>
  <Lines>733</Lines>
  <Paragraphs>397</Paragraphs>
  <ScaleCrop>false</ScaleCrop>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2025-07-05T13:10:00Z</dcterms:created>
  <dcterms:modified xsi:type="dcterms:W3CDTF">2025-07-05T13:23:00Z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f2911eb9-3737-46ae-ab34-c5cd31e28a67</vt:lpwstr>
  </property>
</Properties>
</file>