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3EF24E" w14:textId="12B3F54D" w:rsidR="00312311" w:rsidRPr="00591324" w:rsidRDefault="00A00B32" w:rsidP="00591324">
      <w:pPr>
        <w:jc w:val="both"/>
        <w:rPr>
          <w:rFonts w:ascii="Times New Roman" w:hAnsi="Times New Roman" w:cs="Times New Roman"/>
          <w:b/>
          <w:bCs/>
        </w:rPr>
      </w:pPr>
      <w:r w:rsidRPr="00591324">
        <w:rPr>
          <w:rFonts w:ascii="Times New Roman" w:hAnsi="Times New Roman" w:cs="Times New Roman"/>
          <w:b/>
          <w:bCs/>
        </w:rPr>
        <w:t>TEA</w:t>
      </w:r>
      <w:r w:rsidR="009D466B" w:rsidRPr="00591324">
        <w:rPr>
          <w:rFonts w:ascii="Times New Roman" w:hAnsi="Times New Roman" w:cs="Times New Roman"/>
          <w:b/>
          <w:bCs/>
        </w:rPr>
        <w:t xml:space="preserve"> </w:t>
      </w:r>
      <w:r w:rsidRPr="00591324">
        <w:rPr>
          <w:rFonts w:ascii="Times New Roman" w:hAnsi="Times New Roman" w:cs="Times New Roman"/>
          <w:b/>
          <w:bCs/>
        </w:rPr>
        <w:t>AND ITS CARBON FOOTPRINT: A COMPREHENSIVE STUDY FROM CULTIVATION TO CONSUMPTION</w:t>
      </w:r>
    </w:p>
    <w:p w14:paraId="58E02736" w14:textId="77777777" w:rsidR="00A00B32" w:rsidRPr="00A00B32" w:rsidRDefault="00A00B32" w:rsidP="00620AF4">
      <w:pPr>
        <w:jc w:val="both"/>
        <w:rPr>
          <w:rFonts w:ascii="Times New Roman" w:hAnsi="Times New Roman" w:cs="Times New Roman"/>
          <w:b/>
          <w:bCs/>
        </w:rPr>
      </w:pPr>
    </w:p>
    <w:p w14:paraId="6FB97BD3" w14:textId="77777777" w:rsidR="006C16A5" w:rsidRDefault="006C16A5" w:rsidP="00620AF4">
      <w:pPr>
        <w:jc w:val="both"/>
        <w:rPr>
          <w:rFonts w:ascii="Times New Roman" w:hAnsi="Times New Roman" w:cs="Times New Roman"/>
          <w:sz w:val="26"/>
          <w:szCs w:val="26"/>
          <w:vertAlign w:val="superscript"/>
        </w:rPr>
      </w:pPr>
    </w:p>
    <w:p w14:paraId="5827A5FE" w14:textId="77777777" w:rsidR="00F12DF1" w:rsidRDefault="00F12DF1" w:rsidP="00620AF4">
      <w:pPr>
        <w:jc w:val="both"/>
        <w:rPr>
          <w:rFonts w:ascii="Times New Roman" w:hAnsi="Times New Roman" w:cs="Times New Roman"/>
          <w:sz w:val="26"/>
          <w:szCs w:val="26"/>
          <w:vertAlign w:val="superscript"/>
        </w:rPr>
      </w:pPr>
    </w:p>
    <w:p w14:paraId="3B11D772" w14:textId="77777777" w:rsidR="00EE0D77" w:rsidRDefault="00EE0D77" w:rsidP="00B849B9">
      <w:pPr>
        <w:jc w:val="center"/>
        <w:rPr>
          <w:rFonts w:ascii="Times New Roman" w:hAnsi="Times New Roman" w:cs="Times New Roman"/>
          <w:b/>
          <w:bCs/>
          <w:lang w:val="en-US"/>
        </w:rPr>
        <w:sectPr w:rsidR="00EE0D77" w:rsidSect="00F12DF1">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pPr>
    </w:p>
    <w:p w14:paraId="23DF523E" w14:textId="3399D8DE" w:rsidR="000F508C" w:rsidRPr="00AB71E0" w:rsidRDefault="00B849B9" w:rsidP="00AB71E0">
      <w:pPr>
        <w:rPr>
          <w:rFonts w:ascii="Arial" w:hAnsi="Arial" w:cs="Arial"/>
          <w:b/>
          <w:bCs/>
          <w:lang w:val="en-US"/>
        </w:rPr>
      </w:pPr>
      <w:commentRangeStart w:id="0"/>
      <w:r w:rsidRPr="00AB71E0">
        <w:rPr>
          <w:rFonts w:ascii="Arial" w:hAnsi="Arial" w:cs="Arial"/>
          <w:b/>
          <w:bCs/>
          <w:lang w:val="en-US"/>
        </w:rPr>
        <w:t>ABSTRACT</w:t>
      </w:r>
      <w:commentRangeEnd w:id="0"/>
      <w:r w:rsidR="009B2E98">
        <w:rPr>
          <w:rStyle w:val="CommentReference"/>
        </w:rPr>
        <w:commentReference w:id="0"/>
      </w:r>
    </w:p>
    <w:p w14:paraId="28D529D6" w14:textId="77777777" w:rsidR="00B849B9" w:rsidRDefault="00B849B9" w:rsidP="00620AF4">
      <w:pPr>
        <w:spacing w:line="360" w:lineRule="auto"/>
        <w:jc w:val="both"/>
        <w:rPr>
          <w:rFonts w:ascii="Times New Roman" w:hAnsi="Times New Roman" w:cs="Times New Roman"/>
          <w:color w:val="000000"/>
        </w:rPr>
      </w:pPr>
    </w:p>
    <w:p w14:paraId="57E71169" w14:textId="5C88C255" w:rsidR="00771E83" w:rsidRPr="009D42F4" w:rsidRDefault="00771E83" w:rsidP="00AB71E0">
      <w:pPr>
        <w:pStyle w:val="NormalWeb"/>
        <w:spacing w:before="0" w:beforeAutospacing="0" w:after="0" w:afterAutospacing="0"/>
        <w:jc w:val="both"/>
        <w:rPr>
          <w:rFonts w:ascii="Arial" w:hAnsi="Arial" w:cs="Arial"/>
          <w:color w:val="000000"/>
          <w:sz w:val="22"/>
          <w:szCs w:val="22"/>
        </w:rPr>
      </w:pPr>
      <w:r w:rsidRPr="009D42F4">
        <w:rPr>
          <w:rFonts w:ascii="Arial" w:hAnsi="Arial" w:cs="Arial"/>
          <w:color w:val="000000"/>
          <w:sz w:val="22"/>
          <w:szCs w:val="22"/>
        </w:rPr>
        <w:t>This study presents a comprehensive analysis of the carbon footprint associated with tea, evaluating each phase of its lifecycle</w:t>
      </w:r>
      <w:r w:rsidR="00AB71E0" w:rsidRPr="009D42F4">
        <w:rPr>
          <w:rFonts w:ascii="Arial" w:hAnsi="Arial" w:cs="Arial"/>
          <w:color w:val="000000"/>
          <w:sz w:val="22"/>
          <w:szCs w:val="22"/>
        </w:rPr>
        <w:t xml:space="preserve"> </w:t>
      </w:r>
      <w:r w:rsidRPr="009D42F4">
        <w:rPr>
          <w:rFonts w:ascii="Arial" w:hAnsi="Arial" w:cs="Arial"/>
          <w:color w:val="000000"/>
          <w:sz w:val="22"/>
          <w:szCs w:val="22"/>
        </w:rPr>
        <w:t>from cultivation and processing to distribution and consumption. With tea being one of the most widely consumed beverages globally, understanding its environmental impact is critical for sustainable development, particularly in major tea-producing regions like Northeast India. The research adopts an exploratory and descriptive approach, relying primarily on secondary data from published literature, government sources, and technical reports to assess greenhouse gas (GHG) emissions from both black and green tea production systems. Results reveal that significant carbon emissions occur during the plucking and transportation stages within tea gardens, which contribute approximately 47% of the total field emissions, equating to about 6.38 kg of CO</w:t>
      </w:r>
      <w:r w:rsidRPr="009D42F4">
        <w:rPr>
          <w:rFonts w:ascii="Cambria Math" w:hAnsi="Cambria Math" w:cs="Cambria Math"/>
          <w:color w:val="000000"/>
          <w:sz w:val="22"/>
          <w:szCs w:val="22"/>
        </w:rPr>
        <w:t>₂</w:t>
      </w:r>
      <w:r w:rsidRPr="009D42F4">
        <w:rPr>
          <w:rFonts w:ascii="Arial" w:hAnsi="Arial" w:cs="Arial"/>
          <w:color w:val="000000"/>
          <w:sz w:val="22"/>
          <w:szCs w:val="22"/>
        </w:rPr>
        <w:t xml:space="preserve"> per hectare. In the factory processing phase, the drying operation emerges as the most carbon-intensive stage, responsible for around 2762.28 kg of CO</w:t>
      </w:r>
      <w:r w:rsidRPr="009D42F4">
        <w:rPr>
          <w:rFonts w:ascii="Cambria Math" w:hAnsi="Cambria Math" w:cs="Cambria Math"/>
          <w:color w:val="000000"/>
          <w:sz w:val="22"/>
          <w:szCs w:val="22"/>
        </w:rPr>
        <w:t>₂</w:t>
      </w:r>
      <w:r w:rsidRPr="009D42F4">
        <w:rPr>
          <w:rFonts w:ascii="Arial" w:hAnsi="Arial" w:cs="Arial"/>
          <w:color w:val="000000"/>
          <w:sz w:val="22"/>
          <w:szCs w:val="22"/>
        </w:rPr>
        <w:t xml:space="preserve"> emissions per 1000 kg of made tea. Despite tea bushes having a notable capacity to sequester carbon</w:t>
      </w:r>
      <w:r w:rsidR="00AB71E0" w:rsidRPr="009D42F4">
        <w:rPr>
          <w:rFonts w:ascii="Arial" w:hAnsi="Arial" w:cs="Arial"/>
          <w:color w:val="000000"/>
          <w:sz w:val="22"/>
          <w:szCs w:val="22"/>
        </w:rPr>
        <w:t xml:space="preserve"> </w:t>
      </w:r>
      <w:r w:rsidRPr="009D42F4">
        <w:rPr>
          <w:rFonts w:ascii="Arial" w:hAnsi="Arial" w:cs="Arial"/>
          <w:color w:val="000000"/>
          <w:sz w:val="22"/>
          <w:szCs w:val="22"/>
        </w:rPr>
        <w:t>up to 5134.4 kg CO</w:t>
      </w:r>
      <w:r w:rsidRPr="009D42F4">
        <w:rPr>
          <w:rFonts w:ascii="Cambria Math" w:hAnsi="Cambria Math" w:cs="Cambria Math"/>
          <w:color w:val="000000"/>
          <w:sz w:val="22"/>
          <w:szCs w:val="22"/>
        </w:rPr>
        <w:t>₂</w:t>
      </w:r>
      <w:r w:rsidRPr="009D42F4">
        <w:rPr>
          <w:rFonts w:ascii="Arial" w:hAnsi="Arial" w:cs="Arial"/>
          <w:color w:val="000000"/>
          <w:sz w:val="22"/>
          <w:szCs w:val="22"/>
        </w:rPr>
        <w:t xml:space="preserve"> per hectare annually</w:t>
      </w:r>
      <w:r w:rsidR="00AB71E0" w:rsidRPr="009D42F4">
        <w:rPr>
          <w:rFonts w:ascii="Arial" w:hAnsi="Arial" w:cs="Arial"/>
          <w:color w:val="000000"/>
          <w:sz w:val="22"/>
          <w:szCs w:val="22"/>
        </w:rPr>
        <w:t xml:space="preserve"> </w:t>
      </w:r>
      <w:r w:rsidRPr="009D42F4">
        <w:rPr>
          <w:rFonts w:ascii="Arial" w:hAnsi="Arial" w:cs="Arial"/>
          <w:color w:val="000000"/>
          <w:sz w:val="22"/>
          <w:szCs w:val="22"/>
        </w:rPr>
        <w:t xml:space="preserve">current emission levels in India’s </w:t>
      </w:r>
      <w:r w:rsidR="00AB71E0" w:rsidRPr="009D42F4">
        <w:rPr>
          <w:rFonts w:ascii="Arial" w:hAnsi="Arial" w:cs="Arial"/>
          <w:color w:val="000000"/>
          <w:sz w:val="22"/>
          <w:szCs w:val="22"/>
        </w:rPr>
        <w:t>north-eastern</w:t>
      </w:r>
      <w:r w:rsidRPr="009D42F4">
        <w:rPr>
          <w:rFonts w:ascii="Arial" w:hAnsi="Arial" w:cs="Arial"/>
          <w:color w:val="000000"/>
          <w:sz w:val="22"/>
          <w:szCs w:val="22"/>
        </w:rPr>
        <w:t xml:space="preserve"> tea estates surpass this sequestration potential. This indicates a net positive carbon balance, raising environmental </w:t>
      </w:r>
      <w:r w:rsidR="00AB71E0" w:rsidRPr="009D42F4">
        <w:rPr>
          <w:rFonts w:ascii="Arial" w:hAnsi="Arial" w:cs="Arial"/>
          <w:color w:val="000000"/>
          <w:sz w:val="22"/>
          <w:szCs w:val="22"/>
        </w:rPr>
        <w:t>concerns. The</w:t>
      </w:r>
      <w:r w:rsidRPr="009D42F4">
        <w:rPr>
          <w:rFonts w:ascii="Arial" w:hAnsi="Arial" w:cs="Arial"/>
          <w:color w:val="000000"/>
          <w:sz w:val="22"/>
          <w:szCs w:val="22"/>
        </w:rPr>
        <w:t xml:space="preserve"> findings underscore an urgent need for mitigation strategies to reduce carbon emissions across the tea value chain. Recommendations include shifting towards renewable energy sources for drying, optimizing fuel usage during transport, promoting organic and low-input cultivation methods, and improving carbon sequestration through agroforestry practices such as integrating shade trees. The study emphasizes the necessity of conducting carbon audits in tea factories and developing region-specific sustainability frameworks. By adopting climate-resilient technologies and management practices, the tea industry can significantly minimize its carbon footprint, contributing to national and global climate goals while ensuring the environmental sustainability of tea production.</w:t>
      </w:r>
    </w:p>
    <w:p w14:paraId="3D2A9BB1" w14:textId="77777777" w:rsidR="00AB71E0" w:rsidRPr="00AB71E0" w:rsidRDefault="00AB71E0" w:rsidP="00AB71E0">
      <w:pPr>
        <w:pStyle w:val="NormalWeb"/>
        <w:spacing w:before="0" w:beforeAutospacing="0" w:after="0" w:afterAutospacing="0"/>
        <w:jc w:val="both"/>
        <w:rPr>
          <w:rFonts w:ascii="Arial" w:hAnsi="Arial" w:cs="Arial"/>
          <w:b/>
          <w:bCs/>
          <w:color w:val="000000"/>
          <w:sz w:val="22"/>
          <w:szCs w:val="22"/>
        </w:rPr>
      </w:pPr>
    </w:p>
    <w:p w14:paraId="6D40B545" w14:textId="472ED420" w:rsidR="002E2492" w:rsidRPr="00AB71E0" w:rsidRDefault="00FC192D" w:rsidP="00AB71E0">
      <w:pPr>
        <w:rPr>
          <w:rFonts w:ascii="Arial" w:hAnsi="Arial" w:cs="Arial"/>
          <w:i/>
          <w:iCs/>
          <w:sz w:val="20"/>
          <w:szCs w:val="20"/>
        </w:rPr>
      </w:pPr>
      <w:r w:rsidRPr="00AB71E0">
        <w:rPr>
          <w:rFonts w:ascii="Arial" w:hAnsi="Arial" w:cs="Arial"/>
          <w:i/>
          <w:iCs/>
          <w:sz w:val="20"/>
          <w:szCs w:val="20"/>
        </w:rPr>
        <w:t>Keywords</w:t>
      </w:r>
      <w:r w:rsidR="002E2492" w:rsidRPr="00AB71E0">
        <w:rPr>
          <w:rFonts w:ascii="Arial" w:hAnsi="Arial" w:cs="Arial"/>
          <w:i/>
          <w:iCs/>
          <w:sz w:val="20"/>
          <w:szCs w:val="20"/>
        </w:rPr>
        <w:t>​</w:t>
      </w:r>
      <w:r w:rsidRPr="00AB71E0">
        <w:rPr>
          <w:rFonts w:ascii="Arial" w:hAnsi="Arial" w:cs="Arial"/>
          <w:i/>
          <w:iCs/>
          <w:sz w:val="20"/>
          <w:szCs w:val="20"/>
        </w:rPr>
        <w:t>: Tea, Carbon dioxide, Carbon, Footprint, production, consumption</w:t>
      </w:r>
    </w:p>
    <w:p w14:paraId="16EB8691" w14:textId="77777777" w:rsidR="00227C66" w:rsidRDefault="00227C66" w:rsidP="00620AF4">
      <w:pPr>
        <w:jc w:val="both"/>
        <w:rPr>
          <w:rFonts w:ascii="Times New Roman" w:hAnsi="Times New Roman" w:cs="Times New Roman"/>
          <w:b/>
          <w:bCs/>
          <w:lang w:val="en-US"/>
        </w:rPr>
      </w:pPr>
    </w:p>
    <w:p w14:paraId="5F3095D1" w14:textId="77777777" w:rsidR="002F735D" w:rsidRDefault="002F735D" w:rsidP="006C16A5">
      <w:pPr>
        <w:spacing w:line="480" w:lineRule="auto"/>
        <w:jc w:val="both"/>
        <w:rPr>
          <w:rFonts w:ascii="Times New Roman" w:hAnsi="Times New Roman" w:cs="Times New Roman"/>
          <w:b/>
          <w:bCs/>
          <w:lang w:val="en-US"/>
        </w:rPr>
      </w:pPr>
    </w:p>
    <w:p w14:paraId="1621E8CF" w14:textId="77777777" w:rsidR="00490732" w:rsidRDefault="00490732" w:rsidP="006C16A5">
      <w:pPr>
        <w:spacing w:line="480" w:lineRule="auto"/>
        <w:jc w:val="both"/>
        <w:rPr>
          <w:rFonts w:ascii="Times New Roman" w:hAnsi="Times New Roman" w:cs="Times New Roman"/>
          <w:b/>
          <w:bCs/>
          <w:lang w:val="en-US"/>
        </w:rPr>
        <w:sectPr w:rsidR="00490732" w:rsidSect="00F12DF1">
          <w:type w:val="continuous"/>
          <w:pgSz w:w="11906" w:h="16838"/>
          <w:pgMar w:top="1440" w:right="1440" w:bottom="1440" w:left="1440" w:header="708" w:footer="708" w:gutter="0"/>
          <w:cols w:space="708"/>
          <w:docGrid w:linePitch="360"/>
        </w:sectPr>
      </w:pPr>
    </w:p>
    <w:p w14:paraId="50411CB7" w14:textId="312DE6F6" w:rsidR="00312311" w:rsidRPr="00AB71E0" w:rsidRDefault="00BE0BB2" w:rsidP="004431AB">
      <w:pPr>
        <w:spacing w:line="360" w:lineRule="auto"/>
        <w:rPr>
          <w:rFonts w:ascii="Arial" w:hAnsi="Arial" w:cs="Arial"/>
          <w:b/>
          <w:bCs/>
          <w:sz w:val="22"/>
          <w:szCs w:val="22"/>
          <w:lang w:val="en-US"/>
        </w:rPr>
      </w:pPr>
      <w:r>
        <w:rPr>
          <w:rFonts w:ascii="Arial" w:hAnsi="Arial" w:cs="Arial"/>
          <w:b/>
          <w:bCs/>
          <w:sz w:val="22"/>
          <w:szCs w:val="22"/>
          <w:lang w:val="en-US"/>
        </w:rPr>
        <w:t xml:space="preserve">1. </w:t>
      </w:r>
      <w:r w:rsidR="00312311" w:rsidRPr="00AB71E0">
        <w:rPr>
          <w:rFonts w:ascii="Arial" w:hAnsi="Arial" w:cs="Arial"/>
          <w:b/>
          <w:bCs/>
          <w:sz w:val="22"/>
          <w:szCs w:val="22"/>
          <w:lang w:val="en-US"/>
        </w:rPr>
        <w:t>INTRODUCTION</w:t>
      </w:r>
    </w:p>
    <w:p w14:paraId="18AD6633" w14:textId="77777777" w:rsidR="008C6905" w:rsidRDefault="008C6905" w:rsidP="004431AB">
      <w:pPr>
        <w:spacing w:line="360" w:lineRule="auto"/>
        <w:jc w:val="both"/>
        <w:rPr>
          <w:rFonts w:ascii="Times New Roman" w:hAnsi="Times New Roman" w:cs="Times New Roman"/>
          <w:lang w:val="en-US"/>
        </w:rPr>
        <w:sectPr w:rsidR="008C6905" w:rsidSect="00F12DF1">
          <w:type w:val="continuous"/>
          <w:pgSz w:w="11906" w:h="16838"/>
          <w:pgMar w:top="1440" w:right="1440" w:bottom="1440" w:left="1440" w:header="708" w:footer="708" w:gutter="0"/>
          <w:cols w:space="708"/>
          <w:docGrid w:linePitch="360"/>
        </w:sectPr>
      </w:pPr>
    </w:p>
    <w:p w14:paraId="03C104EB" w14:textId="4C8AD8E6" w:rsidR="006C16A5" w:rsidRDefault="00BE0BB2" w:rsidP="004431AB">
      <w:pPr>
        <w:spacing w:line="360" w:lineRule="auto"/>
        <w:jc w:val="both"/>
        <w:rPr>
          <w:rFonts w:ascii="Arial" w:hAnsi="Arial" w:cs="Arial"/>
          <w:sz w:val="20"/>
          <w:szCs w:val="20"/>
          <w:lang w:val="en-US"/>
        </w:rPr>
      </w:pPr>
      <w:r>
        <w:rPr>
          <w:rFonts w:ascii="Arial" w:hAnsi="Arial" w:cs="Arial"/>
          <w:sz w:val="20"/>
          <w:szCs w:val="20"/>
          <w:lang w:val="en-US"/>
        </w:rPr>
        <w:t>In recent years o</w:t>
      </w:r>
      <w:r w:rsidR="00312311" w:rsidRPr="00AB71E0">
        <w:rPr>
          <w:rFonts w:ascii="Arial" w:hAnsi="Arial" w:cs="Arial"/>
          <w:sz w:val="20"/>
          <w:szCs w:val="20"/>
          <w:lang w:val="en-US"/>
        </w:rPr>
        <w:t>rganizations worldwide have become increasingly concerned about carbon credits, focusing on carbon emissions, the amount of carbon emitted by organizations, and the climate resilience of various systems. While there is considerable discussion about carbon sequestration, the topic of carbon footprints, which has become crucial, is often overlooked. It is very important for tea sector also to maintain a balance sheet in tea factories to measure the amount of carbon emitted and sequestered. Additionally, no carbon audits have been conducted. Although literature on carbon sequestration is available, studies on carbon footprints are limited. Some research has been conducted in China and other regions, but there has been no research on carbon footprints in Assam's tea industry to date. The concentration of CO</w:t>
      </w:r>
      <w:r w:rsidR="00312311" w:rsidRPr="00AB71E0">
        <w:rPr>
          <w:rFonts w:ascii="Arial" w:hAnsi="Arial" w:cs="Arial"/>
          <w:sz w:val="20"/>
          <w:szCs w:val="20"/>
          <w:vertAlign w:val="subscript"/>
          <w:lang w:val="en-US"/>
        </w:rPr>
        <w:t>2</w:t>
      </w:r>
      <w:r w:rsidR="00312311" w:rsidRPr="00AB71E0">
        <w:rPr>
          <w:rFonts w:ascii="Arial" w:hAnsi="Arial" w:cs="Arial"/>
          <w:sz w:val="20"/>
          <w:szCs w:val="20"/>
          <w:lang w:val="en-US"/>
        </w:rPr>
        <w:t xml:space="preserve"> has increased significantly, rising from an annual average of 280 ppm in the late 1700s to 424 ppm in May 2023 (Aditya </w:t>
      </w:r>
      <w:r w:rsidR="00312311" w:rsidRPr="00AB71E0">
        <w:rPr>
          <w:rFonts w:ascii="Arial" w:hAnsi="Arial" w:cs="Arial"/>
          <w:i/>
          <w:iCs/>
          <w:sz w:val="20"/>
          <w:szCs w:val="20"/>
          <w:lang w:val="en-US"/>
        </w:rPr>
        <w:t>et al.,</w:t>
      </w:r>
      <w:r w:rsidR="00312311" w:rsidRPr="00AB71E0">
        <w:rPr>
          <w:rFonts w:ascii="Arial" w:hAnsi="Arial" w:cs="Arial"/>
          <w:sz w:val="20"/>
          <w:szCs w:val="20"/>
          <w:lang w:val="en-US"/>
        </w:rPr>
        <w:t xml:space="preserve"> 2023). The agricultural sector contributes 15-20% of annual global greenhouse gas (GHG) emissions (FAOSTAT, 2018), with tea being an important agricultural product worldwide. The total planting area and yield of tea have been increasing in recent </w:t>
      </w:r>
      <w:r w:rsidR="00312311" w:rsidRPr="00AB71E0">
        <w:rPr>
          <w:rFonts w:ascii="Arial" w:hAnsi="Arial" w:cs="Arial"/>
          <w:sz w:val="20"/>
          <w:szCs w:val="20"/>
          <w:lang w:val="en-US"/>
        </w:rPr>
        <w:lastRenderedPageBreak/>
        <w:t xml:space="preserve">decades (Liang </w:t>
      </w:r>
      <w:r w:rsidR="00312311" w:rsidRPr="00AB71E0">
        <w:rPr>
          <w:rFonts w:ascii="Arial" w:hAnsi="Arial" w:cs="Arial"/>
          <w:i/>
          <w:iCs/>
          <w:sz w:val="20"/>
          <w:szCs w:val="20"/>
          <w:lang w:val="en-US"/>
        </w:rPr>
        <w:t>et al.,</w:t>
      </w:r>
      <w:r w:rsidR="00312311" w:rsidRPr="00AB71E0">
        <w:rPr>
          <w:rFonts w:ascii="Arial" w:hAnsi="Arial" w:cs="Arial"/>
          <w:sz w:val="20"/>
          <w:szCs w:val="20"/>
          <w:lang w:val="en-US"/>
        </w:rPr>
        <w:t xml:space="preserve"> 2021). Tea production contributes to GHG emissions at various stages, from cultivation to consumption (</w:t>
      </w:r>
      <w:proofErr w:type="spellStart"/>
      <w:r w:rsidR="00312311" w:rsidRPr="00AB71E0">
        <w:rPr>
          <w:rFonts w:ascii="Arial" w:hAnsi="Arial" w:cs="Arial"/>
          <w:sz w:val="20"/>
          <w:szCs w:val="20"/>
          <w:lang w:val="en-US"/>
        </w:rPr>
        <w:t>Cichorowski</w:t>
      </w:r>
      <w:proofErr w:type="spellEnd"/>
      <w:r w:rsidR="00312311" w:rsidRPr="00AB71E0">
        <w:rPr>
          <w:rFonts w:ascii="Arial" w:hAnsi="Arial" w:cs="Arial"/>
          <w:sz w:val="20"/>
          <w:szCs w:val="20"/>
          <w:lang w:val="en-US"/>
        </w:rPr>
        <w:t xml:space="preserve"> </w:t>
      </w:r>
      <w:r w:rsidR="00312311" w:rsidRPr="00AB71E0">
        <w:rPr>
          <w:rFonts w:ascii="Arial" w:hAnsi="Arial" w:cs="Arial"/>
          <w:i/>
          <w:iCs/>
          <w:sz w:val="20"/>
          <w:szCs w:val="20"/>
          <w:lang w:val="en-US"/>
        </w:rPr>
        <w:t>et al.,</w:t>
      </w:r>
      <w:r w:rsidR="00312311" w:rsidRPr="00AB71E0">
        <w:rPr>
          <w:rFonts w:ascii="Arial" w:hAnsi="Arial" w:cs="Arial"/>
          <w:sz w:val="20"/>
          <w:szCs w:val="20"/>
          <w:lang w:val="en-US"/>
        </w:rPr>
        <w:t xml:space="preserve"> 2015). The tea industry is considered to have high energy consumption due to its complex life cycle system (Zhang </w:t>
      </w:r>
      <w:r w:rsidR="00312311" w:rsidRPr="00AB71E0">
        <w:rPr>
          <w:rFonts w:ascii="Arial" w:hAnsi="Arial" w:cs="Arial"/>
          <w:i/>
          <w:iCs/>
          <w:sz w:val="20"/>
          <w:szCs w:val="20"/>
          <w:lang w:val="en-US"/>
        </w:rPr>
        <w:t>et al.,</w:t>
      </w:r>
      <w:r w:rsidR="00312311" w:rsidRPr="00AB71E0">
        <w:rPr>
          <w:rFonts w:ascii="Arial" w:hAnsi="Arial" w:cs="Arial"/>
          <w:sz w:val="20"/>
          <w:szCs w:val="20"/>
          <w:lang w:val="en-US"/>
        </w:rPr>
        <w:t xml:space="preserve"> 2023). The production stage accounts for 57% of the environmental burden compared to other steps in the entire tea life cycle (Soheili-Fard </w:t>
      </w:r>
      <w:r w:rsidR="00312311" w:rsidRPr="00AB71E0">
        <w:rPr>
          <w:rFonts w:ascii="Arial" w:hAnsi="Arial" w:cs="Arial"/>
          <w:i/>
          <w:iCs/>
          <w:sz w:val="20"/>
          <w:szCs w:val="20"/>
          <w:lang w:val="en-US"/>
        </w:rPr>
        <w:t>et al.,</w:t>
      </w:r>
      <w:r w:rsidR="00312311" w:rsidRPr="00AB71E0">
        <w:rPr>
          <w:rFonts w:ascii="Arial" w:hAnsi="Arial" w:cs="Arial"/>
          <w:sz w:val="20"/>
          <w:szCs w:val="20"/>
          <w:lang w:val="en-US"/>
        </w:rPr>
        <w:t xml:space="preserve"> 2018). In tea packaging, two-layer packaging is the most polluting scenario, while in terms of consumption, stoves are more environmentally friendly than electric kettles (Soheili-Fard </w:t>
      </w:r>
      <w:r w:rsidR="00312311" w:rsidRPr="00AB71E0">
        <w:rPr>
          <w:rFonts w:ascii="Arial" w:hAnsi="Arial" w:cs="Arial"/>
          <w:i/>
          <w:iCs/>
          <w:sz w:val="20"/>
          <w:szCs w:val="20"/>
          <w:lang w:val="en-US"/>
        </w:rPr>
        <w:t>et al.,</w:t>
      </w:r>
      <w:r w:rsidR="00312311" w:rsidRPr="00AB71E0">
        <w:rPr>
          <w:rFonts w:ascii="Arial" w:hAnsi="Arial" w:cs="Arial"/>
          <w:sz w:val="20"/>
          <w:szCs w:val="20"/>
          <w:lang w:val="en-US"/>
        </w:rPr>
        <w:t xml:space="preserve"> 2018). Different farming management and processing techniques significantly impact the carbon footprint and primary energy demand of</w:t>
      </w:r>
      <w:r w:rsidR="00AB71E0">
        <w:rPr>
          <w:rFonts w:ascii="Arial" w:hAnsi="Arial" w:cs="Arial"/>
          <w:sz w:val="20"/>
          <w:szCs w:val="20"/>
          <w:lang w:val="en-US"/>
        </w:rPr>
        <w:t xml:space="preserve"> </w:t>
      </w:r>
      <w:r w:rsidR="00312311" w:rsidRPr="00AB71E0">
        <w:rPr>
          <w:rFonts w:ascii="Arial" w:hAnsi="Arial" w:cs="Arial"/>
          <w:sz w:val="20"/>
          <w:szCs w:val="20"/>
          <w:lang w:val="en-US"/>
        </w:rPr>
        <w:t xml:space="preserve">various tea products (Xu </w:t>
      </w:r>
      <w:r w:rsidR="00312311" w:rsidRPr="00AB71E0">
        <w:rPr>
          <w:rFonts w:ascii="Arial" w:hAnsi="Arial" w:cs="Arial"/>
          <w:i/>
          <w:iCs/>
          <w:sz w:val="20"/>
          <w:szCs w:val="20"/>
          <w:lang w:val="en-US"/>
        </w:rPr>
        <w:t>et al.,</w:t>
      </w:r>
      <w:r w:rsidR="00312311" w:rsidRPr="00AB71E0">
        <w:rPr>
          <w:rFonts w:ascii="Arial" w:hAnsi="Arial" w:cs="Arial"/>
          <w:sz w:val="20"/>
          <w:szCs w:val="20"/>
          <w:lang w:val="en-US"/>
        </w:rPr>
        <w:t xml:space="preserve"> 2019). The carbon footprint of tea production and consumption is critical as it has substantial effects on the environment, economy, and society.</w:t>
      </w:r>
    </w:p>
    <w:p w14:paraId="05AFC2E1" w14:textId="352E65F0" w:rsidR="006F078A" w:rsidRPr="007544B2" w:rsidRDefault="007544B2" w:rsidP="004431AB">
      <w:pPr>
        <w:spacing w:line="360" w:lineRule="auto"/>
        <w:jc w:val="both"/>
        <w:rPr>
          <w:rFonts w:ascii="Arial" w:hAnsi="Arial" w:cs="Arial"/>
          <w:color w:val="FF0000"/>
          <w:sz w:val="20"/>
          <w:szCs w:val="20"/>
          <w:lang w:val="en-US"/>
        </w:rPr>
      </w:pPr>
      <w:commentRangeStart w:id="1"/>
      <w:r w:rsidRPr="007544B2">
        <w:rPr>
          <w:rStyle w:val="Strong"/>
          <w:b w:val="0"/>
          <w:bCs w:val="0"/>
          <w:color w:val="FF0000"/>
        </w:rPr>
        <w:t>Lack of Methodology Section</w:t>
      </w:r>
      <w:r>
        <w:rPr>
          <w:rFonts w:ascii="Arial" w:hAnsi="Arial" w:cs="Arial"/>
          <w:color w:val="FF0000"/>
          <w:sz w:val="20"/>
          <w:szCs w:val="20"/>
          <w:lang w:val="en-US"/>
        </w:rPr>
        <w:t>:</w:t>
      </w:r>
      <w:commentRangeEnd w:id="1"/>
      <w:r>
        <w:rPr>
          <w:rStyle w:val="CommentReference"/>
        </w:rPr>
        <w:commentReference w:id="1"/>
      </w:r>
    </w:p>
    <w:p w14:paraId="6214BEBE" w14:textId="3916A5B4" w:rsidR="007A569A" w:rsidRPr="00AB71E0" w:rsidRDefault="00BE0BB2" w:rsidP="00AB71E0">
      <w:pPr>
        <w:pStyle w:val="NormalWeb"/>
        <w:spacing w:before="0" w:beforeAutospacing="0" w:after="0" w:afterAutospacing="0" w:line="360" w:lineRule="auto"/>
        <w:rPr>
          <w:rFonts w:ascii="Arial" w:hAnsi="Arial" w:cs="Arial"/>
          <w:color w:val="000000"/>
          <w:sz w:val="22"/>
          <w:szCs w:val="22"/>
        </w:rPr>
      </w:pPr>
      <w:r>
        <w:rPr>
          <w:rStyle w:val="Strong"/>
          <w:rFonts w:ascii="Arial" w:hAnsi="Arial" w:cs="Arial"/>
          <w:color w:val="000000"/>
          <w:sz w:val="22"/>
          <w:szCs w:val="22"/>
        </w:rPr>
        <w:t xml:space="preserve">2. UNDERSTANDING THE </w:t>
      </w:r>
      <w:r w:rsidR="00AB71E0" w:rsidRPr="00AB71E0">
        <w:rPr>
          <w:rStyle w:val="Strong"/>
          <w:rFonts w:ascii="Arial" w:hAnsi="Arial" w:cs="Arial"/>
          <w:color w:val="000000"/>
          <w:sz w:val="22"/>
          <w:szCs w:val="22"/>
        </w:rPr>
        <w:t xml:space="preserve">CARBON FOOTPRINT </w:t>
      </w:r>
    </w:p>
    <w:p w14:paraId="2DED1009" w14:textId="53782AE5" w:rsidR="007A569A" w:rsidRPr="00AB71E0" w:rsidRDefault="006C16A5" w:rsidP="00AB71E0">
      <w:pPr>
        <w:pStyle w:val="NormalWeb"/>
        <w:spacing w:before="0" w:beforeAutospacing="0" w:after="0" w:afterAutospacing="0" w:line="360" w:lineRule="auto"/>
        <w:jc w:val="both"/>
        <w:rPr>
          <w:rFonts w:ascii="Arial" w:hAnsi="Arial" w:cs="Arial"/>
          <w:color w:val="000000"/>
          <w:sz w:val="20"/>
          <w:szCs w:val="20"/>
        </w:rPr>
        <w:sectPr w:rsidR="007A569A" w:rsidRPr="00AB71E0" w:rsidSect="00F12DF1">
          <w:type w:val="continuous"/>
          <w:pgSz w:w="11906" w:h="16838"/>
          <w:pgMar w:top="1440" w:right="1440" w:bottom="1440" w:left="1440" w:header="708" w:footer="708" w:gutter="0"/>
          <w:cols w:space="708"/>
          <w:docGrid w:linePitch="360"/>
        </w:sectPr>
      </w:pPr>
      <w:r w:rsidRPr="00AB71E0">
        <w:rPr>
          <w:rFonts w:ascii="Arial" w:hAnsi="Arial" w:cs="Arial"/>
          <w:color w:val="000000"/>
          <w:sz w:val="20"/>
          <w:szCs w:val="20"/>
        </w:rPr>
        <w:t>A carbon footprint refers to the total amount of greenhouse gases (GHGs), primarily carbon dioxide, emitted directly or indirectly by an individual, product, company, or country, typically expressed in tonnes of CO</w:t>
      </w:r>
      <w:r w:rsidRPr="00AB71E0">
        <w:rPr>
          <w:rFonts w:ascii="Cambria Math" w:hAnsi="Cambria Math" w:cs="Cambria Math"/>
          <w:color w:val="000000"/>
          <w:sz w:val="20"/>
          <w:szCs w:val="20"/>
        </w:rPr>
        <w:t>₂</w:t>
      </w:r>
      <w:r w:rsidRPr="00AB71E0">
        <w:rPr>
          <w:rFonts w:ascii="Arial" w:hAnsi="Arial" w:cs="Arial"/>
          <w:color w:val="000000"/>
          <w:sz w:val="20"/>
          <w:szCs w:val="20"/>
        </w:rPr>
        <w:t>-equivalents per year. It helps quantify the environmental impact of various activities and is essential for comparing emissions across sectors. A product’s carbon footprint includes emissions throughout its entire life cycle from raw material extraction and production to usage, transportation, and disposal (Wiedemann &amp; Minx, 2008). There are thre</w:t>
      </w:r>
      <w:r w:rsidR="00AB71E0">
        <w:rPr>
          <w:rFonts w:ascii="Arial" w:hAnsi="Arial" w:cs="Arial"/>
          <w:color w:val="000000"/>
          <w:sz w:val="20"/>
          <w:szCs w:val="20"/>
        </w:rPr>
        <w:t xml:space="preserve">e main types of carbon footprints: </w:t>
      </w:r>
      <w:r w:rsidR="00AB71E0" w:rsidRPr="00AB71E0">
        <w:rPr>
          <w:rFonts w:ascii="Arial" w:hAnsi="Arial" w:cs="Arial"/>
          <w:color w:val="000000"/>
          <w:sz w:val="20"/>
          <w:szCs w:val="20"/>
        </w:rPr>
        <w:t>individual, product</w:t>
      </w:r>
      <w:r w:rsidR="00AB71E0">
        <w:rPr>
          <w:rFonts w:ascii="Arial" w:hAnsi="Arial" w:cs="Arial"/>
          <w:color w:val="000000"/>
          <w:sz w:val="20"/>
          <w:szCs w:val="20"/>
        </w:rPr>
        <w:t xml:space="preserve"> </w:t>
      </w:r>
    </w:p>
    <w:p w14:paraId="5C4A4DA9" w14:textId="53920030" w:rsidR="006C16A5" w:rsidRPr="00AB71E0" w:rsidRDefault="006C16A5" w:rsidP="00AB71E0">
      <w:pPr>
        <w:pStyle w:val="NormalWeb"/>
        <w:spacing w:before="0" w:beforeAutospacing="0" w:after="0" w:afterAutospacing="0" w:line="360" w:lineRule="auto"/>
        <w:jc w:val="both"/>
        <w:rPr>
          <w:rFonts w:ascii="Arial" w:hAnsi="Arial" w:cs="Arial"/>
          <w:color w:val="000000"/>
          <w:sz w:val="20"/>
          <w:szCs w:val="20"/>
        </w:rPr>
      </w:pPr>
      <w:r w:rsidRPr="00AB71E0">
        <w:rPr>
          <w:rFonts w:ascii="Arial" w:hAnsi="Arial" w:cs="Arial"/>
          <w:color w:val="000000"/>
          <w:sz w:val="20"/>
          <w:szCs w:val="20"/>
        </w:rPr>
        <w:t xml:space="preserve">and corporate. The individual carbon footprint encompasses emissions from personal activities such as transportation choices, household electricity use, food consumption habits, and recycling behaviours (Bai </w:t>
      </w:r>
      <w:r w:rsidRPr="00BE0BB2">
        <w:rPr>
          <w:rFonts w:ascii="Arial" w:hAnsi="Arial" w:cs="Arial"/>
          <w:i/>
          <w:iCs/>
          <w:color w:val="000000"/>
          <w:sz w:val="20"/>
          <w:szCs w:val="20"/>
        </w:rPr>
        <w:t>et al.,</w:t>
      </w:r>
      <w:r w:rsidRPr="00AB71E0">
        <w:rPr>
          <w:rFonts w:ascii="Arial" w:hAnsi="Arial" w:cs="Arial"/>
          <w:color w:val="000000"/>
          <w:sz w:val="20"/>
          <w:szCs w:val="20"/>
        </w:rPr>
        <w:t xml:space="preserve"> 2019). The product carbon footprint accounts for emissions during all stages of a product’s life, including material extraction, manufacturing, energy use, packaging, distribution, usage, and disposal (Pandey </w:t>
      </w:r>
      <w:r w:rsidRPr="00AB71E0">
        <w:rPr>
          <w:rFonts w:ascii="Arial" w:hAnsi="Arial" w:cs="Arial"/>
          <w:i/>
          <w:iCs/>
          <w:color w:val="000000"/>
          <w:sz w:val="20"/>
          <w:szCs w:val="20"/>
        </w:rPr>
        <w:t>et al.,</w:t>
      </w:r>
      <w:r w:rsidRPr="00AB71E0">
        <w:rPr>
          <w:rFonts w:ascii="Arial" w:hAnsi="Arial" w:cs="Arial"/>
          <w:color w:val="000000"/>
          <w:sz w:val="20"/>
          <w:szCs w:val="20"/>
        </w:rPr>
        <w:t xml:space="preserve"> 2011). Lastly, the corporate carbon footprint measures the GHG emissions produced by a company’s operations, serving as a vital tool for assessing energy efficiency and identifying opportunities for emission reductions across industrial and organizational systems (</w:t>
      </w:r>
      <w:proofErr w:type="spellStart"/>
      <w:r w:rsidRPr="00AB71E0">
        <w:rPr>
          <w:rFonts w:ascii="Arial" w:hAnsi="Arial" w:cs="Arial"/>
          <w:color w:val="000000"/>
          <w:sz w:val="20"/>
          <w:szCs w:val="20"/>
        </w:rPr>
        <w:t>Jeswani</w:t>
      </w:r>
      <w:proofErr w:type="spellEnd"/>
      <w:r w:rsidRPr="00AB71E0">
        <w:rPr>
          <w:rFonts w:ascii="Arial" w:hAnsi="Arial" w:cs="Arial"/>
          <w:color w:val="000000"/>
          <w:sz w:val="20"/>
          <w:szCs w:val="20"/>
        </w:rPr>
        <w:t xml:space="preserve"> &amp; </w:t>
      </w:r>
      <w:proofErr w:type="spellStart"/>
      <w:r w:rsidRPr="00AB71E0">
        <w:rPr>
          <w:rFonts w:ascii="Arial" w:hAnsi="Arial" w:cs="Arial"/>
          <w:color w:val="000000"/>
          <w:sz w:val="20"/>
          <w:szCs w:val="20"/>
        </w:rPr>
        <w:t>Azapagic</w:t>
      </w:r>
      <w:proofErr w:type="spellEnd"/>
      <w:r w:rsidRPr="00AB71E0">
        <w:rPr>
          <w:rFonts w:ascii="Arial" w:hAnsi="Arial" w:cs="Arial"/>
          <w:color w:val="000000"/>
          <w:sz w:val="20"/>
          <w:szCs w:val="20"/>
        </w:rPr>
        <w:t>, 2016)</w:t>
      </w:r>
      <w:r w:rsidR="00E50EAA" w:rsidRPr="00AB71E0">
        <w:rPr>
          <w:rFonts w:ascii="Arial" w:hAnsi="Arial" w:cs="Arial"/>
          <w:color w:val="000000"/>
          <w:sz w:val="20"/>
          <w:szCs w:val="20"/>
        </w:rPr>
        <w:t>.</w:t>
      </w:r>
    </w:p>
    <w:p w14:paraId="419117ED" w14:textId="20B043D8" w:rsidR="00BE0BB2" w:rsidRPr="00BE0BB2" w:rsidRDefault="00BE0BB2" w:rsidP="008C6905">
      <w:pPr>
        <w:spacing w:line="360" w:lineRule="auto"/>
        <w:jc w:val="both"/>
        <w:rPr>
          <w:rFonts w:ascii="Arial" w:hAnsi="Arial" w:cs="Arial"/>
          <w:b/>
          <w:bCs/>
          <w:color w:val="000000"/>
          <w:sz w:val="22"/>
          <w:szCs w:val="22"/>
        </w:rPr>
      </w:pPr>
      <w:r>
        <w:rPr>
          <w:rFonts w:ascii="Arial" w:hAnsi="Arial" w:cs="Arial"/>
          <w:b/>
          <w:bCs/>
          <w:color w:val="000000"/>
          <w:sz w:val="22"/>
          <w:szCs w:val="22"/>
        </w:rPr>
        <w:t xml:space="preserve">3. </w:t>
      </w:r>
      <w:r w:rsidRPr="00BE0BB2">
        <w:rPr>
          <w:rFonts w:ascii="Arial" w:hAnsi="Arial" w:cs="Arial"/>
          <w:b/>
          <w:bCs/>
          <w:color w:val="000000"/>
          <w:sz w:val="22"/>
          <w:szCs w:val="22"/>
        </w:rPr>
        <w:t>SIGNIFICANCE OF ASSESSING TEA’S CARBON FOOTPRINT</w:t>
      </w:r>
    </w:p>
    <w:p w14:paraId="05B21A95" w14:textId="7781972A" w:rsidR="00312311" w:rsidRPr="002F735D" w:rsidRDefault="00312311" w:rsidP="008C6905">
      <w:pPr>
        <w:spacing w:line="360" w:lineRule="auto"/>
        <w:jc w:val="both"/>
        <w:rPr>
          <w:rFonts w:ascii="Arial" w:hAnsi="Arial" w:cs="Arial"/>
          <w:b/>
          <w:bCs/>
          <w:sz w:val="22"/>
          <w:szCs w:val="22"/>
          <w:lang w:val="en-US"/>
        </w:rPr>
      </w:pPr>
      <w:r w:rsidRPr="00AB71E0">
        <w:rPr>
          <w:rFonts w:ascii="Arial" w:hAnsi="Arial" w:cs="Arial"/>
          <w:sz w:val="20"/>
          <w:szCs w:val="20"/>
        </w:rPr>
        <w:t>Tea is one of the most widely consumed beverages and is cultivated on more than 3,691.89 hectares of land worldwide. As demand for tea continues to rise, the production chain consumes significant amounts of energy and materials to achieve higher yields in both cultivation and processing. This increased consumption of resources leads to unfavourable impacts on greenhouse gas emissions and contributes to climate change. Therefore, it is essential to assess the tea production system to identify its carbon footprint throughout its entire life cycle, from cultivation and processing to waste disposal.</w:t>
      </w:r>
    </w:p>
    <w:p w14:paraId="076E4FC9" w14:textId="29EDE8E0" w:rsidR="00312311" w:rsidRPr="00F03028" w:rsidRDefault="00BE0BB2" w:rsidP="008C6905">
      <w:pPr>
        <w:spacing w:line="360" w:lineRule="auto"/>
        <w:jc w:val="both"/>
        <w:rPr>
          <w:rFonts w:ascii="Arial" w:hAnsi="Arial" w:cs="Arial"/>
          <w:sz w:val="22"/>
          <w:szCs w:val="22"/>
        </w:rPr>
      </w:pPr>
      <w:r w:rsidRPr="00F03028">
        <w:rPr>
          <w:rFonts w:ascii="Arial" w:hAnsi="Arial" w:cs="Arial"/>
          <w:b/>
          <w:bCs/>
          <w:sz w:val="22"/>
          <w:szCs w:val="22"/>
          <w:lang w:val="en-US"/>
        </w:rPr>
        <w:t>Different stages of tea</w:t>
      </w:r>
    </w:p>
    <w:p w14:paraId="2DF77A08" w14:textId="77777777" w:rsidR="00312311" w:rsidRPr="00AB71E0" w:rsidRDefault="00312311" w:rsidP="008C6905">
      <w:pPr>
        <w:pStyle w:val="ListParagraph"/>
        <w:numPr>
          <w:ilvl w:val="0"/>
          <w:numId w:val="1"/>
        </w:numPr>
        <w:spacing w:line="360" w:lineRule="auto"/>
        <w:jc w:val="both"/>
        <w:rPr>
          <w:rFonts w:ascii="Arial" w:hAnsi="Arial" w:cs="Arial"/>
          <w:sz w:val="20"/>
          <w:szCs w:val="20"/>
        </w:rPr>
      </w:pPr>
      <w:r w:rsidRPr="00AB71E0">
        <w:rPr>
          <w:rFonts w:ascii="Arial" w:hAnsi="Arial" w:cs="Arial"/>
          <w:sz w:val="20"/>
          <w:szCs w:val="20"/>
        </w:rPr>
        <w:t>Production</w:t>
      </w:r>
    </w:p>
    <w:p w14:paraId="0A115E99" w14:textId="77777777" w:rsidR="00312311" w:rsidRPr="00AB71E0" w:rsidRDefault="00312311" w:rsidP="008C6905">
      <w:pPr>
        <w:pStyle w:val="ListParagraph"/>
        <w:numPr>
          <w:ilvl w:val="0"/>
          <w:numId w:val="1"/>
        </w:numPr>
        <w:spacing w:line="360" w:lineRule="auto"/>
        <w:jc w:val="both"/>
        <w:rPr>
          <w:rFonts w:ascii="Arial" w:hAnsi="Arial" w:cs="Arial"/>
          <w:sz w:val="20"/>
          <w:szCs w:val="20"/>
        </w:rPr>
      </w:pPr>
      <w:r w:rsidRPr="00AB71E0">
        <w:rPr>
          <w:rFonts w:ascii="Arial" w:hAnsi="Arial" w:cs="Arial"/>
          <w:sz w:val="20"/>
          <w:szCs w:val="20"/>
        </w:rPr>
        <w:t>Processing</w:t>
      </w:r>
    </w:p>
    <w:p w14:paraId="5766D751" w14:textId="77777777" w:rsidR="00312311" w:rsidRPr="00AB71E0" w:rsidRDefault="00312311" w:rsidP="008C6905">
      <w:pPr>
        <w:pStyle w:val="ListParagraph"/>
        <w:numPr>
          <w:ilvl w:val="0"/>
          <w:numId w:val="1"/>
        </w:numPr>
        <w:spacing w:line="360" w:lineRule="auto"/>
        <w:jc w:val="both"/>
        <w:rPr>
          <w:rFonts w:ascii="Arial" w:hAnsi="Arial" w:cs="Arial"/>
          <w:sz w:val="20"/>
          <w:szCs w:val="20"/>
        </w:rPr>
      </w:pPr>
      <w:r w:rsidRPr="00AB71E0">
        <w:rPr>
          <w:rFonts w:ascii="Arial" w:hAnsi="Arial" w:cs="Arial"/>
          <w:sz w:val="20"/>
          <w:szCs w:val="20"/>
        </w:rPr>
        <w:t>Consumption</w:t>
      </w:r>
    </w:p>
    <w:p w14:paraId="7BD9E5C4" w14:textId="027CFBA4" w:rsidR="006C16A5" w:rsidRDefault="00BE0BB2" w:rsidP="00AB71E0">
      <w:pPr>
        <w:pStyle w:val="NormalWeb"/>
        <w:spacing w:before="0" w:beforeAutospacing="0" w:after="0" w:afterAutospacing="0" w:line="360" w:lineRule="auto"/>
        <w:rPr>
          <w:rStyle w:val="Strong"/>
          <w:rFonts w:ascii="Arial" w:hAnsi="Arial" w:cs="Arial"/>
          <w:color w:val="000000"/>
          <w:sz w:val="22"/>
          <w:szCs w:val="22"/>
        </w:rPr>
      </w:pPr>
      <w:r>
        <w:rPr>
          <w:rStyle w:val="Strong"/>
          <w:rFonts w:ascii="Arial" w:hAnsi="Arial" w:cs="Arial"/>
          <w:color w:val="000000"/>
          <w:sz w:val="22"/>
          <w:szCs w:val="22"/>
        </w:rPr>
        <w:t xml:space="preserve">4. </w:t>
      </w:r>
      <w:r w:rsidR="00AB71E0" w:rsidRPr="00AB71E0">
        <w:rPr>
          <w:rStyle w:val="Strong"/>
          <w:rFonts w:ascii="Arial" w:hAnsi="Arial" w:cs="Arial"/>
          <w:color w:val="000000"/>
          <w:sz w:val="22"/>
          <w:szCs w:val="22"/>
        </w:rPr>
        <w:t xml:space="preserve">CARBON EMISSIONS ACROSS </w:t>
      </w:r>
      <w:r>
        <w:rPr>
          <w:rStyle w:val="Strong"/>
          <w:rFonts w:ascii="Arial" w:hAnsi="Arial" w:cs="Arial"/>
          <w:color w:val="000000"/>
          <w:sz w:val="22"/>
          <w:szCs w:val="22"/>
        </w:rPr>
        <w:t>THE TEA VALU</w:t>
      </w:r>
      <w:r w:rsidR="002B3991">
        <w:rPr>
          <w:rStyle w:val="Strong"/>
          <w:rFonts w:ascii="Arial" w:hAnsi="Arial" w:cs="Arial"/>
          <w:color w:val="000000"/>
          <w:sz w:val="22"/>
          <w:szCs w:val="22"/>
        </w:rPr>
        <w:t>E</w:t>
      </w:r>
      <w:r>
        <w:rPr>
          <w:rStyle w:val="Strong"/>
          <w:rFonts w:ascii="Arial" w:hAnsi="Arial" w:cs="Arial"/>
          <w:color w:val="000000"/>
          <w:sz w:val="22"/>
          <w:szCs w:val="22"/>
        </w:rPr>
        <w:t xml:space="preserve"> CHAIN</w:t>
      </w:r>
    </w:p>
    <w:p w14:paraId="067AA92F" w14:textId="3692B887" w:rsidR="00BE0BB2" w:rsidRPr="002B3991" w:rsidRDefault="00BE0BB2" w:rsidP="00AB71E0">
      <w:pPr>
        <w:pStyle w:val="NormalWeb"/>
        <w:spacing w:before="0" w:beforeAutospacing="0" w:after="0" w:afterAutospacing="0" w:line="360" w:lineRule="auto"/>
        <w:rPr>
          <w:rFonts w:ascii="Arial" w:hAnsi="Arial" w:cs="Arial"/>
          <w:color w:val="000000"/>
          <w:sz w:val="22"/>
          <w:szCs w:val="22"/>
        </w:rPr>
      </w:pPr>
      <w:r w:rsidRPr="002B3991">
        <w:rPr>
          <w:rStyle w:val="Strong"/>
          <w:rFonts w:ascii="Arial" w:hAnsi="Arial" w:cs="Arial"/>
          <w:color w:val="000000"/>
          <w:sz w:val="22"/>
          <w:szCs w:val="22"/>
        </w:rPr>
        <w:t>4.1 Cultivation stage</w:t>
      </w:r>
    </w:p>
    <w:p w14:paraId="348B3930" w14:textId="77777777" w:rsidR="00BE0BB2" w:rsidRDefault="006C16A5" w:rsidP="00AB71E0">
      <w:pPr>
        <w:pStyle w:val="NormalWeb"/>
        <w:spacing w:before="0" w:beforeAutospacing="0" w:after="0" w:afterAutospacing="0" w:line="360" w:lineRule="auto"/>
        <w:jc w:val="both"/>
        <w:rPr>
          <w:rFonts w:ascii="Arial" w:hAnsi="Arial" w:cs="Arial"/>
          <w:color w:val="000000"/>
          <w:sz w:val="20"/>
          <w:szCs w:val="20"/>
        </w:rPr>
      </w:pPr>
      <w:r w:rsidRPr="00AB71E0">
        <w:rPr>
          <w:rFonts w:ascii="Arial" w:hAnsi="Arial" w:cs="Arial"/>
          <w:color w:val="000000"/>
          <w:sz w:val="20"/>
          <w:szCs w:val="20"/>
        </w:rPr>
        <w:lastRenderedPageBreak/>
        <w:t xml:space="preserve">Tea cultivation involves several stages, each contributing to greenhouse gas (GHG) emissions in varying degrees. </w:t>
      </w:r>
    </w:p>
    <w:p w14:paraId="6B1C5AAA" w14:textId="77777777" w:rsidR="00BE0BB2" w:rsidRDefault="00BE0BB2" w:rsidP="00BE0BB2">
      <w:pPr>
        <w:pStyle w:val="NormalWeb"/>
        <w:numPr>
          <w:ilvl w:val="0"/>
          <w:numId w:val="22"/>
        </w:numPr>
        <w:spacing w:before="0" w:beforeAutospacing="0" w:after="0" w:afterAutospacing="0" w:line="360" w:lineRule="auto"/>
        <w:jc w:val="both"/>
        <w:rPr>
          <w:rFonts w:ascii="Arial" w:hAnsi="Arial" w:cs="Arial"/>
          <w:color w:val="000000"/>
          <w:sz w:val="20"/>
          <w:szCs w:val="20"/>
        </w:rPr>
      </w:pPr>
      <w:r w:rsidRPr="002B3991">
        <w:rPr>
          <w:rFonts w:ascii="Arial" w:hAnsi="Arial" w:cs="Arial"/>
          <w:b/>
          <w:bCs/>
          <w:color w:val="000000"/>
          <w:sz w:val="20"/>
          <w:szCs w:val="20"/>
        </w:rPr>
        <w:t>Land Preparation:</w:t>
      </w:r>
      <w:r>
        <w:rPr>
          <w:rFonts w:ascii="Arial" w:hAnsi="Arial" w:cs="Arial"/>
          <w:color w:val="000000"/>
          <w:sz w:val="20"/>
          <w:szCs w:val="20"/>
        </w:rPr>
        <w:t xml:space="preserve"> </w:t>
      </w:r>
      <w:r w:rsidR="006C16A5" w:rsidRPr="00AB71E0">
        <w:rPr>
          <w:rFonts w:ascii="Arial" w:hAnsi="Arial" w:cs="Arial"/>
          <w:color w:val="000000"/>
          <w:sz w:val="20"/>
          <w:szCs w:val="20"/>
        </w:rPr>
        <w:t>During</w:t>
      </w:r>
      <w:r w:rsidR="006C16A5" w:rsidRPr="00AB71E0">
        <w:rPr>
          <w:rStyle w:val="apple-converted-space"/>
          <w:rFonts w:ascii="Arial" w:hAnsi="Arial" w:cs="Arial"/>
          <w:color w:val="000000"/>
          <w:sz w:val="20"/>
          <w:szCs w:val="20"/>
        </w:rPr>
        <w:t> </w:t>
      </w:r>
      <w:r w:rsidR="006C16A5" w:rsidRPr="00AB71E0">
        <w:rPr>
          <w:rStyle w:val="Strong"/>
          <w:rFonts w:ascii="Arial" w:hAnsi="Arial" w:cs="Arial"/>
          <w:b w:val="0"/>
          <w:bCs w:val="0"/>
          <w:color w:val="000000"/>
          <w:sz w:val="20"/>
          <w:szCs w:val="20"/>
        </w:rPr>
        <w:t>land preparation</w:t>
      </w:r>
      <w:r w:rsidR="006C16A5" w:rsidRPr="00AB71E0">
        <w:rPr>
          <w:rFonts w:ascii="Arial" w:hAnsi="Arial" w:cs="Arial"/>
          <w:color w:val="000000"/>
          <w:sz w:val="20"/>
          <w:szCs w:val="20"/>
        </w:rPr>
        <w:t>, especially in virgin areas, extensive clearing of trees and levelling is required, while uprooted areas undergo repeated ploughing using tractors. These operations consume large amounts of diesel, releasing significant quantities of CO</w:t>
      </w:r>
      <w:r w:rsidR="006C16A5" w:rsidRPr="00AB71E0">
        <w:rPr>
          <w:rFonts w:ascii="Cambria Math" w:hAnsi="Cambria Math" w:cs="Cambria Math"/>
          <w:color w:val="000000"/>
          <w:sz w:val="20"/>
          <w:szCs w:val="20"/>
        </w:rPr>
        <w:t>₂</w:t>
      </w:r>
      <w:r w:rsidR="006C16A5" w:rsidRPr="00AB71E0">
        <w:rPr>
          <w:rFonts w:ascii="Arial" w:hAnsi="Arial" w:cs="Arial"/>
          <w:color w:val="000000"/>
          <w:sz w:val="20"/>
          <w:szCs w:val="20"/>
        </w:rPr>
        <w:t xml:space="preserve"> into the atmosphere (FAO, 2013). </w:t>
      </w:r>
    </w:p>
    <w:p w14:paraId="59642763" w14:textId="77777777" w:rsidR="002B3991" w:rsidRPr="00AB71E0" w:rsidRDefault="00BE0BB2" w:rsidP="002B3991">
      <w:pPr>
        <w:pStyle w:val="NormalWeb"/>
        <w:numPr>
          <w:ilvl w:val="0"/>
          <w:numId w:val="22"/>
        </w:numPr>
        <w:spacing w:before="0" w:beforeAutospacing="0" w:after="0" w:afterAutospacing="0" w:line="360" w:lineRule="auto"/>
        <w:jc w:val="both"/>
        <w:rPr>
          <w:rFonts w:ascii="Arial" w:hAnsi="Arial" w:cs="Arial"/>
          <w:color w:val="000000"/>
          <w:sz w:val="20"/>
          <w:szCs w:val="20"/>
        </w:rPr>
      </w:pPr>
      <w:r w:rsidRPr="002B3991">
        <w:rPr>
          <w:rFonts w:ascii="Arial" w:hAnsi="Arial" w:cs="Arial"/>
          <w:b/>
          <w:bCs/>
          <w:color w:val="000000"/>
          <w:sz w:val="20"/>
          <w:szCs w:val="20"/>
        </w:rPr>
        <w:t>Planting:</w:t>
      </w:r>
      <w:r>
        <w:rPr>
          <w:rFonts w:ascii="Arial" w:hAnsi="Arial" w:cs="Arial"/>
          <w:color w:val="000000"/>
          <w:sz w:val="20"/>
          <w:szCs w:val="20"/>
        </w:rPr>
        <w:t xml:space="preserve"> </w:t>
      </w:r>
      <w:r w:rsidR="006C16A5" w:rsidRPr="00AB71E0">
        <w:rPr>
          <w:rFonts w:ascii="Arial" w:hAnsi="Arial" w:cs="Arial"/>
          <w:color w:val="000000"/>
          <w:sz w:val="20"/>
          <w:szCs w:val="20"/>
        </w:rPr>
        <w:t>In</w:t>
      </w:r>
      <w:r w:rsidR="006C16A5" w:rsidRPr="00AB71E0">
        <w:rPr>
          <w:rStyle w:val="apple-converted-space"/>
          <w:rFonts w:ascii="Arial" w:hAnsi="Arial" w:cs="Arial"/>
          <w:color w:val="000000"/>
          <w:sz w:val="20"/>
          <w:szCs w:val="20"/>
        </w:rPr>
        <w:t> </w:t>
      </w:r>
      <w:r w:rsidR="006C16A5" w:rsidRPr="00AB71E0">
        <w:rPr>
          <w:rStyle w:val="Strong"/>
          <w:rFonts w:ascii="Arial" w:hAnsi="Arial" w:cs="Arial"/>
          <w:b w:val="0"/>
          <w:bCs w:val="0"/>
          <w:color w:val="000000"/>
          <w:sz w:val="20"/>
          <w:szCs w:val="20"/>
        </w:rPr>
        <w:t>planting</w:t>
      </w:r>
      <w:r w:rsidR="006C16A5" w:rsidRPr="00AB71E0">
        <w:rPr>
          <w:rFonts w:ascii="Arial" w:hAnsi="Arial" w:cs="Arial"/>
          <w:color w:val="000000"/>
          <w:sz w:val="20"/>
          <w:szCs w:val="20"/>
        </w:rPr>
        <w:t>, the manual digging of pits by laborers adds to</w:t>
      </w:r>
      <w:r w:rsidR="00AB71E0">
        <w:rPr>
          <w:rFonts w:ascii="Arial" w:hAnsi="Arial" w:cs="Arial"/>
          <w:color w:val="000000"/>
          <w:sz w:val="20"/>
          <w:szCs w:val="20"/>
        </w:rPr>
        <w:t xml:space="preserve"> </w:t>
      </w:r>
      <w:r w:rsidR="00AB71E0" w:rsidRPr="00AB71E0">
        <w:rPr>
          <w:rFonts w:ascii="Arial" w:hAnsi="Arial" w:cs="Arial"/>
          <w:color w:val="000000"/>
          <w:sz w:val="20"/>
          <w:szCs w:val="20"/>
        </w:rPr>
        <w:t>indirect emissions, primarily throug</w:t>
      </w:r>
      <w:r w:rsidR="002B3991">
        <w:rPr>
          <w:rFonts w:ascii="Arial" w:hAnsi="Arial" w:cs="Arial"/>
          <w:color w:val="000000"/>
          <w:sz w:val="20"/>
          <w:szCs w:val="20"/>
        </w:rPr>
        <w:t xml:space="preserve">h </w:t>
      </w:r>
      <w:r w:rsidR="002B3991" w:rsidRPr="00AB71E0">
        <w:rPr>
          <w:rFonts w:ascii="Arial" w:hAnsi="Arial" w:cs="Arial"/>
          <w:color w:val="000000"/>
          <w:sz w:val="20"/>
          <w:szCs w:val="20"/>
        </w:rPr>
        <w:t xml:space="preserve">energy use in associated activities such as tool manufacturing and transportation (Pandey </w:t>
      </w:r>
      <w:r w:rsidR="002B3991" w:rsidRPr="00AB71E0">
        <w:rPr>
          <w:rFonts w:ascii="Arial" w:hAnsi="Arial" w:cs="Arial"/>
          <w:i/>
          <w:iCs/>
          <w:color w:val="000000"/>
          <w:sz w:val="20"/>
          <w:szCs w:val="20"/>
        </w:rPr>
        <w:t>et al.,</w:t>
      </w:r>
      <w:r w:rsidR="002B3991" w:rsidRPr="00AB71E0">
        <w:rPr>
          <w:rFonts w:ascii="Arial" w:hAnsi="Arial" w:cs="Arial"/>
          <w:color w:val="000000"/>
          <w:sz w:val="20"/>
          <w:szCs w:val="20"/>
        </w:rPr>
        <w:t xml:space="preserve"> 2011).</w:t>
      </w:r>
    </w:p>
    <w:p w14:paraId="7A8D0401" w14:textId="7247F148" w:rsidR="007A569A" w:rsidRPr="00AB71E0" w:rsidRDefault="007A569A" w:rsidP="00BE0BB2">
      <w:pPr>
        <w:pStyle w:val="NormalWeb"/>
        <w:numPr>
          <w:ilvl w:val="0"/>
          <w:numId w:val="22"/>
        </w:numPr>
        <w:spacing w:before="0" w:beforeAutospacing="0" w:after="0" w:afterAutospacing="0" w:line="360" w:lineRule="auto"/>
        <w:jc w:val="both"/>
        <w:rPr>
          <w:rFonts w:ascii="Arial" w:hAnsi="Arial" w:cs="Arial"/>
          <w:color w:val="000000"/>
          <w:sz w:val="20"/>
          <w:szCs w:val="20"/>
        </w:rPr>
        <w:sectPr w:rsidR="007A569A" w:rsidRPr="00AB71E0" w:rsidSect="00F12DF1">
          <w:type w:val="continuous"/>
          <w:pgSz w:w="11906" w:h="16838"/>
          <w:pgMar w:top="1440" w:right="1440" w:bottom="1440" w:left="1440" w:header="708" w:footer="708" w:gutter="0"/>
          <w:cols w:space="708"/>
          <w:docGrid w:linePitch="360"/>
        </w:sectPr>
      </w:pPr>
    </w:p>
    <w:p w14:paraId="24F7A56C" w14:textId="77777777" w:rsidR="00BE0BB2" w:rsidRDefault="00BE0BB2" w:rsidP="00BE0BB2">
      <w:pPr>
        <w:pStyle w:val="NormalWeb"/>
        <w:numPr>
          <w:ilvl w:val="0"/>
          <w:numId w:val="22"/>
        </w:numPr>
        <w:spacing w:before="0" w:beforeAutospacing="0" w:after="0" w:afterAutospacing="0" w:line="360" w:lineRule="auto"/>
        <w:jc w:val="both"/>
        <w:rPr>
          <w:rFonts w:ascii="Arial" w:hAnsi="Arial" w:cs="Arial"/>
          <w:color w:val="000000"/>
          <w:sz w:val="20"/>
          <w:szCs w:val="20"/>
        </w:rPr>
      </w:pPr>
      <w:r w:rsidRPr="002B3991">
        <w:rPr>
          <w:rStyle w:val="Strong"/>
          <w:rFonts w:ascii="Arial" w:hAnsi="Arial" w:cs="Arial"/>
          <w:color w:val="000000"/>
          <w:sz w:val="20"/>
          <w:szCs w:val="20"/>
        </w:rPr>
        <w:t>Pruning:</w:t>
      </w:r>
      <w:r>
        <w:rPr>
          <w:rStyle w:val="Strong"/>
          <w:rFonts w:ascii="Arial" w:hAnsi="Arial" w:cs="Arial"/>
          <w:b w:val="0"/>
          <w:bCs w:val="0"/>
          <w:color w:val="000000"/>
          <w:sz w:val="20"/>
          <w:szCs w:val="20"/>
        </w:rPr>
        <w:t xml:space="preserve"> </w:t>
      </w:r>
      <w:r w:rsidR="006C16A5" w:rsidRPr="00AB71E0">
        <w:rPr>
          <w:rStyle w:val="Strong"/>
          <w:rFonts w:ascii="Arial" w:hAnsi="Arial" w:cs="Arial"/>
          <w:b w:val="0"/>
          <w:bCs w:val="0"/>
          <w:color w:val="000000"/>
          <w:sz w:val="20"/>
          <w:szCs w:val="20"/>
        </w:rPr>
        <w:t>Pruning</w:t>
      </w:r>
      <w:r w:rsidR="006C16A5" w:rsidRPr="00AB71E0">
        <w:rPr>
          <w:rFonts w:ascii="Arial" w:hAnsi="Arial" w:cs="Arial"/>
          <w:color w:val="000000"/>
          <w:sz w:val="20"/>
          <w:szCs w:val="20"/>
        </w:rPr>
        <w:t xml:space="preserve">, essential for developing a well-structured bush frame, involves repeated manual or mechanical cutting. While mechanized pruning can reduce labour, it increases fuel use, thereby contributing to higher emissions (Tao </w:t>
      </w:r>
      <w:r w:rsidR="006C16A5" w:rsidRPr="00BE0BB2">
        <w:rPr>
          <w:rFonts w:ascii="Arial" w:hAnsi="Arial" w:cs="Arial"/>
          <w:i/>
          <w:iCs/>
          <w:color w:val="000000"/>
          <w:sz w:val="20"/>
          <w:szCs w:val="20"/>
        </w:rPr>
        <w:t>et al.,</w:t>
      </w:r>
      <w:r w:rsidR="006C16A5" w:rsidRPr="00AB71E0">
        <w:rPr>
          <w:rFonts w:ascii="Arial" w:hAnsi="Arial" w:cs="Arial"/>
          <w:color w:val="000000"/>
          <w:sz w:val="20"/>
          <w:szCs w:val="20"/>
        </w:rPr>
        <w:t xml:space="preserve"> 2018). </w:t>
      </w:r>
    </w:p>
    <w:p w14:paraId="39EEE10B" w14:textId="3D048809" w:rsidR="006C16A5" w:rsidRPr="00AB71E0" w:rsidRDefault="00BE0BB2" w:rsidP="00BE0BB2">
      <w:pPr>
        <w:pStyle w:val="NormalWeb"/>
        <w:numPr>
          <w:ilvl w:val="0"/>
          <w:numId w:val="22"/>
        </w:numPr>
        <w:spacing w:before="0" w:beforeAutospacing="0" w:after="0" w:afterAutospacing="0" w:line="360" w:lineRule="auto"/>
        <w:jc w:val="both"/>
        <w:rPr>
          <w:rFonts w:ascii="Arial" w:hAnsi="Arial" w:cs="Arial"/>
          <w:color w:val="000000"/>
          <w:sz w:val="20"/>
          <w:szCs w:val="20"/>
        </w:rPr>
      </w:pPr>
      <w:r w:rsidRPr="002B3991">
        <w:rPr>
          <w:rFonts w:ascii="Arial" w:hAnsi="Arial" w:cs="Arial"/>
          <w:b/>
          <w:bCs/>
          <w:color w:val="000000"/>
          <w:sz w:val="20"/>
          <w:szCs w:val="20"/>
        </w:rPr>
        <w:t>Fertilizer &amp; Pesticide use</w:t>
      </w:r>
      <w:r>
        <w:rPr>
          <w:rFonts w:ascii="Arial" w:hAnsi="Arial" w:cs="Arial"/>
          <w:color w:val="000000"/>
          <w:sz w:val="20"/>
          <w:szCs w:val="20"/>
        </w:rPr>
        <w:t xml:space="preserve">: </w:t>
      </w:r>
      <w:r w:rsidR="006C16A5" w:rsidRPr="00AB71E0">
        <w:rPr>
          <w:rFonts w:ascii="Arial" w:hAnsi="Arial" w:cs="Arial"/>
          <w:color w:val="000000"/>
          <w:sz w:val="20"/>
          <w:szCs w:val="20"/>
        </w:rPr>
        <w:t>The</w:t>
      </w:r>
      <w:r w:rsidR="006C16A5" w:rsidRPr="00AB71E0">
        <w:rPr>
          <w:rStyle w:val="apple-converted-space"/>
          <w:rFonts w:ascii="Arial" w:hAnsi="Arial" w:cs="Arial"/>
          <w:color w:val="000000"/>
          <w:sz w:val="20"/>
          <w:szCs w:val="20"/>
        </w:rPr>
        <w:t> </w:t>
      </w:r>
      <w:r w:rsidR="006C16A5" w:rsidRPr="00AB71E0">
        <w:rPr>
          <w:rStyle w:val="Strong"/>
          <w:rFonts w:ascii="Arial" w:hAnsi="Arial" w:cs="Arial"/>
          <w:b w:val="0"/>
          <w:bCs w:val="0"/>
          <w:color w:val="000000"/>
          <w:sz w:val="20"/>
          <w:szCs w:val="20"/>
        </w:rPr>
        <w:t>application of fertilizers</w:t>
      </w:r>
      <w:r w:rsidR="006C16A5" w:rsidRPr="00AB71E0">
        <w:rPr>
          <w:rFonts w:ascii="Arial" w:hAnsi="Arial" w:cs="Arial"/>
          <w:color w:val="000000"/>
          <w:sz w:val="20"/>
          <w:szCs w:val="20"/>
        </w:rPr>
        <w:t>, particularly nitrogen-based synthetic types, is a major source of nitrous oxide (N</w:t>
      </w:r>
      <w:r w:rsidR="006C16A5" w:rsidRPr="00AB71E0">
        <w:rPr>
          <w:rFonts w:ascii="Cambria Math" w:hAnsi="Cambria Math" w:cs="Cambria Math"/>
          <w:color w:val="000000"/>
          <w:sz w:val="20"/>
          <w:szCs w:val="20"/>
        </w:rPr>
        <w:t>₂</w:t>
      </w:r>
      <w:r w:rsidR="006C16A5" w:rsidRPr="00AB71E0">
        <w:rPr>
          <w:rFonts w:ascii="Arial" w:hAnsi="Arial" w:cs="Arial"/>
          <w:color w:val="000000"/>
          <w:sz w:val="20"/>
          <w:szCs w:val="20"/>
        </w:rPr>
        <w:t>O), a potent greenhouse gas, through processes like volatilization, leaching, and surface runoff (IPCC, 2006). In addition,</w:t>
      </w:r>
      <w:r w:rsidR="006C16A5" w:rsidRPr="00AB71E0">
        <w:rPr>
          <w:rStyle w:val="apple-converted-space"/>
          <w:rFonts w:ascii="Arial" w:hAnsi="Arial" w:cs="Arial"/>
          <w:color w:val="000000"/>
          <w:sz w:val="20"/>
          <w:szCs w:val="20"/>
        </w:rPr>
        <w:t> </w:t>
      </w:r>
      <w:r w:rsidR="006C16A5" w:rsidRPr="00AB71E0">
        <w:rPr>
          <w:rStyle w:val="Strong"/>
          <w:rFonts w:ascii="Arial" w:hAnsi="Arial" w:cs="Arial"/>
          <w:b w:val="0"/>
          <w:bCs w:val="0"/>
          <w:color w:val="000000"/>
          <w:sz w:val="20"/>
          <w:szCs w:val="20"/>
        </w:rPr>
        <w:t>plant protection</w:t>
      </w:r>
      <w:r w:rsidR="006C16A5" w:rsidRPr="00AB71E0">
        <w:rPr>
          <w:rStyle w:val="apple-converted-space"/>
          <w:rFonts w:ascii="Arial" w:hAnsi="Arial" w:cs="Arial"/>
          <w:color w:val="000000"/>
          <w:sz w:val="20"/>
          <w:szCs w:val="20"/>
        </w:rPr>
        <w:t> </w:t>
      </w:r>
      <w:r w:rsidR="006C16A5" w:rsidRPr="00AB71E0">
        <w:rPr>
          <w:rFonts w:ascii="Arial" w:hAnsi="Arial" w:cs="Arial"/>
          <w:color w:val="000000"/>
          <w:sz w:val="20"/>
          <w:szCs w:val="20"/>
        </w:rPr>
        <w:t xml:space="preserve">practices that involve the use of synthetic pesticides also contribute to emissions, both through their chemical breakdown and the energy involved in their production and application (Roy </w:t>
      </w:r>
      <w:r w:rsidR="006C16A5" w:rsidRPr="00AB71E0">
        <w:rPr>
          <w:rFonts w:ascii="Arial" w:hAnsi="Arial" w:cs="Arial"/>
          <w:i/>
          <w:iCs/>
          <w:color w:val="000000"/>
          <w:sz w:val="20"/>
          <w:szCs w:val="20"/>
        </w:rPr>
        <w:t>et al.,</w:t>
      </w:r>
      <w:r w:rsidR="006C16A5" w:rsidRPr="00AB71E0">
        <w:rPr>
          <w:rFonts w:ascii="Arial" w:hAnsi="Arial" w:cs="Arial"/>
          <w:color w:val="000000"/>
          <w:sz w:val="20"/>
          <w:szCs w:val="20"/>
        </w:rPr>
        <w:t xml:space="preserve"> 2014).</w:t>
      </w:r>
    </w:p>
    <w:p w14:paraId="160F7382" w14:textId="77777777" w:rsidR="00BE0BB2" w:rsidRDefault="00BE0BB2" w:rsidP="00BE0BB2">
      <w:pPr>
        <w:pStyle w:val="NormalWeb"/>
        <w:numPr>
          <w:ilvl w:val="0"/>
          <w:numId w:val="22"/>
        </w:numPr>
        <w:spacing w:before="0" w:beforeAutospacing="0" w:after="0" w:afterAutospacing="0" w:line="360" w:lineRule="auto"/>
        <w:jc w:val="both"/>
        <w:rPr>
          <w:rFonts w:ascii="Arial" w:hAnsi="Arial" w:cs="Arial"/>
          <w:color w:val="000000"/>
          <w:sz w:val="20"/>
          <w:szCs w:val="20"/>
        </w:rPr>
      </w:pPr>
      <w:r w:rsidRPr="002B3991">
        <w:rPr>
          <w:rFonts w:ascii="Arial" w:hAnsi="Arial" w:cs="Arial"/>
          <w:b/>
          <w:bCs/>
          <w:color w:val="000000"/>
          <w:sz w:val="20"/>
          <w:szCs w:val="20"/>
        </w:rPr>
        <w:t>Plucking:</w:t>
      </w:r>
      <w:r>
        <w:rPr>
          <w:rFonts w:ascii="Arial" w:hAnsi="Arial" w:cs="Arial"/>
          <w:color w:val="000000"/>
          <w:sz w:val="20"/>
          <w:szCs w:val="20"/>
        </w:rPr>
        <w:t xml:space="preserve"> </w:t>
      </w:r>
      <w:r w:rsidR="006C16A5" w:rsidRPr="00AB71E0">
        <w:rPr>
          <w:rFonts w:ascii="Arial" w:hAnsi="Arial" w:cs="Arial"/>
          <w:color w:val="000000"/>
          <w:sz w:val="20"/>
          <w:szCs w:val="20"/>
        </w:rPr>
        <w:t>The</w:t>
      </w:r>
      <w:r w:rsidR="006C16A5" w:rsidRPr="00AB71E0">
        <w:rPr>
          <w:rStyle w:val="apple-converted-space"/>
          <w:rFonts w:ascii="Arial" w:hAnsi="Arial" w:cs="Arial"/>
          <w:color w:val="000000"/>
          <w:sz w:val="20"/>
          <w:szCs w:val="20"/>
        </w:rPr>
        <w:t> </w:t>
      </w:r>
      <w:r w:rsidR="006C16A5" w:rsidRPr="00AB71E0">
        <w:rPr>
          <w:rStyle w:val="Strong"/>
          <w:rFonts w:ascii="Arial" w:hAnsi="Arial" w:cs="Arial"/>
          <w:b w:val="0"/>
          <w:bCs w:val="0"/>
          <w:color w:val="000000"/>
          <w:sz w:val="20"/>
          <w:szCs w:val="20"/>
        </w:rPr>
        <w:t>plucking</w:t>
      </w:r>
      <w:r w:rsidR="006C16A5" w:rsidRPr="00AB71E0">
        <w:rPr>
          <w:rStyle w:val="apple-converted-space"/>
          <w:rFonts w:ascii="Arial" w:hAnsi="Arial" w:cs="Arial"/>
          <w:color w:val="000000"/>
          <w:sz w:val="20"/>
          <w:szCs w:val="20"/>
        </w:rPr>
        <w:t> </w:t>
      </w:r>
      <w:r w:rsidR="006C16A5" w:rsidRPr="00AB71E0">
        <w:rPr>
          <w:rFonts w:ascii="Arial" w:hAnsi="Arial" w:cs="Arial"/>
          <w:color w:val="000000"/>
          <w:sz w:val="20"/>
          <w:szCs w:val="20"/>
        </w:rPr>
        <w:t xml:space="preserve">stage is highly </w:t>
      </w:r>
      <w:r w:rsidR="00B95D57" w:rsidRPr="00AB71E0">
        <w:rPr>
          <w:rFonts w:ascii="Arial" w:hAnsi="Arial" w:cs="Arial"/>
          <w:color w:val="000000"/>
          <w:sz w:val="20"/>
          <w:szCs w:val="20"/>
        </w:rPr>
        <w:t>labour-intensive</w:t>
      </w:r>
      <w:r w:rsidR="006C16A5" w:rsidRPr="00AB71E0">
        <w:rPr>
          <w:rFonts w:ascii="Arial" w:hAnsi="Arial" w:cs="Arial"/>
          <w:color w:val="000000"/>
          <w:sz w:val="20"/>
          <w:szCs w:val="20"/>
        </w:rPr>
        <w:t xml:space="preserve">, with frequent harvesting cycles requiring a large workforce. Although it involves limited mechanical input, the sheer scale of human involvement contributes to indirect emissions (Bai </w:t>
      </w:r>
      <w:r w:rsidR="006C16A5" w:rsidRPr="00AB71E0">
        <w:rPr>
          <w:rFonts w:ascii="Arial" w:hAnsi="Arial" w:cs="Arial"/>
          <w:i/>
          <w:iCs/>
          <w:color w:val="000000"/>
          <w:sz w:val="20"/>
          <w:szCs w:val="20"/>
        </w:rPr>
        <w:t>et al.,</w:t>
      </w:r>
      <w:r w:rsidR="006C16A5" w:rsidRPr="00AB71E0">
        <w:rPr>
          <w:rFonts w:ascii="Arial" w:hAnsi="Arial" w:cs="Arial"/>
          <w:color w:val="000000"/>
          <w:sz w:val="20"/>
          <w:szCs w:val="20"/>
        </w:rPr>
        <w:t xml:space="preserve"> 2019). </w:t>
      </w:r>
    </w:p>
    <w:p w14:paraId="2B51B02A" w14:textId="77777777" w:rsidR="00BE0BB2" w:rsidRDefault="00BE0BB2" w:rsidP="00BE0BB2">
      <w:pPr>
        <w:pStyle w:val="NormalWeb"/>
        <w:numPr>
          <w:ilvl w:val="0"/>
          <w:numId w:val="22"/>
        </w:numPr>
        <w:spacing w:before="0" w:beforeAutospacing="0" w:after="0" w:afterAutospacing="0" w:line="360" w:lineRule="auto"/>
        <w:jc w:val="both"/>
        <w:rPr>
          <w:rFonts w:ascii="Arial" w:hAnsi="Arial" w:cs="Arial"/>
          <w:color w:val="000000"/>
          <w:sz w:val="20"/>
          <w:szCs w:val="20"/>
        </w:rPr>
      </w:pPr>
      <w:r w:rsidRPr="002B3991">
        <w:rPr>
          <w:rFonts w:ascii="Arial" w:hAnsi="Arial" w:cs="Arial"/>
          <w:b/>
          <w:bCs/>
          <w:color w:val="000000"/>
          <w:sz w:val="20"/>
          <w:szCs w:val="20"/>
        </w:rPr>
        <w:t>Transportation</w:t>
      </w:r>
      <w:r>
        <w:rPr>
          <w:rFonts w:ascii="Arial" w:hAnsi="Arial" w:cs="Arial"/>
          <w:color w:val="000000"/>
          <w:sz w:val="20"/>
          <w:szCs w:val="20"/>
        </w:rPr>
        <w:t xml:space="preserve">: </w:t>
      </w:r>
      <w:r w:rsidR="006C16A5" w:rsidRPr="00AB71E0">
        <w:rPr>
          <w:rFonts w:ascii="Arial" w:hAnsi="Arial" w:cs="Arial"/>
          <w:color w:val="000000"/>
          <w:sz w:val="20"/>
          <w:szCs w:val="20"/>
        </w:rPr>
        <w:t>Finally,</w:t>
      </w:r>
      <w:r w:rsidR="006C16A5" w:rsidRPr="00AB71E0">
        <w:rPr>
          <w:rStyle w:val="apple-converted-space"/>
          <w:rFonts w:ascii="Arial" w:hAnsi="Arial" w:cs="Arial"/>
          <w:color w:val="000000"/>
          <w:sz w:val="20"/>
          <w:szCs w:val="20"/>
        </w:rPr>
        <w:t> </w:t>
      </w:r>
      <w:r w:rsidR="006C16A5" w:rsidRPr="00AB71E0">
        <w:rPr>
          <w:rStyle w:val="Strong"/>
          <w:rFonts w:ascii="Arial" w:hAnsi="Arial" w:cs="Arial"/>
          <w:b w:val="0"/>
          <w:bCs w:val="0"/>
          <w:color w:val="000000"/>
          <w:sz w:val="20"/>
          <w:szCs w:val="20"/>
        </w:rPr>
        <w:t>transportation</w:t>
      </w:r>
      <w:r w:rsidR="006C16A5" w:rsidRPr="00AB71E0">
        <w:rPr>
          <w:rFonts w:ascii="Arial" w:hAnsi="Arial" w:cs="Arial"/>
          <w:color w:val="000000"/>
          <w:sz w:val="20"/>
          <w:szCs w:val="20"/>
        </w:rPr>
        <w:t>, which occurs in multiple stages from gardens to factories, then to warehouses, auction centres, and consumers relies heavily on fossil fuels. This stage is considered one of the most carbon-intensive due to the burning of diesel and petrol across long distances (</w:t>
      </w:r>
      <w:proofErr w:type="spellStart"/>
      <w:r w:rsidR="006C16A5" w:rsidRPr="00AB71E0">
        <w:rPr>
          <w:rFonts w:ascii="Arial" w:hAnsi="Arial" w:cs="Arial"/>
          <w:color w:val="000000"/>
          <w:sz w:val="20"/>
          <w:szCs w:val="20"/>
        </w:rPr>
        <w:t>Jeswani</w:t>
      </w:r>
      <w:proofErr w:type="spellEnd"/>
      <w:r w:rsidR="006C16A5" w:rsidRPr="00AB71E0">
        <w:rPr>
          <w:rFonts w:ascii="Arial" w:hAnsi="Arial" w:cs="Arial"/>
          <w:color w:val="000000"/>
          <w:sz w:val="20"/>
          <w:szCs w:val="20"/>
        </w:rPr>
        <w:t xml:space="preserve"> &amp; </w:t>
      </w:r>
      <w:proofErr w:type="spellStart"/>
      <w:r w:rsidR="006C16A5" w:rsidRPr="00AB71E0">
        <w:rPr>
          <w:rFonts w:ascii="Arial" w:hAnsi="Arial" w:cs="Arial"/>
          <w:color w:val="000000"/>
          <w:sz w:val="20"/>
          <w:szCs w:val="20"/>
        </w:rPr>
        <w:t>Azapagic</w:t>
      </w:r>
      <w:proofErr w:type="spellEnd"/>
      <w:r w:rsidR="006C16A5" w:rsidRPr="00AB71E0">
        <w:rPr>
          <w:rFonts w:ascii="Arial" w:hAnsi="Arial" w:cs="Arial"/>
          <w:color w:val="000000"/>
          <w:sz w:val="20"/>
          <w:szCs w:val="20"/>
        </w:rPr>
        <w:t xml:space="preserve">, 2016). </w:t>
      </w:r>
    </w:p>
    <w:p w14:paraId="2606234F" w14:textId="6B761006" w:rsidR="00312311" w:rsidRPr="00AB71E0" w:rsidRDefault="006C16A5" w:rsidP="00AB71E0">
      <w:pPr>
        <w:pStyle w:val="NormalWeb"/>
        <w:spacing w:before="0" w:beforeAutospacing="0" w:after="0" w:afterAutospacing="0" w:line="360" w:lineRule="auto"/>
        <w:jc w:val="both"/>
        <w:rPr>
          <w:rFonts w:ascii="Arial" w:hAnsi="Arial" w:cs="Arial"/>
          <w:color w:val="000000"/>
          <w:sz w:val="20"/>
          <w:szCs w:val="20"/>
        </w:rPr>
      </w:pPr>
      <w:r w:rsidRPr="00AB71E0">
        <w:rPr>
          <w:rFonts w:ascii="Arial" w:hAnsi="Arial" w:cs="Arial"/>
          <w:color w:val="000000"/>
          <w:sz w:val="20"/>
          <w:szCs w:val="20"/>
        </w:rPr>
        <w:t>Overall, each activity in the tea value chain plays a role in contributing to the total carbon footprint, warranting sustainable intervention strategies.</w:t>
      </w:r>
    </w:p>
    <w:p w14:paraId="4F0C79C8" w14:textId="77777777" w:rsidR="007A569A" w:rsidRPr="00AB71E0" w:rsidRDefault="007A569A" w:rsidP="008C6905">
      <w:pPr>
        <w:spacing w:line="360" w:lineRule="auto"/>
        <w:jc w:val="both"/>
        <w:rPr>
          <w:rFonts w:ascii="Arial" w:hAnsi="Arial" w:cs="Arial"/>
          <w:b/>
          <w:bCs/>
          <w:sz w:val="20"/>
          <w:szCs w:val="20"/>
        </w:rPr>
        <w:sectPr w:rsidR="007A569A" w:rsidRPr="00AB71E0" w:rsidSect="00F12DF1">
          <w:type w:val="continuous"/>
          <w:pgSz w:w="11906" w:h="16838"/>
          <w:pgMar w:top="1440" w:right="1440" w:bottom="1440" w:left="1440" w:header="708" w:footer="708" w:gutter="0"/>
          <w:cols w:space="708"/>
          <w:docGrid w:linePitch="360"/>
        </w:sectPr>
      </w:pPr>
    </w:p>
    <w:p w14:paraId="1A60E7A6" w14:textId="057B7F1F" w:rsidR="00312311" w:rsidRDefault="00312311" w:rsidP="00F03028">
      <w:pPr>
        <w:rPr>
          <w:rFonts w:ascii="Times New Roman" w:hAnsi="Times New Roman" w:cs="Times New Roman"/>
          <w:color w:val="000000" w:themeColor="text1"/>
          <w:kern w:val="24"/>
          <w:sz w:val="18"/>
          <w:szCs w:val="18"/>
          <w:lang w:val="en-US"/>
          <w14:ligatures w14:val="none"/>
        </w:rPr>
      </w:pPr>
      <w:r w:rsidRPr="00AB71E0">
        <w:rPr>
          <w:rFonts w:ascii="Arial" w:hAnsi="Arial" w:cs="Arial"/>
          <w:b/>
          <w:bCs/>
          <w:sz w:val="20"/>
          <w:szCs w:val="20"/>
        </w:rPr>
        <w:t>Table 1. Operation wise fuel consumption &amp; CO</w:t>
      </w:r>
      <w:r w:rsidRPr="00AB71E0">
        <w:rPr>
          <w:rFonts w:ascii="Arial" w:hAnsi="Arial" w:cs="Arial"/>
          <w:b/>
          <w:bCs/>
          <w:sz w:val="20"/>
          <w:szCs w:val="20"/>
          <w:vertAlign w:val="subscript"/>
        </w:rPr>
        <w:t>2</w:t>
      </w:r>
      <w:r w:rsidRPr="00AB71E0">
        <w:rPr>
          <w:rFonts w:ascii="Arial" w:hAnsi="Arial" w:cs="Arial"/>
          <w:b/>
          <w:bCs/>
          <w:sz w:val="20"/>
          <w:szCs w:val="20"/>
        </w:rPr>
        <w:t xml:space="preserve"> produced in tea gardens</w:t>
      </w:r>
      <w:r w:rsidR="00F03028">
        <w:rPr>
          <w:rFonts w:ascii="Arial" w:hAnsi="Arial" w:cs="Arial"/>
          <w:b/>
          <w:bCs/>
          <w:sz w:val="20"/>
          <w:szCs w:val="20"/>
        </w:rPr>
        <w:t xml:space="preserve"> </w:t>
      </w:r>
      <w:r w:rsidR="00F03028" w:rsidRPr="007A569A">
        <w:rPr>
          <w:rFonts w:ascii="Times New Roman" w:hAnsi="Times New Roman" w:cs="Times New Roman"/>
          <w:color w:val="000000" w:themeColor="text1"/>
          <w:kern w:val="24"/>
          <w:sz w:val="18"/>
          <w:szCs w:val="18"/>
          <w:lang w:val="en-US"/>
        </w:rPr>
        <w:t xml:space="preserve">(Aditya </w:t>
      </w:r>
      <w:r w:rsidR="00F03028" w:rsidRPr="007A569A">
        <w:rPr>
          <w:rFonts w:ascii="Times New Roman" w:hAnsi="Times New Roman" w:cs="Times New Roman"/>
          <w:i/>
          <w:iCs/>
          <w:color w:val="000000" w:themeColor="text1"/>
          <w:kern w:val="24"/>
          <w:sz w:val="18"/>
          <w:szCs w:val="18"/>
          <w:lang w:val="en-US"/>
        </w:rPr>
        <w:t xml:space="preserve">et al., </w:t>
      </w:r>
      <w:r w:rsidR="00F03028" w:rsidRPr="007A569A">
        <w:rPr>
          <w:rFonts w:ascii="Times New Roman" w:hAnsi="Times New Roman" w:cs="Times New Roman"/>
          <w:color w:val="000000" w:themeColor="text1"/>
          <w:kern w:val="24"/>
          <w:sz w:val="18"/>
          <w:szCs w:val="18"/>
          <w:lang w:val="en-US"/>
        </w:rPr>
        <w:t>2023)</w:t>
      </w:r>
    </w:p>
    <w:p w14:paraId="40AFC2C7" w14:textId="77777777" w:rsidR="00F03028" w:rsidRPr="00F03028" w:rsidRDefault="00F03028" w:rsidP="00F03028">
      <w:pPr>
        <w:rPr>
          <w:rFonts w:ascii="Times New Roman" w:hAnsi="Times New Roman" w:cs="Times New Roman"/>
          <w:color w:val="000000" w:themeColor="text1"/>
          <w:kern w:val="24"/>
          <w:sz w:val="18"/>
          <w:szCs w:val="18"/>
          <w:lang w:val="en-US"/>
          <w14:ligatures w14:val="none"/>
        </w:rPr>
      </w:pPr>
    </w:p>
    <w:tbl>
      <w:tblPr>
        <w:tblStyle w:val="TableGridLight"/>
        <w:tblW w:w="5000" w:type="pct"/>
        <w:tblLook w:val="0420" w:firstRow="1" w:lastRow="0" w:firstColumn="0" w:lastColumn="0" w:noHBand="0" w:noVBand="1"/>
      </w:tblPr>
      <w:tblGrid>
        <w:gridCol w:w="4815"/>
        <w:gridCol w:w="2126"/>
        <w:gridCol w:w="2075"/>
      </w:tblGrid>
      <w:tr w:rsidR="00312311" w:rsidRPr="00AB71E0" w14:paraId="6D9DDFA0" w14:textId="77777777" w:rsidTr="00986F52">
        <w:trPr>
          <w:trHeight w:val="411"/>
        </w:trPr>
        <w:tc>
          <w:tcPr>
            <w:tcW w:w="2670" w:type="pct"/>
            <w:hideMark/>
          </w:tcPr>
          <w:p w14:paraId="12A37C9C" w14:textId="77777777" w:rsidR="00312311" w:rsidRPr="00AB71E0" w:rsidRDefault="00312311" w:rsidP="008C6905">
            <w:pPr>
              <w:spacing w:line="360" w:lineRule="auto"/>
              <w:jc w:val="both"/>
              <w:rPr>
                <w:rFonts w:ascii="Arial" w:hAnsi="Arial" w:cs="Arial"/>
                <w:sz w:val="20"/>
                <w:szCs w:val="20"/>
              </w:rPr>
            </w:pPr>
            <w:r w:rsidRPr="00AB71E0">
              <w:rPr>
                <w:rFonts w:ascii="Arial" w:hAnsi="Arial" w:cs="Arial"/>
                <w:b/>
                <w:bCs/>
                <w:sz w:val="20"/>
                <w:szCs w:val="20"/>
              </w:rPr>
              <w:t>Farming Operations</w:t>
            </w:r>
          </w:p>
        </w:tc>
        <w:tc>
          <w:tcPr>
            <w:tcW w:w="1179" w:type="pct"/>
            <w:hideMark/>
          </w:tcPr>
          <w:p w14:paraId="24F03415" w14:textId="5FBCF5FC" w:rsidR="00312311" w:rsidRPr="00AB71E0" w:rsidRDefault="00312311" w:rsidP="008C6905">
            <w:pPr>
              <w:spacing w:line="360" w:lineRule="auto"/>
              <w:jc w:val="both"/>
              <w:rPr>
                <w:rFonts w:ascii="Arial" w:hAnsi="Arial" w:cs="Arial"/>
                <w:sz w:val="20"/>
                <w:szCs w:val="20"/>
              </w:rPr>
            </w:pPr>
            <w:r w:rsidRPr="00AB71E0">
              <w:rPr>
                <w:rFonts w:ascii="Arial" w:hAnsi="Arial" w:cs="Arial"/>
                <w:b/>
                <w:bCs/>
                <w:sz w:val="20"/>
                <w:szCs w:val="20"/>
              </w:rPr>
              <w:t>Fuel used (kg/ha)</w:t>
            </w:r>
          </w:p>
        </w:tc>
        <w:tc>
          <w:tcPr>
            <w:tcW w:w="1151" w:type="pct"/>
            <w:hideMark/>
          </w:tcPr>
          <w:p w14:paraId="2E0AC114" w14:textId="18738A62" w:rsidR="00312311" w:rsidRPr="00AB71E0" w:rsidRDefault="00312311" w:rsidP="008C6905">
            <w:pPr>
              <w:spacing w:line="360" w:lineRule="auto"/>
              <w:jc w:val="both"/>
              <w:rPr>
                <w:rFonts w:ascii="Arial" w:hAnsi="Arial" w:cs="Arial"/>
                <w:sz w:val="20"/>
                <w:szCs w:val="20"/>
              </w:rPr>
            </w:pPr>
            <w:r w:rsidRPr="00AB71E0">
              <w:rPr>
                <w:rFonts w:ascii="Arial" w:hAnsi="Arial" w:cs="Arial"/>
                <w:b/>
                <w:bCs/>
                <w:sz w:val="20"/>
                <w:szCs w:val="20"/>
              </w:rPr>
              <w:t>kg CO</w:t>
            </w:r>
            <w:r w:rsidRPr="00AB71E0">
              <w:rPr>
                <w:rFonts w:ascii="Arial" w:hAnsi="Arial" w:cs="Arial"/>
                <w:b/>
                <w:bCs/>
                <w:sz w:val="20"/>
                <w:szCs w:val="20"/>
                <w:vertAlign w:val="subscript"/>
              </w:rPr>
              <w:t xml:space="preserve">2 </w:t>
            </w:r>
            <w:proofErr w:type="spellStart"/>
            <w:r w:rsidRPr="00AB71E0">
              <w:rPr>
                <w:rFonts w:ascii="Arial" w:hAnsi="Arial" w:cs="Arial"/>
                <w:b/>
                <w:bCs/>
                <w:sz w:val="20"/>
                <w:szCs w:val="20"/>
              </w:rPr>
              <w:t>eq</w:t>
            </w:r>
            <w:proofErr w:type="spellEnd"/>
            <w:r w:rsidRPr="00AB71E0">
              <w:rPr>
                <w:rFonts w:ascii="Arial" w:hAnsi="Arial" w:cs="Arial"/>
                <w:b/>
                <w:bCs/>
                <w:sz w:val="20"/>
                <w:szCs w:val="20"/>
              </w:rPr>
              <w:t>/ha</w:t>
            </w:r>
          </w:p>
        </w:tc>
      </w:tr>
      <w:tr w:rsidR="00312311" w:rsidRPr="00AB71E0" w14:paraId="1D3F88FA" w14:textId="77777777" w:rsidTr="00986F52">
        <w:trPr>
          <w:trHeight w:val="23"/>
        </w:trPr>
        <w:tc>
          <w:tcPr>
            <w:tcW w:w="2670" w:type="pct"/>
            <w:hideMark/>
          </w:tcPr>
          <w:p w14:paraId="5C98E247" w14:textId="77777777"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rPr>
              <w:t>Land development and planting</w:t>
            </w:r>
          </w:p>
        </w:tc>
        <w:tc>
          <w:tcPr>
            <w:tcW w:w="1179" w:type="pct"/>
            <w:hideMark/>
          </w:tcPr>
          <w:p w14:paraId="702DA005" w14:textId="77777777"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rPr>
              <w:t>0.69</w:t>
            </w:r>
          </w:p>
        </w:tc>
        <w:tc>
          <w:tcPr>
            <w:tcW w:w="1151" w:type="pct"/>
            <w:hideMark/>
          </w:tcPr>
          <w:p w14:paraId="2160E50B" w14:textId="3DF04ECA"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lang w:val="en-US"/>
              </w:rPr>
              <w:t>1.83</w:t>
            </w:r>
          </w:p>
        </w:tc>
      </w:tr>
      <w:tr w:rsidR="00312311" w:rsidRPr="00AB71E0" w14:paraId="70FA371A" w14:textId="77777777" w:rsidTr="00986F52">
        <w:trPr>
          <w:trHeight w:val="18"/>
        </w:trPr>
        <w:tc>
          <w:tcPr>
            <w:tcW w:w="2670" w:type="pct"/>
            <w:hideMark/>
          </w:tcPr>
          <w:p w14:paraId="29769838" w14:textId="77777777"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rPr>
              <w:t>Irrigation</w:t>
            </w:r>
          </w:p>
        </w:tc>
        <w:tc>
          <w:tcPr>
            <w:tcW w:w="1179" w:type="pct"/>
            <w:hideMark/>
          </w:tcPr>
          <w:p w14:paraId="45BA5510" w14:textId="77777777"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rPr>
              <w:t>0.45</w:t>
            </w:r>
          </w:p>
        </w:tc>
        <w:tc>
          <w:tcPr>
            <w:tcW w:w="1151" w:type="pct"/>
            <w:hideMark/>
          </w:tcPr>
          <w:p w14:paraId="185E33E9" w14:textId="51D6D107"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lang w:val="en-US"/>
              </w:rPr>
              <w:t>1.20</w:t>
            </w:r>
          </w:p>
        </w:tc>
      </w:tr>
      <w:tr w:rsidR="00312311" w:rsidRPr="00AB71E0" w14:paraId="3032D259" w14:textId="77777777" w:rsidTr="00986F52">
        <w:trPr>
          <w:trHeight w:val="18"/>
        </w:trPr>
        <w:tc>
          <w:tcPr>
            <w:tcW w:w="2670" w:type="pct"/>
            <w:hideMark/>
          </w:tcPr>
          <w:p w14:paraId="4A20C8E5" w14:textId="77777777"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rPr>
              <w:t>Fertilizer and chemical application</w:t>
            </w:r>
          </w:p>
        </w:tc>
        <w:tc>
          <w:tcPr>
            <w:tcW w:w="1179" w:type="pct"/>
            <w:hideMark/>
          </w:tcPr>
          <w:p w14:paraId="66C7DB1F" w14:textId="77777777"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rPr>
              <w:t>0.70</w:t>
            </w:r>
          </w:p>
        </w:tc>
        <w:tc>
          <w:tcPr>
            <w:tcW w:w="1151" w:type="pct"/>
            <w:hideMark/>
          </w:tcPr>
          <w:p w14:paraId="1C2E1D9D" w14:textId="1B70341E"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lang w:val="en-US"/>
              </w:rPr>
              <w:t>1.85</w:t>
            </w:r>
          </w:p>
        </w:tc>
      </w:tr>
      <w:tr w:rsidR="00312311" w:rsidRPr="00AB71E0" w14:paraId="00B634B6" w14:textId="77777777" w:rsidTr="00986F52">
        <w:trPr>
          <w:trHeight w:val="18"/>
        </w:trPr>
        <w:tc>
          <w:tcPr>
            <w:tcW w:w="2670" w:type="pct"/>
            <w:hideMark/>
          </w:tcPr>
          <w:p w14:paraId="28BC70A8" w14:textId="77777777"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rPr>
              <w:t>Pruning</w:t>
            </w:r>
          </w:p>
        </w:tc>
        <w:tc>
          <w:tcPr>
            <w:tcW w:w="1179" w:type="pct"/>
            <w:hideMark/>
          </w:tcPr>
          <w:p w14:paraId="603AAC14" w14:textId="77777777"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lang w:val="en-US"/>
              </w:rPr>
              <w:t>0.89</w:t>
            </w:r>
          </w:p>
        </w:tc>
        <w:tc>
          <w:tcPr>
            <w:tcW w:w="1151" w:type="pct"/>
            <w:hideMark/>
          </w:tcPr>
          <w:p w14:paraId="45E86D4E" w14:textId="65ED8A9E"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lang w:val="en-US"/>
              </w:rPr>
              <w:t>2.35</w:t>
            </w:r>
          </w:p>
        </w:tc>
      </w:tr>
      <w:tr w:rsidR="00312311" w:rsidRPr="00AB71E0" w14:paraId="420AC9FF" w14:textId="77777777" w:rsidTr="00986F52">
        <w:trPr>
          <w:trHeight w:val="18"/>
        </w:trPr>
        <w:tc>
          <w:tcPr>
            <w:tcW w:w="2670" w:type="pct"/>
            <w:hideMark/>
          </w:tcPr>
          <w:p w14:paraId="6910E8C1" w14:textId="77777777"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rPr>
              <w:t>Plucking and transportation</w:t>
            </w:r>
          </w:p>
        </w:tc>
        <w:tc>
          <w:tcPr>
            <w:tcW w:w="1179" w:type="pct"/>
            <w:hideMark/>
          </w:tcPr>
          <w:p w14:paraId="48BE2E9F" w14:textId="77777777"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lang w:val="en-US"/>
              </w:rPr>
              <w:t>2.42</w:t>
            </w:r>
          </w:p>
        </w:tc>
        <w:tc>
          <w:tcPr>
            <w:tcW w:w="1151" w:type="pct"/>
            <w:hideMark/>
          </w:tcPr>
          <w:p w14:paraId="430F6E64" w14:textId="206913CE"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lang w:val="en-US"/>
              </w:rPr>
              <w:t>6.38</w:t>
            </w:r>
          </w:p>
        </w:tc>
      </w:tr>
    </w:tbl>
    <w:p w14:paraId="7E426410" w14:textId="2A6DEBB6" w:rsidR="00B95D57" w:rsidRPr="00AB71E0" w:rsidRDefault="00B95D57" w:rsidP="008C6905">
      <w:pPr>
        <w:spacing w:line="360" w:lineRule="auto"/>
        <w:jc w:val="both"/>
        <w:rPr>
          <w:rFonts w:ascii="Arial" w:hAnsi="Arial" w:cs="Arial"/>
          <w:color w:val="000000"/>
          <w:sz w:val="20"/>
          <w:szCs w:val="20"/>
        </w:rPr>
      </w:pPr>
    </w:p>
    <w:p w14:paraId="7EB12950" w14:textId="77777777" w:rsidR="007A569A" w:rsidRPr="00AB71E0" w:rsidRDefault="007A569A" w:rsidP="008C6905">
      <w:pPr>
        <w:spacing w:line="360" w:lineRule="auto"/>
        <w:jc w:val="both"/>
        <w:rPr>
          <w:rFonts w:ascii="Arial" w:hAnsi="Arial" w:cs="Arial"/>
          <w:color w:val="000000"/>
          <w:sz w:val="20"/>
          <w:szCs w:val="20"/>
        </w:rPr>
        <w:sectPr w:rsidR="007A569A" w:rsidRPr="00AB71E0" w:rsidSect="00F12DF1">
          <w:type w:val="continuous"/>
          <w:pgSz w:w="11906" w:h="16838"/>
          <w:pgMar w:top="1440" w:right="1440" w:bottom="1440" w:left="1440" w:header="708" w:footer="708" w:gutter="0"/>
          <w:cols w:space="708"/>
          <w:docGrid w:linePitch="360"/>
        </w:sectPr>
      </w:pPr>
    </w:p>
    <w:p w14:paraId="0724CB7B" w14:textId="42493C71" w:rsidR="00312311" w:rsidRPr="00AB71E0" w:rsidRDefault="00312311" w:rsidP="008C6905">
      <w:pPr>
        <w:spacing w:line="360" w:lineRule="auto"/>
        <w:jc w:val="both"/>
        <w:rPr>
          <w:rFonts w:ascii="Arial" w:hAnsi="Arial" w:cs="Arial"/>
          <w:color w:val="000000"/>
          <w:sz w:val="20"/>
          <w:szCs w:val="20"/>
        </w:rPr>
      </w:pPr>
      <w:r w:rsidRPr="00AB71E0">
        <w:rPr>
          <w:rFonts w:ascii="Arial" w:hAnsi="Arial" w:cs="Arial"/>
          <w:color w:val="000000"/>
          <w:sz w:val="20"/>
          <w:szCs w:val="20"/>
        </w:rPr>
        <w:t>Table 1. provides a breakdown of the fuel usage and associated carbon dioxide emissions across various farming operations in tea cultivation. Land development and planting consume 0.69 kg/ha of fuel, leading to 1.83 kg CO</w:t>
      </w:r>
      <w:r w:rsidRPr="00AB71E0">
        <w:rPr>
          <w:rFonts w:ascii="Cambria Math" w:hAnsi="Cambria Math" w:cs="Cambria Math"/>
          <w:color w:val="000000"/>
          <w:sz w:val="20"/>
          <w:szCs w:val="20"/>
        </w:rPr>
        <w:t>₂</w:t>
      </w:r>
      <w:r w:rsidRPr="00AB71E0">
        <w:rPr>
          <w:rFonts w:ascii="Arial" w:hAnsi="Arial" w:cs="Arial"/>
          <w:color w:val="000000"/>
          <w:sz w:val="20"/>
          <w:szCs w:val="20"/>
        </w:rPr>
        <w:t xml:space="preserve"> equivalent per hectare. Irrigation uses 0.45 kg/ha of fuel, resulting in 1.20 kg CO</w:t>
      </w:r>
      <w:r w:rsidRPr="00AB71E0">
        <w:rPr>
          <w:rFonts w:ascii="Cambria Math" w:hAnsi="Cambria Math" w:cs="Cambria Math"/>
          <w:color w:val="000000"/>
          <w:sz w:val="20"/>
          <w:szCs w:val="20"/>
        </w:rPr>
        <w:t>₂</w:t>
      </w:r>
      <w:r w:rsidRPr="00AB71E0">
        <w:rPr>
          <w:rFonts w:ascii="Arial" w:hAnsi="Arial" w:cs="Arial"/>
          <w:color w:val="000000"/>
          <w:sz w:val="20"/>
          <w:szCs w:val="20"/>
        </w:rPr>
        <w:t xml:space="preserve"> equivalent per hectare. Fertilizer and chemical application utilize 0.70 kg/ha of fuel, contributing </w:t>
      </w:r>
      <w:r w:rsidRPr="00AB71E0">
        <w:rPr>
          <w:rFonts w:ascii="Arial" w:hAnsi="Arial" w:cs="Arial"/>
          <w:color w:val="000000"/>
          <w:sz w:val="20"/>
          <w:szCs w:val="20"/>
        </w:rPr>
        <w:lastRenderedPageBreak/>
        <w:t>to 1.85 kg CO</w:t>
      </w:r>
      <w:r w:rsidRPr="00AB71E0">
        <w:rPr>
          <w:rFonts w:ascii="Cambria Math" w:hAnsi="Cambria Math" w:cs="Cambria Math"/>
          <w:color w:val="000000"/>
          <w:sz w:val="20"/>
          <w:szCs w:val="20"/>
        </w:rPr>
        <w:t>₂</w:t>
      </w:r>
      <w:r w:rsidRPr="00AB71E0">
        <w:rPr>
          <w:rFonts w:ascii="Arial" w:hAnsi="Arial" w:cs="Arial"/>
          <w:color w:val="000000"/>
          <w:sz w:val="20"/>
          <w:szCs w:val="20"/>
        </w:rPr>
        <w:t xml:space="preserve"> equivalent per hectare. Pruning operations use 0.89 kg/ha of fuel, emitting 2.35 kg CO</w:t>
      </w:r>
      <w:r w:rsidRPr="00AB71E0">
        <w:rPr>
          <w:rFonts w:ascii="Cambria Math" w:hAnsi="Cambria Math" w:cs="Cambria Math"/>
          <w:color w:val="000000"/>
          <w:sz w:val="20"/>
          <w:szCs w:val="20"/>
        </w:rPr>
        <w:t>₂</w:t>
      </w:r>
      <w:r w:rsidRPr="00AB71E0">
        <w:rPr>
          <w:rFonts w:ascii="Arial" w:hAnsi="Arial" w:cs="Arial"/>
          <w:color w:val="000000"/>
          <w:sz w:val="20"/>
          <w:szCs w:val="20"/>
        </w:rPr>
        <w:t xml:space="preserve"> equivalent per hectare. The most fuel-intensive activity is plucking and transportation, which uses 2.42 kg/ha of fuel, resulting in the highest emissions at 6.38 kg CO</w:t>
      </w:r>
      <w:r w:rsidRPr="00AB71E0">
        <w:rPr>
          <w:rFonts w:ascii="Cambria Math" w:hAnsi="Cambria Math" w:cs="Cambria Math"/>
          <w:color w:val="000000"/>
          <w:sz w:val="20"/>
          <w:szCs w:val="20"/>
        </w:rPr>
        <w:t>₂</w:t>
      </w:r>
      <w:r w:rsidRPr="00AB71E0">
        <w:rPr>
          <w:rFonts w:ascii="Arial" w:hAnsi="Arial" w:cs="Arial"/>
          <w:color w:val="000000"/>
          <w:sz w:val="20"/>
          <w:szCs w:val="20"/>
        </w:rPr>
        <w:t xml:space="preserve"> equivalent per hectare. Overall, plucking and transportation contribute significantly more to carbon emissions compared to other operations.</w:t>
      </w:r>
    </w:p>
    <w:p w14:paraId="6D8AD2AD" w14:textId="77777777" w:rsidR="007A569A" w:rsidRPr="00AB71E0" w:rsidRDefault="007A569A" w:rsidP="008C6905">
      <w:pPr>
        <w:spacing w:line="360" w:lineRule="auto"/>
        <w:jc w:val="both"/>
        <w:rPr>
          <w:rFonts w:ascii="Arial" w:hAnsi="Arial" w:cs="Arial"/>
          <w:b/>
          <w:bCs/>
          <w:sz w:val="20"/>
          <w:szCs w:val="20"/>
        </w:rPr>
        <w:sectPr w:rsidR="007A569A" w:rsidRPr="00AB71E0" w:rsidSect="00F12DF1">
          <w:type w:val="continuous"/>
          <w:pgSz w:w="11906" w:h="16838"/>
          <w:pgMar w:top="1440" w:right="1440" w:bottom="1440" w:left="1440" w:header="708" w:footer="708" w:gutter="0"/>
          <w:cols w:space="708"/>
          <w:docGrid w:linePitch="360"/>
        </w:sectPr>
      </w:pPr>
    </w:p>
    <w:p w14:paraId="6C753EF3" w14:textId="463F28CE" w:rsidR="007A569A" w:rsidRPr="002B3991" w:rsidRDefault="002B3991" w:rsidP="002B3991">
      <w:pPr>
        <w:pStyle w:val="NormalWeb"/>
        <w:spacing w:before="0" w:beforeAutospacing="0" w:after="0" w:afterAutospacing="0" w:line="360" w:lineRule="auto"/>
        <w:rPr>
          <w:rFonts w:ascii="Arial" w:hAnsi="Arial" w:cs="Arial"/>
          <w:color w:val="000000"/>
          <w:sz w:val="22"/>
          <w:szCs w:val="22"/>
        </w:rPr>
      </w:pPr>
      <w:r w:rsidRPr="002B3991">
        <w:rPr>
          <w:rStyle w:val="Strong"/>
          <w:rFonts w:ascii="Arial" w:hAnsi="Arial" w:cs="Arial"/>
          <w:color w:val="000000"/>
          <w:sz w:val="22"/>
          <w:szCs w:val="22"/>
        </w:rPr>
        <w:t>4.</w:t>
      </w:r>
      <w:r>
        <w:rPr>
          <w:rStyle w:val="Strong"/>
          <w:rFonts w:ascii="Arial" w:hAnsi="Arial" w:cs="Arial"/>
          <w:color w:val="000000"/>
          <w:sz w:val="22"/>
          <w:szCs w:val="22"/>
        </w:rPr>
        <w:t>2</w:t>
      </w:r>
      <w:r w:rsidRPr="002B3991">
        <w:rPr>
          <w:rStyle w:val="Strong"/>
          <w:rFonts w:ascii="Arial" w:hAnsi="Arial" w:cs="Arial"/>
          <w:color w:val="000000"/>
          <w:sz w:val="22"/>
          <w:szCs w:val="22"/>
        </w:rPr>
        <w:t xml:space="preserve"> </w:t>
      </w:r>
      <w:r>
        <w:rPr>
          <w:rStyle w:val="Strong"/>
          <w:rFonts w:ascii="Arial" w:hAnsi="Arial" w:cs="Arial"/>
          <w:color w:val="000000"/>
          <w:sz w:val="22"/>
          <w:szCs w:val="22"/>
        </w:rPr>
        <w:t>Processing</w:t>
      </w:r>
      <w:r w:rsidRPr="002B3991">
        <w:rPr>
          <w:rStyle w:val="Strong"/>
          <w:rFonts w:ascii="Arial" w:hAnsi="Arial" w:cs="Arial"/>
          <w:color w:val="000000"/>
          <w:sz w:val="22"/>
          <w:szCs w:val="22"/>
        </w:rPr>
        <w:t xml:space="preserve"> stage</w:t>
      </w:r>
    </w:p>
    <w:p w14:paraId="626D5539" w14:textId="2054C296" w:rsidR="00312311" w:rsidRPr="002B3991" w:rsidRDefault="002B3991" w:rsidP="008C6905">
      <w:pPr>
        <w:spacing w:line="360" w:lineRule="auto"/>
        <w:jc w:val="both"/>
        <w:rPr>
          <w:rFonts w:ascii="Arial" w:hAnsi="Arial" w:cs="Arial"/>
          <w:sz w:val="22"/>
          <w:szCs w:val="22"/>
        </w:rPr>
      </w:pPr>
      <w:r w:rsidRPr="002B3991">
        <w:rPr>
          <w:rFonts w:ascii="Arial" w:hAnsi="Arial" w:cs="Arial"/>
          <w:sz w:val="22"/>
          <w:szCs w:val="22"/>
        </w:rPr>
        <w:t>Different operations in tea processing</w:t>
      </w:r>
      <w:r w:rsidR="00763844" w:rsidRPr="002B3991">
        <w:rPr>
          <w:rFonts w:ascii="Arial" w:hAnsi="Arial" w:cs="Arial"/>
          <w:sz w:val="22"/>
          <w:szCs w:val="22"/>
        </w:rPr>
        <w:t xml:space="preserve"> </w:t>
      </w:r>
    </w:p>
    <w:p w14:paraId="0A5532D4" w14:textId="0775BC40" w:rsidR="00B95D57" w:rsidRPr="00AB71E0" w:rsidRDefault="007A569A" w:rsidP="008C6905">
      <w:pPr>
        <w:spacing w:line="360" w:lineRule="auto"/>
        <w:jc w:val="center"/>
        <w:rPr>
          <w:rFonts w:ascii="Arial" w:hAnsi="Arial" w:cs="Arial"/>
          <w:sz w:val="20"/>
          <w:szCs w:val="20"/>
          <w:lang w:val="en-US"/>
        </w:rPr>
      </w:pPr>
      <w:r w:rsidRPr="00AB71E0">
        <w:rPr>
          <w:rFonts w:ascii="Arial" w:hAnsi="Arial" w:cs="Arial"/>
          <w:noProof/>
          <w:sz w:val="20"/>
          <w:szCs w:val="20"/>
        </w:rPr>
        <mc:AlternateContent>
          <mc:Choice Requires="wps">
            <w:drawing>
              <wp:anchor distT="0" distB="0" distL="114300" distR="114300" simplePos="0" relativeHeight="251661312" behindDoc="0" locked="0" layoutInCell="1" allowOverlap="1" wp14:anchorId="7A236B93" wp14:editId="12F6576E">
                <wp:simplePos x="0" y="0"/>
                <wp:positionH relativeFrom="column">
                  <wp:posOffset>750570</wp:posOffset>
                </wp:positionH>
                <wp:positionV relativeFrom="paragraph">
                  <wp:posOffset>2527300</wp:posOffset>
                </wp:positionV>
                <wp:extent cx="4648200" cy="402336"/>
                <wp:effectExtent l="0" t="0" r="0" b="0"/>
                <wp:wrapNone/>
                <wp:docPr id="832059004" name="TextBox 11"/>
                <wp:cNvGraphicFramePr/>
                <a:graphic xmlns:a="http://schemas.openxmlformats.org/drawingml/2006/main">
                  <a:graphicData uri="http://schemas.microsoft.com/office/word/2010/wordprocessingShape">
                    <wps:wsp>
                      <wps:cNvSpPr txBox="1"/>
                      <wps:spPr>
                        <a:xfrm>
                          <a:off x="0" y="0"/>
                          <a:ext cx="4648200" cy="402336"/>
                        </a:xfrm>
                        <a:prstGeom prst="rect">
                          <a:avLst/>
                        </a:prstGeom>
                        <a:noFill/>
                      </wps:spPr>
                      <wps:txbx>
                        <w:txbxContent>
                          <w:p w14:paraId="57DBE725" w14:textId="77777777" w:rsidR="00F03028" w:rsidRPr="008C6905" w:rsidRDefault="00312311" w:rsidP="00F03028">
                            <w:pPr>
                              <w:rPr>
                                <w:rFonts w:ascii="Times New Roman" w:hAnsi="Times New Roman" w:cs="Times New Roman"/>
                                <w:color w:val="000000" w:themeColor="text1"/>
                                <w:kern w:val="24"/>
                                <w:sz w:val="18"/>
                                <w:szCs w:val="18"/>
                                <w:lang w:val="en-US"/>
                                <w14:ligatures w14:val="none"/>
                              </w:rPr>
                            </w:pPr>
                            <w:r w:rsidRPr="008C6905">
                              <w:rPr>
                                <w:rFonts w:ascii="Times New Roman" w:hAnsi="Times New Roman" w:cs="Times New Roman"/>
                                <w:b/>
                                <w:bCs/>
                                <w:color w:val="000000" w:themeColor="text1"/>
                                <w:kern w:val="24"/>
                                <w:sz w:val="21"/>
                                <w:szCs w:val="21"/>
                              </w:rPr>
                              <w:t xml:space="preserve">Fig </w:t>
                            </w:r>
                            <w:proofErr w:type="gramStart"/>
                            <w:r w:rsidR="00C83E09" w:rsidRPr="008C6905">
                              <w:rPr>
                                <w:rFonts w:ascii="Times New Roman" w:hAnsi="Times New Roman" w:cs="Times New Roman"/>
                                <w:b/>
                                <w:bCs/>
                                <w:color w:val="000000" w:themeColor="text1"/>
                                <w:kern w:val="24"/>
                                <w:sz w:val="21"/>
                                <w:szCs w:val="21"/>
                              </w:rPr>
                              <w:t>1.</w:t>
                            </w:r>
                            <w:r w:rsidRPr="008C6905">
                              <w:rPr>
                                <w:rFonts w:ascii="Times New Roman" w:hAnsi="Times New Roman" w:cs="Times New Roman"/>
                                <w:b/>
                                <w:bCs/>
                                <w:color w:val="000000" w:themeColor="text1"/>
                                <w:kern w:val="24"/>
                                <w:sz w:val="21"/>
                                <w:szCs w:val="21"/>
                              </w:rPr>
                              <w:t>Steps</w:t>
                            </w:r>
                            <w:proofErr w:type="gramEnd"/>
                            <w:r w:rsidRPr="008C6905">
                              <w:rPr>
                                <w:rFonts w:ascii="Times New Roman" w:hAnsi="Times New Roman" w:cs="Times New Roman"/>
                                <w:b/>
                                <w:bCs/>
                                <w:color w:val="000000" w:themeColor="text1"/>
                                <w:kern w:val="24"/>
                                <w:sz w:val="21"/>
                                <w:szCs w:val="21"/>
                              </w:rPr>
                              <w:t xml:space="preserve"> involved in production of various varieties of tea</w:t>
                            </w:r>
                            <w:r w:rsidR="00F03028">
                              <w:rPr>
                                <w:rFonts w:ascii="Times New Roman" w:hAnsi="Times New Roman" w:cs="Times New Roman"/>
                                <w:b/>
                                <w:bCs/>
                                <w:color w:val="000000" w:themeColor="text1"/>
                                <w:kern w:val="24"/>
                                <w:sz w:val="21"/>
                                <w:szCs w:val="21"/>
                              </w:rPr>
                              <w:t xml:space="preserve"> </w:t>
                            </w:r>
                            <w:r w:rsidR="00F03028" w:rsidRPr="008C6905">
                              <w:rPr>
                                <w:rFonts w:ascii="Times New Roman" w:hAnsi="Times New Roman" w:cs="Times New Roman"/>
                                <w:color w:val="000000" w:themeColor="text1"/>
                                <w:kern w:val="24"/>
                                <w:sz w:val="18"/>
                                <w:szCs w:val="18"/>
                                <w:lang w:val="en-US"/>
                              </w:rPr>
                              <w:t xml:space="preserve">(Aditya </w:t>
                            </w:r>
                            <w:r w:rsidR="00F03028" w:rsidRPr="008C6905">
                              <w:rPr>
                                <w:rFonts w:ascii="Times New Roman" w:hAnsi="Times New Roman" w:cs="Times New Roman"/>
                                <w:i/>
                                <w:iCs/>
                                <w:color w:val="000000" w:themeColor="text1"/>
                                <w:kern w:val="24"/>
                                <w:sz w:val="18"/>
                                <w:szCs w:val="18"/>
                                <w:lang w:val="en-US"/>
                              </w:rPr>
                              <w:t xml:space="preserve">et al., </w:t>
                            </w:r>
                            <w:r w:rsidR="00F03028" w:rsidRPr="008C6905">
                              <w:rPr>
                                <w:rFonts w:ascii="Times New Roman" w:hAnsi="Times New Roman" w:cs="Times New Roman"/>
                                <w:color w:val="000000" w:themeColor="text1"/>
                                <w:kern w:val="24"/>
                                <w:sz w:val="18"/>
                                <w:szCs w:val="18"/>
                                <w:lang w:val="en-US"/>
                              </w:rPr>
                              <w:t>2023)</w:t>
                            </w:r>
                          </w:p>
                          <w:p w14:paraId="0346FEE8" w14:textId="2A3F5035" w:rsidR="00312311" w:rsidRPr="008C6905" w:rsidRDefault="00312311" w:rsidP="008C6905">
                            <w:pPr>
                              <w:rPr>
                                <w:rFonts w:ascii="Times New Roman" w:hAnsi="Times New Roman" w:cs="Times New Roman"/>
                                <w:b/>
                                <w:bCs/>
                                <w:color w:val="000000" w:themeColor="text1"/>
                                <w:kern w:val="24"/>
                                <w:sz w:val="21"/>
                                <w:szCs w:val="21"/>
                                <w14:ligatures w14:val="none"/>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7A236B93" id="_x0000_t202" coordsize="21600,21600" o:spt="202" path="m,l,21600r21600,l21600,xe">
                <v:stroke joinstyle="miter"/>
                <v:path gradientshapeok="t" o:connecttype="rect"/>
              </v:shapetype>
              <v:shape id="TextBox 11" o:spid="_x0000_s1026" type="#_x0000_t202" style="position:absolute;left:0;text-align:left;margin-left:59.1pt;margin-top:199pt;width:366pt;height:3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" filled="f" stroked="f">
                <v:textbox>
                  <w:txbxContent>
                    <w:p w14:paraId="57DBE725" w14:textId="77777777" w:rsidR="00F03028" w:rsidRPr="008C6905" w:rsidRDefault="00312311" w:rsidP="00F03028">
                      <w:pPr>
                        <w:rPr>
                          <w:rFonts w:ascii="Times New Roman" w:hAnsi="Times New Roman" w:cs="Times New Roman"/>
                          <w:color w:val="000000" w:themeColor="text1"/>
                          <w:kern w:val="24"/>
                          <w:sz w:val="18"/>
                          <w:szCs w:val="18"/>
                          <w:lang w:val="en-US"/>
                          <w14:ligatures w14:val="none"/>
                        </w:rPr>
                      </w:pPr>
                      <w:r w:rsidRPr="008C6905">
                        <w:rPr>
                          <w:rFonts w:ascii="Times New Roman" w:hAnsi="Times New Roman" w:cs="Times New Roman"/>
                          <w:b/>
                          <w:bCs/>
                          <w:color w:val="000000" w:themeColor="text1"/>
                          <w:kern w:val="24"/>
                          <w:sz w:val="21"/>
                          <w:szCs w:val="21"/>
                        </w:rPr>
                        <w:t xml:space="preserve">Fig </w:t>
                      </w:r>
                      <w:proofErr w:type="gramStart"/>
                      <w:r w:rsidR="00C83E09" w:rsidRPr="008C6905">
                        <w:rPr>
                          <w:rFonts w:ascii="Times New Roman" w:hAnsi="Times New Roman" w:cs="Times New Roman"/>
                          <w:b/>
                          <w:bCs/>
                          <w:color w:val="000000" w:themeColor="text1"/>
                          <w:kern w:val="24"/>
                          <w:sz w:val="21"/>
                          <w:szCs w:val="21"/>
                        </w:rPr>
                        <w:t>1.</w:t>
                      </w:r>
                      <w:r w:rsidRPr="008C6905">
                        <w:rPr>
                          <w:rFonts w:ascii="Times New Roman" w:hAnsi="Times New Roman" w:cs="Times New Roman"/>
                          <w:b/>
                          <w:bCs/>
                          <w:color w:val="000000" w:themeColor="text1"/>
                          <w:kern w:val="24"/>
                          <w:sz w:val="21"/>
                          <w:szCs w:val="21"/>
                        </w:rPr>
                        <w:t>Steps</w:t>
                      </w:r>
                      <w:proofErr w:type="gramEnd"/>
                      <w:r w:rsidRPr="008C6905">
                        <w:rPr>
                          <w:rFonts w:ascii="Times New Roman" w:hAnsi="Times New Roman" w:cs="Times New Roman"/>
                          <w:b/>
                          <w:bCs/>
                          <w:color w:val="000000" w:themeColor="text1"/>
                          <w:kern w:val="24"/>
                          <w:sz w:val="21"/>
                          <w:szCs w:val="21"/>
                        </w:rPr>
                        <w:t xml:space="preserve"> involved in production of various varieties of tea</w:t>
                      </w:r>
                      <w:r w:rsidR="00F03028">
                        <w:rPr>
                          <w:rFonts w:ascii="Times New Roman" w:hAnsi="Times New Roman" w:cs="Times New Roman"/>
                          <w:b/>
                          <w:bCs/>
                          <w:color w:val="000000" w:themeColor="text1"/>
                          <w:kern w:val="24"/>
                          <w:sz w:val="21"/>
                          <w:szCs w:val="21"/>
                        </w:rPr>
                        <w:t xml:space="preserve"> </w:t>
                      </w:r>
                      <w:r w:rsidR="00F03028" w:rsidRPr="008C6905">
                        <w:rPr>
                          <w:rFonts w:ascii="Times New Roman" w:hAnsi="Times New Roman" w:cs="Times New Roman"/>
                          <w:color w:val="000000" w:themeColor="text1"/>
                          <w:kern w:val="24"/>
                          <w:sz w:val="18"/>
                          <w:szCs w:val="18"/>
                          <w:lang w:val="en-US"/>
                        </w:rPr>
                        <w:t xml:space="preserve">(Aditya </w:t>
                      </w:r>
                      <w:r w:rsidR="00F03028" w:rsidRPr="008C6905">
                        <w:rPr>
                          <w:rFonts w:ascii="Times New Roman" w:hAnsi="Times New Roman" w:cs="Times New Roman"/>
                          <w:i/>
                          <w:iCs/>
                          <w:color w:val="000000" w:themeColor="text1"/>
                          <w:kern w:val="24"/>
                          <w:sz w:val="18"/>
                          <w:szCs w:val="18"/>
                          <w:lang w:val="en-US"/>
                        </w:rPr>
                        <w:t xml:space="preserve">et al., </w:t>
                      </w:r>
                      <w:r w:rsidR="00F03028" w:rsidRPr="008C6905">
                        <w:rPr>
                          <w:rFonts w:ascii="Times New Roman" w:hAnsi="Times New Roman" w:cs="Times New Roman"/>
                          <w:color w:val="000000" w:themeColor="text1"/>
                          <w:kern w:val="24"/>
                          <w:sz w:val="18"/>
                          <w:szCs w:val="18"/>
                          <w:lang w:val="en-US"/>
                        </w:rPr>
                        <w:t>2023)</w:t>
                      </w:r>
                    </w:p>
                    <w:p w14:paraId="0346FEE8" w14:textId="2A3F5035" w:rsidR="00312311" w:rsidRPr="008C6905" w:rsidRDefault="00312311" w:rsidP="008C6905">
                      <w:pPr>
                        <w:rPr>
                          <w:rFonts w:ascii="Times New Roman" w:hAnsi="Times New Roman" w:cs="Times New Roman"/>
                          <w:b/>
                          <w:bCs/>
                          <w:color w:val="000000" w:themeColor="text1"/>
                          <w:kern w:val="24"/>
                          <w:sz w:val="21"/>
                          <w:szCs w:val="21"/>
                          <w14:ligatures w14:val="none"/>
                        </w:rPr>
                      </w:pPr>
                    </w:p>
                  </w:txbxContent>
                </v:textbox>
              </v:shape>
            </w:pict>
          </mc:Fallback>
        </mc:AlternateContent>
      </w:r>
      <w:r w:rsidR="00312311" w:rsidRPr="00AB71E0">
        <w:rPr>
          <w:rFonts w:ascii="Arial" w:hAnsi="Arial" w:cs="Arial"/>
          <w:noProof/>
          <w:sz w:val="20"/>
          <w:szCs w:val="20"/>
        </w:rPr>
        <w:drawing>
          <wp:inline distT="0" distB="0" distL="0" distR="0" wp14:anchorId="0C6D6632" wp14:editId="78F4164E">
            <wp:extent cx="5365330" cy="2459990"/>
            <wp:effectExtent l="0" t="0" r="0" b="3810"/>
            <wp:docPr id="693508058" name="Picture 10" descr="A group of colorful rectangular boxes with text&#10;&#10;Description automatically generated with medium confidence">
              <a:extLst xmlns:a="http://schemas.openxmlformats.org/drawingml/2006/main">
                <a:ext uri="{FF2B5EF4-FFF2-40B4-BE49-F238E27FC236}">
                  <a16:creationId xmlns:a16="http://schemas.microsoft.com/office/drawing/2014/main" id="{9696D38C-7263-1F48-845A-8F08B7D310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group of colorful rectangular boxes with text&#10;&#10;Description automatically generated with medium confidence">
                      <a:extLst>
                        <a:ext uri="{FF2B5EF4-FFF2-40B4-BE49-F238E27FC236}">
                          <a16:creationId xmlns:a16="http://schemas.microsoft.com/office/drawing/2014/main" id="{9696D38C-7263-1F48-845A-8F08B7D310B2}"/>
                        </a:ext>
                      </a:extLst>
                    </pic:cNvPr>
                    <pic:cNvPicPr>
                      <a:picLocks noChangeAspect="1"/>
                    </pic:cNvPicPr>
                  </pic:nvPicPr>
                  <pic:blipFill>
                    <a:blip r:embed="rId18"/>
                    <a:stretch>
                      <a:fillRect/>
                    </a:stretch>
                  </pic:blipFill>
                  <pic:spPr>
                    <a:xfrm>
                      <a:off x="0" y="0"/>
                      <a:ext cx="5545280" cy="2542497"/>
                    </a:xfrm>
                    <a:prstGeom prst="rect">
                      <a:avLst/>
                    </a:prstGeom>
                  </pic:spPr>
                </pic:pic>
              </a:graphicData>
            </a:graphic>
          </wp:inline>
        </w:drawing>
      </w:r>
    </w:p>
    <w:p w14:paraId="47817F02" w14:textId="4CB46958" w:rsidR="008C6905" w:rsidRPr="00AB71E0" w:rsidRDefault="008C6905" w:rsidP="008C6905">
      <w:pPr>
        <w:spacing w:line="360" w:lineRule="auto"/>
        <w:jc w:val="both"/>
        <w:rPr>
          <w:rFonts w:ascii="Arial" w:hAnsi="Arial" w:cs="Arial"/>
          <w:b/>
          <w:bCs/>
          <w:sz w:val="20"/>
          <w:szCs w:val="20"/>
        </w:rPr>
      </w:pPr>
    </w:p>
    <w:p w14:paraId="492438A2" w14:textId="59A25370" w:rsidR="007A569A" w:rsidRPr="00AB71E0" w:rsidRDefault="007A569A" w:rsidP="008C6905">
      <w:pPr>
        <w:spacing w:line="360" w:lineRule="auto"/>
        <w:jc w:val="both"/>
        <w:rPr>
          <w:rFonts w:ascii="Arial" w:hAnsi="Arial" w:cs="Arial"/>
          <w:b/>
          <w:bCs/>
          <w:sz w:val="20"/>
          <w:szCs w:val="20"/>
        </w:rPr>
      </w:pPr>
    </w:p>
    <w:p w14:paraId="49901864" w14:textId="77777777" w:rsidR="007A569A" w:rsidRPr="00AB71E0" w:rsidRDefault="007A569A" w:rsidP="008C6905">
      <w:pPr>
        <w:spacing w:line="360" w:lineRule="auto"/>
        <w:jc w:val="both"/>
        <w:rPr>
          <w:rFonts w:ascii="Arial" w:hAnsi="Arial" w:cs="Arial"/>
          <w:b/>
          <w:bCs/>
          <w:sz w:val="20"/>
          <w:szCs w:val="20"/>
        </w:rPr>
        <w:sectPr w:rsidR="007A569A" w:rsidRPr="00AB71E0" w:rsidSect="00F12DF1">
          <w:type w:val="continuous"/>
          <w:pgSz w:w="11906" w:h="16838"/>
          <w:pgMar w:top="1440" w:right="1440" w:bottom="1440" w:left="1440" w:header="708" w:footer="708" w:gutter="0"/>
          <w:cols w:space="708"/>
          <w:docGrid w:linePitch="360"/>
        </w:sectPr>
      </w:pPr>
    </w:p>
    <w:p w14:paraId="64B8CA85" w14:textId="17F22509" w:rsidR="00312311" w:rsidRPr="002B3991" w:rsidRDefault="002B3991" w:rsidP="008C6905">
      <w:pPr>
        <w:spacing w:line="360" w:lineRule="auto"/>
        <w:jc w:val="both"/>
        <w:rPr>
          <w:rFonts w:ascii="Arial" w:hAnsi="Arial" w:cs="Arial"/>
          <w:sz w:val="22"/>
          <w:szCs w:val="22"/>
          <w:lang w:val="en-US"/>
        </w:rPr>
      </w:pPr>
      <w:r w:rsidRPr="002B3991">
        <w:rPr>
          <w:rFonts w:ascii="Arial" w:hAnsi="Arial" w:cs="Arial"/>
          <w:sz w:val="22"/>
          <w:szCs w:val="22"/>
        </w:rPr>
        <w:t>Different operations in tea processing &amp; their energy</w:t>
      </w:r>
      <w:r w:rsidR="00312311" w:rsidRPr="002B3991">
        <w:rPr>
          <w:rFonts w:ascii="Arial" w:hAnsi="Arial" w:cs="Arial"/>
          <w:sz w:val="22"/>
          <w:szCs w:val="22"/>
        </w:rPr>
        <w:t xml:space="preserve"> </w:t>
      </w:r>
      <w:r w:rsidRPr="002B3991">
        <w:rPr>
          <w:rFonts w:ascii="Arial" w:hAnsi="Arial" w:cs="Arial"/>
          <w:sz w:val="22"/>
          <w:szCs w:val="22"/>
        </w:rPr>
        <w:t>consumption</w:t>
      </w:r>
    </w:p>
    <w:p w14:paraId="02EB2F64" w14:textId="77777777" w:rsidR="002B3991" w:rsidRDefault="00312311" w:rsidP="002B3991">
      <w:pPr>
        <w:numPr>
          <w:ilvl w:val="0"/>
          <w:numId w:val="23"/>
        </w:numPr>
        <w:spacing w:line="360" w:lineRule="auto"/>
        <w:jc w:val="both"/>
        <w:rPr>
          <w:rFonts w:ascii="Arial" w:hAnsi="Arial" w:cs="Arial"/>
          <w:sz w:val="20"/>
          <w:szCs w:val="20"/>
        </w:rPr>
      </w:pPr>
      <w:r w:rsidRPr="00AB71E0">
        <w:rPr>
          <w:rFonts w:ascii="Arial" w:hAnsi="Arial" w:cs="Arial"/>
          <w:b/>
          <w:bCs/>
          <w:sz w:val="20"/>
          <w:szCs w:val="20"/>
        </w:rPr>
        <w:t>Withering</w:t>
      </w:r>
      <w:r w:rsidR="002B3991">
        <w:rPr>
          <w:rFonts w:ascii="Arial" w:hAnsi="Arial" w:cs="Arial"/>
          <w:sz w:val="20"/>
          <w:szCs w:val="20"/>
        </w:rPr>
        <w:t xml:space="preserve">: </w:t>
      </w:r>
      <w:r w:rsidRPr="002B3991">
        <w:rPr>
          <w:rFonts w:ascii="Arial" w:hAnsi="Arial" w:cs="Arial"/>
          <w:sz w:val="20"/>
          <w:szCs w:val="20"/>
        </w:rPr>
        <w:t xml:space="preserve">The withering process, which involves temporarily storing harvested shoots to partially remove moisture, results in changes to the shoots' texture, making the leaves flaccid. This stage contributes to the tea's flavour, aroma, colour, and taste through chemical changes. Factories typically use equipment such as centrifugal fans, heaters, coal stoves, axial fans, and withering troughs. According to Dutta </w:t>
      </w:r>
      <w:r w:rsidRPr="002B3991">
        <w:rPr>
          <w:rFonts w:ascii="Arial" w:hAnsi="Arial" w:cs="Arial"/>
          <w:i/>
          <w:iCs/>
          <w:sz w:val="20"/>
          <w:szCs w:val="20"/>
        </w:rPr>
        <w:t>et al.,</w:t>
      </w:r>
      <w:r w:rsidRPr="002B3991">
        <w:rPr>
          <w:rFonts w:ascii="Arial" w:hAnsi="Arial" w:cs="Arial"/>
          <w:sz w:val="20"/>
          <w:szCs w:val="20"/>
        </w:rPr>
        <w:t xml:space="preserve"> (2019), energy consumption for withering per 1,000 kg of made tea was estimated at 20.27 L of diesel, 43.93 kg of coal, and 87.17 kWh of electricity. For 100 kg of tea production, Sharma </w:t>
      </w:r>
      <w:r w:rsidRPr="002B3991">
        <w:rPr>
          <w:rFonts w:ascii="Arial" w:hAnsi="Arial" w:cs="Arial"/>
          <w:i/>
          <w:iCs/>
          <w:sz w:val="20"/>
          <w:szCs w:val="20"/>
        </w:rPr>
        <w:t>et al.,</w:t>
      </w:r>
      <w:r w:rsidRPr="002B3991">
        <w:rPr>
          <w:rFonts w:ascii="Arial" w:hAnsi="Arial" w:cs="Arial"/>
          <w:sz w:val="20"/>
          <w:szCs w:val="20"/>
        </w:rPr>
        <w:t xml:space="preserve"> (2019) found that withering required 5.54 kWh of electricity and 179.11 MJ of thermal energy.</w:t>
      </w:r>
    </w:p>
    <w:p w14:paraId="32CC0277" w14:textId="50F16EE0" w:rsidR="00763844" w:rsidRPr="002B3991" w:rsidRDefault="00312311" w:rsidP="002B3991">
      <w:pPr>
        <w:numPr>
          <w:ilvl w:val="0"/>
          <w:numId w:val="23"/>
        </w:numPr>
        <w:spacing w:line="360" w:lineRule="auto"/>
        <w:jc w:val="both"/>
        <w:rPr>
          <w:rFonts w:ascii="Arial" w:hAnsi="Arial" w:cs="Arial"/>
          <w:sz w:val="20"/>
          <w:szCs w:val="20"/>
        </w:rPr>
      </w:pPr>
      <w:r w:rsidRPr="002B3991">
        <w:rPr>
          <w:rFonts w:ascii="Arial" w:hAnsi="Arial" w:cs="Arial"/>
          <w:b/>
          <w:bCs/>
          <w:sz w:val="20"/>
          <w:szCs w:val="20"/>
        </w:rPr>
        <w:t>Rolling</w:t>
      </w:r>
      <w:r w:rsidR="002B3991">
        <w:rPr>
          <w:rFonts w:ascii="Arial" w:hAnsi="Arial" w:cs="Arial"/>
          <w:b/>
          <w:bCs/>
          <w:sz w:val="20"/>
          <w:szCs w:val="20"/>
        </w:rPr>
        <w:t>:</w:t>
      </w:r>
      <w:r w:rsidR="002B3991">
        <w:rPr>
          <w:rFonts w:ascii="Arial" w:hAnsi="Arial" w:cs="Arial"/>
          <w:sz w:val="20"/>
          <w:szCs w:val="20"/>
        </w:rPr>
        <w:t xml:space="preserve"> </w:t>
      </w:r>
      <w:r w:rsidR="00763844" w:rsidRPr="002B3991">
        <w:rPr>
          <w:rFonts w:ascii="Arial" w:hAnsi="Arial" w:cs="Arial"/>
          <w:sz w:val="20"/>
          <w:szCs w:val="20"/>
        </w:rPr>
        <w:t xml:space="preserve">The rolling process shapes and sizes the withered tea leaves, making the product acceptable to consumers. There are two types of black tea produced based on the rolling method: Orthodox tea and CTC tea. Factories use rotor vanes for rolling CTC tea and table rollers for Orthodox tea. For every 1,000 kg of made tea, the estimated energy consumption is 190 kWh of electrical energy and 574.63 MJ of thermal energy (Aditya </w:t>
      </w:r>
      <w:r w:rsidR="00763844" w:rsidRPr="002B3991">
        <w:rPr>
          <w:rFonts w:ascii="Arial" w:hAnsi="Arial" w:cs="Arial"/>
          <w:i/>
          <w:iCs/>
          <w:sz w:val="20"/>
          <w:szCs w:val="20"/>
        </w:rPr>
        <w:t>et al.,</w:t>
      </w:r>
      <w:r w:rsidR="00763844" w:rsidRPr="002B3991">
        <w:rPr>
          <w:rFonts w:ascii="Arial" w:hAnsi="Arial" w:cs="Arial"/>
          <w:sz w:val="20"/>
          <w:szCs w:val="20"/>
        </w:rPr>
        <w:t xml:space="preserve"> 2023). Additionally, tea-processing units often rely on diesel generators for electricity during power cuts.</w:t>
      </w:r>
    </w:p>
    <w:p w14:paraId="388B8191" w14:textId="364AB1C5" w:rsidR="00763844" w:rsidRPr="002B3991" w:rsidRDefault="00763844" w:rsidP="002B3991">
      <w:pPr>
        <w:pStyle w:val="ListParagraph"/>
        <w:numPr>
          <w:ilvl w:val="0"/>
          <w:numId w:val="23"/>
        </w:numPr>
        <w:spacing w:line="360" w:lineRule="auto"/>
        <w:jc w:val="both"/>
        <w:rPr>
          <w:rFonts w:ascii="Arial" w:hAnsi="Arial" w:cs="Arial"/>
          <w:sz w:val="20"/>
          <w:szCs w:val="20"/>
        </w:rPr>
      </w:pPr>
      <w:r w:rsidRPr="002B3991">
        <w:rPr>
          <w:rFonts w:ascii="Arial" w:hAnsi="Arial" w:cs="Arial"/>
          <w:b/>
          <w:bCs/>
          <w:sz w:val="20"/>
          <w:szCs w:val="20"/>
        </w:rPr>
        <w:t xml:space="preserve"> </w:t>
      </w:r>
      <w:r w:rsidR="002B3991" w:rsidRPr="002B3991">
        <w:rPr>
          <w:rFonts w:ascii="Arial" w:hAnsi="Arial" w:cs="Arial"/>
          <w:b/>
          <w:bCs/>
          <w:sz w:val="20"/>
          <w:szCs w:val="20"/>
        </w:rPr>
        <w:t>Fermentation</w:t>
      </w:r>
      <w:r w:rsidR="002B3991">
        <w:rPr>
          <w:rFonts w:ascii="Arial" w:hAnsi="Arial" w:cs="Arial"/>
          <w:b/>
          <w:bCs/>
          <w:sz w:val="20"/>
          <w:szCs w:val="20"/>
        </w:rPr>
        <w:t>:</w:t>
      </w:r>
      <w:r w:rsidR="002B3991" w:rsidRPr="002B3991">
        <w:rPr>
          <w:rFonts w:ascii="Arial" w:hAnsi="Arial" w:cs="Arial"/>
          <w:sz w:val="20"/>
          <w:szCs w:val="20"/>
        </w:rPr>
        <w:t xml:space="preserve"> The</w:t>
      </w:r>
      <w:r w:rsidR="002B3991">
        <w:rPr>
          <w:rFonts w:ascii="Arial" w:hAnsi="Arial" w:cs="Arial"/>
          <w:sz w:val="20"/>
          <w:szCs w:val="20"/>
        </w:rPr>
        <w:t xml:space="preserve"> </w:t>
      </w:r>
      <w:r w:rsidRPr="002B3991">
        <w:rPr>
          <w:rFonts w:ascii="Arial" w:hAnsi="Arial" w:cs="Arial"/>
          <w:sz w:val="20"/>
          <w:szCs w:val="20"/>
        </w:rPr>
        <w:t xml:space="preserve">fermentation process involves the oxidation of tea leaves, which determines the type of tea, such as green, white, oolong, or black, based on the level of oxidation. Factories use equipment like CFM machines, humidifiers, floor fermentation, fermenting troughs, electric fans, and blowers for this process. The energy consumption for fermenting 1,000 kg of tea is estimated at 0.79 litters of diesel and 89.65 kWh of electricity </w:t>
      </w:r>
      <w:r w:rsidRPr="002B3991">
        <w:rPr>
          <w:rFonts w:ascii="Arial" w:hAnsi="Arial" w:cs="Arial"/>
          <w:sz w:val="20"/>
          <w:szCs w:val="20"/>
        </w:rPr>
        <w:lastRenderedPageBreak/>
        <w:t xml:space="preserve">(Aditya </w:t>
      </w:r>
      <w:r w:rsidRPr="002B3991">
        <w:rPr>
          <w:rFonts w:ascii="Arial" w:hAnsi="Arial" w:cs="Arial"/>
          <w:i/>
          <w:iCs/>
          <w:sz w:val="20"/>
          <w:szCs w:val="20"/>
        </w:rPr>
        <w:t>et al.,</w:t>
      </w:r>
      <w:r w:rsidRPr="002B3991">
        <w:rPr>
          <w:rFonts w:ascii="Arial" w:hAnsi="Arial" w:cs="Arial"/>
          <w:sz w:val="20"/>
          <w:szCs w:val="20"/>
        </w:rPr>
        <w:t xml:space="preserve"> 2023). For producing 100 kg of tea, the required electrical consumption for fermentation was 8.63 kWh (Sharma </w:t>
      </w:r>
      <w:r w:rsidRPr="002B3991">
        <w:rPr>
          <w:rFonts w:ascii="Arial" w:hAnsi="Arial" w:cs="Arial"/>
          <w:i/>
          <w:iCs/>
          <w:sz w:val="20"/>
          <w:szCs w:val="20"/>
        </w:rPr>
        <w:t>et al.,</w:t>
      </w:r>
      <w:r w:rsidRPr="002B3991">
        <w:rPr>
          <w:rFonts w:ascii="Arial" w:hAnsi="Arial" w:cs="Arial"/>
          <w:sz w:val="20"/>
          <w:szCs w:val="20"/>
        </w:rPr>
        <w:t xml:space="preserve"> 2019).</w:t>
      </w:r>
    </w:p>
    <w:p w14:paraId="10E8E09E" w14:textId="3F245E1E" w:rsidR="00763844" w:rsidRPr="002B3991" w:rsidRDefault="00312311" w:rsidP="002B3991">
      <w:pPr>
        <w:numPr>
          <w:ilvl w:val="0"/>
          <w:numId w:val="24"/>
        </w:numPr>
        <w:spacing w:line="360" w:lineRule="auto"/>
        <w:jc w:val="both"/>
        <w:rPr>
          <w:rFonts w:ascii="Arial" w:hAnsi="Arial" w:cs="Arial"/>
          <w:sz w:val="20"/>
          <w:szCs w:val="20"/>
        </w:rPr>
      </w:pPr>
      <w:r w:rsidRPr="00AB71E0">
        <w:rPr>
          <w:rFonts w:ascii="Arial" w:hAnsi="Arial" w:cs="Arial"/>
          <w:b/>
          <w:bCs/>
          <w:sz w:val="20"/>
          <w:szCs w:val="20"/>
        </w:rPr>
        <w:t>Drying</w:t>
      </w:r>
      <w:r w:rsidR="002B3991">
        <w:rPr>
          <w:rFonts w:ascii="Arial" w:hAnsi="Arial" w:cs="Arial"/>
          <w:b/>
          <w:bCs/>
          <w:sz w:val="20"/>
          <w:szCs w:val="20"/>
        </w:rPr>
        <w:t>:</w:t>
      </w:r>
      <w:r w:rsidR="002B3991">
        <w:rPr>
          <w:rFonts w:ascii="Arial" w:hAnsi="Arial" w:cs="Arial"/>
          <w:sz w:val="20"/>
          <w:szCs w:val="20"/>
        </w:rPr>
        <w:t xml:space="preserve"> </w:t>
      </w:r>
      <w:r w:rsidR="00763844" w:rsidRPr="002B3991">
        <w:rPr>
          <w:rFonts w:ascii="Arial" w:hAnsi="Arial" w:cs="Arial"/>
          <w:sz w:val="20"/>
          <w:szCs w:val="20"/>
        </w:rPr>
        <w:t xml:space="preserve">The drying process reduces the moisture content of tea leaves to 2.8%–3%, halting enzymatic reactions and creating a stable product. It is one of the most energy-intensive stages in tea production. For every 1,000 kg of tea, the estimated energy consumption is 16.08 litters of diesel, 630.22 kg of coal, and 103.41 kWh of electricity (Sharma </w:t>
      </w:r>
      <w:r w:rsidR="00763844" w:rsidRPr="002B3991">
        <w:rPr>
          <w:rFonts w:ascii="Arial" w:hAnsi="Arial" w:cs="Arial"/>
          <w:i/>
          <w:iCs/>
          <w:sz w:val="20"/>
          <w:szCs w:val="20"/>
        </w:rPr>
        <w:t>et al.,</w:t>
      </w:r>
      <w:r w:rsidR="00763844" w:rsidRPr="002B3991">
        <w:rPr>
          <w:rFonts w:ascii="Arial" w:hAnsi="Arial" w:cs="Arial"/>
          <w:sz w:val="20"/>
          <w:szCs w:val="20"/>
        </w:rPr>
        <w:t xml:space="preserve"> 2019). The drying process requires 8.41 times more thermal energy compared to withering (Sharma </w:t>
      </w:r>
      <w:r w:rsidR="00763844" w:rsidRPr="002B3991">
        <w:rPr>
          <w:rFonts w:ascii="Arial" w:hAnsi="Arial" w:cs="Arial"/>
          <w:i/>
          <w:iCs/>
          <w:sz w:val="20"/>
          <w:szCs w:val="20"/>
        </w:rPr>
        <w:t>et al.,</w:t>
      </w:r>
      <w:r w:rsidR="00763844" w:rsidRPr="002B3991">
        <w:rPr>
          <w:rFonts w:ascii="Arial" w:hAnsi="Arial" w:cs="Arial"/>
          <w:sz w:val="20"/>
          <w:szCs w:val="20"/>
        </w:rPr>
        <w:t xml:space="preserve"> 2019; Aditya </w:t>
      </w:r>
      <w:r w:rsidR="00763844" w:rsidRPr="002B3991">
        <w:rPr>
          <w:rFonts w:ascii="Arial" w:hAnsi="Arial" w:cs="Arial"/>
          <w:i/>
          <w:iCs/>
          <w:sz w:val="20"/>
          <w:szCs w:val="20"/>
        </w:rPr>
        <w:t>et al.,</w:t>
      </w:r>
      <w:r w:rsidR="00763844" w:rsidRPr="002B3991">
        <w:rPr>
          <w:rFonts w:ascii="Arial" w:hAnsi="Arial" w:cs="Arial"/>
          <w:sz w:val="20"/>
          <w:szCs w:val="20"/>
        </w:rPr>
        <w:t xml:space="preserve"> 2023).</w:t>
      </w:r>
    </w:p>
    <w:p w14:paraId="42764978" w14:textId="3E5C7C25" w:rsidR="00312311" w:rsidRPr="002B3991" w:rsidRDefault="00312311" w:rsidP="002B3991">
      <w:pPr>
        <w:numPr>
          <w:ilvl w:val="0"/>
          <w:numId w:val="25"/>
        </w:numPr>
        <w:spacing w:line="360" w:lineRule="auto"/>
        <w:jc w:val="both"/>
        <w:rPr>
          <w:rFonts w:ascii="Arial" w:hAnsi="Arial" w:cs="Arial"/>
          <w:sz w:val="20"/>
          <w:szCs w:val="20"/>
        </w:rPr>
      </w:pPr>
      <w:r w:rsidRPr="00AB71E0">
        <w:rPr>
          <w:rFonts w:ascii="Arial" w:hAnsi="Arial" w:cs="Arial"/>
          <w:b/>
          <w:bCs/>
          <w:sz w:val="20"/>
          <w:szCs w:val="20"/>
        </w:rPr>
        <w:t>Sorting and Packaging:</w:t>
      </w:r>
      <w:r w:rsidR="002B3991">
        <w:rPr>
          <w:rFonts w:ascii="Arial" w:hAnsi="Arial" w:cs="Arial"/>
          <w:sz w:val="20"/>
          <w:szCs w:val="20"/>
        </w:rPr>
        <w:t xml:space="preserve"> </w:t>
      </w:r>
      <w:r w:rsidR="00763844" w:rsidRPr="002B3991">
        <w:rPr>
          <w:rFonts w:ascii="Arial" w:hAnsi="Arial" w:cs="Arial"/>
          <w:sz w:val="20"/>
          <w:szCs w:val="20"/>
        </w:rPr>
        <w:t xml:space="preserve">After drying, tea leaves undergo sorting to remove fibres and stalky substances, followed by sieving and grading based on particle size. The final step in tea manufacturing is packaging, which is essential for protecting the tea from moisture and contaminants. These processes together require 61.72 kWh of electricity and 161.48 MJ of thermal energy per 1,000 kg of tea (Aditya </w:t>
      </w:r>
      <w:r w:rsidR="00763844" w:rsidRPr="002B3991">
        <w:rPr>
          <w:rFonts w:ascii="Arial" w:hAnsi="Arial" w:cs="Arial"/>
          <w:i/>
          <w:iCs/>
          <w:sz w:val="20"/>
          <w:szCs w:val="20"/>
        </w:rPr>
        <w:t>et al.,</w:t>
      </w:r>
      <w:r w:rsidR="00763844" w:rsidRPr="002B3991">
        <w:rPr>
          <w:rFonts w:ascii="Arial" w:hAnsi="Arial" w:cs="Arial"/>
          <w:sz w:val="20"/>
          <w:szCs w:val="20"/>
        </w:rPr>
        <w:t xml:space="preserve"> 2023). Energy consumption in these stages is relatively lower compared to other stages of tea processing.</w:t>
      </w:r>
    </w:p>
    <w:p w14:paraId="38048660" w14:textId="77777777" w:rsidR="007A569A" w:rsidRPr="00AB71E0" w:rsidRDefault="007A569A" w:rsidP="008C6905">
      <w:pPr>
        <w:spacing w:line="360" w:lineRule="auto"/>
        <w:ind w:left="360"/>
        <w:jc w:val="both"/>
        <w:rPr>
          <w:rFonts w:ascii="Arial" w:hAnsi="Arial" w:cs="Arial"/>
          <w:b/>
          <w:bCs/>
          <w:sz w:val="20"/>
          <w:szCs w:val="20"/>
        </w:rPr>
        <w:sectPr w:rsidR="007A569A" w:rsidRPr="00AB71E0" w:rsidSect="00F12DF1">
          <w:type w:val="continuous"/>
          <w:pgSz w:w="11906" w:h="16838"/>
          <w:pgMar w:top="1440" w:right="1440" w:bottom="1440" w:left="1440" w:header="708" w:footer="708" w:gutter="0"/>
          <w:cols w:space="708"/>
          <w:docGrid w:linePitch="360"/>
        </w:sectPr>
      </w:pPr>
    </w:p>
    <w:p w14:paraId="034B7F25" w14:textId="7884BAD8" w:rsidR="00312311" w:rsidRPr="00AB71E0" w:rsidRDefault="00312311" w:rsidP="008C6905">
      <w:pPr>
        <w:spacing w:line="360" w:lineRule="auto"/>
        <w:ind w:left="360"/>
        <w:jc w:val="both"/>
        <w:rPr>
          <w:rFonts w:ascii="Arial" w:hAnsi="Arial" w:cs="Arial"/>
          <w:b/>
          <w:bCs/>
          <w:sz w:val="20"/>
          <w:szCs w:val="20"/>
        </w:rPr>
      </w:pPr>
      <w:r w:rsidRPr="00AB71E0">
        <w:rPr>
          <w:rFonts w:ascii="Arial" w:hAnsi="Arial" w:cs="Arial"/>
          <w:b/>
          <w:bCs/>
          <w:sz w:val="20"/>
          <w:szCs w:val="20"/>
        </w:rPr>
        <w:t xml:space="preserve">Table </w:t>
      </w:r>
      <w:r w:rsidR="00C83E09" w:rsidRPr="00AB71E0">
        <w:rPr>
          <w:rFonts w:ascii="Arial" w:hAnsi="Arial" w:cs="Arial"/>
          <w:b/>
          <w:bCs/>
          <w:sz w:val="20"/>
          <w:szCs w:val="20"/>
        </w:rPr>
        <w:t>2</w:t>
      </w:r>
      <w:r w:rsidRPr="00AB71E0">
        <w:rPr>
          <w:rFonts w:ascii="Arial" w:hAnsi="Arial" w:cs="Arial"/>
          <w:b/>
          <w:bCs/>
          <w:sz w:val="20"/>
          <w:szCs w:val="20"/>
        </w:rPr>
        <w:t>.  Thermal and electrical energy requirements per 1000 kilogram of made tea &amp; corresponding CO</w:t>
      </w:r>
      <w:r w:rsidRPr="00AB71E0">
        <w:rPr>
          <w:rFonts w:ascii="Arial" w:hAnsi="Arial" w:cs="Arial"/>
          <w:b/>
          <w:bCs/>
          <w:sz w:val="20"/>
          <w:szCs w:val="20"/>
          <w:vertAlign w:val="subscript"/>
        </w:rPr>
        <w:t>2</w:t>
      </w:r>
      <w:r w:rsidRPr="00AB71E0">
        <w:rPr>
          <w:rFonts w:ascii="Arial" w:hAnsi="Arial" w:cs="Arial"/>
          <w:b/>
          <w:bCs/>
          <w:sz w:val="20"/>
          <w:szCs w:val="20"/>
        </w:rPr>
        <w:t xml:space="preserve"> emissions in tea factories at various stages of tea processing</w:t>
      </w:r>
    </w:p>
    <w:tbl>
      <w:tblPr>
        <w:tblStyle w:val="TableGridLight"/>
        <w:tblW w:w="5000" w:type="pct"/>
        <w:tblLook w:val="0420" w:firstRow="1" w:lastRow="0" w:firstColumn="0" w:lastColumn="0" w:noHBand="0" w:noVBand="1"/>
      </w:tblPr>
      <w:tblGrid>
        <w:gridCol w:w="2253"/>
        <w:gridCol w:w="2255"/>
        <w:gridCol w:w="2254"/>
        <w:gridCol w:w="2254"/>
      </w:tblGrid>
      <w:tr w:rsidR="00312311" w:rsidRPr="00AB71E0" w14:paraId="12B1DBD2" w14:textId="77777777" w:rsidTr="006952A1">
        <w:trPr>
          <w:trHeight w:val="170"/>
        </w:trPr>
        <w:tc>
          <w:tcPr>
            <w:tcW w:w="1249" w:type="pct"/>
            <w:vAlign w:val="center"/>
            <w:hideMark/>
          </w:tcPr>
          <w:p w14:paraId="02596D3C"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b/>
                <w:bCs/>
                <w:sz w:val="20"/>
                <w:szCs w:val="20"/>
              </w:rPr>
              <w:t>Operations</w:t>
            </w:r>
          </w:p>
        </w:tc>
        <w:tc>
          <w:tcPr>
            <w:tcW w:w="1250" w:type="pct"/>
            <w:vAlign w:val="center"/>
            <w:hideMark/>
          </w:tcPr>
          <w:p w14:paraId="3BC05285"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b/>
                <w:bCs/>
                <w:sz w:val="20"/>
                <w:szCs w:val="20"/>
              </w:rPr>
              <w:t>Thermal energy (MJ)</w:t>
            </w:r>
          </w:p>
        </w:tc>
        <w:tc>
          <w:tcPr>
            <w:tcW w:w="1250" w:type="pct"/>
            <w:vAlign w:val="center"/>
            <w:hideMark/>
          </w:tcPr>
          <w:p w14:paraId="5C2A79DF"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b/>
                <w:bCs/>
                <w:sz w:val="20"/>
                <w:szCs w:val="20"/>
              </w:rPr>
              <w:t>Electrical energy (kWh)</w:t>
            </w:r>
          </w:p>
        </w:tc>
        <w:tc>
          <w:tcPr>
            <w:tcW w:w="1250" w:type="pct"/>
            <w:vAlign w:val="center"/>
            <w:hideMark/>
          </w:tcPr>
          <w:p w14:paraId="64925619"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b/>
                <w:bCs/>
                <w:sz w:val="20"/>
                <w:szCs w:val="20"/>
              </w:rPr>
              <w:t>kg CO</w:t>
            </w:r>
            <w:r w:rsidRPr="00AB71E0">
              <w:rPr>
                <w:rFonts w:ascii="Arial" w:hAnsi="Arial" w:cs="Arial"/>
                <w:b/>
                <w:bCs/>
                <w:sz w:val="20"/>
                <w:szCs w:val="20"/>
                <w:vertAlign w:val="subscript"/>
              </w:rPr>
              <w:t>2</w:t>
            </w:r>
            <w:r w:rsidRPr="00AB71E0">
              <w:rPr>
                <w:rFonts w:ascii="Arial" w:hAnsi="Arial" w:cs="Arial"/>
                <w:b/>
                <w:bCs/>
                <w:sz w:val="20"/>
                <w:szCs w:val="20"/>
              </w:rPr>
              <w:t xml:space="preserve"> </w:t>
            </w:r>
            <w:proofErr w:type="spellStart"/>
            <w:r w:rsidRPr="00AB71E0">
              <w:rPr>
                <w:rFonts w:ascii="Arial" w:hAnsi="Arial" w:cs="Arial"/>
                <w:b/>
                <w:bCs/>
                <w:sz w:val="20"/>
                <w:szCs w:val="20"/>
              </w:rPr>
              <w:t>eq</w:t>
            </w:r>
            <w:proofErr w:type="spellEnd"/>
            <w:r w:rsidRPr="00AB71E0">
              <w:rPr>
                <w:rFonts w:ascii="Arial" w:hAnsi="Arial" w:cs="Arial"/>
                <w:b/>
                <w:bCs/>
                <w:sz w:val="20"/>
                <w:szCs w:val="20"/>
              </w:rPr>
              <w:t xml:space="preserve"> per 1,000 kg</w:t>
            </w:r>
          </w:p>
          <w:p w14:paraId="5CFDE11C"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b/>
                <w:bCs/>
                <w:sz w:val="20"/>
                <w:szCs w:val="20"/>
              </w:rPr>
              <w:t>of tea made</w:t>
            </w:r>
          </w:p>
        </w:tc>
      </w:tr>
      <w:tr w:rsidR="00312311" w:rsidRPr="00AB71E0" w14:paraId="1AE1BA2C" w14:textId="77777777" w:rsidTr="006952A1">
        <w:trPr>
          <w:trHeight w:val="170"/>
        </w:trPr>
        <w:tc>
          <w:tcPr>
            <w:tcW w:w="1249" w:type="pct"/>
            <w:vAlign w:val="center"/>
            <w:hideMark/>
          </w:tcPr>
          <w:p w14:paraId="4C4AC94D"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sz w:val="20"/>
                <w:szCs w:val="20"/>
              </w:rPr>
              <w:t>Withering</w:t>
            </w:r>
          </w:p>
        </w:tc>
        <w:tc>
          <w:tcPr>
            <w:tcW w:w="1250" w:type="pct"/>
            <w:vAlign w:val="center"/>
            <w:hideMark/>
          </w:tcPr>
          <w:p w14:paraId="6C1969C9"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sz w:val="20"/>
                <w:szCs w:val="20"/>
              </w:rPr>
              <w:t>2837.16</w:t>
            </w:r>
          </w:p>
        </w:tc>
        <w:tc>
          <w:tcPr>
            <w:tcW w:w="1250" w:type="pct"/>
            <w:vAlign w:val="center"/>
            <w:hideMark/>
          </w:tcPr>
          <w:p w14:paraId="25FC238E"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sz w:val="20"/>
                <w:szCs w:val="20"/>
              </w:rPr>
              <w:t>87.17</w:t>
            </w:r>
          </w:p>
        </w:tc>
        <w:tc>
          <w:tcPr>
            <w:tcW w:w="1250" w:type="pct"/>
            <w:vAlign w:val="center"/>
            <w:hideMark/>
          </w:tcPr>
          <w:p w14:paraId="54ECC8D7"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sz w:val="20"/>
                <w:szCs w:val="20"/>
              </w:rPr>
              <w:t>475.39</w:t>
            </w:r>
          </w:p>
        </w:tc>
      </w:tr>
      <w:tr w:rsidR="00312311" w:rsidRPr="00AB71E0" w14:paraId="32919AC4" w14:textId="77777777" w:rsidTr="006952A1">
        <w:trPr>
          <w:trHeight w:val="170"/>
        </w:trPr>
        <w:tc>
          <w:tcPr>
            <w:tcW w:w="1249" w:type="pct"/>
            <w:vAlign w:val="center"/>
            <w:hideMark/>
          </w:tcPr>
          <w:p w14:paraId="60AFEA32"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sz w:val="20"/>
                <w:szCs w:val="20"/>
              </w:rPr>
              <w:t>Rolling</w:t>
            </w:r>
          </w:p>
        </w:tc>
        <w:tc>
          <w:tcPr>
            <w:tcW w:w="1250" w:type="pct"/>
            <w:vAlign w:val="center"/>
            <w:hideMark/>
          </w:tcPr>
          <w:p w14:paraId="57B8738D"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sz w:val="20"/>
                <w:szCs w:val="20"/>
              </w:rPr>
              <w:t>574.63</w:t>
            </w:r>
          </w:p>
        </w:tc>
        <w:tc>
          <w:tcPr>
            <w:tcW w:w="1250" w:type="pct"/>
            <w:vAlign w:val="center"/>
            <w:hideMark/>
          </w:tcPr>
          <w:p w14:paraId="5A35DDEF"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sz w:val="20"/>
                <w:szCs w:val="20"/>
              </w:rPr>
              <w:t>190.00</w:t>
            </w:r>
          </w:p>
        </w:tc>
        <w:tc>
          <w:tcPr>
            <w:tcW w:w="1250" w:type="pct"/>
            <w:vAlign w:val="center"/>
            <w:hideMark/>
          </w:tcPr>
          <w:p w14:paraId="5F900160"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sz w:val="20"/>
                <w:szCs w:val="20"/>
              </w:rPr>
              <w:t>41.52</w:t>
            </w:r>
          </w:p>
        </w:tc>
      </w:tr>
      <w:tr w:rsidR="00312311" w:rsidRPr="00AB71E0" w14:paraId="0203501E" w14:textId="77777777" w:rsidTr="006952A1">
        <w:trPr>
          <w:trHeight w:val="170"/>
        </w:trPr>
        <w:tc>
          <w:tcPr>
            <w:tcW w:w="1249" w:type="pct"/>
            <w:vAlign w:val="center"/>
            <w:hideMark/>
          </w:tcPr>
          <w:p w14:paraId="16EB1158"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sz w:val="20"/>
                <w:szCs w:val="20"/>
              </w:rPr>
              <w:t>Fermentation</w:t>
            </w:r>
          </w:p>
        </w:tc>
        <w:tc>
          <w:tcPr>
            <w:tcW w:w="1250" w:type="pct"/>
            <w:vAlign w:val="center"/>
            <w:hideMark/>
          </w:tcPr>
          <w:p w14:paraId="53052307"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sz w:val="20"/>
                <w:szCs w:val="20"/>
                <w:lang w:val="en-US"/>
              </w:rPr>
              <w:t>29.30</w:t>
            </w:r>
          </w:p>
        </w:tc>
        <w:tc>
          <w:tcPr>
            <w:tcW w:w="1250" w:type="pct"/>
            <w:vAlign w:val="center"/>
            <w:hideMark/>
          </w:tcPr>
          <w:p w14:paraId="071D9704"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sz w:val="20"/>
                <w:szCs w:val="20"/>
              </w:rPr>
              <w:t>89.65</w:t>
            </w:r>
          </w:p>
        </w:tc>
        <w:tc>
          <w:tcPr>
            <w:tcW w:w="1250" w:type="pct"/>
            <w:vAlign w:val="center"/>
            <w:hideMark/>
          </w:tcPr>
          <w:p w14:paraId="15373545"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sz w:val="20"/>
                <w:szCs w:val="20"/>
              </w:rPr>
              <w:t>2.08</w:t>
            </w:r>
          </w:p>
        </w:tc>
      </w:tr>
      <w:tr w:rsidR="00312311" w:rsidRPr="00AB71E0" w14:paraId="482BE66A" w14:textId="77777777" w:rsidTr="006952A1">
        <w:trPr>
          <w:trHeight w:val="170"/>
        </w:trPr>
        <w:tc>
          <w:tcPr>
            <w:tcW w:w="1249" w:type="pct"/>
            <w:vAlign w:val="center"/>
            <w:hideMark/>
          </w:tcPr>
          <w:p w14:paraId="54253D47"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sz w:val="20"/>
                <w:szCs w:val="20"/>
              </w:rPr>
              <w:t>Drying</w:t>
            </w:r>
          </w:p>
        </w:tc>
        <w:tc>
          <w:tcPr>
            <w:tcW w:w="1250" w:type="pct"/>
            <w:vAlign w:val="center"/>
            <w:hideMark/>
          </w:tcPr>
          <w:p w14:paraId="33ACB758"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sz w:val="20"/>
                <w:szCs w:val="20"/>
              </w:rPr>
              <w:t>23868.68</w:t>
            </w:r>
          </w:p>
        </w:tc>
        <w:tc>
          <w:tcPr>
            <w:tcW w:w="1250" w:type="pct"/>
            <w:vAlign w:val="center"/>
            <w:hideMark/>
          </w:tcPr>
          <w:p w14:paraId="040280B1"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sz w:val="20"/>
                <w:szCs w:val="20"/>
              </w:rPr>
              <w:t>103.41</w:t>
            </w:r>
          </w:p>
        </w:tc>
        <w:tc>
          <w:tcPr>
            <w:tcW w:w="1250" w:type="pct"/>
            <w:vAlign w:val="center"/>
            <w:hideMark/>
          </w:tcPr>
          <w:p w14:paraId="6F0FB1FB"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b/>
                <w:bCs/>
                <w:sz w:val="20"/>
                <w:szCs w:val="20"/>
              </w:rPr>
              <w:t>2762.28</w:t>
            </w:r>
          </w:p>
        </w:tc>
      </w:tr>
      <w:tr w:rsidR="00312311" w:rsidRPr="00AB71E0" w14:paraId="70847B5A" w14:textId="77777777" w:rsidTr="006952A1">
        <w:trPr>
          <w:trHeight w:val="170"/>
        </w:trPr>
        <w:tc>
          <w:tcPr>
            <w:tcW w:w="1249" w:type="pct"/>
            <w:vAlign w:val="center"/>
            <w:hideMark/>
          </w:tcPr>
          <w:p w14:paraId="573350A4"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sz w:val="20"/>
                <w:szCs w:val="20"/>
              </w:rPr>
              <w:t>Sorting</w:t>
            </w:r>
          </w:p>
        </w:tc>
        <w:tc>
          <w:tcPr>
            <w:tcW w:w="1250" w:type="pct"/>
            <w:vAlign w:val="center"/>
            <w:hideMark/>
          </w:tcPr>
          <w:p w14:paraId="66A97F23"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sz w:val="20"/>
                <w:szCs w:val="20"/>
              </w:rPr>
              <w:t>134.00</w:t>
            </w:r>
          </w:p>
        </w:tc>
        <w:tc>
          <w:tcPr>
            <w:tcW w:w="1250" w:type="pct"/>
            <w:vAlign w:val="center"/>
            <w:hideMark/>
          </w:tcPr>
          <w:p w14:paraId="0F7F6092"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sz w:val="20"/>
                <w:szCs w:val="20"/>
              </w:rPr>
              <w:t>53.15</w:t>
            </w:r>
          </w:p>
        </w:tc>
        <w:tc>
          <w:tcPr>
            <w:tcW w:w="1250" w:type="pct"/>
            <w:vAlign w:val="center"/>
            <w:hideMark/>
          </w:tcPr>
          <w:p w14:paraId="24A8885F"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sz w:val="20"/>
                <w:szCs w:val="20"/>
              </w:rPr>
              <w:t>9.52</w:t>
            </w:r>
          </w:p>
        </w:tc>
      </w:tr>
      <w:tr w:rsidR="00312311" w:rsidRPr="00AB71E0" w14:paraId="46993279" w14:textId="77777777" w:rsidTr="006952A1">
        <w:trPr>
          <w:trHeight w:val="170"/>
        </w:trPr>
        <w:tc>
          <w:tcPr>
            <w:tcW w:w="1249" w:type="pct"/>
            <w:vAlign w:val="center"/>
            <w:hideMark/>
          </w:tcPr>
          <w:p w14:paraId="257D198B"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sz w:val="20"/>
                <w:szCs w:val="20"/>
              </w:rPr>
              <w:t>Packaging</w:t>
            </w:r>
          </w:p>
        </w:tc>
        <w:tc>
          <w:tcPr>
            <w:tcW w:w="1250" w:type="pct"/>
            <w:vAlign w:val="center"/>
            <w:hideMark/>
          </w:tcPr>
          <w:p w14:paraId="4B49A810"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sz w:val="20"/>
                <w:szCs w:val="20"/>
              </w:rPr>
              <w:t>27.48</w:t>
            </w:r>
          </w:p>
        </w:tc>
        <w:tc>
          <w:tcPr>
            <w:tcW w:w="1250" w:type="pct"/>
            <w:vAlign w:val="center"/>
            <w:hideMark/>
          </w:tcPr>
          <w:p w14:paraId="63C13AFD"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sz w:val="20"/>
                <w:szCs w:val="20"/>
              </w:rPr>
              <w:t>8.57</w:t>
            </w:r>
          </w:p>
        </w:tc>
        <w:tc>
          <w:tcPr>
            <w:tcW w:w="1250" w:type="pct"/>
            <w:vAlign w:val="center"/>
            <w:hideMark/>
          </w:tcPr>
          <w:p w14:paraId="0700D933"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sz w:val="20"/>
                <w:szCs w:val="20"/>
              </w:rPr>
              <w:t>1.95</w:t>
            </w:r>
          </w:p>
        </w:tc>
      </w:tr>
    </w:tbl>
    <w:p w14:paraId="7E322797" w14:textId="77777777" w:rsidR="00312311" w:rsidRPr="00AB71E0" w:rsidRDefault="00312311" w:rsidP="008C6905">
      <w:pPr>
        <w:spacing w:line="360" w:lineRule="auto"/>
        <w:ind w:left="360"/>
        <w:jc w:val="both"/>
        <w:rPr>
          <w:rFonts w:ascii="Arial" w:hAnsi="Arial" w:cs="Arial"/>
          <w:sz w:val="20"/>
          <w:szCs w:val="20"/>
          <w:lang w:val="en-US"/>
        </w:rPr>
      </w:pPr>
      <w:r w:rsidRPr="00AB71E0">
        <w:rPr>
          <w:rFonts w:ascii="Arial" w:hAnsi="Arial" w:cs="Arial"/>
          <w:sz w:val="20"/>
          <w:szCs w:val="20"/>
          <w:lang w:val="en-US"/>
        </w:rPr>
        <w:t xml:space="preserve">(Aditya </w:t>
      </w:r>
      <w:r w:rsidRPr="00AB71E0">
        <w:rPr>
          <w:rFonts w:ascii="Arial" w:hAnsi="Arial" w:cs="Arial"/>
          <w:i/>
          <w:iCs/>
          <w:sz w:val="20"/>
          <w:szCs w:val="20"/>
          <w:lang w:val="en-US"/>
        </w:rPr>
        <w:t xml:space="preserve">et al., </w:t>
      </w:r>
      <w:r w:rsidRPr="00AB71E0">
        <w:rPr>
          <w:rFonts w:ascii="Arial" w:hAnsi="Arial" w:cs="Arial"/>
          <w:sz w:val="20"/>
          <w:szCs w:val="20"/>
          <w:lang w:val="en-US"/>
        </w:rPr>
        <w:t>2023)</w:t>
      </w:r>
    </w:p>
    <w:p w14:paraId="76E9C392" w14:textId="0DFF1D19"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rPr>
        <w:t xml:space="preserve">Table </w:t>
      </w:r>
      <w:r w:rsidR="00C83E09" w:rsidRPr="00AB71E0">
        <w:rPr>
          <w:rFonts w:ascii="Arial" w:hAnsi="Arial" w:cs="Arial"/>
          <w:sz w:val="20"/>
          <w:szCs w:val="20"/>
        </w:rPr>
        <w:t>2</w:t>
      </w:r>
      <w:r w:rsidRPr="00AB71E0">
        <w:rPr>
          <w:rFonts w:ascii="Arial" w:hAnsi="Arial" w:cs="Arial"/>
          <w:sz w:val="20"/>
          <w:szCs w:val="20"/>
        </w:rPr>
        <w:t xml:space="preserve"> shows the highest carbon footprint in drying process which is 2762.28 kg CO</w:t>
      </w:r>
      <w:r w:rsidRPr="00AB71E0">
        <w:rPr>
          <w:rFonts w:ascii="Arial" w:hAnsi="Arial" w:cs="Arial"/>
          <w:sz w:val="20"/>
          <w:szCs w:val="20"/>
          <w:vertAlign w:val="subscript"/>
        </w:rPr>
        <w:t>2</w:t>
      </w:r>
      <w:r w:rsidRPr="00AB71E0">
        <w:rPr>
          <w:rFonts w:ascii="Arial" w:hAnsi="Arial" w:cs="Arial"/>
          <w:sz w:val="20"/>
          <w:szCs w:val="20"/>
        </w:rPr>
        <w:t xml:space="preserve"> </w:t>
      </w:r>
      <w:proofErr w:type="spellStart"/>
      <w:r w:rsidRPr="00AB71E0">
        <w:rPr>
          <w:rFonts w:ascii="Arial" w:hAnsi="Arial" w:cs="Arial"/>
          <w:sz w:val="20"/>
          <w:szCs w:val="20"/>
        </w:rPr>
        <w:t>eq</w:t>
      </w:r>
      <w:proofErr w:type="spellEnd"/>
      <w:r w:rsidRPr="00AB71E0">
        <w:rPr>
          <w:rFonts w:ascii="Arial" w:hAnsi="Arial" w:cs="Arial"/>
          <w:sz w:val="20"/>
          <w:szCs w:val="20"/>
        </w:rPr>
        <w:t xml:space="preserve"> per 1,000 kg of tea made.</w:t>
      </w:r>
    </w:p>
    <w:p w14:paraId="1B90977A" w14:textId="77777777" w:rsidR="007A569A" w:rsidRPr="00AB71E0" w:rsidRDefault="007A569A" w:rsidP="008C6905">
      <w:pPr>
        <w:spacing w:line="360" w:lineRule="auto"/>
        <w:jc w:val="both"/>
        <w:rPr>
          <w:rFonts w:ascii="Arial" w:hAnsi="Arial" w:cs="Arial"/>
          <w:b/>
          <w:bCs/>
          <w:sz w:val="20"/>
          <w:szCs w:val="20"/>
        </w:rPr>
        <w:sectPr w:rsidR="007A569A" w:rsidRPr="00AB71E0" w:rsidSect="00F12DF1">
          <w:type w:val="continuous"/>
          <w:pgSz w:w="11906" w:h="16838"/>
          <w:pgMar w:top="1440" w:right="1440" w:bottom="1440" w:left="1440" w:header="708" w:footer="708" w:gutter="0"/>
          <w:cols w:space="708"/>
          <w:docGrid w:linePitch="360"/>
        </w:sectPr>
      </w:pPr>
    </w:p>
    <w:p w14:paraId="0975D23D" w14:textId="3464915C" w:rsidR="002B3991" w:rsidRPr="002B3991" w:rsidRDefault="002B3991" w:rsidP="002B3991">
      <w:pPr>
        <w:pStyle w:val="NormalWeb"/>
        <w:spacing w:before="0" w:beforeAutospacing="0" w:after="0" w:afterAutospacing="0" w:line="360" w:lineRule="auto"/>
        <w:rPr>
          <w:rFonts w:ascii="Arial" w:hAnsi="Arial" w:cs="Arial"/>
          <w:color w:val="000000"/>
          <w:sz w:val="22"/>
          <w:szCs w:val="22"/>
        </w:rPr>
      </w:pPr>
      <w:r w:rsidRPr="002B3991">
        <w:rPr>
          <w:rStyle w:val="Strong"/>
          <w:rFonts w:ascii="Arial" w:hAnsi="Arial" w:cs="Arial"/>
          <w:color w:val="000000"/>
          <w:sz w:val="22"/>
          <w:szCs w:val="22"/>
        </w:rPr>
        <w:t>4.</w:t>
      </w:r>
      <w:r>
        <w:rPr>
          <w:rStyle w:val="Strong"/>
          <w:rFonts w:ascii="Arial" w:hAnsi="Arial" w:cs="Arial"/>
          <w:color w:val="000000"/>
          <w:sz w:val="22"/>
          <w:szCs w:val="22"/>
        </w:rPr>
        <w:t>3</w:t>
      </w:r>
      <w:r w:rsidRPr="002B3991">
        <w:rPr>
          <w:rStyle w:val="Strong"/>
          <w:rFonts w:ascii="Arial" w:hAnsi="Arial" w:cs="Arial"/>
          <w:color w:val="000000"/>
          <w:sz w:val="22"/>
          <w:szCs w:val="22"/>
        </w:rPr>
        <w:t xml:space="preserve"> </w:t>
      </w:r>
      <w:r>
        <w:rPr>
          <w:rStyle w:val="Strong"/>
          <w:rFonts w:ascii="Arial" w:hAnsi="Arial" w:cs="Arial"/>
          <w:color w:val="000000"/>
          <w:sz w:val="22"/>
          <w:szCs w:val="22"/>
        </w:rPr>
        <w:t>Consumption</w:t>
      </w:r>
      <w:r w:rsidRPr="002B3991">
        <w:rPr>
          <w:rStyle w:val="Strong"/>
          <w:rFonts w:ascii="Arial" w:hAnsi="Arial" w:cs="Arial"/>
          <w:color w:val="000000"/>
          <w:sz w:val="22"/>
          <w:szCs w:val="22"/>
        </w:rPr>
        <w:t xml:space="preserve"> stage</w:t>
      </w:r>
    </w:p>
    <w:p w14:paraId="19A7C5AB" w14:textId="40CCDA9D"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rPr>
        <w:t xml:space="preserve">Factors influencing carbon emission in tea consumption are </w:t>
      </w:r>
    </w:p>
    <w:p w14:paraId="36567D39" w14:textId="77777777" w:rsidR="00763844" w:rsidRPr="00AB71E0" w:rsidRDefault="00312311" w:rsidP="002B3991">
      <w:pPr>
        <w:pStyle w:val="ListParagraph"/>
        <w:numPr>
          <w:ilvl w:val="0"/>
          <w:numId w:val="26"/>
        </w:numPr>
        <w:spacing w:line="360" w:lineRule="auto"/>
        <w:jc w:val="both"/>
        <w:rPr>
          <w:rFonts w:ascii="Arial" w:hAnsi="Arial" w:cs="Arial"/>
          <w:b/>
          <w:bCs/>
          <w:sz w:val="20"/>
          <w:szCs w:val="20"/>
        </w:rPr>
      </w:pPr>
      <w:r w:rsidRPr="00AB71E0">
        <w:rPr>
          <w:rFonts w:ascii="Arial" w:hAnsi="Arial" w:cs="Arial"/>
          <w:b/>
          <w:bCs/>
          <w:sz w:val="20"/>
          <w:szCs w:val="20"/>
        </w:rPr>
        <w:t>Brewing Method</w:t>
      </w:r>
    </w:p>
    <w:p w14:paraId="24AC31D5" w14:textId="281FFFB1" w:rsidR="00312311" w:rsidRPr="00AB71E0" w:rsidRDefault="00312311" w:rsidP="008C6905">
      <w:pPr>
        <w:spacing w:line="360" w:lineRule="auto"/>
        <w:jc w:val="both"/>
        <w:rPr>
          <w:rFonts w:ascii="Arial" w:hAnsi="Arial" w:cs="Arial"/>
          <w:b/>
          <w:bCs/>
          <w:sz w:val="20"/>
          <w:szCs w:val="20"/>
        </w:rPr>
      </w:pPr>
      <w:r w:rsidRPr="00AB71E0">
        <w:rPr>
          <w:rFonts w:ascii="Arial" w:hAnsi="Arial" w:cs="Arial"/>
          <w:i/>
          <w:iCs/>
          <w:sz w:val="20"/>
          <w:szCs w:val="20"/>
        </w:rPr>
        <w:t>1. Electric Kettle vs. Stovetop:</w:t>
      </w:r>
      <w:r w:rsidRPr="00AB71E0">
        <w:rPr>
          <w:rFonts w:ascii="Arial" w:hAnsi="Arial" w:cs="Arial"/>
          <w:sz w:val="20"/>
          <w:szCs w:val="20"/>
        </w:rPr>
        <w:t xml:space="preserve"> The energy source and efficiency of the appliance used to boil water can significantly impact the carbon footprint. Electric kettles are generally more efficient than stovetop kettles</w:t>
      </w:r>
      <w:r w:rsidR="00B95D57" w:rsidRPr="00AB71E0">
        <w:rPr>
          <w:rFonts w:ascii="Arial" w:hAnsi="Arial" w:cs="Arial"/>
          <w:sz w:val="20"/>
          <w:szCs w:val="20"/>
        </w:rPr>
        <w:t xml:space="preserve"> (Murray </w:t>
      </w:r>
      <w:r w:rsidR="00B95D57" w:rsidRPr="00AB71E0">
        <w:rPr>
          <w:rFonts w:ascii="Arial" w:hAnsi="Arial" w:cs="Arial"/>
          <w:i/>
          <w:iCs/>
          <w:sz w:val="20"/>
          <w:szCs w:val="20"/>
        </w:rPr>
        <w:t>et al.,</w:t>
      </w:r>
      <w:r w:rsidR="00B95D57" w:rsidRPr="00AB71E0">
        <w:rPr>
          <w:rFonts w:ascii="Arial" w:hAnsi="Arial" w:cs="Arial"/>
          <w:sz w:val="20"/>
          <w:szCs w:val="20"/>
        </w:rPr>
        <w:t xml:space="preserve"> 2016).</w:t>
      </w:r>
    </w:p>
    <w:p w14:paraId="7D008ACC" w14:textId="09980980" w:rsidR="00312311" w:rsidRPr="00AB71E0" w:rsidRDefault="00312311" w:rsidP="008C6905">
      <w:pPr>
        <w:spacing w:line="360" w:lineRule="auto"/>
        <w:jc w:val="both"/>
        <w:rPr>
          <w:rFonts w:ascii="Arial" w:hAnsi="Arial" w:cs="Arial"/>
          <w:sz w:val="20"/>
          <w:szCs w:val="20"/>
        </w:rPr>
      </w:pPr>
      <w:r w:rsidRPr="00AB71E0">
        <w:rPr>
          <w:rFonts w:ascii="Arial" w:hAnsi="Arial" w:cs="Arial"/>
          <w:i/>
          <w:iCs/>
          <w:sz w:val="20"/>
          <w:szCs w:val="20"/>
        </w:rPr>
        <w:t>2. Quantity of Water:</w:t>
      </w:r>
      <w:r w:rsidRPr="00AB71E0">
        <w:rPr>
          <w:rFonts w:ascii="Arial" w:hAnsi="Arial" w:cs="Arial"/>
          <w:sz w:val="20"/>
          <w:szCs w:val="20"/>
        </w:rPr>
        <w:t xml:space="preserve"> Boiling more water than necessary increases the energy consumption and, consequently, the carbon footprint</w:t>
      </w:r>
      <w:r w:rsidR="00B95D57" w:rsidRPr="00AB71E0">
        <w:rPr>
          <w:rFonts w:ascii="Arial" w:hAnsi="Arial" w:cs="Arial"/>
          <w:sz w:val="20"/>
          <w:szCs w:val="20"/>
        </w:rPr>
        <w:t xml:space="preserve"> (Akash </w:t>
      </w:r>
      <w:r w:rsidR="00B95D57" w:rsidRPr="00AB71E0">
        <w:rPr>
          <w:rFonts w:ascii="Arial" w:hAnsi="Arial" w:cs="Arial"/>
          <w:i/>
          <w:iCs/>
          <w:sz w:val="20"/>
          <w:szCs w:val="20"/>
        </w:rPr>
        <w:t xml:space="preserve">et </w:t>
      </w:r>
      <w:r w:rsidR="008058A1" w:rsidRPr="00AB71E0">
        <w:rPr>
          <w:rFonts w:ascii="Arial" w:hAnsi="Arial" w:cs="Arial"/>
          <w:i/>
          <w:iCs/>
          <w:sz w:val="20"/>
          <w:szCs w:val="20"/>
        </w:rPr>
        <w:t>al.,</w:t>
      </w:r>
      <w:r w:rsidR="008058A1" w:rsidRPr="00AB71E0">
        <w:rPr>
          <w:rFonts w:ascii="Arial" w:hAnsi="Arial" w:cs="Arial"/>
          <w:sz w:val="20"/>
          <w:szCs w:val="20"/>
        </w:rPr>
        <w:t xml:space="preserve"> 2024).</w:t>
      </w:r>
    </w:p>
    <w:p w14:paraId="18D9ACD2" w14:textId="77777777" w:rsidR="00312311" w:rsidRPr="00AB71E0" w:rsidRDefault="00312311" w:rsidP="002B3991">
      <w:pPr>
        <w:pStyle w:val="ListParagraph"/>
        <w:numPr>
          <w:ilvl w:val="0"/>
          <w:numId w:val="27"/>
        </w:numPr>
        <w:spacing w:line="360" w:lineRule="auto"/>
        <w:jc w:val="both"/>
        <w:rPr>
          <w:rFonts w:ascii="Arial" w:hAnsi="Arial" w:cs="Arial"/>
          <w:b/>
          <w:bCs/>
          <w:sz w:val="20"/>
          <w:szCs w:val="20"/>
        </w:rPr>
      </w:pPr>
      <w:r w:rsidRPr="00AB71E0">
        <w:rPr>
          <w:rFonts w:ascii="Arial" w:hAnsi="Arial" w:cs="Arial"/>
          <w:b/>
          <w:bCs/>
          <w:sz w:val="20"/>
          <w:szCs w:val="20"/>
        </w:rPr>
        <w:t>Energy Sour</w:t>
      </w:r>
    </w:p>
    <w:p w14:paraId="71C7BFBD" w14:textId="6C0C80B7"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rPr>
        <w:t>Carbon intensity of the energy source used for boiling water (e.g., coal, natural gas, renewable energy) plays a significant role. Regions with cleaner energy grids will have a lower carbon footprint for the same activity</w:t>
      </w:r>
      <w:r w:rsidR="008058A1" w:rsidRPr="00AB71E0">
        <w:rPr>
          <w:rFonts w:ascii="Arial" w:hAnsi="Arial" w:cs="Arial"/>
          <w:sz w:val="20"/>
          <w:szCs w:val="20"/>
        </w:rPr>
        <w:t xml:space="preserve"> (Gielen </w:t>
      </w:r>
      <w:r w:rsidR="008058A1" w:rsidRPr="00AB71E0">
        <w:rPr>
          <w:rFonts w:ascii="Arial" w:hAnsi="Arial" w:cs="Arial"/>
          <w:i/>
          <w:iCs/>
          <w:sz w:val="20"/>
          <w:szCs w:val="20"/>
        </w:rPr>
        <w:t>et al.,</w:t>
      </w:r>
      <w:r w:rsidR="008058A1" w:rsidRPr="00AB71E0">
        <w:rPr>
          <w:rFonts w:ascii="Arial" w:hAnsi="Arial" w:cs="Arial"/>
          <w:sz w:val="20"/>
          <w:szCs w:val="20"/>
        </w:rPr>
        <w:t xml:space="preserve"> 2019)</w:t>
      </w:r>
      <w:r w:rsidRPr="00AB71E0">
        <w:rPr>
          <w:rFonts w:ascii="Arial" w:hAnsi="Arial" w:cs="Arial"/>
          <w:sz w:val="20"/>
          <w:szCs w:val="20"/>
        </w:rPr>
        <w:t xml:space="preserve">. </w:t>
      </w:r>
    </w:p>
    <w:p w14:paraId="69B356ED" w14:textId="77777777" w:rsidR="00312311" w:rsidRPr="00AB71E0" w:rsidRDefault="00312311" w:rsidP="002B3991">
      <w:pPr>
        <w:pStyle w:val="ListParagraph"/>
        <w:numPr>
          <w:ilvl w:val="0"/>
          <w:numId w:val="28"/>
        </w:numPr>
        <w:spacing w:line="360" w:lineRule="auto"/>
        <w:jc w:val="both"/>
        <w:rPr>
          <w:rFonts w:ascii="Arial" w:hAnsi="Arial" w:cs="Arial"/>
          <w:b/>
          <w:bCs/>
          <w:sz w:val="20"/>
          <w:szCs w:val="20"/>
        </w:rPr>
      </w:pPr>
      <w:r w:rsidRPr="00AB71E0">
        <w:rPr>
          <w:rFonts w:ascii="Arial" w:hAnsi="Arial" w:cs="Arial"/>
          <w:b/>
          <w:bCs/>
          <w:sz w:val="20"/>
          <w:szCs w:val="20"/>
        </w:rPr>
        <w:lastRenderedPageBreak/>
        <w:t>Tea Type and Preparation</w:t>
      </w:r>
    </w:p>
    <w:p w14:paraId="201AA30F" w14:textId="78E62FE0"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rPr>
        <w:t>Different types of tea (e.g., loose leaf, tea bags, instant tea) have different carbon footprints. Tea bags and instant tea often involve additional processing and packaging, which increase their overall carbon footprint</w:t>
      </w:r>
      <w:r w:rsidR="008058A1" w:rsidRPr="00AB71E0">
        <w:rPr>
          <w:rFonts w:ascii="Arial" w:hAnsi="Arial" w:cs="Arial"/>
          <w:sz w:val="20"/>
          <w:szCs w:val="20"/>
        </w:rPr>
        <w:t xml:space="preserve"> (Sun </w:t>
      </w:r>
      <w:r w:rsidR="008058A1" w:rsidRPr="00AB71E0">
        <w:rPr>
          <w:rFonts w:ascii="Arial" w:hAnsi="Arial" w:cs="Arial"/>
          <w:i/>
          <w:iCs/>
          <w:sz w:val="20"/>
          <w:szCs w:val="20"/>
        </w:rPr>
        <w:t>et al.,</w:t>
      </w:r>
      <w:r w:rsidR="008058A1" w:rsidRPr="00AB71E0">
        <w:rPr>
          <w:rFonts w:ascii="Arial" w:hAnsi="Arial" w:cs="Arial"/>
          <w:sz w:val="20"/>
          <w:szCs w:val="20"/>
        </w:rPr>
        <w:t xml:space="preserve"> 2024).</w:t>
      </w:r>
    </w:p>
    <w:p w14:paraId="38EE2B93" w14:textId="77777777" w:rsidR="00312311" w:rsidRPr="00AB71E0" w:rsidRDefault="00312311" w:rsidP="002B3991">
      <w:pPr>
        <w:pStyle w:val="ListParagraph"/>
        <w:numPr>
          <w:ilvl w:val="0"/>
          <w:numId w:val="29"/>
        </w:numPr>
        <w:spacing w:line="360" w:lineRule="auto"/>
        <w:jc w:val="both"/>
        <w:rPr>
          <w:rFonts w:ascii="Arial" w:hAnsi="Arial" w:cs="Arial"/>
          <w:sz w:val="20"/>
          <w:szCs w:val="20"/>
        </w:rPr>
      </w:pPr>
      <w:r w:rsidRPr="00AB71E0">
        <w:rPr>
          <w:rFonts w:ascii="Arial" w:hAnsi="Arial" w:cs="Arial"/>
          <w:b/>
          <w:bCs/>
          <w:sz w:val="20"/>
          <w:szCs w:val="20"/>
        </w:rPr>
        <w:t>Packaging and Disposal</w:t>
      </w:r>
    </w:p>
    <w:p w14:paraId="240A77ED" w14:textId="3FE77729"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rPr>
        <w:t>The type of packaging (biodegradable vs. non-biodegradable) and the disposal method (recycling, composting, landfill) affect the carbon footprint. Packaging materials that are not biodegradable or recyclable contribute to higher emissions</w:t>
      </w:r>
      <w:r w:rsidR="008058A1" w:rsidRPr="00AB71E0">
        <w:rPr>
          <w:rFonts w:ascii="Arial" w:hAnsi="Arial" w:cs="Arial"/>
          <w:sz w:val="20"/>
          <w:szCs w:val="20"/>
        </w:rPr>
        <w:t xml:space="preserve"> (Islam </w:t>
      </w:r>
      <w:r w:rsidR="008058A1" w:rsidRPr="00AB71E0">
        <w:rPr>
          <w:rFonts w:ascii="Arial" w:hAnsi="Arial" w:cs="Arial"/>
          <w:i/>
          <w:iCs/>
          <w:sz w:val="20"/>
          <w:szCs w:val="20"/>
        </w:rPr>
        <w:t>et al.,</w:t>
      </w:r>
      <w:r w:rsidR="008058A1" w:rsidRPr="00AB71E0">
        <w:rPr>
          <w:rFonts w:ascii="Arial" w:hAnsi="Arial" w:cs="Arial"/>
          <w:sz w:val="20"/>
          <w:szCs w:val="20"/>
        </w:rPr>
        <w:t xml:space="preserve"> 2024)</w:t>
      </w:r>
      <w:r w:rsidRPr="00AB71E0">
        <w:rPr>
          <w:rFonts w:ascii="Arial" w:hAnsi="Arial" w:cs="Arial"/>
          <w:sz w:val="20"/>
          <w:szCs w:val="20"/>
        </w:rPr>
        <w:t xml:space="preserve">. </w:t>
      </w:r>
    </w:p>
    <w:p w14:paraId="40A78A8D" w14:textId="77777777" w:rsidR="00312311" w:rsidRPr="00AB71E0" w:rsidRDefault="00312311" w:rsidP="002B3991">
      <w:pPr>
        <w:pStyle w:val="ListParagraph"/>
        <w:numPr>
          <w:ilvl w:val="0"/>
          <w:numId w:val="30"/>
        </w:numPr>
        <w:spacing w:line="360" w:lineRule="auto"/>
        <w:jc w:val="both"/>
        <w:rPr>
          <w:rFonts w:ascii="Arial" w:hAnsi="Arial" w:cs="Arial"/>
          <w:b/>
          <w:bCs/>
          <w:sz w:val="20"/>
          <w:szCs w:val="20"/>
        </w:rPr>
      </w:pPr>
      <w:r w:rsidRPr="00AB71E0">
        <w:rPr>
          <w:rFonts w:ascii="Arial" w:hAnsi="Arial" w:cs="Arial"/>
          <w:b/>
          <w:bCs/>
          <w:sz w:val="20"/>
          <w:szCs w:val="20"/>
        </w:rPr>
        <w:t>Additives</w:t>
      </w:r>
    </w:p>
    <w:p w14:paraId="767B19B0" w14:textId="648BDB6F"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rPr>
        <w:t>Adding milk, sugar, honey, or other ingredients increases the carbon footprint. For example, dairy milk has a higher carbon footprint compared to plant-based alternatives</w:t>
      </w:r>
      <w:r w:rsidR="008058A1" w:rsidRPr="00AB71E0">
        <w:rPr>
          <w:rFonts w:ascii="Arial" w:hAnsi="Arial" w:cs="Arial"/>
          <w:sz w:val="20"/>
          <w:szCs w:val="20"/>
        </w:rPr>
        <w:t xml:space="preserve"> (Craig </w:t>
      </w:r>
      <w:r w:rsidR="008058A1" w:rsidRPr="00AB71E0">
        <w:rPr>
          <w:rFonts w:ascii="Arial" w:hAnsi="Arial" w:cs="Arial"/>
          <w:i/>
          <w:iCs/>
          <w:sz w:val="20"/>
          <w:szCs w:val="20"/>
        </w:rPr>
        <w:t>et al.,</w:t>
      </w:r>
      <w:r w:rsidR="008058A1" w:rsidRPr="00AB71E0">
        <w:rPr>
          <w:rFonts w:ascii="Arial" w:hAnsi="Arial" w:cs="Arial"/>
          <w:sz w:val="20"/>
          <w:szCs w:val="20"/>
        </w:rPr>
        <w:t xml:space="preserve"> 2023)</w:t>
      </w:r>
    </w:p>
    <w:p w14:paraId="6B95664D" w14:textId="77777777" w:rsidR="00312311" w:rsidRPr="00AB71E0" w:rsidRDefault="00312311" w:rsidP="002B3991">
      <w:pPr>
        <w:pStyle w:val="ListParagraph"/>
        <w:numPr>
          <w:ilvl w:val="0"/>
          <w:numId w:val="31"/>
        </w:numPr>
        <w:spacing w:line="360" w:lineRule="auto"/>
        <w:jc w:val="both"/>
        <w:rPr>
          <w:rFonts w:ascii="Arial" w:hAnsi="Arial" w:cs="Arial"/>
          <w:sz w:val="20"/>
          <w:szCs w:val="20"/>
        </w:rPr>
      </w:pPr>
      <w:r w:rsidRPr="00AB71E0">
        <w:rPr>
          <w:rFonts w:ascii="Arial" w:hAnsi="Arial" w:cs="Arial"/>
          <w:b/>
          <w:bCs/>
          <w:sz w:val="20"/>
          <w:szCs w:val="20"/>
        </w:rPr>
        <w:t>Frequency of Consumption</w:t>
      </w:r>
      <w:r w:rsidRPr="00AB71E0">
        <w:rPr>
          <w:rFonts w:ascii="Arial" w:hAnsi="Arial" w:cs="Arial"/>
          <w:sz w:val="20"/>
          <w:szCs w:val="20"/>
        </w:rPr>
        <w:t xml:space="preserve"> </w:t>
      </w:r>
    </w:p>
    <w:p w14:paraId="5D82916E" w14:textId="77777777"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rPr>
        <w:t xml:space="preserve">The frequency with which an individual consumes tea affects the cumulative carbon footprint. </w:t>
      </w:r>
    </w:p>
    <w:p w14:paraId="751213BB" w14:textId="25B55227"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rPr>
        <w:t>Regular, heavy consumption will have a higher overall impact</w:t>
      </w:r>
      <w:r w:rsidR="008058A1" w:rsidRPr="00AB71E0">
        <w:rPr>
          <w:rFonts w:ascii="Arial" w:hAnsi="Arial" w:cs="Arial"/>
          <w:sz w:val="20"/>
          <w:szCs w:val="20"/>
        </w:rPr>
        <w:t xml:space="preserve"> (He </w:t>
      </w:r>
      <w:r w:rsidR="008058A1" w:rsidRPr="00AB71E0">
        <w:rPr>
          <w:rFonts w:ascii="Arial" w:hAnsi="Arial" w:cs="Arial"/>
          <w:i/>
          <w:iCs/>
          <w:sz w:val="20"/>
          <w:szCs w:val="20"/>
        </w:rPr>
        <w:t>et al.,</w:t>
      </w:r>
      <w:r w:rsidR="008058A1" w:rsidRPr="00AB71E0">
        <w:rPr>
          <w:rFonts w:ascii="Arial" w:hAnsi="Arial" w:cs="Arial"/>
          <w:sz w:val="20"/>
          <w:szCs w:val="20"/>
        </w:rPr>
        <w:t xml:space="preserve"> 2022).</w:t>
      </w:r>
    </w:p>
    <w:p w14:paraId="518BE6EB" w14:textId="77777777" w:rsidR="00312311" w:rsidRPr="00AB71E0" w:rsidRDefault="00312311" w:rsidP="002B3991">
      <w:pPr>
        <w:pStyle w:val="ListParagraph"/>
        <w:numPr>
          <w:ilvl w:val="0"/>
          <w:numId w:val="32"/>
        </w:numPr>
        <w:spacing w:line="360" w:lineRule="auto"/>
        <w:jc w:val="both"/>
        <w:rPr>
          <w:rFonts w:ascii="Arial" w:hAnsi="Arial" w:cs="Arial"/>
          <w:sz w:val="20"/>
          <w:szCs w:val="20"/>
        </w:rPr>
      </w:pPr>
      <w:r w:rsidRPr="00AB71E0">
        <w:rPr>
          <w:rFonts w:ascii="Arial" w:hAnsi="Arial" w:cs="Arial"/>
          <w:b/>
          <w:bCs/>
          <w:sz w:val="20"/>
          <w:szCs w:val="20"/>
        </w:rPr>
        <w:t>Waste Management</w:t>
      </w:r>
    </w:p>
    <w:p w14:paraId="7F26941E" w14:textId="2FDC03D4"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rPr>
        <w:t>The disposal of used tea leaves, bags, and any associated waste contributes to the carbon footprint. Proper composting or recycling can mitigate some of these impacts</w:t>
      </w:r>
      <w:r w:rsidR="008058A1" w:rsidRPr="00AB71E0">
        <w:rPr>
          <w:rFonts w:ascii="Arial" w:hAnsi="Arial" w:cs="Arial"/>
          <w:sz w:val="20"/>
          <w:szCs w:val="20"/>
        </w:rPr>
        <w:t xml:space="preserve"> (Morita </w:t>
      </w:r>
      <w:r w:rsidR="008058A1" w:rsidRPr="00AB71E0">
        <w:rPr>
          <w:rFonts w:ascii="Arial" w:hAnsi="Arial" w:cs="Arial"/>
          <w:i/>
          <w:iCs/>
          <w:sz w:val="20"/>
          <w:szCs w:val="20"/>
        </w:rPr>
        <w:t>et al.,</w:t>
      </w:r>
      <w:r w:rsidR="008058A1" w:rsidRPr="00AB71E0">
        <w:rPr>
          <w:rFonts w:ascii="Arial" w:hAnsi="Arial" w:cs="Arial"/>
          <w:sz w:val="20"/>
          <w:szCs w:val="20"/>
        </w:rPr>
        <w:t xml:space="preserve"> 2024)</w:t>
      </w:r>
      <w:r w:rsidRPr="00AB71E0">
        <w:rPr>
          <w:rFonts w:ascii="Arial" w:hAnsi="Arial" w:cs="Arial"/>
          <w:sz w:val="20"/>
          <w:szCs w:val="20"/>
        </w:rPr>
        <w:t xml:space="preserve"> </w:t>
      </w:r>
    </w:p>
    <w:p w14:paraId="150FDBD2" w14:textId="77777777" w:rsidR="007A569A" w:rsidRPr="00AB71E0" w:rsidRDefault="007A569A" w:rsidP="008C6905">
      <w:pPr>
        <w:spacing w:line="360" w:lineRule="auto"/>
        <w:jc w:val="both"/>
        <w:rPr>
          <w:rFonts w:ascii="Arial" w:hAnsi="Arial" w:cs="Arial"/>
          <w:b/>
          <w:bCs/>
          <w:sz w:val="20"/>
          <w:szCs w:val="20"/>
        </w:rPr>
        <w:sectPr w:rsidR="007A569A" w:rsidRPr="00AB71E0" w:rsidSect="00F12DF1">
          <w:type w:val="continuous"/>
          <w:pgSz w:w="11906" w:h="16838"/>
          <w:pgMar w:top="1440" w:right="1440" w:bottom="1440" w:left="1440" w:header="708" w:footer="708" w:gutter="0"/>
          <w:cols w:space="708"/>
          <w:docGrid w:linePitch="360"/>
        </w:sectPr>
      </w:pPr>
    </w:p>
    <w:p w14:paraId="4547349B" w14:textId="1215CDA1" w:rsidR="00312311" w:rsidRPr="00F03028" w:rsidRDefault="002B3991" w:rsidP="008C6905">
      <w:pPr>
        <w:spacing w:line="360" w:lineRule="auto"/>
        <w:jc w:val="both"/>
        <w:rPr>
          <w:rFonts w:ascii="Arial" w:hAnsi="Arial" w:cs="Arial"/>
          <w:sz w:val="22"/>
          <w:szCs w:val="22"/>
        </w:rPr>
      </w:pPr>
      <w:r>
        <w:rPr>
          <w:rFonts w:ascii="Arial" w:hAnsi="Arial" w:cs="Arial"/>
          <w:b/>
          <w:bCs/>
          <w:sz w:val="22"/>
          <w:szCs w:val="22"/>
        </w:rPr>
        <w:t xml:space="preserve">4.4 </w:t>
      </w:r>
      <w:r w:rsidR="00312311" w:rsidRPr="00F03028">
        <w:rPr>
          <w:rFonts w:ascii="Arial" w:hAnsi="Arial" w:cs="Arial"/>
          <w:b/>
          <w:bCs/>
          <w:sz w:val="22"/>
          <w:szCs w:val="22"/>
        </w:rPr>
        <w:t>GREEN TEA</w:t>
      </w:r>
      <w:r w:rsidR="007D5EFC">
        <w:rPr>
          <w:rFonts w:ascii="Arial" w:hAnsi="Arial" w:cs="Arial"/>
          <w:b/>
          <w:bCs/>
          <w:sz w:val="22"/>
          <w:szCs w:val="22"/>
        </w:rPr>
        <w:t xml:space="preserve"> SPECIFIC LIFECYCLE OF CARBON FOOTPRINT</w:t>
      </w:r>
    </w:p>
    <w:p w14:paraId="5D8AAB2D" w14:textId="34328119" w:rsidR="007A569A" w:rsidRPr="00F03028" w:rsidRDefault="00490732" w:rsidP="00490732">
      <w:pPr>
        <w:spacing w:line="360" w:lineRule="auto"/>
        <w:jc w:val="center"/>
        <w:rPr>
          <w:rFonts w:ascii="Arial" w:hAnsi="Arial" w:cs="Arial"/>
          <w:sz w:val="20"/>
          <w:szCs w:val="20"/>
        </w:rPr>
        <w:sectPr w:rsidR="007A569A" w:rsidRPr="00F03028" w:rsidSect="00F12DF1">
          <w:type w:val="continuous"/>
          <w:pgSz w:w="11906" w:h="16838"/>
          <w:pgMar w:top="1440" w:right="1440" w:bottom="1440" w:left="1440" w:header="708" w:footer="708" w:gutter="0"/>
          <w:cols w:space="708"/>
          <w:docGrid w:linePitch="360"/>
        </w:sectPr>
      </w:pPr>
      <w:r w:rsidRPr="00AB71E0">
        <w:rPr>
          <w:rFonts w:ascii="Arial" w:hAnsi="Arial" w:cs="Arial"/>
          <w:noProof/>
          <w:sz w:val="20"/>
          <w:szCs w:val="20"/>
        </w:rPr>
        <mc:AlternateContent>
          <mc:Choice Requires="wps">
            <w:drawing>
              <wp:anchor distT="0" distB="0" distL="114300" distR="114300" simplePos="0" relativeHeight="251671552" behindDoc="0" locked="0" layoutInCell="1" allowOverlap="1" wp14:anchorId="7177545A" wp14:editId="6E33986D">
                <wp:simplePos x="0" y="0"/>
                <wp:positionH relativeFrom="column">
                  <wp:posOffset>921657</wp:posOffset>
                </wp:positionH>
                <wp:positionV relativeFrom="paragraph">
                  <wp:posOffset>1932305</wp:posOffset>
                </wp:positionV>
                <wp:extent cx="3981450" cy="320400"/>
                <wp:effectExtent l="0" t="0" r="6350" b="0"/>
                <wp:wrapNone/>
                <wp:docPr id="2047406852" name="Text Box 1"/>
                <wp:cNvGraphicFramePr/>
                <a:graphic xmlns:a="http://schemas.openxmlformats.org/drawingml/2006/main">
                  <a:graphicData uri="http://schemas.microsoft.com/office/word/2010/wordprocessingShape">
                    <wps:wsp>
                      <wps:cNvSpPr txBox="1"/>
                      <wps:spPr>
                        <a:xfrm>
                          <a:off x="0" y="0"/>
                          <a:ext cx="3981450" cy="320400"/>
                        </a:xfrm>
                        <a:prstGeom prst="rect">
                          <a:avLst/>
                        </a:prstGeom>
                        <a:solidFill>
                          <a:schemeClr val="lt1"/>
                        </a:solidFill>
                        <a:ln w="6350">
                          <a:noFill/>
                        </a:ln>
                      </wps:spPr>
                      <wps:txbx>
                        <w:txbxContent>
                          <w:p w14:paraId="5B5932DB" w14:textId="3535147E" w:rsidR="00C83E09" w:rsidRPr="00490732" w:rsidRDefault="00C83E09" w:rsidP="00490732">
                            <w:pPr>
                              <w:jc w:val="center"/>
                              <w:rPr>
                                <w:rFonts w:ascii="Times New Roman" w:hAnsi="Times New Roman" w:cs="Times New Roman"/>
                                <w:b/>
                                <w:bCs/>
                                <w:sz w:val="20"/>
                                <w:szCs w:val="20"/>
                                <w:lang w:val="en-US"/>
                              </w:rPr>
                            </w:pPr>
                            <w:r w:rsidRPr="00490732">
                              <w:rPr>
                                <w:rFonts w:ascii="Times New Roman" w:hAnsi="Times New Roman" w:cs="Times New Roman"/>
                                <w:b/>
                                <w:bCs/>
                                <w:sz w:val="20"/>
                                <w:szCs w:val="20"/>
                                <w:lang w:val="en-US"/>
                              </w:rPr>
                              <w:t>Fig 2. Release and utilization of carbon in green tea production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7545A" id="Text Box 1" o:spid="_x0000_s1027" type="#_x0000_t202" style="position:absolute;left:0;text-align:left;margin-left:72.55pt;margin-top:152.15pt;width:313.5pt;height:2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" fillcolor="white [3201]" stroked="f" strokeweight=".5pt">
                <v:textbox>
                  <w:txbxContent>
                    <w:p w14:paraId="5B5932DB" w14:textId="3535147E" w:rsidR="00C83E09" w:rsidRPr="00490732" w:rsidRDefault="00C83E09" w:rsidP="00490732">
                      <w:pPr>
                        <w:jc w:val="center"/>
                        <w:rPr>
                          <w:rFonts w:ascii="Times New Roman" w:hAnsi="Times New Roman" w:cs="Times New Roman"/>
                          <w:b/>
                          <w:bCs/>
                          <w:sz w:val="20"/>
                          <w:szCs w:val="20"/>
                          <w:lang w:val="en-US"/>
                        </w:rPr>
                      </w:pPr>
                      <w:r w:rsidRPr="00490732">
                        <w:rPr>
                          <w:rFonts w:ascii="Times New Roman" w:hAnsi="Times New Roman" w:cs="Times New Roman"/>
                          <w:b/>
                          <w:bCs/>
                          <w:sz w:val="20"/>
                          <w:szCs w:val="20"/>
                          <w:lang w:val="en-US"/>
                        </w:rPr>
                        <w:t>Fig 2. Release and utilization of carbon in green tea production</w:t>
                      </w:r>
                    </w:p>
                  </w:txbxContent>
                </v:textbox>
              </v:shape>
            </w:pict>
          </mc:Fallback>
        </mc:AlternateContent>
      </w:r>
      <w:r w:rsidR="006952A1" w:rsidRPr="00AB71E0">
        <w:rPr>
          <w:rFonts w:ascii="Arial" w:hAnsi="Arial" w:cs="Arial"/>
          <w:noProof/>
          <w:sz w:val="20"/>
          <w:szCs w:val="20"/>
        </w:rPr>
        <w:drawing>
          <wp:inline distT="0" distB="0" distL="0" distR="0" wp14:anchorId="46C57DB6" wp14:editId="174CEB47">
            <wp:extent cx="4705396" cy="2011680"/>
            <wp:effectExtent l="0" t="0" r="6350" b="0"/>
            <wp:docPr id="6" name="Picture 5" descr="A diagram of a cradle to grave&#10;&#10;Description automatically generated">
              <a:extLst xmlns:a="http://schemas.openxmlformats.org/drawingml/2006/main">
                <a:ext uri="{FF2B5EF4-FFF2-40B4-BE49-F238E27FC236}">
                  <a16:creationId xmlns:a16="http://schemas.microsoft.com/office/drawing/2014/main" id="{0B5A967F-DF46-7FEB-4AE9-38F2E22CF3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diagram of a cradle to grave&#10;&#10;Description automatically generated">
                      <a:extLst>
                        <a:ext uri="{FF2B5EF4-FFF2-40B4-BE49-F238E27FC236}">
                          <a16:creationId xmlns:a16="http://schemas.microsoft.com/office/drawing/2014/main" id="{0B5A967F-DF46-7FEB-4AE9-38F2E22CF3FE}"/>
                        </a:ext>
                      </a:extLst>
                    </pic:cNvPr>
                    <pic:cNvPicPr>
                      <a:picLocks noChangeAspect="1"/>
                    </pic:cNvPicPr>
                  </pic:nvPicPr>
                  <pic:blipFill>
                    <a:blip r:embed="rId19"/>
                    <a:stretch>
                      <a:fillRect/>
                    </a:stretch>
                  </pic:blipFill>
                  <pic:spPr>
                    <a:xfrm>
                      <a:off x="0" y="0"/>
                      <a:ext cx="4705396" cy="2011680"/>
                    </a:xfrm>
                    <a:prstGeom prst="rect">
                      <a:avLst/>
                    </a:prstGeom>
                  </pic:spPr>
                </pic:pic>
              </a:graphicData>
            </a:graphic>
          </wp:inline>
        </w:drawing>
      </w:r>
    </w:p>
    <w:p w14:paraId="06AE7BB9" w14:textId="15D1FF0E" w:rsidR="002B3991" w:rsidRDefault="002B3991" w:rsidP="007A569A">
      <w:pPr>
        <w:spacing w:line="360" w:lineRule="auto"/>
        <w:jc w:val="both"/>
        <w:rPr>
          <w:rFonts w:ascii="Arial" w:hAnsi="Arial" w:cs="Arial"/>
          <w:b/>
          <w:bCs/>
          <w:sz w:val="20"/>
          <w:szCs w:val="20"/>
        </w:rPr>
      </w:pPr>
    </w:p>
    <w:p w14:paraId="766ABDDB" w14:textId="6F7C17EB" w:rsidR="006952A1" w:rsidRPr="00AB71E0" w:rsidRDefault="00312311" w:rsidP="007A569A">
      <w:pPr>
        <w:spacing w:line="360" w:lineRule="auto"/>
        <w:jc w:val="both"/>
        <w:rPr>
          <w:rFonts w:ascii="Arial" w:hAnsi="Arial" w:cs="Arial"/>
          <w:sz w:val="20"/>
          <w:szCs w:val="20"/>
        </w:rPr>
      </w:pPr>
      <w:r w:rsidRPr="00AB71E0">
        <w:rPr>
          <w:rFonts w:ascii="Arial" w:hAnsi="Arial" w:cs="Arial"/>
          <w:b/>
          <w:bCs/>
          <w:sz w:val="20"/>
          <w:szCs w:val="20"/>
        </w:rPr>
        <w:t>The specific considerations for each stage are as follows</w:t>
      </w:r>
      <w:r w:rsidRPr="00AB71E0">
        <w:rPr>
          <w:rFonts w:ascii="Arial" w:hAnsi="Arial" w:cs="Arial"/>
          <w:sz w:val="20"/>
          <w:szCs w:val="20"/>
        </w:rPr>
        <w:t>:</w:t>
      </w:r>
      <w:r w:rsidR="006952A1" w:rsidRPr="00AB71E0">
        <w:rPr>
          <w:rFonts w:ascii="Arial" w:hAnsi="Arial" w:cs="Arial"/>
          <w:sz w:val="20"/>
          <w:szCs w:val="20"/>
        </w:rPr>
        <w:t xml:space="preserve"> </w:t>
      </w:r>
      <w:r w:rsidR="006952A1" w:rsidRPr="00AB71E0">
        <w:rPr>
          <w:rFonts w:ascii="Arial" w:hAnsi="Arial" w:cs="Arial"/>
          <w:sz w:val="20"/>
          <w:szCs w:val="20"/>
          <w:lang w:val="en-US"/>
        </w:rPr>
        <w:t xml:space="preserve">(He </w:t>
      </w:r>
      <w:r w:rsidR="006952A1" w:rsidRPr="00AB71E0">
        <w:rPr>
          <w:rFonts w:ascii="Arial" w:hAnsi="Arial" w:cs="Arial"/>
          <w:i/>
          <w:iCs/>
          <w:sz w:val="20"/>
          <w:szCs w:val="20"/>
          <w:lang w:val="en-US"/>
        </w:rPr>
        <w:t xml:space="preserve">et al., </w:t>
      </w:r>
      <w:r w:rsidR="006952A1" w:rsidRPr="00AB71E0">
        <w:rPr>
          <w:rFonts w:ascii="Arial" w:hAnsi="Arial" w:cs="Arial"/>
          <w:sz w:val="20"/>
          <w:szCs w:val="20"/>
          <w:lang w:val="en-US"/>
        </w:rPr>
        <w:t>2023)</w:t>
      </w:r>
    </w:p>
    <w:p w14:paraId="0936F441" w14:textId="77777777" w:rsidR="00312311" w:rsidRPr="00AB71E0" w:rsidRDefault="00312311" w:rsidP="007D5EFC">
      <w:pPr>
        <w:spacing w:line="360" w:lineRule="auto"/>
        <w:rPr>
          <w:rFonts w:ascii="Arial" w:hAnsi="Arial" w:cs="Arial"/>
          <w:sz w:val="20"/>
          <w:szCs w:val="20"/>
        </w:rPr>
      </w:pPr>
      <w:r w:rsidRPr="00AB71E0">
        <w:rPr>
          <w:rFonts w:ascii="Arial" w:hAnsi="Arial" w:cs="Arial"/>
          <w:b/>
          <w:bCs/>
          <w:sz w:val="20"/>
          <w:szCs w:val="20"/>
        </w:rPr>
        <w:t>Cultivation</w:t>
      </w:r>
      <w:r w:rsidRPr="00AB71E0">
        <w:rPr>
          <w:rFonts w:ascii="Arial" w:hAnsi="Arial" w:cs="Arial"/>
          <w:sz w:val="20"/>
          <w:szCs w:val="20"/>
        </w:rPr>
        <w:t>: Emissions from the upstream production of fertilizer and pesticide, as well as emissions from fertilizer application in the field and the use of agricultural machinery in the pruning and harvesting period</w:t>
      </w:r>
      <w:r w:rsidRPr="00AB71E0">
        <w:rPr>
          <w:rFonts w:ascii="Arial" w:hAnsi="Arial" w:cs="Arial"/>
          <w:sz w:val="20"/>
          <w:szCs w:val="20"/>
        </w:rPr>
        <w:br/>
      </w:r>
      <w:r w:rsidRPr="00AB71E0">
        <w:rPr>
          <w:rFonts w:ascii="Arial" w:hAnsi="Arial" w:cs="Arial"/>
          <w:b/>
          <w:bCs/>
          <w:sz w:val="20"/>
          <w:szCs w:val="20"/>
        </w:rPr>
        <w:t>Processing</w:t>
      </w:r>
      <w:r w:rsidRPr="00AB71E0">
        <w:rPr>
          <w:rFonts w:ascii="Arial" w:hAnsi="Arial" w:cs="Arial"/>
          <w:sz w:val="20"/>
          <w:szCs w:val="20"/>
        </w:rPr>
        <w:t>: Emissions from electricity, coal, and pellets consumed by mechanical equipment in the processing stage</w:t>
      </w:r>
    </w:p>
    <w:p w14:paraId="2BD5B949" w14:textId="5D72BCEE" w:rsidR="007A569A" w:rsidRPr="00F03028" w:rsidRDefault="00312311" w:rsidP="007D5EFC">
      <w:pPr>
        <w:spacing w:line="360" w:lineRule="auto"/>
        <w:rPr>
          <w:rFonts w:ascii="Arial" w:hAnsi="Arial" w:cs="Arial"/>
          <w:sz w:val="20"/>
          <w:szCs w:val="20"/>
        </w:rPr>
        <w:sectPr w:rsidR="007A569A" w:rsidRPr="00F03028" w:rsidSect="00F12DF1">
          <w:type w:val="continuous"/>
          <w:pgSz w:w="11906" w:h="16838"/>
          <w:pgMar w:top="1440" w:right="1440" w:bottom="1440" w:left="1440" w:header="708" w:footer="708" w:gutter="0"/>
          <w:cols w:space="708"/>
          <w:docGrid w:linePitch="360"/>
        </w:sectPr>
      </w:pPr>
      <w:r w:rsidRPr="00AB71E0">
        <w:rPr>
          <w:rFonts w:ascii="Arial" w:hAnsi="Arial" w:cs="Arial"/>
          <w:b/>
          <w:bCs/>
          <w:sz w:val="20"/>
          <w:szCs w:val="20"/>
        </w:rPr>
        <w:t>Packaging and transportation</w:t>
      </w:r>
      <w:r w:rsidRPr="00AB71E0">
        <w:rPr>
          <w:rFonts w:ascii="Arial" w:hAnsi="Arial" w:cs="Arial"/>
          <w:sz w:val="20"/>
          <w:szCs w:val="20"/>
        </w:rPr>
        <w:t>: Emissions from the production of packaging materials and energy consumption during transportation</w:t>
      </w:r>
      <w:r w:rsidRPr="00AB71E0">
        <w:rPr>
          <w:rFonts w:ascii="Arial" w:hAnsi="Arial" w:cs="Arial"/>
          <w:sz w:val="20"/>
          <w:szCs w:val="20"/>
        </w:rPr>
        <w:br/>
      </w:r>
      <w:r w:rsidRPr="00AB71E0">
        <w:rPr>
          <w:rFonts w:ascii="Arial" w:hAnsi="Arial" w:cs="Arial"/>
          <w:b/>
          <w:bCs/>
          <w:sz w:val="20"/>
          <w:szCs w:val="20"/>
        </w:rPr>
        <w:t>Consumption and disposal</w:t>
      </w:r>
      <w:r w:rsidRPr="00AB71E0">
        <w:rPr>
          <w:rFonts w:ascii="Arial" w:hAnsi="Arial" w:cs="Arial"/>
          <w:sz w:val="20"/>
          <w:szCs w:val="20"/>
        </w:rPr>
        <w:t>: Emissions from boiling water and tea residue treatment</w:t>
      </w:r>
      <w:r w:rsidR="00F03028">
        <w:rPr>
          <w:rFonts w:ascii="Arial" w:hAnsi="Arial" w:cs="Arial"/>
          <w:sz w:val="20"/>
          <w:szCs w:val="20"/>
        </w:rPr>
        <w:t>s</w:t>
      </w:r>
    </w:p>
    <w:p w14:paraId="21E0B0B4" w14:textId="2FFE493B" w:rsidR="00312311" w:rsidRPr="00F03028" w:rsidRDefault="007D5EFC" w:rsidP="008C6905">
      <w:pPr>
        <w:spacing w:line="360" w:lineRule="auto"/>
        <w:rPr>
          <w:rFonts w:ascii="Arial" w:hAnsi="Arial" w:cs="Arial"/>
          <w:b/>
          <w:bCs/>
          <w:sz w:val="22"/>
          <w:szCs w:val="22"/>
        </w:rPr>
      </w:pPr>
      <w:r>
        <w:rPr>
          <w:rFonts w:ascii="Arial" w:hAnsi="Arial" w:cs="Arial"/>
          <w:b/>
          <w:bCs/>
          <w:sz w:val="22"/>
          <w:szCs w:val="22"/>
        </w:rPr>
        <w:t>5</w:t>
      </w:r>
      <w:commentRangeStart w:id="2"/>
      <w:r>
        <w:rPr>
          <w:rFonts w:ascii="Arial" w:hAnsi="Arial" w:cs="Arial"/>
          <w:b/>
          <w:bCs/>
          <w:sz w:val="22"/>
          <w:szCs w:val="22"/>
        </w:rPr>
        <w:t xml:space="preserve">. </w:t>
      </w:r>
      <w:r w:rsidR="00B849B9" w:rsidRPr="00F03028">
        <w:rPr>
          <w:rFonts w:ascii="Arial" w:hAnsi="Arial" w:cs="Arial"/>
          <w:b/>
          <w:bCs/>
          <w:sz w:val="22"/>
          <w:szCs w:val="22"/>
        </w:rPr>
        <w:t>RESULTS</w:t>
      </w:r>
      <w:r w:rsidR="008C6905" w:rsidRPr="00F03028">
        <w:rPr>
          <w:rFonts w:ascii="Arial" w:hAnsi="Arial" w:cs="Arial"/>
          <w:b/>
          <w:bCs/>
          <w:sz w:val="22"/>
          <w:szCs w:val="22"/>
        </w:rPr>
        <w:t xml:space="preserve"> &amp; DISCUSSION</w:t>
      </w:r>
      <w:commentRangeEnd w:id="2"/>
      <w:r w:rsidR="009B2E98">
        <w:rPr>
          <w:rStyle w:val="CommentReference"/>
        </w:rPr>
        <w:commentReference w:id="2"/>
      </w:r>
    </w:p>
    <w:tbl>
      <w:tblPr>
        <w:tblStyle w:val="TableGrid"/>
        <w:tblW w:w="4953" w:type="pct"/>
        <w:tblInd w:w="-5" w:type="dxa"/>
        <w:tblLook w:val="04A0" w:firstRow="1" w:lastRow="0" w:firstColumn="1" w:lastColumn="0" w:noHBand="0" w:noVBand="1"/>
      </w:tblPr>
      <w:tblGrid>
        <w:gridCol w:w="4471"/>
        <w:gridCol w:w="4550"/>
      </w:tblGrid>
      <w:tr w:rsidR="00312311" w:rsidRPr="00AB71E0" w14:paraId="5B3E1620" w14:textId="77777777" w:rsidTr="006952A1">
        <w:trPr>
          <w:trHeight w:val="3355"/>
        </w:trPr>
        <w:tc>
          <w:tcPr>
            <w:tcW w:w="2551" w:type="pct"/>
          </w:tcPr>
          <w:p w14:paraId="43E7B225" w14:textId="77777777" w:rsidR="00312311" w:rsidRPr="00AB71E0" w:rsidRDefault="00312311" w:rsidP="008C6905">
            <w:pPr>
              <w:spacing w:line="360" w:lineRule="auto"/>
              <w:jc w:val="both"/>
              <w:rPr>
                <w:rFonts w:ascii="Arial" w:hAnsi="Arial" w:cs="Arial"/>
                <w:b/>
                <w:bCs/>
                <w:sz w:val="20"/>
                <w:szCs w:val="20"/>
              </w:rPr>
            </w:pPr>
            <w:r w:rsidRPr="00AB71E0">
              <w:rPr>
                <w:rFonts w:ascii="Arial" w:hAnsi="Arial" w:cs="Arial"/>
                <w:b/>
                <w:bCs/>
                <w:noProof/>
                <w:sz w:val="20"/>
                <w:szCs w:val="20"/>
              </w:rPr>
              <w:lastRenderedPageBreak/>
              <mc:AlternateContent>
                <mc:Choice Requires="wps">
                  <w:drawing>
                    <wp:anchor distT="0" distB="0" distL="114300" distR="114300" simplePos="0" relativeHeight="251663360" behindDoc="0" locked="0" layoutInCell="1" allowOverlap="1" wp14:anchorId="4598263A" wp14:editId="78FF54DC">
                      <wp:simplePos x="0" y="0"/>
                      <wp:positionH relativeFrom="column">
                        <wp:posOffset>1064895</wp:posOffset>
                      </wp:positionH>
                      <wp:positionV relativeFrom="paragraph">
                        <wp:posOffset>116205</wp:posOffset>
                      </wp:positionV>
                      <wp:extent cx="352425" cy="295275"/>
                      <wp:effectExtent l="0" t="0" r="3175" b="0"/>
                      <wp:wrapNone/>
                      <wp:docPr id="1836352435" name="Text Box 4"/>
                      <wp:cNvGraphicFramePr/>
                      <a:graphic xmlns:a="http://schemas.openxmlformats.org/drawingml/2006/main">
                        <a:graphicData uri="http://schemas.microsoft.com/office/word/2010/wordprocessingShape">
                          <wps:wsp>
                            <wps:cNvSpPr txBox="1"/>
                            <wps:spPr>
                              <a:xfrm>
                                <a:off x="0" y="0"/>
                                <a:ext cx="352425" cy="295275"/>
                              </a:xfrm>
                              <a:prstGeom prst="rect">
                                <a:avLst/>
                              </a:prstGeom>
                              <a:solidFill>
                                <a:schemeClr val="lt1"/>
                              </a:solidFill>
                              <a:ln w="6350">
                                <a:noFill/>
                              </a:ln>
                            </wps:spPr>
                            <wps:txbx>
                              <w:txbxContent>
                                <w:p w14:paraId="346DB71F" w14:textId="77777777" w:rsidR="00312311" w:rsidRPr="00AB1837" w:rsidRDefault="00312311" w:rsidP="00312311">
                                  <w:pPr>
                                    <w:rPr>
                                      <w:rFonts w:ascii="Times New Roman" w:hAnsi="Times New Roman" w:cs="Times New Roman"/>
                                      <w:lang w:val="en-US"/>
                                    </w:rPr>
                                  </w:pPr>
                                  <w:r>
                                    <w:rPr>
                                      <w:rFonts w:ascii="Times New Roman" w:hAnsi="Times New Roman" w:cs="Times New Roman"/>
                                      <w:lang w:val="en-US"/>
                                    </w:rPr>
                                    <w:t>(</w:t>
                                  </w:r>
                                  <w:proofErr w:type="spellStart"/>
                                  <w:r>
                                    <w:rPr>
                                      <w:rFonts w:ascii="Times New Roman" w:hAnsi="Times New Roman" w:cs="Times New Roman"/>
                                      <w:lang w:val="en-US"/>
                                    </w:rPr>
                                    <w:t>i</w:t>
                                  </w:r>
                                  <w:proofErr w:type="spellEnd"/>
                                  <w:r>
                                    <w:rPr>
                                      <w:rFonts w:ascii="Times New Roman" w:hAnsi="Times New Roman" w:cs="Times New Roman"/>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8263A" id="Text Box 4" o:spid="_x0000_s1028" type="#_x0000_t202" style="position:absolute;left:0;text-align:left;margin-left:83.85pt;margin-top:9.15pt;width:27.75pt;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" fillcolor="white [3201]" stroked="f" strokeweight=".5pt">
                      <v:textbox>
                        <w:txbxContent>
                          <w:p w14:paraId="346DB71F" w14:textId="77777777" w:rsidR="00312311" w:rsidRPr="00AB1837" w:rsidRDefault="00312311" w:rsidP="00312311">
                            <w:pPr>
                              <w:rPr>
                                <w:rFonts w:ascii="Times New Roman" w:hAnsi="Times New Roman" w:cs="Times New Roman"/>
                                <w:lang w:val="en-US"/>
                              </w:rPr>
                            </w:pPr>
                            <w:r>
                              <w:rPr>
                                <w:rFonts w:ascii="Times New Roman" w:hAnsi="Times New Roman" w:cs="Times New Roman"/>
                                <w:lang w:val="en-US"/>
                              </w:rPr>
                              <w:t>(</w:t>
                            </w:r>
                            <w:proofErr w:type="spellStart"/>
                            <w:r>
                              <w:rPr>
                                <w:rFonts w:ascii="Times New Roman" w:hAnsi="Times New Roman" w:cs="Times New Roman"/>
                                <w:lang w:val="en-US"/>
                              </w:rPr>
                              <w:t>i</w:t>
                            </w:r>
                            <w:proofErr w:type="spellEnd"/>
                            <w:r>
                              <w:rPr>
                                <w:rFonts w:ascii="Times New Roman" w:hAnsi="Times New Roman" w:cs="Times New Roman"/>
                                <w:lang w:val="en-US"/>
                              </w:rPr>
                              <w:t>)</w:t>
                            </w:r>
                          </w:p>
                        </w:txbxContent>
                      </v:textbox>
                    </v:shape>
                  </w:pict>
                </mc:Fallback>
              </mc:AlternateContent>
            </w:r>
            <w:r w:rsidRPr="00AB71E0">
              <w:rPr>
                <w:rFonts w:ascii="Arial" w:hAnsi="Arial" w:cs="Arial"/>
                <w:b/>
                <w:bCs/>
                <w:noProof/>
                <w:sz w:val="20"/>
                <w:szCs w:val="20"/>
              </w:rPr>
              <w:drawing>
                <wp:inline distT="0" distB="0" distL="0" distR="0" wp14:anchorId="76677B4C" wp14:editId="7AF20AB7">
                  <wp:extent cx="2724785" cy="2635250"/>
                  <wp:effectExtent l="12700" t="12700" r="18415" b="19050"/>
                  <wp:docPr id="983384921" name="Picture 8" descr="A graph of blue rectangular bars with text&#10;&#10;Description automatically generated with medium confidence">
                    <a:extLst xmlns:a="http://schemas.openxmlformats.org/drawingml/2006/main">
                      <a:ext uri="{FF2B5EF4-FFF2-40B4-BE49-F238E27FC236}">
                        <a16:creationId xmlns:a16="http://schemas.microsoft.com/office/drawing/2014/main" id="{C2D5FE60-872A-A9EE-AF82-BF013A9B7D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graph of blue rectangular bars with text&#10;&#10;Description automatically generated with medium confidence">
                            <a:extLst>
                              <a:ext uri="{FF2B5EF4-FFF2-40B4-BE49-F238E27FC236}">
                                <a16:creationId xmlns:a16="http://schemas.microsoft.com/office/drawing/2014/main" id="{C2D5FE60-872A-A9EE-AF82-BF013A9B7D07}"/>
                              </a:ext>
                            </a:extLst>
                          </pic:cNvPr>
                          <pic:cNvPicPr>
                            <a:picLocks noChangeAspect="1"/>
                          </pic:cNvPicPr>
                        </pic:nvPicPr>
                        <pic:blipFill>
                          <a:blip r:embed="rId20"/>
                          <a:stretch>
                            <a:fillRect/>
                          </a:stretch>
                        </pic:blipFill>
                        <pic:spPr>
                          <a:xfrm>
                            <a:off x="0" y="0"/>
                            <a:ext cx="2757103" cy="2666506"/>
                          </a:xfrm>
                          <a:prstGeom prst="rect">
                            <a:avLst/>
                          </a:prstGeom>
                          <a:ln>
                            <a:solidFill>
                              <a:schemeClr val="tx1"/>
                            </a:solidFill>
                          </a:ln>
                        </pic:spPr>
                      </pic:pic>
                    </a:graphicData>
                  </a:graphic>
                </wp:inline>
              </w:drawing>
            </w:r>
          </w:p>
        </w:tc>
        <w:tc>
          <w:tcPr>
            <w:tcW w:w="2449" w:type="pct"/>
            <w:vAlign w:val="center"/>
          </w:tcPr>
          <w:p w14:paraId="2AAA1D98" w14:textId="77777777" w:rsidR="00312311" w:rsidRPr="00AB71E0" w:rsidRDefault="00312311" w:rsidP="008C6905">
            <w:pPr>
              <w:spacing w:line="360" w:lineRule="auto"/>
              <w:jc w:val="both"/>
              <w:rPr>
                <w:rFonts w:ascii="Arial" w:hAnsi="Arial" w:cs="Arial"/>
                <w:b/>
                <w:bCs/>
                <w:sz w:val="20"/>
                <w:szCs w:val="20"/>
              </w:rPr>
            </w:pPr>
            <w:r w:rsidRPr="00AB71E0">
              <w:rPr>
                <w:rFonts w:ascii="Arial" w:hAnsi="Arial" w:cs="Arial"/>
                <w:b/>
                <w:bCs/>
                <w:noProof/>
                <w:sz w:val="20"/>
                <w:szCs w:val="20"/>
              </w:rPr>
              <mc:AlternateContent>
                <mc:Choice Requires="wps">
                  <w:drawing>
                    <wp:anchor distT="0" distB="0" distL="114300" distR="114300" simplePos="0" relativeHeight="251664384" behindDoc="0" locked="0" layoutInCell="1" allowOverlap="1" wp14:anchorId="32921547" wp14:editId="294715F1">
                      <wp:simplePos x="0" y="0"/>
                      <wp:positionH relativeFrom="column">
                        <wp:posOffset>2334895</wp:posOffset>
                      </wp:positionH>
                      <wp:positionV relativeFrom="paragraph">
                        <wp:posOffset>3810</wp:posOffset>
                      </wp:positionV>
                      <wp:extent cx="461010" cy="352425"/>
                      <wp:effectExtent l="0" t="0" r="0" b="3175"/>
                      <wp:wrapNone/>
                      <wp:docPr id="86200810" name="Text Box 5"/>
                      <wp:cNvGraphicFramePr/>
                      <a:graphic xmlns:a="http://schemas.openxmlformats.org/drawingml/2006/main">
                        <a:graphicData uri="http://schemas.microsoft.com/office/word/2010/wordprocessingShape">
                          <wps:wsp>
                            <wps:cNvSpPr txBox="1"/>
                            <wps:spPr>
                              <a:xfrm>
                                <a:off x="0" y="0"/>
                                <a:ext cx="461010" cy="352425"/>
                              </a:xfrm>
                              <a:prstGeom prst="rect">
                                <a:avLst/>
                              </a:prstGeom>
                              <a:solidFill>
                                <a:schemeClr val="lt1"/>
                              </a:solidFill>
                              <a:ln w="6350">
                                <a:noFill/>
                              </a:ln>
                            </wps:spPr>
                            <wps:txbx>
                              <w:txbxContent>
                                <w:p w14:paraId="3A69216E" w14:textId="77777777" w:rsidR="00312311" w:rsidRPr="00AB1837" w:rsidRDefault="00312311" w:rsidP="00312311">
                                  <w:pPr>
                                    <w:rPr>
                                      <w:rFonts w:ascii="Times New Roman" w:hAnsi="Times New Roman" w:cs="Times New Roman"/>
                                      <w:lang w:val="en-US"/>
                                    </w:rPr>
                                  </w:pPr>
                                  <w:r w:rsidRPr="00AB1837">
                                    <w:rPr>
                                      <w:rFonts w:ascii="Times New Roman" w:hAnsi="Times New Roman" w:cs="Times New Roman"/>
                                      <w:lang w:val="en-US"/>
                                    </w:rPr>
                                    <w:t>(ii)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21547" id="Text Box 5" o:spid="_x0000_s1029" type="#_x0000_t202" style="position:absolute;left:0;text-align:left;margin-left:183.85pt;margin-top:.3pt;width:36.3pt;height:2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" fillcolor="white [3201]" stroked="f" strokeweight=".5pt">
                      <v:textbox>
                        <w:txbxContent>
                          <w:p w14:paraId="3A69216E" w14:textId="77777777" w:rsidR="00312311" w:rsidRPr="00AB1837" w:rsidRDefault="00312311" w:rsidP="00312311">
                            <w:pPr>
                              <w:rPr>
                                <w:rFonts w:ascii="Times New Roman" w:hAnsi="Times New Roman" w:cs="Times New Roman"/>
                                <w:lang w:val="en-US"/>
                              </w:rPr>
                            </w:pPr>
                            <w:r w:rsidRPr="00AB1837">
                              <w:rPr>
                                <w:rFonts w:ascii="Times New Roman" w:hAnsi="Times New Roman" w:cs="Times New Roman"/>
                                <w:lang w:val="en-US"/>
                              </w:rPr>
                              <w:t>(ii)</w:t>
                            </w:r>
                          </w:p>
                        </w:txbxContent>
                      </v:textbox>
                    </v:shape>
                  </w:pict>
                </mc:Fallback>
              </mc:AlternateContent>
            </w:r>
            <w:r w:rsidRPr="00AB71E0">
              <w:rPr>
                <w:rFonts w:ascii="Arial" w:hAnsi="Arial" w:cs="Arial"/>
                <w:b/>
                <w:bCs/>
                <w:noProof/>
                <w:sz w:val="20"/>
                <w:szCs w:val="20"/>
              </w:rPr>
              <w:drawing>
                <wp:inline distT="0" distB="0" distL="0" distR="0" wp14:anchorId="27218D87" wp14:editId="486D6A76">
                  <wp:extent cx="2773822" cy="2635250"/>
                  <wp:effectExtent l="12700" t="12700" r="7620" b="6350"/>
                  <wp:docPr id="13" name="Picture 12" descr="A graph of different colored lines&#10;&#10;Description automatically generated with medium confidence">
                    <a:extLst xmlns:a="http://schemas.openxmlformats.org/drawingml/2006/main">
                      <a:ext uri="{FF2B5EF4-FFF2-40B4-BE49-F238E27FC236}">
                        <a16:creationId xmlns:a16="http://schemas.microsoft.com/office/drawing/2014/main" id="{2050218D-73E7-531C-F855-EF770CA799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graph of different colored lines&#10;&#10;Description automatically generated with medium confidence">
                            <a:extLst>
                              <a:ext uri="{FF2B5EF4-FFF2-40B4-BE49-F238E27FC236}">
                                <a16:creationId xmlns:a16="http://schemas.microsoft.com/office/drawing/2014/main" id="{2050218D-73E7-531C-F855-EF770CA799FA}"/>
                              </a:ext>
                            </a:extLst>
                          </pic:cNvPr>
                          <pic:cNvPicPr>
                            <a:picLocks noChangeAspect="1"/>
                          </pic:cNvPicPr>
                        </pic:nvPicPr>
                        <pic:blipFill>
                          <a:blip r:embed="rId21"/>
                          <a:stretch>
                            <a:fillRect/>
                          </a:stretch>
                        </pic:blipFill>
                        <pic:spPr>
                          <a:xfrm>
                            <a:off x="0" y="0"/>
                            <a:ext cx="2924229" cy="2778143"/>
                          </a:xfrm>
                          <a:prstGeom prst="rect">
                            <a:avLst/>
                          </a:prstGeom>
                          <a:ln>
                            <a:solidFill>
                              <a:schemeClr val="tx1"/>
                            </a:solidFill>
                          </a:ln>
                        </pic:spPr>
                      </pic:pic>
                    </a:graphicData>
                  </a:graphic>
                </wp:inline>
              </w:drawing>
            </w:r>
          </w:p>
        </w:tc>
      </w:tr>
      <w:tr w:rsidR="00312311" w:rsidRPr="00AB71E0" w14:paraId="20517009" w14:textId="77777777" w:rsidTr="006952A1">
        <w:trPr>
          <w:trHeight w:val="1266"/>
        </w:trPr>
        <w:tc>
          <w:tcPr>
            <w:tcW w:w="2551" w:type="pct"/>
          </w:tcPr>
          <w:p w14:paraId="77E3B585" w14:textId="77777777" w:rsidR="00312311" w:rsidRPr="00AB71E0" w:rsidRDefault="00312311" w:rsidP="008C6905">
            <w:pPr>
              <w:spacing w:line="360" w:lineRule="auto"/>
              <w:jc w:val="both"/>
              <w:rPr>
                <w:rFonts w:ascii="Arial" w:hAnsi="Arial" w:cs="Arial"/>
                <w:b/>
                <w:bCs/>
                <w:sz w:val="20"/>
                <w:szCs w:val="20"/>
              </w:rPr>
            </w:pPr>
            <w:r w:rsidRPr="00AB71E0">
              <w:rPr>
                <w:rFonts w:ascii="Arial" w:hAnsi="Arial" w:cs="Arial"/>
                <w:b/>
                <w:bCs/>
                <w:noProof/>
                <w:sz w:val="20"/>
                <w:szCs w:val="20"/>
              </w:rPr>
              <mc:AlternateContent>
                <mc:Choice Requires="wps">
                  <w:drawing>
                    <wp:anchor distT="0" distB="0" distL="114300" distR="114300" simplePos="0" relativeHeight="251665408" behindDoc="0" locked="0" layoutInCell="1" allowOverlap="1" wp14:anchorId="0D710D3F" wp14:editId="4515E827">
                      <wp:simplePos x="0" y="0"/>
                      <wp:positionH relativeFrom="column">
                        <wp:posOffset>2131695</wp:posOffset>
                      </wp:positionH>
                      <wp:positionV relativeFrom="paragraph">
                        <wp:posOffset>111760</wp:posOffset>
                      </wp:positionV>
                      <wp:extent cx="457200" cy="304800"/>
                      <wp:effectExtent l="0" t="0" r="0" b="0"/>
                      <wp:wrapNone/>
                      <wp:docPr id="1186770472" name="Text Box 6"/>
                      <wp:cNvGraphicFramePr/>
                      <a:graphic xmlns:a="http://schemas.openxmlformats.org/drawingml/2006/main">
                        <a:graphicData uri="http://schemas.microsoft.com/office/word/2010/wordprocessingShape">
                          <wps:wsp>
                            <wps:cNvSpPr txBox="1"/>
                            <wps:spPr>
                              <a:xfrm>
                                <a:off x="0" y="0"/>
                                <a:ext cx="457200" cy="304800"/>
                              </a:xfrm>
                              <a:prstGeom prst="rect">
                                <a:avLst/>
                              </a:prstGeom>
                              <a:solidFill>
                                <a:schemeClr val="lt1"/>
                              </a:solidFill>
                              <a:ln w="6350">
                                <a:noFill/>
                              </a:ln>
                            </wps:spPr>
                            <wps:txbx>
                              <w:txbxContent>
                                <w:p w14:paraId="696D47BA" w14:textId="77777777" w:rsidR="00312311" w:rsidRPr="00AB1837" w:rsidRDefault="00312311" w:rsidP="00312311">
                                  <w:pPr>
                                    <w:rPr>
                                      <w:rFonts w:ascii="Times New Roman" w:hAnsi="Times New Roman" w:cs="Times New Roman"/>
                                      <w:lang w:val="en-US"/>
                                    </w:rPr>
                                  </w:pPr>
                                  <w:r w:rsidRPr="00AB1837">
                                    <w:rPr>
                                      <w:rFonts w:ascii="Times New Roman" w:hAnsi="Times New Roman" w:cs="Times New Roman"/>
                                      <w:lang w:val="en-US"/>
                                    </w:rPr>
                                    <w:t>(iii)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710D3F" id="Text Box 6" o:spid="_x0000_s1030" type="#_x0000_t202" style="position:absolute;left:0;text-align:left;margin-left:167.85pt;margin-top:8.8pt;width:36pt;height:24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" fillcolor="white [3201]" stroked="f" strokeweight=".5pt">
                      <v:textbox>
                        <w:txbxContent>
                          <w:p w14:paraId="696D47BA" w14:textId="77777777" w:rsidR="00312311" w:rsidRPr="00AB1837" w:rsidRDefault="00312311" w:rsidP="00312311">
                            <w:pPr>
                              <w:rPr>
                                <w:rFonts w:ascii="Times New Roman" w:hAnsi="Times New Roman" w:cs="Times New Roman"/>
                                <w:lang w:val="en-US"/>
                              </w:rPr>
                            </w:pPr>
                            <w:r w:rsidRPr="00AB1837">
                              <w:rPr>
                                <w:rFonts w:ascii="Times New Roman" w:hAnsi="Times New Roman" w:cs="Times New Roman"/>
                                <w:lang w:val="en-US"/>
                              </w:rPr>
                              <w:t>(iii)</w:t>
                            </w:r>
                          </w:p>
                        </w:txbxContent>
                      </v:textbox>
                    </v:shape>
                  </w:pict>
                </mc:Fallback>
              </mc:AlternateContent>
            </w:r>
            <w:r w:rsidRPr="00AB71E0">
              <w:rPr>
                <w:rFonts w:ascii="Arial" w:hAnsi="Arial" w:cs="Arial"/>
                <w:b/>
                <w:bCs/>
                <w:noProof/>
                <w:sz w:val="20"/>
                <w:szCs w:val="20"/>
              </w:rPr>
              <w:drawing>
                <wp:inline distT="0" distB="0" distL="0" distR="0" wp14:anchorId="7477F7D5" wp14:editId="396B9426">
                  <wp:extent cx="2724785" cy="2149475"/>
                  <wp:effectExtent l="12700" t="12700" r="18415" b="9525"/>
                  <wp:docPr id="15" name="Picture 14" descr="A graph of different colored bars&#10;&#10;Description automatically generated with medium confidence">
                    <a:extLst xmlns:a="http://schemas.openxmlformats.org/drawingml/2006/main">
                      <a:ext uri="{FF2B5EF4-FFF2-40B4-BE49-F238E27FC236}">
                        <a16:creationId xmlns:a16="http://schemas.microsoft.com/office/drawing/2014/main" id="{FC859242-CDA4-1DC3-2FBA-2028A78487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graph of different colored bars&#10;&#10;Description automatically generated with medium confidence">
                            <a:extLst>
                              <a:ext uri="{FF2B5EF4-FFF2-40B4-BE49-F238E27FC236}">
                                <a16:creationId xmlns:a16="http://schemas.microsoft.com/office/drawing/2014/main" id="{FC859242-CDA4-1DC3-2FBA-2028A78487C3}"/>
                              </a:ext>
                            </a:extLst>
                          </pic:cNvPr>
                          <pic:cNvPicPr>
                            <a:picLocks noChangeAspect="1"/>
                          </pic:cNvPicPr>
                        </pic:nvPicPr>
                        <pic:blipFill>
                          <a:blip r:embed="rId22"/>
                          <a:stretch>
                            <a:fillRect/>
                          </a:stretch>
                        </pic:blipFill>
                        <pic:spPr>
                          <a:xfrm>
                            <a:off x="0" y="0"/>
                            <a:ext cx="2800241" cy="2208999"/>
                          </a:xfrm>
                          <a:prstGeom prst="rect">
                            <a:avLst/>
                          </a:prstGeom>
                          <a:ln>
                            <a:solidFill>
                              <a:schemeClr val="tx1"/>
                            </a:solidFill>
                          </a:ln>
                        </pic:spPr>
                      </pic:pic>
                    </a:graphicData>
                  </a:graphic>
                </wp:inline>
              </w:drawing>
            </w:r>
          </w:p>
        </w:tc>
        <w:tc>
          <w:tcPr>
            <w:tcW w:w="2449" w:type="pct"/>
          </w:tcPr>
          <w:p w14:paraId="75B79EBB" w14:textId="77777777" w:rsidR="00312311" w:rsidRPr="00AB71E0" w:rsidRDefault="00312311" w:rsidP="008C6905">
            <w:pPr>
              <w:spacing w:line="360" w:lineRule="auto"/>
              <w:jc w:val="both"/>
              <w:rPr>
                <w:rFonts w:ascii="Arial" w:hAnsi="Arial" w:cs="Arial"/>
                <w:b/>
                <w:bCs/>
                <w:sz w:val="20"/>
                <w:szCs w:val="20"/>
              </w:rPr>
            </w:pPr>
            <w:r w:rsidRPr="00AB71E0">
              <w:rPr>
                <w:rFonts w:ascii="Arial" w:hAnsi="Arial" w:cs="Arial"/>
                <w:b/>
                <w:bCs/>
                <w:noProof/>
                <w:sz w:val="20"/>
                <w:szCs w:val="20"/>
              </w:rPr>
              <mc:AlternateContent>
                <mc:Choice Requires="wps">
                  <w:drawing>
                    <wp:anchor distT="0" distB="0" distL="114300" distR="114300" simplePos="0" relativeHeight="251666432" behindDoc="0" locked="0" layoutInCell="1" allowOverlap="1" wp14:anchorId="6F1F53B0" wp14:editId="1FDA77A2">
                      <wp:simplePos x="0" y="0"/>
                      <wp:positionH relativeFrom="column">
                        <wp:posOffset>1314450</wp:posOffset>
                      </wp:positionH>
                      <wp:positionV relativeFrom="paragraph">
                        <wp:posOffset>121285</wp:posOffset>
                      </wp:positionV>
                      <wp:extent cx="438150" cy="266700"/>
                      <wp:effectExtent l="0" t="0" r="6350" b="0"/>
                      <wp:wrapNone/>
                      <wp:docPr id="1386236472" name="Text Box 7"/>
                      <wp:cNvGraphicFramePr/>
                      <a:graphic xmlns:a="http://schemas.openxmlformats.org/drawingml/2006/main">
                        <a:graphicData uri="http://schemas.microsoft.com/office/word/2010/wordprocessingShape">
                          <wps:wsp>
                            <wps:cNvSpPr txBox="1"/>
                            <wps:spPr>
                              <a:xfrm>
                                <a:off x="0" y="0"/>
                                <a:ext cx="438150" cy="266700"/>
                              </a:xfrm>
                              <a:prstGeom prst="rect">
                                <a:avLst/>
                              </a:prstGeom>
                              <a:solidFill>
                                <a:schemeClr val="lt1"/>
                              </a:solidFill>
                              <a:ln w="6350">
                                <a:noFill/>
                              </a:ln>
                            </wps:spPr>
                            <wps:txbx>
                              <w:txbxContent>
                                <w:p w14:paraId="757DD4CF" w14:textId="77777777" w:rsidR="00312311" w:rsidRPr="00AB1837" w:rsidRDefault="00312311" w:rsidP="00312311">
                                  <w:pPr>
                                    <w:rPr>
                                      <w:rFonts w:ascii="Times New Roman" w:hAnsi="Times New Roman" w:cs="Times New Roman"/>
                                      <w:lang w:val="en-US"/>
                                    </w:rPr>
                                  </w:pPr>
                                  <w:r w:rsidRPr="00AB1837">
                                    <w:rPr>
                                      <w:rFonts w:ascii="Times New Roman" w:hAnsi="Times New Roman" w:cs="Times New Roman"/>
                                      <w:lang w:val="en-US"/>
                                    </w:rPr>
                                    <w:t>(iv)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1F53B0" id="Text Box 7" o:spid="_x0000_s1031" type="#_x0000_t202" style="position:absolute;left:0;text-align:left;margin-left:103.5pt;margin-top:9.55pt;width:34.5pt;height:21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" fillcolor="white [3201]" stroked="f" strokeweight=".5pt">
                      <v:textbox>
                        <w:txbxContent>
                          <w:p w14:paraId="757DD4CF" w14:textId="77777777" w:rsidR="00312311" w:rsidRPr="00AB1837" w:rsidRDefault="00312311" w:rsidP="00312311">
                            <w:pPr>
                              <w:rPr>
                                <w:rFonts w:ascii="Times New Roman" w:hAnsi="Times New Roman" w:cs="Times New Roman"/>
                                <w:lang w:val="en-US"/>
                              </w:rPr>
                            </w:pPr>
                            <w:r w:rsidRPr="00AB1837">
                              <w:rPr>
                                <w:rFonts w:ascii="Times New Roman" w:hAnsi="Times New Roman" w:cs="Times New Roman"/>
                                <w:lang w:val="en-US"/>
                              </w:rPr>
                              <w:t>(iv)</w:t>
                            </w:r>
                          </w:p>
                        </w:txbxContent>
                      </v:textbox>
                    </v:shape>
                  </w:pict>
                </mc:Fallback>
              </mc:AlternateContent>
            </w:r>
            <w:r w:rsidRPr="00AB71E0">
              <w:rPr>
                <w:rFonts w:ascii="Arial" w:hAnsi="Arial" w:cs="Arial"/>
                <w:b/>
                <w:bCs/>
                <w:noProof/>
                <w:sz w:val="20"/>
                <w:szCs w:val="20"/>
              </w:rPr>
              <w:drawing>
                <wp:inline distT="0" distB="0" distL="0" distR="0" wp14:anchorId="1B2C3C86" wp14:editId="0B1A9CC7">
                  <wp:extent cx="2781935" cy="2149475"/>
                  <wp:effectExtent l="12700" t="12700" r="12065" b="9525"/>
                  <wp:docPr id="708412597" name="Picture 10" descr="A graph of a graph showing the number of carbon dioxide&#10;&#10;Description automatically generated with medium confidence">
                    <a:extLst xmlns:a="http://schemas.openxmlformats.org/drawingml/2006/main">
                      <a:ext uri="{FF2B5EF4-FFF2-40B4-BE49-F238E27FC236}">
                        <a16:creationId xmlns:a16="http://schemas.microsoft.com/office/drawing/2014/main" id="{B169DD3B-213A-EBAB-154D-1C99992078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graph of a graph showing the number of carbon dioxide&#10;&#10;Description automatically generated with medium confidence">
                            <a:extLst>
                              <a:ext uri="{FF2B5EF4-FFF2-40B4-BE49-F238E27FC236}">
                                <a16:creationId xmlns:a16="http://schemas.microsoft.com/office/drawing/2014/main" id="{B169DD3B-213A-EBAB-154D-1C99992078E9}"/>
                              </a:ext>
                            </a:extLst>
                          </pic:cNvPr>
                          <pic:cNvPicPr>
                            <a:picLocks noChangeAspect="1"/>
                          </pic:cNvPicPr>
                        </pic:nvPicPr>
                        <pic:blipFill>
                          <a:blip r:embed="rId23"/>
                          <a:stretch>
                            <a:fillRect/>
                          </a:stretch>
                        </pic:blipFill>
                        <pic:spPr>
                          <a:xfrm>
                            <a:off x="0" y="0"/>
                            <a:ext cx="2913221" cy="2250914"/>
                          </a:xfrm>
                          <a:prstGeom prst="rect">
                            <a:avLst/>
                          </a:prstGeom>
                          <a:ln>
                            <a:solidFill>
                              <a:schemeClr val="tx1"/>
                            </a:solidFill>
                          </a:ln>
                        </pic:spPr>
                      </pic:pic>
                    </a:graphicData>
                  </a:graphic>
                </wp:inline>
              </w:drawing>
            </w:r>
          </w:p>
        </w:tc>
      </w:tr>
    </w:tbl>
    <w:p w14:paraId="6F43C5BC" w14:textId="77777777"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lang w:val="en-US"/>
        </w:rPr>
        <w:t xml:space="preserve">(He </w:t>
      </w:r>
      <w:r w:rsidRPr="00AB71E0">
        <w:rPr>
          <w:rFonts w:ascii="Arial" w:hAnsi="Arial" w:cs="Arial"/>
          <w:i/>
          <w:iCs/>
          <w:sz w:val="20"/>
          <w:szCs w:val="20"/>
          <w:lang w:val="en-US"/>
        </w:rPr>
        <w:t xml:space="preserve">et al., </w:t>
      </w:r>
      <w:r w:rsidRPr="00AB71E0">
        <w:rPr>
          <w:rFonts w:ascii="Arial" w:hAnsi="Arial" w:cs="Arial"/>
          <w:sz w:val="20"/>
          <w:szCs w:val="20"/>
          <w:lang w:val="en-US"/>
        </w:rPr>
        <w:t>2023)</w:t>
      </w:r>
    </w:p>
    <w:p w14:paraId="58EFB8F2" w14:textId="77777777" w:rsidR="007A569A" w:rsidRPr="00AB71E0" w:rsidRDefault="007A569A" w:rsidP="008C6905">
      <w:pPr>
        <w:spacing w:line="360" w:lineRule="auto"/>
        <w:jc w:val="both"/>
        <w:rPr>
          <w:rFonts w:ascii="Arial" w:hAnsi="Arial" w:cs="Arial"/>
          <w:sz w:val="20"/>
          <w:szCs w:val="20"/>
        </w:rPr>
        <w:sectPr w:rsidR="007A569A" w:rsidRPr="00AB71E0" w:rsidSect="00F12DF1">
          <w:type w:val="continuous"/>
          <w:pgSz w:w="11906" w:h="16838"/>
          <w:pgMar w:top="1440" w:right="1440" w:bottom="1440" w:left="1440" w:header="708" w:footer="708" w:gutter="0"/>
          <w:cols w:space="708"/>
          <w:docGrid w:linePitch="360"/>
        </w:sectPr>
      </w:pPr>
    </w:p>
    <w:p w14:paraId="72DF64DE" w14:textId="7BD4D65A"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rPr>
        <w:t>Among the various farming operations, consumption exhibit the highest carbon footprint</w:t>
      </w:r>
      <w:r w:rsidR="00832B86" w:rsidRPr="00AB71E0">
        <w:rPr>
          <w:rFonts w:ascii="Arial" w:hAnsi="Arial" w:cs="Arial"/>
          <w:sz w:val="20"/>
          <w:szCs w:val="20"/>
        </w:rPr>
        <w:t xml:space="preserve"> (</w:t>
      </w:r>
      <w:proofErr w:type="spellStart"/>
      <w:r w:rsidR="00832B86" w:rsidRPr="00AB71E0">
        <w:rPr>
          <w:rFonts w:ascii="Arial" w:hAnsi="Arial" w:cs="Arial"/>
          <w:sz w:val="20"/>
          <w:szCs w:val="20"/>
        </w:rPr>
        <w:t>i</w:t>
      </w:r>
      <w:proofErr w:type="spellEnd"/>
      <w:r w:rsidR="00832B86" w:rsidRPr="00AB71E0">
        <w:rPr>
          <w:rFonts w:ascii="Arial" w:hAnsi="Arial" w:cs="Arial"/>
          <w:sz w:val="20"/>
          <w:szCs w:val="20"/>
        </w:rPr>
        <w:t>)</w:t>
      </w:r>
      <w:r w:rsidRPr="00AB71E0">
        <w:rPr>
          <w:rFonts w:ascii="Arial" w:hAnsi="Arial" w:cs="Arial"/>
          <w:sz w:val="20"/>
          <w:szCs w:val="20"/>
        </w:rPr>
        <w:t>, significantly surpassing other operations. Within the processing stages of tea, steaming and drying have been identified as significant contributors to the overall carbon footprint</w:t>
      </w:r>
      <w:r w:rsidR="00832B86" w:rsidRPr="00AB71E0">
        <w:rPr>
          <w:rFonts w:ascii="Arial" w:hAnsi="Arial" w:cs="Arial"/>
          <w:sz w:val="20"/>
          <w:szCs w:val="20"/>
        </w:rPr>
        <w:t xml:space="preserve"> (ii)</w:t>
      </w:r>
      <w:r w:rsidRPr="00AB71E0">
        <w:rPr>
          <w:rFonts w:ascii="Arial" w:hAnsi="Arial" w:cs="Arial"/>
          <w:sz w:val="20"/>
          <w:szCs w:val="20"/>
        </w:rPr>
        <w:t>. The use of coal during these processes further amplifies the emissions, making them the most carbon-intensive steps in tea processing</w:t>
      </w:r>
      <w:r w:rsidR="00832B86" w:rsidRPr="00AB71E0">
        <w:rPr>
          <w:rFonts w:ascii="Arial" w:hAnsi="Arial" w:cs="Arial"/>
          <w:sz w:val="20"/>
          <w:szCs w:val="20"/>
        </w:rPr>
        <w:t xml:space="preserve"> (ii)</w:t>
      </w:r>
      <w:r w:rsidRPr="00AB71E0">
        <w:rPr>
          <w:rFonts w:ascii="Arial" w:hAnsi="Arial" w:cs="Arial"/>
          <w:sz w:val="20"/>
          <w:szCs w:val="20"/>
        </w:rPr>
        <w:t>. Additionally, when comparing the carbon footprint across different green tea products, both during cultivation and processing, noticeable variations are observed</w:t>
      </w:r>
      <w:r w:rsidR="00832B86" w:rsidRPr="00AB71E0">
        <w:rPr>
          <w:rFonts w:ascii="Arial" w:hAnsi="Arial" w:cs="Arial"/>
          <w:sz w:val="20"/>
          <w:szCs w:val="20"/>
        </w:rPr>
        <w:t xml:space="preserve"> (iii)</w:t>
      </w:r>
      <w:r w:rsidRPr="00AB71E0">
        <w:rPr>
          <w:rFonts w:ascii="Arial" w:hAnsi="Arial" w:cs="Arial"/>
          <w:sz w:val="20"/>
          <w:szCs w:val="20"/>
        </w:rPr>
        <w:t>. Certain products demonstrate a higher carbon footprint, influenced by specific cultivation practices and processing methods</w:t>
      </w:r>
      <w:r w:rsidR="00B76534" w:rsidRPr="00AB71E0">
        <w:rPr>
          <w:rFonts w:ascii="Arial" w:hAnsi="Arial" w:cs="Arial"/>
          <w:sz w:val="20"/>
          <w:szCs w:val="20"/>
        </w:rPr>
        <w:t xml:space="preserve"> (iii)</w:t>
      </w:r>
      <w:r w:rsidRPr="00AB71E0">
        <w:rPr>
          <w:rFonts w:ascii="Arial" w:hAnsi="Arial" w:cs="Arial"/>
          <w:sz w:val="20"/>
          <w:szCs w:val="20"/>
        </w:rPr>
        <w:t>. Finally, an analysis of the carbon balance in tea cultivation reveals a concerning trend. The carbon emissions are higher than the carbon sequestration rates, resulting in a positive carbon balance. This indicates that more carbon is being released into the atmosphere than is being absorbed, contributing to an increase in greenhouse gases and potentially exacerbating climate change.</w:t>
      </w:r>
    </w:p>
    <w:p w14:paraId="7F2D7B67" w14:textId="77777777"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rPr>
        <w:t>Overall, these findings highlight the critical areas where interventions could reduce the carbon footprint of tea production, particularly in optimizing energy use during the most carbon-intensive stages and enhancing carbon sequestration practices.</w:t>
      </w:r>
    </w:p>
    <w:p w14:paraId="52E60CCE" w14:textId="423DD1E8" w:rsidR="007D5EFC" w:rsidRPr="00591324" w:rsidRDefault="007D5EFC" w:rsidP="008C6905">
      <w:pPr>
        <w:spacing w:line="360" w:lineRule="auto"/>
        <w:jc w:val="both"/>
        <w:rPr>
          <w:rFonts w:ascii="-webkit-standard" w:hAnsi="-webkit-standard"/>
          <w:color w:val="000000"/>
          <w:sz w:val="31"/>
          <w:szCs w:val="32"/>
        </w:rPr>
      </w:pPr>
      <w:r>
        <w:rPr>
          <w:rFonts w:ascii="Arial" w:hAnsi="Arial" w:cs="Arial"/>
          <w:b/>
          <w:bCs/>
          <w:sz w:val="22"/>
          <w:szCs w:val="22"/>
        </w:rPr>
        <w:t xml:space="preserve">6. </w:t>
      </w:r>
      <w:r w:rsidRPr="00591324">
        <w:rPr>
          <w:rFonts w:ascii="Arial" w:hAnsi="Arial" w:cs="Arial"/>
          <w:b/>
          <w:bCs/>
          <w:color w:val="000000"/>
          <w:sz w:val="22"/>
          <w:szCs w:val="22"/>
        </w:rPr>
        <w:t>CARBON SEQUESTRATION POTENTIAL OF TEA SYSTEMS</w:t>
      </w:r>
    </w:p>
    <w:p w14:paraId="495469F0" w14:textId="6A18C262" w:rsidR="00620AF4" w:rsidRPr="00AB71E0" w:rsidRDefault="006952A1" w:rsidP="008C6905">
      <w:pPr>
        <w:spacing w:line="360" w:lineRule="auto"/>
        <w:jc w:val="both"/>
        <w:rPr>
          <w:rFonts w:ascii="Arial" w:hAnsi="Arial" w:cs="Arial"/>
          <w:sz w:val="20"/>
          <w:szCs w:val="20"/>
        </w:rPr>
      </w:pPr>
      <w:r w:rsidRPr="00AB71E0">
        <w:rPr>
          <w:rFonts w:ascii="Arial" w:hAnsi="Arial" w:cs="Arial"/>
          <w:sz w:val="20"/>
          <w:szCs w:val="20"/>
        </w:rPr>
        <w:lastRenderedPageBreak/>
        <w:t>Tea bushes exhibit significant CO</w:t>
      </w:r>
      <w:r w:rsidRPr="007D5EFC">
        <w:rPr>
          <w:rFonts w:ascii="Arial" w:hAnsi="Arial" w:cs="Arial"/>
          <w:sz w:val="20"/>
          <w:szCs w:val="20"/>
          <w:vertAlign w:val="subscript"/>
        </w:rPr>
        <w:t>2</w:t>
      </w:r>
      <w:r w:rsidRPr="00AB71E0">
        <w:rPr>
          <w:rFonts w:ascii="Arial" w:hAnsi="Arial" w:cs="Arial"/>
          <w:sz w:val="20"/>
          <w:szCs w:val="20"/>
        </w:rPr>
        <w:t xml:space="preserve"> absorption potential, ranging from 1,243.8 to 2,526.7 kg CO2 per hectare annually (Phukan et al., 2018). Higher-yielding cultivars are more efficient at assimilating CO</w:t>
      </w:r>
      <w:r w:rsidRPr="007D5EFC">
        <w:rPr>
          <w:rFonts w:ascii="Arial" w:hAnsi="Arial" w:cs="Arial"/>
          <w:sz w:val="20"/>
          <w:szCs w:val="20"/>
          <w:vertAlign w:val="subscript"/>
        </w:rPr>
        <w:t>2</w:t>
      </w:r>
      <w:r w:rsidRPr="00AB71E0">
        <w:rPr>
          <w:rFonts w:ascii="Arial" w:hAnsi="Arial" w:cs="Arial"/>
          <w:sz w:val="20"/>
          <w:szCs w:val="20"/>
        </w:rPr>
        <w:t xml:space="preserve"> compared to quality-focused varieties. Approximately 50% of the absorbed atmospheric CO</w:t>
      </w:r>
      <w:r w:rsidRPr="007D5EFC">
        <w:rPr>
          <w:rFonts w:ascii="Arial" w:hAnsi="Arial" w:cs="Arial"/>
          <w:sz w:val="20"/>
          <w:szCs w:val="20"/>
          <w:vertAlign w:val="subscript"/>
        </w:rPr>
        <w:t>2</w:t>
      </w:r>
      <w:r w:rsidRPr="00AB71E0">
        <w:rPr>
          <w:rFonts w:ascii="Arial" w:hAnsi="Arial" w:cs="Arial"/>
          <w:sz w:val="20"/>
          <w:szCs w:val="20"/>
        </w:rPr>
        <w:t xml:space="preserve"> is sequestered in their biomass (Pramanik &amp; Phukan, 2020), while organic carbon is released through roots, equivalent to 5.9%–8.6% of the CO</w:t>
      </w:r>
      <w:r w:rsidRPr="007D5EFC">
        <w:rPr>
          <w:rFonts w:ascii="Arial" w:hAnsi="Arial" w:cs="Arial"/>
          <w:sz w:val="20"/>
          <w:szCs w:val="20"/>
          <w:vertAlign w:val="subscript"/>
        </w:rPr>
        <w:t>2</w:t>
      </w:r>
      <w:r w:rsidRPr="00AB71E0">
        <w:rPr>
          <w:rFonts w:ascii="Arial" w:hAnsi="Arial" w:cs="Arial"/>
          <w:sz w:val="20"/>
          <w:szCs w:val="20"/>
        </w:rPr>
        <w:t xml:space="preserve"> they assimilate. Mature tea bushes (25–30 years old) can sequester about 5,134.4 ± 831.6 kg CO</w:t>
      </w:r>
      <w:r w:rsidRPr="007D5EFC">
        <w:rPr>
          <w:rFonts w:ascii="Arial" w:hAnsi="Arial" w:cs="Arial"/>
          <w:sz w:val="20"/>
          <w:szCs w:val="20"/>
          <w:vertAlign w:val="subscript"/>
        </w:rPr>
        <w:t>2</w:t>
      </w:r>
      <w:r w:rsidRPr="00AB71E0">
        <w:rPr>
          <w:rFonts w:ascii="Arial" w:hAnsi="Arial" w:cs="Arial"/>
          <w:sz w:val="20"/>
          <w:szCs w:val="20"/>
        </w:rPr>
        <w:t>/ha annually (Phukan et al., 2018). The tea-albizzia plantation system shows significant carbon offset potential, at 61.2 kg per plant (Alom et al., 2021). Organic tea cultivation leads to 43% higher above-ground biomass production (194.4 t/ha) compared to conventional methods (136 t/ha), with below-ground carbon accumulation at 135 t/ha in organic versus 125 t/ha in conventional systems (Subramanian et al., 2013). For every ton of tea produced, factories emit approximately 3,292 ± 493.91 kg of CO</w:t>
      </w:r>
      <w:r w:rsidRPr="007D5EFC">
        <w:rPr>
          <w:rFonts w:ascii="Arial" w:hAnsi="Arial" w:cs="Arial"/>
          <w:sz w:val="20"/>
          <w:szCs w:val="20"/>
          <w:vertAlign w:val="subscript"/>
        </w:rPr>
        <w:t>2</w:t>
      </w:r>
      <w:r w:rsidRPr="00AB71E0">
        <w:rPr>
          <w:rFonts w:ascii="Arial" w:hAnsi="Arial" w:cs="Arial"/>
          <w:sz w:val="20"/>
          <w:szCs w:val="20"/>
        </w:rPr>
        <w:t>, while tea gardens contribute about 13.61 kg CO</w:t>
      </w:r>
      <w:r w:rsidRPr="007D5EFC">
        <w:rPr>
          <w:rFonts w:ascii="Arial" w:hAnsi="Arial" w:cs="Arial"/>
          <w:sz w:val="20"/>
          <w:szCs w:val="20"/>
          <w:vertAlign w:val="subscript"/>
        </w:rPr>
        <w:t>2</w:t>
      </w:r>
      <w:r w:rsidRPr="00AB71E0">
        <w:rPr>
          <w:rFonts w:ascii="Arial" w:hAnsi="Arial" w:cs="Arial"/>
          <w:sz w:val="20"/>
          <w:szCs w:val="20"/>
        </w:rPr>
        <w:t xml:space="preserve"> per hectare (Kalita </w:t>
      </w:r>
      <w:r w:rsidRPr="00AB71E0">
        <w:rPr>
          <w:rFonts w:ascii="Arial" w:hAnsi="Arial" w:cs="Arial"/>
          <w:i/>
          <w:iCs/>
          <w:sz w:val="20"/>
          <w:szCs w:val="20"/>
        </w:rPr>
        <w:t>et al.</w:t>
      </w:r>
      <w:r w:rsidRPr="00AB71E0">
        <w:rPr>
          <w:rFonts w:ascii="Arial" w:hAnsi="Arial" w:cs="Arial"/>
          <w:sz w:val="20"/>
          <w:szCs w:val="20"/>
        </w:rPr>
        <w:t>, 2018). In July 2021, North-Eastern tea production reached 157.23 million kgs, resulting in total CO</w:t>
      </w:r>
      <w:r w:rsidRPr="007D5EFC">
        <w:rPr>
          <w:rFonts w:ascii="Arial" w:hAnsi="Arial" w:cs="Arial"/>
          <w:sz w:val="20"/>
          <w:szCs w:val="20"/>
          <w:vertAlign w:val="subscript"/>
        </w:rPr>
        <w:t>2</w:t>
      </w:r>
      <w:r w:rsidRPr="00AB71E0">
        <w:rPr>
          <w:rFonts w:ascii="Arial" w:hAnsi="Arial" w:cs="Arial"/>
          <w:sz w:val="20"/>
          <w:szCs w:val="20"/>
        </w:rPr>
        <w:t xml:space="preserve"> emissions of 514,032.38 tonnes from cultivation and production, while the atmospheric CO</w:t>
      </w:r>
      <w:r w:rsidRPr="007D5EFC">
        <w:rPr>
          <w:rFonts w:ascii="Arial" w:hAnsi="Arial" w:cs="Arial"/>
          <w:sz w:val="20"/>
          <w:szCs w:val="20"/>
          <w:vertAlign w:val="subscript"/>
        </w:rPr>
        <w:t xml:space="preserve">2 </w:t>
      </w:r>
      <w:r w:rsidRPr="00AB71E0">
        <w:rPr>
          <w:rFonts w:ascii="Arial" w:hAnsi="Arial" w:cs="Arial"/>
          <w:sz w:val="20"/>
          <w:szCs w:val="20"/>
        </w:rPr>
        <w:t xml:space="preserve">sequestration was approximately 410,491.3 tonnes, leading to a discrepancy of 103,541.1 tonnes between emissions and sequestration (Aditya </w:t>
      </w:r>
      <w:r w:rsidRPr="00AB71E0">
        <w:rPr>
          <w:rFonts w:ascii="Arial" w:hAnsi="Arial" w:cs="Arial"/>
          <w:i/>
          <w:iCs/>
          <w:sz w:val="20"/>
          <w:szCs w:val="20"/>
        </w:rPr>
        <w:t>et al.,</w:t>
      </w:r>
      <w:r w:rsidRPr="00AB71E0">
        <w:rPr>
          <w:rFonts w:ascii="Arial" w:hAnsi="Arial" w:cs="Arial"/>
          <w:sz w:val="20"/>
          <w:szCs w:val="20"/>
        </w:rPr>
        <w:t xml:space="preserve"> 2023).</w:t>
      </w:r>
    </w:p>
    <w:p w14:paraId="13E8B7E1" w14:textId="2A40AD4B" w:rsidR="00312311" w:rsidRPr="00F03028" w:rsidRDefault="007D5EFC" w:rsidP="008C6905">
      <w:pPr>
        <w:spacing w:line="360" w:lineRule="auto"/>
        <w:jc w:val="both"/>
        <w:rPr>
          <w:rFonts w:ascii="Arial" w:hAnsi="Arial" w:cs="Arial"/>
          <w:b/>
          <w:bCs/>
          <w:sz w:val="22"/>
          <w:szCs w:val="22"/>
        </w:rPr>
      </w:pPr>
      <w:r>
        <w:rPr>
          <w:rFonts w:ascii="Arial" w:hAnsi="Arial" w:cs="Arial"/>
          <w:b/>
          <w:bCs/>
          <w:sz w:val="22"/>
          <w:szCs w:val="22"/>
        </w:rPr>
        <w:t xml:space="preserve">7. </w:t>
      </w:r>
      <w:commentRangeStart w:id="3"/>
      <w:r w:rsidR="00312311" w:rsidRPr="00F03028">
        <w:rPr>
          <w:rFonts w:ascii="Arial" w:hAnsi="Arial" w:cs="Arial"/>
          <w:b/>
          <w:bCs/>
          <w:sz w:val="22"/>
          <w:szCs w:val="22"/>
        </w:rPr>
        <w:t>CONCLUSION</w:t>
      </w:r>
      <w:commentRangeEnd w:id="3"/>
      <w:r w:rsidR="004B3240">
        <w:rPr>
          <w:rStyle w:val="CommentReference"/>
        </w:rPr>
        <w:commentReference w:id="3"/>
      </w:r>
    </w:p>
    <w:p w14:paraId="571CCF5E" w14:textId="0B5CC786" w:rsidR="00312311" w:rsidRPr="00AB71E0" w:rsidRDefault="006952A1" w:rsidP="008C6905">
      <w:pPr>
        <w:spacing w:line="360" w:lineRule="auto"/>
        <w:jc w:val="both"/>
        <w:rPr>
          <w:rFonts w:ascii="Arial" w:hAnsi="Arial" w:cs="Arial"/>
          <w:sz w:val="20"/>
          <w:szCs w:val="20"/>
          <w:lang w:val="en-GB"/>
        </w:rPr>
      </w:pPr>
      <w:r w:rsidRPr="00AB71E0">
        <w:rPr>
          <w:rFonts w:ascii="Arial" w:hAnsi="Arial" w:cs="Arial"/>
          <w:sz w:val="20"/>
          <w:szCs w:val="20"/>
          <w:lang w:val="en-GB"/>
        </w:rPr>
        <w:t>The tea industry's dependence on fossil fuels and energy-intensive processes significantly contributes to greenhouse gas emissions. Major sources include carbon emissions from plucking and transporting leaves, along with high electricity consumption during drying and withering. Green tea also has substantial carbon intensities due to processing and consumption practices. Adopting sustainable practices, such as using solar energy for drying, biodiesels for transportation, and optimizing packaging materials, can help reduce the industry's carbon footprint and promote a more sustainable future.</w:t>
      </w:r>
    </w:p>
    <w:p w14:paraId="7F970AE1" w14:textId="77777777" w:rsidR="007A569A" w:rsidRPr="00AB71E0" w:rsidRDefault="007A569A" w:rsidP="008C6905">
      <w:pPr>
        <w:spacing w:line="360" w:lineRule="auto"/>
        <w:jc w:val="both"/>
        <w:rPr>
          <w:rStyle w:val="Strong"/>
          <w:rFonts w:ascii="Arial" w:hAnsi="Arial" w:cs="Arial"/>
          <w:sz w:val="20"/>
          <w:szCs w:val="20"/>
        </w:rPr>
        <w:sectPr w:rsidR="007A569A" w:rsidRPr="00AB71E0" w:rsidSect="00F12DF1">
          <w:type w:val="continuous"/>
          <w:pgSz w:w="11906" w:h="16838"/>
          <w:pgMar w:top="1440" w:right="1440" w:bottom="1440" w:left="1440" w:header="708" w:footer="708" w:gutter="0"/>
          <w:cols w:space="708"/>
          <w:docGrid w:linePitch="360"/>
        </w:sectPr>
      </w:pPr>
    </w:p>
    <w:p w14:paraId="350678A5" w14:textId="77777777" w:rsidR="00263DFC" w:rsidRDefault="00263DFC" w:rsidP="00263DFC">
      <w:pPr>
        <w:spacing w:line="360" w:lineRule="auto"/>
        <w:jc w:val="both"/>
        <w:rPr>
          <w:rFonts w:ascii="Arial" w:hAnsi="Arial" w:cs="Arial"/>
          <w:sz w:val="20"/>
          <w:szCs w:val="20"/>
        </w:rPr>
      </w:pPr>
    </w:p>
    <w:p w14:paraId="0042298E" w14:textId="2F12D0D2" w:rsidR="00F12DF1" w:rsidRPr="00AB71E0" w:rsidRDefault="00F12DF1" w:rsidP="00263DFC">
      <w:pPr>
        <w:spacing w:line="360" w:lineRule="auto"/>
        <w:jc w:val="both"/>
        <w:rPr>
          <w:rFonts w:ascii="Arial" w:hAnsi="Arial" w:cs="Arial"/>
          <w:sz w:val="20"/>
          <w:szCs w:val="20"/>
        </w:rPr>
        <w:sectPr w:rsidR="00F12DF1" w:rsidRPr="00AB71E0" w:rsidSect="00F12DF1">
          <w:type w:val="continuous"/>
          <w:pgSz w:w="11906" w:h="16838"/>
          <w:pgMar w:top="1440" w:right="1440" w:bottom="1440" w:left="1440" w:header="708" w:footer="708" w:gutter="0"/>
          <w:cols w:space="708"/>
          <w:docGrid w:linePitch="360"/>
        </w:sectPr>
      </w:pPr>
    </w:p>
    <w:p w14:paraId="074C3E0A" w14:textId="77777777" w:rsidR="00312311" w:rsidRPr="00591324" w:rsidRDefault="00312311" w:rsidP="008C6905">
      <w:pPr>
        <w:spacing w:line="360" w:lineRule="auto"/>
        <w:jc w:val="both"/>
        <w:rPr>
          <w:rFonts w:ascii="Arial" w:hAnsi="Arial" w:cs="Arial"/>
          <w:b/>
          <w:bCs/>
          <w:sz w:val="22"/>
          <w:szCs w:val="22"/>
        </w:rPr>
      </w:pPr>
      <w:r w:rsidRPr="00591324">
        <w:rPr>
          <w:rFonts w:ascii="Arial" w:hAnsi="Arial" w:cs="Arial"/>
          <w:b/>
          <w:bCs/>
          <w:sz w:val="22"/>
          <w:szCs w:val="22"/>
        </w:rPr>
        <w:t>REFERENCES</w:t>
      </w:r>
    </w:p>
    <w:p w14:paraId="40B5261D" w14:textId="0DC0C1AF" w:rsidR="0001033E" w:rsidRPr="00353EAE" w:rsidRDefault="0001033E" w:rsidP="0001033E">
      <w:pPr>
        <w:spacing w:line="276" w:lineRule="auto"/>
        <w:jc w:val="both"/>
        <w:rPr>
          <w:rFonts w:ascii="Arial" w:hAnsi="Arial" w:cs="Arial"/>
          <w:sz w:val="20"/>
          <w:szCs w:val="20"/>
        </w:rPr>
      </w:pPr>
      <w:r w:rsidRPr="00AB71E0">
        <w:rPr>
          <w:rFonts w:ascii="Arial" w:hAnsi="Arial" w:cs="Arial"/>
          <w:color w:val="222222"/>
          <w:sz w:val="20"/>
          <w:szCs w:val="20"/>
          <w:shd w:val="clear" w:color="auto" w:fill="FFFFFF"/>
        </w:rPr>
        <w:t>Aditya, K., Kumar, R., Bharti, &amp; Sanyal, S. (2023). Environmental impact of greenhouse gas emissions from the tea industries of north-eastern states of India.</w:t>
      </w:r>
      <w:r w:rsidRPr="00AB71E0">
        <w:rPr>
          <w:rStyle w:val="apple-converted-space"/>
          <w:rFonts w:ascii="Arial" w:hAnsi="Arial" w:cs="Arial"/>
          <w:color w:val="222222"/>
          <w:sz w:val="20"/>
          <w:szCs w:val="20"/>
          <w:shd w:val="clear" w:color="auto" w:fill="FFFFFF"/>
        </w:rPr>
        <w:t> </w:t>
      </w:r>
      <w:r w:rsidRPr="00AB71E0">
        <w:rPr>
          <w:rFonts w:ascii="Arial" w:hAnsi="Arial" w:cs="Arial"/>
          <w:i/>
          <w:iCs/>
          <w:color w:val="222222"/>
          <w:sz w:val="20"/>
          <w:szCs w:val="20"/>
        </w:rPr>
        <w:t>Frontiers in Sustainable Food Systems</w:t>
      </w:r>
      <w:r w:rsidRPr="00AB71E0">
        <w:rPr>
          <w:rFonts w:ascii="Arial" w:hAnsi="Arial" w:cs="Arial"/>
          <w:color w:val="222222"/>
          <w:sz w:val="20"/>
          <w:szCs w:val="20"/>
          <w:shd w:val="clear" w:color="auto" w:fill="FFFFFF"/>
        </w:rPr>
        <w:t>,</w:t>
      </w:r>
      <w:r w:rsidRPr="00AB71E0">
        <w:rPr>
          <w:rStyle w:val="apple-converted-space"/>
          <w:rFonts w:ascii="Arial" w:hAnsi="Arial" w:cs="Arial"/>
          <w:color w:val="222222"/>
          <w:sz w:val="20"/>
          <w:szCs w:val="20"/>
          <w:shd w:val="clear" w:color="auto" w:fill="FFFFFF"/>
        </w:rPr>
        <w:t> </w:t>
      </w:r>
      <w:r w:rsidRPr="00AB71E0">
        <w:rPr>
          <w:rFonts w:ascii="Arial" w:hAnsi="Arial" w:cs="Arial"/>
          <w:i/>
          <w:iCs/>
          <w:color w:val="222222"/>
          <w:sz w:val="20"/>
          <w:szCs w:val="20"/>
        </w:rPr>
        <w:t>7</w:t>
      </w:r>
      <w:r w:rsidRPr="00AB71E0">
        <w:rPr>
          <w:rFonts w:ascii="Arial" w:hAnsi="Arial" w:cs="Arial"/>
          <w:color w:val="222222"/>
          <w:sz w:val="20"/>
          <w:szCs w:val="20"/>
          <w:shd w:val="clear" w:color="auto" w:fill="FFFFFF"/>
        </w:rPr>
        <w:t>, 1220775.</w:t>
      </w:r>
      <w:r>
        <w:rPr>
          <w:rFonts w:ascii="Arial" w:hAnsi="Arial" w:cs="Arial"/>
          <w:sz w:val="20"/>
          <w:szCs w:val="20"/>
        </w:rPr>
        <w:t xml:space="preserve"> </w:t>
      </w:r>
      <w:r w:rsidRPr="00353EAE">
        <w:rPr>
          <w:rFonts w:ascii="Arial" w:hAnsi="Arial" w:cs="Arial"/>
          <w:sz w:val="20"/>
          <w:szCs w:val="20"/>
          <w:lang w:val="en-US"/>
        </w:rPr>
        <w:t>10.1504/IJRET.2014.065374</w:t>
      </w:r>
    </w:p>
    <w:p w14:paraId="59BF6030" w14:textId="77777777" w:rsidR="0001033E" w:rsidRDefault="0001033E" w:rsidP="00353EAE">
      <w:pPr>
        <w:jc w:val="both"/>
        <w:rPr>
          <w:rFonts w:ascii="Arial" w:hAnsi="Arial" w:cs="Arial"/>
          <w:sz w:val="20"/>
          <w:szCs w:val="20"/>
        </w:rPr>
      </w:pPr>
    </w:p>
    <w:p w14:paraId="633A529B" w14:textId="36D30DA6" w:rsidR="0001033E" w:rsidRPr="00353EAE" w:rsidRDefault="0001033E" w:rsidP="00353EAE">
      <w:pPr>
        <w:jc w:val="both"/>
        <w:rPr>
          <w:rFonts w:ascii="Arial" w:hAnsi="Arial" w:cs="Arial"/>
          <w:sz w:val="20"/>
          <w:szCs w:val="20"/>
          <w:lang w:val="en-US"/>
        </w:rPr>
      </w:pPr>
      <w:r w:rsidRPr="00353EAE">
        <w:rPr>
          <w:rFonts w:ascii="Arial" w:hAnsi="Arial" w:cs="Arial"/>
          <w:sz w:val="20"/>
          <w:szCs w:val="20"/>
          <w:lang w:val="en-US"/>
        </w:rPr>
        <w:t>Ahmed, T., Ali, M., Rana, M. M., and Hossen, M. I. (2017). Effect of global warming</w:t>
      </w:r>
      <w:r>
        <w:rPr>
          <w:rFonts w:ascii="Arial" w:hAnsi="Arial" w:cs="Arial"/>
          <w:sz w:val="20"/>
          <w:szCs w:val="20"/>
          <w:lang w:val="en-US"/>
        </w:rPr>
        <w:t xml:space="preserve"> </w:t>
      </w:r>
      <w:r w:rsidRPr="00353EAE">
        <w:rPr>
          <w:rFonts w:ascii="Arial" w:hAnsi="Arial" w:cs="Arial"/>
          <w:sz w:val="20"/>
          <w:szCs w:val="20"/>
          <w:lang w:val="en-US"/>
        </w:rPr>
        <w:t>and climate change on the tea plantation. Tea J. Bangladesh 46, 42–51.</w:t>
      </w:r>
    </w:p>
    <w:p w14:paraId="4B2C9F96" w14:textId="77777777" w:rsidR="0001033E" w:rsidRDefault="0001033E" w:rsidP="00353EAE">
      <w:pPr>
        <w:jc w:val="both"/>
        <w:rPr>
          <w:rFonts w:ascii="Arial" w:hAnsi="Arial" w:cs="Arial"/>
          <w:sz w:val="20"/>
          <w:szCs w:val="20"/>
        </w:rPr>
      </w:pPr>
    </w:p>
    <w:p w14:paraId="79A4FBFA" w14:textId="1DD9E4D6" w:rsidR="0001033E" w:rsidRPr="00353EAE" w:rsidRDefault="0001033E" w:rsidP="00353EAE">
      <w:pPr>
        <w:jc w:val="both"/>
        <w:rPr>
          <w:rFonts w:ascii="Arial" w:hAnsi="Arial" w:cs="Arial"/>
          <w:sz w:val="20"/>
          <w:szCs w:val="20"/>
          <w:lang w:val="en-US"/>
        </w:rPr>
      </w:pPr>
      <w:r w:rsidRPr="00353EAE">
        <w:rPr>
          <w:rFonts w:ascii="Arial" w:hAnsi="Arial" w:cs="Arial"/>
          <w:sz w:val="20"/>
          <w:szCs w:val="20"/>
          <w:lang w:val="en-US"/>
        </w:rPr>
        <w:t>Alom, S., Das, R., Baruah, U., Das, S., and Bhuyan, R. P. (2021). Carbon</w:t>
      </w:r>
      <w:r>
        <w:rPr>
          <w:rFonts w:ascii="Arial" w:hAnsi="Arial" w:cs="Arial"/>
          <w:sz w:val="20"/>
          <w:szCs w:val="20"/>
          <w:lang w:val="en-US"/>
        </w:rPr>
        <w:t xml:space="preserve"> </w:t>
      </w:r>
      <w:r w:rsidRPr="00353EAE">
        <w:rPr>
          <w:rFonts w:ascii="Arial" w:hAnsi="Arial" w:cs="Arial"/>
          <w:sz w:val="20"/>
          <w:szCs w:val="20"/>
          <w:lang w:val="en-US"/>
        </w:rPr>
        <w:t>sequestration potential under tea based cropping system. J. Environ. Biol. 42,</w:t>
      </w:r>
      <w:r>
        <w:rPr>
          <w:rFonts w:ascii="Arial" w:hAnsi="Arial" w:cs="Arial"/>
          <w:sz w:val="20"/>
          <w:szCs w:val="20"/>
          <w:lang w:val="en-US"/>
        </w:rPr>
        <w:t xml:space="preserve"> </w:t>
      </w:r>
      <w:r w:rsidRPr="00353EAE">
        <w:rPr>
          <w:rFonts w:ascii="Arial" w:hAnsi="Arial" w:cs="Arial"/>
          <w:sz w:val="20"/>
          <w:szCs w:val="20"/>
          <w:lang w:val="en-US"/>
        </w:rPr>
        <w:t xml:space="preserve">687–693. </w:t>
      </w:r>
      <w:proofErr w:type="spellStart"/>
      <w:r w:rsidRPr="00353EAE">
        <w:rPr>
          <w:rFonts w:ascii="Arial" w:hAnsi="Arial" w:cs="Arial"/>
          <w:sz w:val="20"/>
          <w:szCs w:val="20"/>
          <w:lang w:val="en-US"/>
        </w:rPr>
        <w:t>doi</w:t>
      </w:r>
      <w:proofErr w:type="spellEnd"/>
      <w:r w:rsidRPr="00353EAE">
        <w:rPr>
          <w:rFonts w:ascii="Arial" w:hAnsi="Arial" w:cs="Arial"/>
          <w:sz w:val="20"/>
          <w:szCs w:val="20"/>
          <w:lang w:val="en-US"/>
        </w:rPr>
        <w:t>: 10.22438/</w:t>
      </w:r>
      <w:proofErr w:type="spellStart"/>
      <w:r w:rsidRPr="00353EAE">
        <w:rPr>
          <w:rFonts w:ascii="Arial" w:hAnsi="Arial" w:cs="Arial"/>
          <w:sz w:val="20"/>
          <w:szCs w:val="20"/>
          <w:lang w:val="en-US"/>
        </w:rPr>
        <w:t>jeb</w:t>
      </w:r>
      <w:proofErr w:type="spellEnd"/>
      <w:r w:rsidRPr="00353EAE">
        <w:rPr>
          <w:rFonts w:ascii="Arial" w:hAnsi="Arial" w:cs="Arial"/>
          <w:sz w:val="20"/>
          <w:szCs w:val="20"/>
          <w:lang w:val="en-US"/>
        </w:rPr>
        <w:t>/42/3/MRN-1498</w:t>
      </w:r>
      <w:r>
        <w:rPr>
          <w:rFonts w:ascii="Arial" w:hAnsi="Arial" w:cs="Arial"/>
          <w:sz w:val="20"/>
          <w:szCs w:val="20"/>
          <w:lang w:val="en-US"/>
        </w:rPr>
        <w:t xml:space="preserve"> </w:t>
      </w:r>
      <w:r w:rsidRPr="00353EAE">
        <w:rPr>
          <w:rFonts w:ascii="Arial" w:hAnsi="Arial" w:cs="Arial"/>
          <w:sz w:val="20"/>
          <w:szCs w:val="20"/>
          <w:lang w:val="en-US"/>
        </w:rPr>
        <w:t>Annual Bulletin of Statistics, (2020).</w:t>
      </w:r>
    </w:p>
    <w:p w14:paraId="4F205A8C" w14:textId="77777777" w:rsidR="0001033E" w:rsidRDefault="0001033E" w:rsidP="00353EAE">
      <w:pPr>
        <w:jc w:val="both"/>
        <w:rPr>
          <w:rFonts w:ascii="Arial" w:hAnsi="Arial" w:cs="Arial"/>
          <w:sz w:val="20"/>
          <w:szCs w:val="20"/>
          <w:lang w:val="en-US"/>
        </w:rPr>
      </w:pPr>
    </w:p>
    <w:p w14:paraId="4963A7D2" w14:textId="09F32007" w:rsidR="0001033E" w:rsidRPr="00353EAE" w:rsidRDefault="0001033E" w:rsidP="00353EAE">
      <w:pPr>
        <w:jc w:val="both"/>
        <w:rPr>
          <w:rFonts w:ascii="Arial" w:hAnsi="Arial" w:cs="Arial"/>
          <w:sz w:val="20"/>
          <w:szCs w:val="20"/>
          <w:lang w:val="en-US"/>
        </w:rPr>
      </w:pPr>
      <w:proofErr w:type="spellStart"/>
      <w:r w:rsidRPr="00353EAE">
        <w:rPr>
          <w:rFonts w:ascii="Arial" w:hAnsi="Arial" w:cs="Arial"/>
          <w:sz w:val="20"/>
          <w:szCs w:val="20"/>
          <w:lang w:val="en-US"/>
        </w:rPr>
        <w:t>Awasom</w:t>
      </w:r>
      <w:proofErr w:type="spellEnd"/>
      <w:r w:rsidRPr="00353EAE">
        <w:rPr>
          <w:rFonts w:ascii="Arial" w:hAnsi="Arial" w:cs="Arial"/>
          <w:sz w:val="20"/>
          <w:szCs w:val="20"/>
          <w:lang w:val="en-US"/>
        </w:rPr>
        <w:t>, I. (2011). Commodity of the quarter: tea. J. Agric. Food Inf. 12, 12–22.</w:t>
      </w:r>
      <w:r>
        <w:rPr>
          <w:rFonts w:ascii="Arial" w:hAnsi="Arial" w:cs="Arial"/>
          <w:sz w:val="20"/>
          <w:szCs w:val="20"/>
          <w:lang w:val="en-US"/>
        </w:rPr>
        <w:t xml:space="preserve"> </w:t>
      </w:r>
      <w:proofErr w:type="spellStart"/>
      <w:r w:rsidRPr="00353EAE">
        <w:rPr>
          <w:rFonts w:ascii="Arial" w:hAnsi="Arial" w:cs="Arial"/>
          <w:sz w:val="20"/>
          <w:szCs w:val="20"/>
          <w:lang w:val="en-US"/>
        </w:rPr>
        <w:t>doi</w:t>
      </w:r>
      <w:proofErr w:type="spellEnd"/>
      <w:r w:rsidRPr="00353EAE">
        <w:rPr>
          <w:rFonts w:ascii="Arial" w:hAnsi="Arial" w:cs="Arial"/>
          <w:sz w:val="20"/>
          <w:szCs w:val="20"/>
          <w:lang w:val="en-US"/>
        </w:rPr>
        <w:t>: 10.1080/10496505.2011.540552</w:t>
      </w:r>
    </w:p>
    <w:p w14:paraId="27CA6FC8" w14:textId="77777777" w:rsidR="0001033E" w:rsidRDefault="0001033E" w:rsidP="00353EAE">
      <w:pPr>
        <w:jc w:val="both"/>
        <w:rPr>
          <w:rFonts w:ascii="Arial" w:hAnsi="Arial" w:cs="Arial"/>
          <w:sz w:val="20"/>
          <w:szCs w:val="20"/>
          <w:lang w:val="en-US"/>
        </w:rPr>
      </w:pPr>
    </w:p>
    <w:p w14:paraId="0F2A02D3" w14:textId="273E9AEE" w:rsidR="0001033E" w:rsidRPr="00353EAE" w:rsidRDefault="0001033E" w:rsidP="00353EAE">
      <w:pPr>
        <w:jc w:val="both"/>
        <w:rPr>
          <w:rFonts w:ascii="Arial" w:hAnsi="Arial" w:cs="Arial"/>
          <w:sz w:val="20"/>
          <w:szCs w:val="20"/>
          <w:lang w:val="en-US"/>
        </w:rPr>
      </w:pPr>
      <w:r w:rsidRPr="00353EAE">
        <w:rPr>
          <w:rFonts w:ascii="Arial" w:hAnsi="Arial" w:cs="Arial"/>
          <w:sz w:val="20"/>
          <w:szCs w:val="20"/>
          <w:lang w:val="en-US"/>
        </w:rPr>
        <w:t>Biggs, E. M., Gupta, N., Saikia, S. D., and Duncan, J. M. A. (2018). The tea</w:t>
      </w:r>
      <w:r>
        <w:rPr>
          <w:rFonts w:ascii="Arial" w:hAnsi="Arial" w:cs="Arial"/>
          <w:sz w:val="20"/>
          <w:szCs w:val="20"/>
          <w:lang w:val="en-US"/>
        </w:rPr>
        <w:t xml:space="preserve"> </w:t>
      </w:r>
      <w:r w:rsidRPr="00353EAE">
        <w:rPr>
          <w:rFonts w:ascii="Arial" w:hAnsi="Arial" w:cs="Arial"/>
          <w:sz w:val="20"/>
          <w:szCs w:val="20"/>
          <w:lang w:val="en-US"/>
        </w:rPr>
        <w:t xml:space="preserve">landscape of Assam: multi-stakeholder insights into sustainable livelihoods under </w:t>
      </w:r>
      <w:proofErr w:type="spellStart"/>
      <w:r w:rsidRPr="00353EAE">
        <w:rPr>
          <w:rFonts w:ascii="Arial" w:hAnsi="Arial" w:cs="Arial"/>
          <w:sz w:val="20"/>
          <w:szCs w:val="20"/>
          <w:lang w:val="en-US"/>
        </w:rPr>
        <w:t>achanging</w:t>
      </w:r>
      <w:proofErr w:type="spellEnd"/>
      <w:r w:rsidRPr="00353EAE">
        <w:rPr>
          <w:rFonts w:ascii="Arial" w:hAnsi="Arial" w:cs="Arial"/>
          <w:sz w:val="20"/>
          <w:szCs w:val="20"/>
          <w:lang w:val="en-US"/>
        </w:rPr>
        <w:t xml:space="preserve"> climate. Environ. Sci. Policy 82, 9–18. </w:t>
      </w:r>
      <w:proofErr w:type="spellStart"/>
      <w:r w:rsidRPr="00353EAE">
        <w:rPr>
          <w:rFonts w:ascii="Arial" w:hAnsi="Arial" w:cs="Arial"/>
          <w:sz w:val="20"/>
          <w:szCs w:val="20"/>
          <w:lang w:val="en-US"/>
        </w:rPr>
        <w:t>doi</w:t>
      </w:r>
      <w:proofErr w:type="spellEnd"/>
      <w:r w:rsidRPr="00353EAE">
        <w:rPr>
          <w:rFonts w:ascii="Arial" w:hAnsi="Arial" w:cs="Arial"/>
          <w:sz w:val="20"/>
          <w:szCs w:val="20"/>
          <w:lang w:val="en-US"/>
        </w:rPr>
        <w:t>: 10.1016/j.envsci.2018.01.003</w:t>
      </w:r>
    </w:p>
    <w:p w14:paraId="59BB22D5" w14:textId="1C2F24E6" w:rsidR="0001033E" w:rsidRPr="00353EAE" w:rsidRDefault="0001033E" w:rsidP="00353EAE">
      <w:pPr>
        <w:jc w:val="both"/>
        <w:rPr>
          <w:rFonts w:ascii="Arial" w:hAnsi="Arial" w:cs="Arial"/>
          <w:sz w:val="20"/>
          <w:szCs w:val="20"/>
          <w:lang w:val="en-US"/>
        </w:rPr>
      </w:pPr>
      <w:r w:rsidRPr="00353EAE">
        <w:rPr>
          <w:rFonts w:ascii="Arial" w:hAnsi="Arial" w:cs="Arial"/>
          <w:sz w:val="20"/>
          <w:szCs w:val="20"/>
          <w:lang w:val="en-US"/>
        </w:rPr>
        <w:t>Chel, A., and Kaushik, G. (2011). Renewable energy for sustainable agriculture.</w:t>
      </w:r>
      <w:r>
        <w:rPr>
          <w:rFonts w:ascii="Arial" w:hAnsi="Arial" w:cs="Arial"/>
          <w:sz w:val="20"/>
          <w:szCs w:val="20"/>
          <w:lang w:val="en-US"/>
        </w:rPr>
        <w:t xml:space="preserve"> </w:t>
      </w:r>
      <w:r w:rsidRPr="00353EAE">
        <w:rPr>
          <w:rFonts w:ascii="Arial" w:hAnsi="Arial" w:cs="Arial"/>
          <w:sz w:val="20"/>
          <w:szCs w:val="20"/>
          <w:lang w:val="en-US"/>
        </w:rPr>
        <w:t xml:space="preserve">Agron. Sustain. Dev. 31, 91–118. </w:t>
      </w:r>
      <w:proofErr w:type="spellStart"/>
      <w:r w:rsidRPr="00353EAE">
        <w:rPr>
          <w:rFonts w:ascii="Arial" w:hAnsi="Arial" w:cs="Arial"/>
          <w:sz w:val="20"/>
          <w:szCs w:val="20"/>
          <w:lang w:val="en-US"/>
        </w:rPr>
        <w:t>doi</w:t>
      </w:r>
      <w:proofErr w:type="spellEnd"/>
      <w:r w:rsidRPr="00353EAE">
        <w:rPr>
          <w:rFonts w:ascii="Arial" w:hAnsi="Arial" w:cs="Arial"/>
          <w:sz w:val="20"/>
          <w:szCs w:val="20"/>
          <w:lang w:val="en-US"/>
        </w:rPr>
        <w:t>: 10.1051/</w:t>
      </w:r>
      <w:proofErr w:type="spellStart"/>
      <w:r w:rsidRPr="00353EAE">
        <w:rPr>
          <w:rFonts w:ascii="Arial" w:hAnsi="Arial" w:cs="Arial"/>
          <w:sz w:val="20"/>
          <w:szCs w:val="20"/>
          <w:lang w:val="en-US"/>
        </w:rPr>
        <w:t>agro</w:t>
      </w:r>
      <w:proofErr w:type="spellEnd"/>
      <w:r w:rsidRPr="00353EAE">
        <w:rPr>
          <w:rFonts w:ascii="Arial" w:hAnsi="Arial" w:cs="Arial"/>
          <w:sz w:val="20"/>
          <w:szCs w:val="20"/>
          <w:lang w:val="en-US"/>
        </w:rPr>
        <w:t>/2010029</w:t>
      </w:r>
    </w:p>
    <w:p w14:paraId="79AEAD75" w14:textId="77777777" w:rsidR="0001033E" w:rsidRDefault="0001033E" w:rsidP="00353EAE">
      <w:pPr>
        <w:spacing w:line="276" w:lineRule="auto"/>
        <w:jc w:val="both"/>
        <w:rPr>
          <w:rFonts w:ascii="Arial" w:hAnsi="Arial" w:cs="Arial"/>
          <w:sz w:val="20"/>
          <w:szCs w:val="20"/>
        </w:rPr>
      </w:pPr>
    </w:p>
    <w:p w14:paraId="7B341879" w14:textId="48157177" w:rsidR="0001033E" w:rsidRPr="00AB71E0" w:rsidRDefault="0001033E" w:rsidP="00353EAE">
      <w:pPr>
        <w:spacing w:line="276" w:lineRule="auto"/>
        <w:jc w:val="both"/>
        <w:rPr>
          <w:rFonts w:ascii="Arial" w:hAnsi="Arial" w:cs="Arial"/>
          <w:sz w:val="20"/>
          <w:szCs w:val="20"/>
        </w:rPr>
      </w:pPr>
      <w:r w:rsidRPr="00AB71E0">
        <w:rPr>
          <w:rFonts w:ascii="Arial" w:hAnsi="Arial" w:cs="Arial"/>
          <w:sz w:val="20"/>
          <w:szCs w:val="20"/>
        </w:rPr>
        <w:t xml:space="preserve">Chen, Y., Chen, S., and Chen, Z. (2022). Willingness of tea farmers to adopt ecological </w:t>
      </w:r>
      <w:r w:rsidRPr="00AB71E0">
        <w:rPr>
          <w:rFonts w:ascii="Arial" w:hAnsi="Arial" w:cs="Arial"/>
          <w:sz w:val="20"/>
          <w:szCs w:val="20"/>
        </w:rPr>
        <w:tab/>
        <w:t xml:space="preserve">agriculture techniques based on the UTAUT extended model. Int. J. Environ. Res. </w:t>
      </w:r>
      <w:r w:rsidRPr="00AB71E0">
        <w:rPr>
          <w:rFonts w:ascii="Arial" w:hAnsi="Arial" w:cs="Arial"/>
          <w:sz w:val="20"/>
          <w:szCs w:val="20"/>
        </w:rPr>
        <w:tab/>
        <w:t xml:space="preserve">Public Health 19:15351. </w:t>
      </w:r>
      <w:proofErr w:type="spellStart"/>
      <w:r w:rsidRPr="00AB71E0">
        <w:rPr>
          <w:rFonts w:ascii="Arial" w:hAnsi="Arial" w:cs="Arial"/>
          <w:sz w:val="20"/>
          <w:szCs w:val="20"/>
        </w:rPr>
        <w:t>doi</w:t>
      </w:r>
      <w:proofErr w:type="spellEnd"/>
      <w:r w:rsidRPr="00AB71E0">
        <w:rPr>
          <w:rFonts w:ascii="Arial" w:hAnsi="Arial" w:cs="Arial"/>
          <w:sz w:val="20"/>
          <w:szCs w:val="20"/>
        </w:rPr>
        <w:t>: 10.3390/ijerph192215351</w:t>
      </w:r>
    </w:p>
    <w:p w14:paraId="0CAAD868" w14:textId="77777777" w:rsidR="0001033E" w:rsidRDefault="0001033E" w:rsidP="00353EAE">
      <w:pPr>
        <w:jc w:val="both"/>
        <w:rPr>
          <w:rFonts w:ascii="Arial" w:hAnsi="Arial" w:cs="Arial"/>
          <w:sz w:val="20"/>
          <w:szCs w:val="20"/>
          <w:lang w:val="en-US"/>
        </w:rPr>
      </w:pPr>
    </w:p>
    <w:p w14:paraId="2AD42DAF" w14:textId="48DCC690" w:rsidR="0001033E" w:rsidRPr="00353EAE" w:rsidRDefault="0001033E" w:rsidP="00353EAE">
      <w:pPr>
        <w:jc w:val="both"/>
        <w:rPr>
          <w:rFonts w:ascii="Arial" w:hAnsi="Arial" w:cs="Arial"/>
          <w:sz w:val="20"/>
          <w:szCs w:val="20"/>
          <w:lang w:val="en-US"/>
        </w:rPr>
      </w:pPr>
      <w:r w:rsidRPr="00353EAE">
        <w:rPr>
          <w:rFonts w:ascii="Arial" w:hAnsi="Arial" w:cs="Arial"/>
          <w:sz w:val="20"/>
          <w:szCs w:val="20"/>
          <w:lang w:val="en-US"/>
        </w:rPr>
        <w:t xml:space="preserve">Datta, P. P., and Baruah, D. C. (2014). Possibility of biomass gasification in </w:t>
      </w:r>
      <w:r w:rsidR="004431AB" w:rsidRPr="00353EAE">
        <w:rPr>
          <w:rFonts w:ascii="Arial" w:hAnsi="Arial" w:cs="Arial"/>
          <w:sz w:val="20"/>
          <w:szCs w:val="20"/>
          <w:lang w:val="en-US"/>
        </w:rPr>
        <w:t>tea</w:t>
      </w:r>
      <w:r w:rsidR="004431AB">
        <w:rPr>
          <w:rFonts w:ascii="Arial" w:hAnsi="Arial" w:cs="Arial"/>
          <w:sz w:val="20"/>
          <w:szCs w:val="20"/>
          <w:lang w:val="en-US"/>
        </w:rPr>
        <w:t xml:space="preserve"> manufacturing</w:t>
      </w:r>
      <w:r w:rsidRPr="00353EAE">
        <w:rPr>
          <w:rFonts w:ascii="Arial" w:hAnsi="Arial" w:cs="Arial"/>
          <w:sz w:val="20"/>
          <w:szCs w:val="20"/>
          <w:lang w:val="en-US"/>
        </w:rPr>
        <w:t xml:space="preserve"> industries in Assam, India. Int. J. Renew. Energy Res. 5:310. </w:t>
      </w:r>
      <w:proofErr w:type="spellStart"/>
      <w:r w:rsidRPr="00353EAE">
        <w:rPr>
          <w:rFonts w:ascii="Arial" w:hAnsi="Arial" w:cs="Arial"/>
          <w:sz w:val="20"/>
          <w:szCs w:val="20"/>
          <w:lang w:val="en-US"/>
        </w:rPr>
        <w:t>doi</w:t>
      </w:r>
      <w:proofErr w:type="spellEnd"/>
      <w:r w:rsidRPr="00353EAE">
        <w:rPr>
          <w:rFonts w:ascii="Arial" w:hAnsi="Arial" w:cs="Arial"/>
          <w:sz w:val="20"/>
          <w:szCs w:val="20"/>
          <w:lang w:val="en-US"/>
        </w:rPr>
        <w:t>:</w:t>
      </w:r>
    </w:p>
    <w:p w14:paraId="62A97454" w14:textId="77777777" w:rsidR="0001033E" w:rsidRDefault="0001033E" w:rsidP="00353EAE">
      <w:pPr>
        <w:jc w:val="both"/>
        <w:rPr>
          <w:rFonts w:ascii="Arial" w:hAnsi="Arial" w:cs="Arial"/>
          <w:sz w:val="20"/>
          <w:szCs w:val="20"/>
          <w:lang w:val="en-US"/>
        </w:rPr>
      </w:pPr>
    </w:p>
    <w:p w14:paraId="28E96572" w14:textId="113CC049" w:rsidR="0001033E" w:rsidRPr="00353EAE" w:rsidRDefault="0001033E" w:rsidP="00353EAE">
      <w:pPr>
        <w:jc w:val="both"/>
        <w:rPr>
          <w:rFonts w:ascii="Arial" w:hAnsi="Arial" w:cs="Arial"/>
          <w:sz w:val="20"/>
          <w:szCs w:val="20"/>
          <w:lang w:val="en-US"/>
        </w:rPr>
      </w:pPr>
      <w:r w:rsidRPr="00353EAE">
        <w:rPr>
          <w:rFonts w:ascii="Arial" w:hAnsi="Arial" w:cs="Arial"/>
          <w:sz w:val="20"/>
          <w:szCs w:val="20"/>
          <w:lang w:val="en-US"/>
        </w:rPr>
        <w:t>FAOSTAT. Food and Agriculture Organization of the United Nations. (2021)</w:t>
      </w:r>
      <w:r>
        <w:rPr>
          <w:rFonts w:ascii="Arial" w:hAnsi="Arial" w:cs="Arial"/>
          <w:sz w:val="20"/>
          <w:szCs w:val="20"/>
          <w:lang w:val="en-US"/>
        </w:rPr>
        <w:t xml:space="preserve"> </w:t>
      </w:r>
      <w:r w:rsidRPr="00353EAE">
        <w:rPr>
          <w:rFonts w:ascii="Arial" w:hAnsi="Arial" w:cs="Arial"/>
          <w:sz w:val="20"/>
          <w:szCs w:val="20"/>
          <w:lang w:val="en-US"/>
        </w:rPr>
        <w:t>Available at: https://www.fao.org/faostat/en/#data/QCL (Accessed on 13</w:t>
      </w:r>
    </w:p>
    <w:p w14:paraId="59DE7F41" w14:textId="77777777" w:rsidR="0001033E" w:rsidRDefault="0001033E" w:rsidP="00353EAE">
      <w:pPr>
        <w:jc w:val="both"/>
        <w:rPr>
          <w:rFonts w:ascii="Arial" w:hAnsi="Arial" w:cs="Arial"/>
          <w:sz w:val="20"/>
          <w:szCs w:val="20"/>
          <w:lang w:val="en-US"/>
        </w:rPr>
      </w:pPr>
    </w:p>
    <w:p w14:paraId="1CE59C36" w14:textId="19E0A31E" w:rsidR="0001033E" w:rsidRDefault="0001033E" w:rsidP="00353EAE">
      <w:pPr>
        <w:jc w:val="both"/>
        <w:rPr>
          <w:rFonts w:ascii="Arial" w:hAnsi="Arial" w:cs="Arial"/>
          <w:sz w:val="20"/>
          <w:szCs w:val="20"/>
          <w:lang w:val="en-US"/>
        </w:rPr>
      </w:pPr>
      <w:r w:rsidRPr="00353EAE">
        <w:rPr>
          <w:rFonts w:ascii="Arial" w:hAnsi="Arial" w:cs="Arial"/>
          <w:sz w:val="20"/>
          <w:szCs w:val="20"/>
          <w:lang w:val="en-US"/>
        </w:rPr>
        <w:t>Goswami, R. (2022). Assam tea gardens experiment with solar for reliable power</w:t>
      </w:r>
      <w:r>
        <w:rPr>
          <w:rFonts w:ascii="Arial" w:hAnsi="Arial" w:cs="Arial"/>
          <w:sz w:val="20"/>
          <w:szCs w:val="20"/>
          <w:lang w:val="en-US"/>
        </w:rPr>
        <w:t xml:space="preserve"> </w:t>
      </w:r>
      <w:r w:rsidRPr="00353EAE">
        <w:rPr>
          <w:rFonts w:ascii="Arial" w:hAnsi="Arial" w:cs="Arial"/>
          <w:sz w:val="20"/>
          <w:szCs w:val="20"/>
          <w:lang w:val="en-US"/>
        </w:rPr>
        <w:t>supply and cutting costs, emissions. Mongabay. Available at: https://india.mongabay.</w:t>
      </w:r>
      <w:r>
        <w:rPr>
          <w:rFonts w:ascii="Arial" w:hAnsi="Arial" w:cs="Arial"/>
          <w:sz w:val="20"/>
          <w:szCs w:val="20"/>
          <w:lang w:val="en-US"/>
        </w:rPr>
        <w:t xml:space="preserve"> </w:t>
      </w:r>
      <w:r w:rsidRPr="00353EAE">
        <w:rPr>
          <w:rFonts w:ascii="Arial" w:hAnsi="Arial" w:cs="Arial"/>
          <w:sz w:val="20"/>
          <w:szCs w:val="20"/>
          <w:lang w:val="en-US"/>
        </w:rPr>
        <w:t>com/2022/02/assam-tea-gardens-experiment-with-solar-for-reliable-power-supply-</w:t>
      </w:r>
      <w:r>
        <w:rPr>
          <w:rFonts w:ascii="Arial" w:hAnsi="Arial" w:cs="Arial"/>
          <w:sz w:val="20"/>
          <w:szCs w:val="20"/>
          <w:lang w:val="en-US"/>
        </w:rPr>
        <w:t xml:space="preserve"> </w:t>
      </w:r>
      <w:r w:rsidRPr="00353EAE">
        <w:rPr>
          <w:rFonts w:ascii="Arial" w:hAnsi="Arial" w:cs="Arial"/>
          <w:sz w:val="20"/>
          <w:szCs w:val="20"/>
          <w:lang w:val="en-US"/>
        </w:rPr>
        <w:t>and-cutting-costs-emissions/</w:t>
      </w:r>
    </w:p>
    <w:p w14:paraId="6031F152" w14:textId="77777777" w:rsidR="0001033E" w:rsidRDefault="0001033E" w:rsidP="00353EAE">
      <w:pPr>
        <w:jc w:val="both"/>
        <w:rPr>
          <w:rFonts w:ascii="Arial" w:hAnsi="Arial" w:cs="Arial"/>
          <w:sz w:val="20"/>
          <w:szCs w:val="20"/>
          <w:lang w:val="en-US"/>
        </w:rPr>
      </w:pPr>
    </w:p>
    <w:p w14:paraId="2FA67645" w14:textId="47C4B3C9" w:rsidR="0001033E" w:rsidRPr="00353EAE" w:rsidRDefault="0001033E" w:rsidP="00353EAE">
      <w:pPr>
        <w:jc w:val="both"/>
        <w:rPr>
          <w:rFonts w:ascii="Arial" w:hAnsi="Arial" w:cs="Arial"/>
          <w:sz w:val="20"/>
          <w:szCs w:val="20"/>
          <w:lang w:val="en-US"/>
        </w:rPr>
      </w:pPr>
      <w:proofErr w:type="spellStart"/>
      <w:r w:rsidRPr="00353EAE">
        <w:rPr>
          <w:rFonts w:ascii="Arial" w:hAnsi="Arial" w:cs="Arial"/>
          <w:sz w:val="20"/>
          <w:szCs w:val="20"/>
          <w:lang w:val="en-US"/>
        </w:rPr>
        <w:t>Hatibaruah</w:t>
      </w:r>
      <w:proofErr w:type="spellEnd"/>
      <w:r w:rsidRPr="00353EAE">
        <w:rPr>
          <w:rFonts w:ascii="Arial" w:hAnsi="Arial" w:cs="Arial"/>
          <w:sz w:val="20"/>
          <w:szCs w:val="20"/>
          <w:lang w:val="en-US"/>
        </w:rPr>
        <w:t>, D., Baruah, D. C., and Sanyal, S. (2012). Microwave drying</w:t>
      </w:r>
      <w:r>
        <w:rPr>
          <w:rFonts w:ascii="Arial" w:hAnsi="Arial" w:cs="Arial"/>
          <w:sz w:val="20"/>
          <w:szCs w:val="20"/>
          <w:lang w:val="en-US"/>
        </w:rPr>
        <w:t xml:space="preserve"> </w:t>
      </w:r>
      <w:r w:rsidRPr="00353EAE">
        <w:rPr>
          <w:rFonts w:ascii="Arial" w:hAnsi="Arial" w:cs="Arial"/>
          <w:sz w:val="20"/>
          <w:szCs w:val="20"/>
          <w:lang w:val="en-US"/>
        </w:rPr>
        <w:t>characteristics of Assam CTC</w:t>
      </w:r>
      <w:r>
        <w:rPr>
          <w:rFonts w:ascii="Arial" w:hAnsi="Arial" w:cs="Arial"/>
          <w:sz w:val="20"/>
          <w:szCs w:val="20"/>
          <w:lang w:val="en-US"/>
        </w:rPr>
        <w:t xml:space="preserve"> </w:t>
      </w:r>
      <w:r w:rsidRPr="00353EAE">
        <w:rPr>
          <w:rFonts w:ascii="Arial" w:hAnsi="Arial" w:cs="Arial"/>
          <w:sz w:val="20"/>
          <w:szCs w:val="20"/>
          <w:lang w:val="en-US"/>
        </w:rPr>
        <w:t xml:space="preserve">tea (Camellia </w:t>
      </w:r>
      <w:proofErr w:type="spellStart"/>
      <w:r w:rsidRPr="00353EAE">
        <w:rPr>
          <w:rFonts w:ascii="Arial" w:hAnsi="Arial" w:cs="Arial"/>
          <w:sz w:val="20"/>
          <w:szCs w:val="20"/>
          <w:lang w:val="en-US"/>
        </w:rPr>
        <w:t>assamica</w:t>
      </w:r>
      <w:proofErr w:type="spellEnd"/>
      <w:r w:rsidRPr="00353EAE">
        <w:rPr>
          <w:rFonts w:ascii="Arial" w:hAnsi="Arial" w:cs="Arial"/>
          <w:sz w:val="20"/>
          <w:szCs w:val="20"/>
          <w:lang w:val="en-US"/>
        </w:rPr>
        <w:t>). J. Food Process. Preserv. 37,</w:t>
      </w:r>
      <w:r>
        <w:rPr>
          <w:rFonts w:ascii="Arial" w:hAnsi="Arial" w:cs="Arial"/>
          <w:sz w:val="20"/>
          <w:szCs w:val="20"/>
          <w:lang w:val="en-US"/>
        </w:rPr>
        <w:t xml:space="preserve"> </w:t>
      </w:r>
      <w:r w:rsidRPr="00353EAE">
        <w:rPr>
          <w:rFonts w:ascii="Arial" w:hAnsi="Arial" w:cs="Arial"/>
          <w:sz w:val="20"/>
          <w:szCs w:val="20"/>
          <w:lang w:val="en-US"/>
        </w:rPr>
        <w:t xml:space="preserve">366–370. </w:t>
      </w:r>
      <w:proofErr w:type="spellStart"/>
      <w:r w:rsidRPr="00353EAE">
        <w:rPr>
          <w:rFonts w:ascii="Arial" w:hAnsi="Arial" w:cs="Arial"/>
          <w:sz w:val="20"/>
          <w:szCs w:val="20"/>
          <w:lang w:val="en-US"/>
        </w:rPr>
        <w:t>doi</w:t>
      </w:r>
      <w:proofErr w:type="spellEnd"/>
      <w:r w:rsidRPr="00353EAE">
        <w:rPr>
          <w:rFonts w:ascii="Arial" w:hAnsi="Arial" w:cs="Arial"/>
          <w:sz w:val="20"/>
          <w:szCs w:val="20"/>
          <w:lang w:val="en-US"/>
        </w:rPr>
        <w:t>: 10.1111/j.1745-4549.2011. 00656.x</w:t>
      </w:r>
    </w:p>
    <w:p w14:paraId="66C39DD1" w14:textId="77777777" w:rsidR="0001033E" w:rsidRDefault="0001033E" w:rsidP="00353EAE">
      <w:pPr>
        <w:spacing w:line="276" w:lineRule="auto"/>
        <w:jc w:val="both"/>
        <w:rPr>
          <w:rFonts w:ascii="Arial" w:hAnsi="Arial" w:cs="Arial"/>
          <w:color w:val="222222"/>
          <w:sz w:val="20"/>
          <w:szCs w:val="20"/>
          <w:shd w:val="clear" w:color="auto" w:fill="FFFFFF"/>
        </w:rPr>
      </w:pPr>
    </w:p>
    <w:p w14:paraId="201406D1" w14:textId="7703C5AE" w:rsidR="0001033E" w:rsidRPr="00AB71E0" w:rsidRDefault="0001033E" w:rsidP="00353EAE">
      <w:pPr>
        <w:spacing w:line="276" w:lineRule="auto"/>
        <w:jc w:val="both"/>
        <w:rPr>
          <w:rFonts w:ascii="Arial" w:hAnsi="Arial" w:cs="Arial"/>
          <w:color w:val="222222"/>
          <w:sz w:val="20"/>
          <w:szCs w:val="20"/>
          <w:shd w:val="clear" w:color="auto" w:fill="FFFFFF"/>
        </w:rPr>
      </w:pPr>
      <w:r w:rsidRPr="00AB71E0">
        <w:rPr>
          <w:rFonts w:ascii="Arial" w:hAnsi="Arial" w:cs="Arial"/>
          <w:color w:val="222222"/>
          <w:sz w:val="20"/>
          <w:szCs w:val="20"/>
          <w:shd w:val="clear" w:color="auto" w:fill="FFFFFF"/>
        </w:rPr>
        <w:t>He, M., Li, Y., Zong, S., Li, K., Han, X., &amp; Zhao, M. (2023). Life cycle assessment of carbon footprint of green tea produced by smallholder farmers in Shaanxi province of China.</w:t>
      </w:r>
      <w:r w:rsidRPr="00AB71E0">
        <w:rPr>
          <w:rStyle w:val="apple-converted-space"/>
          <w:rFonts w:ascii="Arial" w:hAnsi="Arial" w:cs="Arial"/>
          <w:color w:val="222222"/>
          <w:sz w:val="20"/>
          <w:szCs w:val="20"/>
          <w:shd w:val="clear" w:color="auto" w:fill="FFFFFF"/>
        </w:rPr>
        <w:t> </w:t>
      </w:r>
      <w:r w:rsidRPr="00AB71E0">
        <w:rPr>
          <w:rFonts w:ascii="Arial" w:hAnsi="Arial" w:cs="Arial"/>
          <w:i/>
          <w:iCs/>
          <w:color w:val="222222"/>
          <w:sz w:val="20"/>
          <w:szCs w:val="20"/>
        </w:rPr>
        <w:t>Agronomy</w:t>
      </w:r>
      <w:r w:rsidRPr="00AB71E0">
        <w:rPr>
          <w:rFonts w:ascii="Arial" w:hAnsi="Arial" w:cs="Arial"/>
          <w:color w:val="222222"/>
          <w:sz w:val="20"/>
          <w:szCs w:val="20"/>
          <w:shd w:val="clear" w:color="auto" w:fill="FFFFFF"/>
        </w:rPr>
        <w:t>,</w:t>
      </w:r>
      <w:r w:rsidRPr="00AB71E0">
        <w:rPr>
          <w:rStyle w:val="apple-converted-space"/>
          <w:rFonts w:ascii="Arial" w:hAnsi="Arial" w:cs="Arial"/>
          <w:color w:val="222222"/>
          <w:sz w:val="20"/>
          <w:szCs w:val="20"/>
          <w:shd w:val="clear" w:color="auto" w:fill="FFFFFF"/>
        </w:rPr>
        <w:t> </w:t>
      </w:r>
      <w:r w:rsidRPr="00AB71E0">
        <w:rPr>
          <w:rFonts w:ascii="Arial" w:hAnsi="Arial" w:cs="Arial"/>
          <w:i/>
          <w:iCs/>
          <w:color w:val="222222"/>
          <w:sz w:val="20"/>
          <w:szCs w:val="20"/>
        </w:rPr>
        <w:t>13</w:t>
      </w:r>
      <w:r w:rsidRPr="00AB71E0">
        <w:rPr>
          <w:rFonts w:ascii="Arial" w:hAnsi="Arial" w:cs="Arial"/>
          <w:color w:val="222222"/>
          <w:sz w:val="20"/>
          <w:szCs w:val="20"/>
          <w:shd w:val="clear" w:color="auto" w:fill="FFFFFF"/>
        </w:rPr>
        <w:t>(2), 364.</w:t>
      </w:r>
    </w:p>
    <w:p w14:paraId="3D0F02E7" w14:textId="77777777" w:rsidR="0001033E" w:rsidRDefault="0001033E" w:rsidP="00353EAE">
      <w:pPr>
        <w:jc w:val="both"/>
        <w:rPr>
          <w:rFonts w:ascii="Arial" w:hAnsi="Arial" w:cs="Arial"/>
          <w:sz w:val="20"/>
          <w:szCs w:val="20"/>
          <w:lang w:val="en-US"/>
        </w:rPr>
      </w:pPr>
    </w:p>
    <w:p w14:paraId="3B5639EC" w14:textId="3EAE3AB5" w:rsidR="0001033E" w:rsidRPr="00353EAE" w:rsidRDefault="0001033E" w:rsidP="00353EAE">
      <w:pPr>
        <w:jc w:val="both"/>
        <w:rPr>
          <w:rFonts w:ascii="Arial" w:hAnsi="Arial" w:cs="Arial"/>
          <w:sz w:val="20"/>
          <w:szCs w:val="20"/>
          <w:lang w:val="en-US"/>
        </w:rPr>
      </w:pPr>
      <w:r w:rsidRPr="00353EAE">
        <w:rPr>
          <w:rFonts w:ascii="Arial" w:hAnsi="Arial" w:cs="Arial"/>
          <w:sz w:val="20"/>
          <w:szCs w:val="20"/>
          <w:lang w:val="en-US"/>
        </w:rPr>
        <w:t>Horvitz, D., and Thompson, D. (1952). A generalization of sampling without</w:t>
      </w:r>
      <w:r>
        <w:rPr>
          <w:rFonts w:ascii="Arial" w:hAnsi="Arial" w:cs="Arial"/>
          <w:sz w:val="20"/>
          <w:szCs w:val="20"/>
          <w:lang w:val="en-US"/>
        </w:rPr>
        <w:t xml:space="preserve"> </w:t>
      </w:r>
      <w:r w:rsidRPr="00353EAE">
        <w:rPr>
          <w:rFonts w:ascii="Arial" w:hAnsi="Arial" w:cs="Arial"/>
          <w:sz w:val="20"/>
          <w:szCs w:val="20"/>
          <w:lang w:val="en-US"/>
        </w:rPr>
        <w:t xml:space="preserve">replacement from a finite universe. J. Am. Stat. Assoc. 47, 663–685. </w:t>
      </w:r>
      <w:proofErr w:type="spellStart"/>
      <w:r w:rsidRPr="00353EAE">
        <w:rPr>
          <w:rFonts w:ascii="Arial" w:hAnsi="Arial" w:cs="Arial"/>
          <w:sz w:val="20"/>
          <w:szCs w:val="20"/>
          <w:lang w:val="en-US"/>
        </w:rPr>
        <w:t>doi</w:t>
      </w:r>
      <w:proofErr w:type="spellEnd"/>
      <w:r w:rsidRPr="00353EAE">
        <w:rPr>
          <w:rFonts w:ascii="Arial" w:hAnsi="Arial" w:cs="Arial"/>
          <w:sz w:val="20"/>
          <w:szCs w:val="20"/>
          <w:lang w:val="en-US"/>
        </w:rPr>
        <w:t>:</w:t>
      </w:r>
      <w:r>
        <w:rPr>
          <w:rFonts w:ascii="Arial" w:hAnsi="Arial" w:cs="Arial"/>
          <w:sz w:val="20"/>
          <w:szCs w:val="20"/>
          <w:lang w:val="en-US"/>
        </w:rPr>
        <w:t xml:space="preserve"> </w:t>
      </w:r>
      <w:r w:rsidRPr="00353EAE">
        <w:rPr>
          <w:rFonts w:ascii="Arial" w:hAnsi="Arial" w:cs="Arial"/>
          <w:sz w:val="20"/>
          <w:szCs w:val="20"/>
          <w:lang w:val="en-US"/>
        </w:rPr>
        <w:t>10.1080/01621459.1952.10483446</w:t>
      </w:r>
    </w:p>
    <w:p w14:paraId="08B3E3E8" w14:textId="77777777" w:rsidR="0001033E" w:rsidRDefault="0001033E" w:rsidP="00353EAE">
      <w:pPr>
        <w:jc w:val="both"/>
        <w:rPr>
          <w:rFonts w:ascii="Arial" w:hAnsi="Arial" w:cs="Arial"/>
          <w:sz w:val="20"/>
          <w:szCs w:val="20"/>
          <w:lang w:val="en-US"/>
        </w:rPr>
      </w:pPr>
    </w:p>
    <w:p w14:paraId="673CF03B" w14:textId="056556FE" w:rsidR="0001033E" w:rsidRPr="00353EAE" w:rsidRDefault="0001033E" w:rsidP="00353EAE">
      <w:pPr>
        <w:jc w:val="both"/>
        <w:rPr>
          <w:rFonts w:ascii="Arial" w:hAnsi="Arial" w:cs="Arial"/>
          <w:sz w:val="20"/>
          <w:szCs w:val="20"/>
          <w:lang w:val="en-US"/>
        </w:rPr>
      </w:pPr>
      <w:r w:rsidRPr="00353EAE">
        <w:rPr>
          <w:rFonts w:ascii="Arial" w:hAnsi="Arial" w:cs="Arial"/>
          <w:sz w:val="20"/>
          <w:szCs w:val="20"/>
          <w:lang w:val="en-US"/>
        </w:rPr>
        <w:t>Indian Tea Association. (2023). Available at: https://www.indiatea.org/tea</w:t>
      </w:r>
      <w:r>
        <w:rPr>
          <w:rFonts w:ascii="Arial" w:hAnsi="Arial" w:cs="Arial"/>
          <w:sz w:val="20"/>
          <w:szCs w:val="20"/>
          <w:lang w:val="en-US"/>
        </w:rPr>
        <w:t xml:space="preserve"> </w:t>
      </w:r>
      <w:r w:rsidRPr="00353EAE">
        <w:rPr>
          <w:rFonts w:ascii="Arial" w:hAnsi="Arial" w:cs="Arial"/>
          <w:sz w:val="20"/>
          <w:szCs w:val="20"/>
          <w:lang w:val="en-US"/>
        </w:rPr>
        <w:t>growing regions (Accessed on August 16, 2023</w:t>
      </w:r>
      <w:r>
        <w:rPr>
          <w:rFonts w:ascii="Arial" w:hAnsi="Arial" w:cs="Arial"/>
          <w:sz w:val="20"/>
          <w:szCs w:val="20"/>
          <w:lang w:val="en-US"/>
        </w:rPr>
        <w:t xml:space="preserve"> </w:t>
      </w:r>
      <w:r w:rsidRPr="00353EAE">
        <w:rPr>
          <w:rFonts w:ascii="Arial" w:hAnsi="Arial" w:cs="Arial"/>
          <w:sz w:val="20"/>
          <w:szCs w:val="20"/>
          <w:lang w:val="en-US"/>
        </w:rPr>
        <w:t>January 2023)</w:t>
      </w:r>
    </w:p>
    <w:p w14:paraId="3C4A780B" w14:textId="77777777" w:rsidR="0001033E" w:rsidRDefault="0001033E" w:rsidP="00353EAE">
      <w:pPr>
        <w:jc w:val="both"/>
        <w:rPr>
          <w:rFonts w:ascii="Arial" w:hAnsi="Arial" w:cs="Arial"/>
          <w:sz w:val="20"/>
          <w:szCs w:val="20"/>
          <w:lang w:val="en-US"/>
        </w:rPr>
      </w:pPr>
    </w:p>
    <w:p w14:paraId="27D8F641" w14:textId="1BC6FFA7" w:rsidR="0001033E" w:rsidRPr="00353EAE" w:rsidRDefault="0001033E" w:rsidP="00353EAE">
      <w:pPr>
        <w:jc w:val="both"/>
        <w:rPr>
          <w:rFonts w:ascii="Arial" w:hAnsi="Arial" w:cs="Arial"/>
          <w:sz w:val="20"/>
          <w:szCs w:val="20"/>
          <w:lang w:val="en-US"/>
        </w:rPr>
      </w:pPr>
      <w:proofErr w:type="spellStart"/>
      <w:r w:rsidRPr="00353EAE">
        <w:rPr>
          <w:rFonts w:ascii="Arial" w:hAnsi="Arial" w:cs="Arial"/>
          <w:sz w:val="20"/>
          <w:szCs w:val="20"/>
          <w:lang w:val="en-US"/>
        </w:rPr>
        <w:t>Kephe</w:t>
      </w:r>
      <w:proofErr w:type="spellEnd"/>
      <w:r w:rsidRPr="00353EAE">
        <w:rPr>
          <w:rFonts w:ascii="Arial" w:hAnsi="Arial" w:cs="Arial"/>
          <w:sz w:val="20"/>
          <w:szCs w:val="20"/>
          <w:lang w:val="en-US"/>
        </w:rPr>
        <w:t>, P. N., Petja, B. M., and Kwabena, A. K. (2021). Examining the role of</w:t>
      </w:r>
      <w:r>
        <w:rPr>
          <w:rFonts w:ascii="Arial" w:hAnsi="Arial" w:cs="Arial"/>
          <w:sz w:val="20"/>
          <w:szCs w:val="20"/>
          <w:lang w:val="en-US"/>
        </w:rPr>
        <w:t xml:space="preserve"> </w:t>
      </w:r>
      <w:r w:rsidRPr="00353EAE">
        <w:rPr>
          <w:rFonts w:ascii="Arial" w:hAnsi="Arial" w:cs="Arial"/>
          <w:sz w:val="20"/>
          <w:szCs w:val="20"/>
          <w:lang w:val="en-US"/>
        </w:rPr>
        <w:t>institutional support in enhancing smallholder oilseed producers’ adaptability to</w:t>
      </w:r>
      <w:r>
        <w:rPr>
          <w:rFonts w:ascii="Arial" w:hAnsi="Arial" w:cs="Arial"/>
          <w:sz w:val="20"/>
          <w:szCs w:val="20"/>
          <w:lang w:val="en-US"/>
        </w:rPr>
        <w:t xml:space="preserve"> </w:t>
      </w:r>
      <w:r w:rsidRPr="00353EAE">
        <w:rPr>
          <w:rFonts w:ascii="Arial" w:hAnsi="Arial" w:cs="Arial"/>
          <w:sz w:val="20"/>
          <w:szCs w:val="20"/>
          <w:lang w:val="en-US"/>
        </w:rPr>
        <w:t xml:space="preserve">climate change in Limpopo province, South Africa. OCL 28:14. </w:t>
      </w:r>
      <w:proofErr w:type="spellStart"/>
      <w:r w:rsidRPr="00353EAE">
        <w:rPr>
          <w:rFonts w:ascii="Arial" w:hAnsi="Arial" w:cs="Arial"/>
          <w:sz w:val="20"/>
          <w:szCs w:val="20"/>
          <w:lang w:val="en-US"/>
        </w:rPr>
        <w:t>doi</w:t>
      </w:r>
      <w:proofErr w:type="spellEnd"/>
      <w:r w:rsidRPr="00353EAE">
        <w:rPr>
          <w:rFonts w:ascii="Arial" w:hAnsi="Arial" w:cs="Arial"/>
          <w:sz w:val="20"/>
          <w:szCs w:val="20"/>
          <w:lang w:val="en-US"/>
        </w:rPr>
        <w:t>: 10.1051/</w:t>
      </w:r>
      <w:r>
        <w:rPr>
          <w:rFonts w:ascii="Arial" w:hAnsi="Arial" w:cs="Arial"/>
          <w:sz w:val="20"/>
          <w:szCs w:val="20"/>
          <w:lang w:val="en-US"/>
        </w:rPr>
        <w:t xml:space="preserve"> </w:t>
      </w:r>
      <w:proofErr w:type="spellStart"/>
      <w:r w:rsidRPr="00353EAE">
        <w:rPr>
          <w:rFonts w:ascii="Arial" w:hAnsi="Arial" w:cs="Arial"/>
          <w:sz w:val="20"/>
          <w:szCs w:val="20"/>
          <w:lang w:val="en-US"/>
        </w:rPr>
        <w:t>ocl</w:t>
      </w:r>
      <w:proofErr w:type="spellEnd"/>
      <w:r w:rsidRPr="00353EAE">
        <w:rPr>
          <w:rFonts w:ascii="Arial" w:hAnsi="Arial" w:cs="Arial"/>
          <w:sz w:val="20"/>
          <w:szCs w:val="20"/>
          <w:lang w:val="en-US"/>
        </w:rPr>
        <w:t>/2021004</w:t>
      </w:r>
    </w:p>
    <w:p w14:paraId="6F557EAC" w14:textId="77777777" w:rsidR="0001033E" w:rsidRDefault="0001033E" w:rsidP="00353EAE">
      <w:pPr>
        <w:spacing w:line="276" w:lineRule="auto"/>
        <w:jc w:val="both"/>
        <w:rPr>
          <w:rFonts w:ascii="Arial" w:hAnsi="Arial" w:cs="Arial"/>
          <w:sz w:val="20"/>
          <w:szCs w:val="20"/>
        </w:rPr>
      </w:pPr>
    </w:p>
    <w:p w14:paraId="062C0F8C" w14:textId="635D1233" w:rsidR="0001033E" w:rsidRDefault="0001033E" w:rsidP="0001033E">
      <w:pPr>
        <w:spacing w:line="276" w:lineRule="auto"/>
        <w:jc w:val="both"/>
        <w:rPr>
          <w:rFonts w:ascii="Arial" w:hAnsi="Arial" w:cs="Arial"/>
          <w:sz w:val="20"/>
          <w:szCs w:val="20"/>
        </w:rPr>
      </w:pPr>
      <w:proofErr w:type="spellStart"/>
      <w:r w:rsidRPr="00AB71E0">
        <w:rPr>
          <w:rFonts w:ascii="Arial" w:hAnsi="Arial" w:cs="Arial"/>
          <w:sz w:val="20"/>
          <w:szCs w:val="20"/>
        </w:rPr>
        <w:t>Kephe</w:t>
      </w:r>
      <w:proofErr w:type="spellEnd"/>
      <w:r w:rsidRPr="00AB71E0">
        <w:rPr>
          <w:rFonts w:ascii="Arial" w:hAnsi="Arial" w:cs="Arial"/>
          <w:sz w:val="20"/>
          <w:szCs w:val="20"/>
        </w:rPr>
        <w:t xml:space="preserve">, P. N., Siewe, L. C., Lekalakala, R. G., Kwabena, A. K., and Petja, B. M. (2022). </w:t>
      </w:r>
      <w:r w:rsidRPr="00AB71E0">
        <w:rPr>
          <w:rFonts w:ascii="Arial" w:hAnsi="Arial" w:cs="Arial"/>
          <w:sz w:val="20"/>
          <w:szCs w:val="20"/>
        </w:rPr>
        <w:tab/>
        <w:t xml:space="preserve">Optimizing smallholder farmers’ productivity through crop selection, targeting and prioritization framework in the Limpopo and Free State provinces, South Africa. Front. </w:t>
      </w:r>
      <w:r w:rsidRPr="00AB71E0">
        <w:rPr>
          <w:rFonts w:ascii="Arial" w:hAnsi="Arial" w:cs="Arial"/>
          <w:sz w:val="20"/>
          <w:szCs w:val="20"/>
        </w:rPr>
        <w:tab/>
        <w:t xml:space="preserve">Sustain. Food Syst. 6:738267. </w:t>
      </w:r>
      <w:proofErr w:type="spellStart"/>
      <w:r w:rsidRPr="00AB71E0">
        <w:rPr>
          <w:rFonts w:ascii="Arial" w:hAnsi="Arial" w:cs="Arial"/>
          <w:sz w:val="20"/>
          <w:szCs w:val="20"/>
        </w:rPr>
        <w:t>doi</w:t>
      </w:r>
      <w:proofErr w:type="spellEnd"/>
      <w:r w:rsidRPr="00AB71E0">
        <w:rPr>
          <w:rFonts w:ascii="Arial" w:hAnsi="Arial" w:cs="Arial"/>
          <w:sz w:val="20"/>
          <w:szCs w:val="20"/>
        </w:rPr>
        <w:t>: 10.3389/fsufs.2022. 738267</w:t>
      </w:r>
    </w:p>
    <w:p w14:paraId="252AA97C" w14:textId="77777777" w:rsidR="0001033E" w:rsidRPr="00353EAE" w:rsidRDefault="0001033E" w:rsidP="0001033E">
      <w:pPr>
        <w:spacing w:line="276" w:lineRule="auto"/>
        <w:jc w:val="both"/>
        <w:rPr>
          <w:rFonts w:ascii="Arial" w:hAnsi="Arial" w:cs="Arial"/>
          <w:sz w:val="20"/>
          <w:szCs w:val="20"/>
        </w:rPr>
      </w:pPr>
    </w:p>
    <w:p w14:paraId="1D920ABF" w14:textId="77777777" w:rsidR="0001033E" w:rsidRPr="00AB71E0" w:rsidRDefault="0001033E" w:rsidP="00353EAE">
      <w:pPr>
        <w:spacing w:line="276" w:lineRule="auto"/>
        <w:jc w:val="both"/>
        <w:rPr>
          <w:rFonts w:ascii="Arial" w:hAnsi="Arial" w:cs="Arial"/>
          <w:sz w:val="20"/>
          <w:szCs w:val="20"/>
        </w:rPr>
      </w:pPr>
      <w:r w:rsidRPr="00AB71E0">
        <w:rPr>
          <w:rFonts w:ascii="Arial" w:hAnsi="Arial" w:cs="Arial"/>
          <w:sz w:val="20"/>
          <w:szCs w:val="20"/>
        </w:rPr>
        <w:t xml:space="preserve">Kumar, A., Singh, D., and Mahapatra, S. K. (2022). Energy and carbon budgeting of the pearl millet-wheat cropping system for environmentally sustainable agricultural land use planning in the rainfed semi-arid </w:t>
      </w:r>
      <w:proofErr w:type="spellStart"/>
      <w:r w:rsidRPr="00AB71E0">
        <w:rPr>
          <w:rFonts w:ascii="Arial" w:hAnsi="Arial" w:cs="Arial"/>
          <w:sz w:val="20"/>
          <w:szCs w:val="20"/>
        </w:rPr>
        <w:t>agro</w:t>
      </w:r>
      <w:proofErr w:type="spellEnd"/>
      <w:r w:rsidRPr="00AB71E0">
        <w:rPr>
          <w:rFonts w:ascii="Arial" w:hAnsi="Arial" w:cs="Arial"/>
          <w:sz w:val="20"/>
          <w:szCs w:val="20"/>
        </w:rPr>
        <w:t xml:space="preserve">-ecosystem of Aravalli foothills. Energy 246:123389. </w:t>
      </w:r>
      <w:proofErr w:type="spellStart"/>
      <w:r w:rsidRPr="00AB71E0">
        <w:rPr>
          <w:rFonts w:ascii="Arial" w:hAnsi="Arial" w:cs="Arial"/>
          <w:sz w:val="20"/>
          <w:szCs w:val="20"/>
        </w:rPr>
        <w:t>doi</w:t>
      </w:r>
      <w:proofErr w:type="spellEnd"/>
      <w:r w:rsidRPr="00AB71E0">
        <w:rPr>
          <w:rFonts w:ascii="Arial" w:hAnsi="Arial" w:cs="Arial"/>
          <w:sz w:val="20"/>
          <w:szCs w:val="20"/>
        </w:rPr>
        <w:t>: 10.1016/j.energy.2022.123389</w:t>
      </w:r>
    </w:p>
    <w:p w14:paraId="4AA2488D" w14:textId="77777777" w:rsidR="0001033E" w:rsidRDefault="0001033E" w:rsidP="00353EAE">
      <w:pPr>
        <w:jc w:val="both"/>
        <w:rPr>
          <w:rFonts w:ascii="Arial" w:hAnsi="Arial" w:cs="Arial"/>
          <w:sz w:val="20"/>
          <w:szCs w:val="20"/>
        </w:rPr>
      </w:pPr>
    </w:p>
    <w:p w14:paraId="371A1355" w14:textId="62C56AE2" w:rsidR="0001033E" w:rsidRPr="00353EAE" w:rsidRDefault="0001033E" w:rsidP="00353EAE">
      <w:pPr>
        <w:jc w:val="both"/>
        <w:rPr>
          <w:rFonts w:ascii="Arial" w:hAnsi="Arial" w:cs="Arial"/>
          <w:sz w:val="20"/>
          <w:szCs w:val="20"/>
          <w:lang w:val="en-US"/>
        </w:rPr>
      </w:pPr>
      <w:r w:rsidRPr="00353EAE">
        <w:rPr>
          <w:rFonts w:ascii="Arial" w:hAnsi="Arial" w:cs="Arial"/>
          <w:sz w:val="20"/>
          <w:szCs w:val="20"/>
          <w:lang w:val="en-US"/>
        </w:rPr>
        <w:t xml:space="preserve">Kumar, K. R., </w:t>
      </w:r>
      <w:proofErr w:type="spellStart"/>
      <w:r w:rsidRPr="00353EAE">
        <w:rPr>
          <w:rFonts w:ascii="Arial" w:hAnsi="Arial" w:cs="Arial"/>
          <w:sz w:val="20"/>
          <w:szCs w:val="20"/>
          <w:lang w:val="en-US"/>
        </w:rPr>
        <w:t>Dashora</w:t>
      </w:r>
      <w:proofErr w:type="spellEnd"/>
      <w:r w:rsidRPr="00353EAE">
        <w:rPr>
          <w:rFonts w:ascii="Arial" w:hAnsi="Arial" w:cs="Arial"/>
          <w:sz w:val="20"/>
          <w:szCs w:val="20"/>
          <w:lang w:val="en-US"/>
        </w:rPr>
        <w:t>, K., Kumar, S., Dharmaraja, S., Sanyal, S., Aditya, K., et al.</w:t>
      </w:r>
      <w:r>
        <w:rPr>
          <w:rFonts w:ascii="Arial" w:hAnsi="Arial" w:cs="Arial"/>
          <w:sz w:val="20"/>
          <w:szCs w:val="20"/>
          <w:lang w:val="en-US"/>
        </w:rPr>
        <w:t xml:space="preserve"> </w:t>
      </w:r>
      <w:r w:rsidRPr="00353EAE">
        <w:rPr>
          <w:rFonts w:ascii="Arial" w:hAnsi="Arial" w:cs="Arial"/>
          <w:sz w:val="20"/>
          <w:szCs w:val="20"/>
          <w:lang w:val="en-US"/>
        </w:rPr>
        <w:t>(2023). A review of drying technology in tea sector of industrial, non-conventional</w:t>
      </w:r>
      <w:r>
        <w:rPr>
          <w:rFonts w:ascii="Arial" w:hAnsi="Arial" w:cs="Arial"/>
          <w:sz w:val="20"/>
          <w:szCs w:val="20"/>
          <w:lang w:val="en-US"/>
        </w:rPr>
        <w:t xml:space="preserve"> </w:t>
      </w:r>
      <w:r w:rsidRPr="00353EAE">
        <w:rPr>
          <w:rFonts w:ascii="Arial" w:hAnsi="Arial" w:cs="Arial"/>
          <w:sz w:val="20"/>
          <w:szCs w:val="20"/>
          <w:lang w:val="en-US"/>
        </w:rPr>
        <w:t xml:space="preserve">and renewable energy based drying systems. Appl. Therm. Eng. 224:120118. </w:t>
      </w:r>
      <w:proofErr w:type="spellStart"/>
      <w:r w:rsidRPr="00353EAE">
        <w:rPr>
          <w:rFonts w:ascii="Arial" w:hAnsi="Arial" w:cs="Arial"/>
          <w:sz w:val="20"/>
          <w:szCs w:val="20"/>
          <w:lang w:val="en-US"/>
        </w:rPr>
        <w:t>doi</w:t>
      </w:r>
      <w:proofErr w:type="spellEnd"/>
      <w:r w:rsidRPr="00353EAE">
        <w:rPr>
          <w:rFonts w:ascii="Arial" w:hAnsi="Arial" w:cs="Arial"/>
          <w:sz w:val="20"/>
          <w:szCs w:val="20"/>
          <w:lang w:val="en-US"/>
        </w:rPr>
        <w:t>:</w:t>
      </w:r>
      <w:r>
        <w:rPr>
          <w:rFonts w:ascii="Arial" w:hAnsi="Arial" w:cs="Arial"/>
          <w:sz w:val="20"/>
          <w:szCs w:val="20"/>
          <w:lang w:val="en-US"/>
        </w:rPr>
        <w:t xml:space="preserve"> </w:t>
      </w:r>
      <w:r w:rsidRPr="00353EAE">
        <w:rPr>
          <w:rFonts w:ascii="Arial" w:hAnsi="Arial" w:cs="Arial"/>
          <w:sz w:val="20"/>
          <w:szCs w:val="20"/>
          <w:lang w:val="en-US"/>
        </w:rPr>
        <w:t>10.1016/j.applthermaleng.2023.120118</w:t>
      </w:r>
    </w:p>
    <w:p w14:paraId="236CA0C7" w14:textId="77777777" w:rsidR="0001033E" w:rsidRDefault="0001033E" w:rsidP="00353EAE">
      <w:pPr>
        <w:jc w:val="both"/>
        <w:rPr>
          <w:rFonts w:ascii="Arial" w:hAnsi="Arial" w:cs="Arial"/>
          <w:sz w:val="20"/>
          <w:szCs w:val="20"/>
          <w:lang w:val="en-US"/>
        </w:rPr>
      </w:pPr>
    </w:p>
    <w:p w14:paraId="7E64649D" w14:textId="4EC62B01" w:rsidR="0001033E" w:rsidRPr="00353EAE" w:rsidRDefault="0001033E" w:rsidP="00353EAE">
      <w:pPr>
        <w:jc w:val="both"/>
        <w:rPr>
          <w:rFonts w:ascii="Arial" w:hAnsi="Arial" w:cs="Arial"/>
          <w:sz w:val="20"/>
          <w:szCs w:val="20"/>
          <w:lang w:val="en-US"/>
        </w:rPr>
      </w:pPr>
      <w:r w:rsidRPr="00353EAE">
        <w:rPr>
          <w:rFonts w:ascii="Arial" w:hAnsi="Arial" w:cs="Arial"/>
          <w:sz w:val="20"/>
          <w:szCs w:val="20"/>
          <w:lang w:val="en-US"/>
        </w:rPr>
        <w:t xml:space="preserve">Kumar, R., </w:t>
      </w:r>
      <w:proofErr w:type="spellStart"/>
      <w:r w:rsidRPr="00353EAE">
        <w:rPr>
          <w:rFonts w:ascii="Arial" w:hAnsi="Arial" w:cs="Arial"/>
          <w:sz w:val="20"/>
          <w:szCs w:val="20"/>
          <w:lang w:val="en-US"/>
        </w:rPr>
        <w:t>Dashora</w:t>
      </w:r>
      <w:proofErr w:type="spellEnd"/>
      <w:r w:rsidRPr="00353EAE">
        <w:rPr>
          <w:rFonts w:ascii="Arial" w:hAnsi="Arial" w:cs="Arial"/>
          <w:sz w:val="20"/>
          <w:szCs w:val="20"/>
          <w:lang w:val="en-US"/>
        </w:rPr>
        <w:t>, K., Krishnan, N., Sanyal, S., Chandra, H., Dharmaraja, S., et al.</w:t>
      </w:r>
      <w:r>
        <w:rPr>
          <w:rFonts w:ascii="Arial" w:hAnsi="Arial" w:cs="Arial"/>
          <w:sz w:val="20"/>
          <w:szCs w:val="20"/>
          <w:lang w:val="en-US"/>
        </w:rPr>
        <w:t xml:space="preserve"> </w:t>
      </w:r>
      <w:r w:rsidRPr="00353EAE">
        <w:rPr>
          <w:rFonts w:ascii="Arial" w:hAnsi="Arial" w:cs="Arial"/>
          <w:sz w:val="20"/>
          <w:szCs w:val="20"/>
          <w:lang w:val="en-US"/>
        </w:rPr>
        <w:t>(2021). Feasibility assessment of renewable energy resources for tea plantation and</w:t>
      </w:r>
      <w:r>
        <w:rPr>
          <w:rFonts w:ascii="Arial" w:hAnsi="Arial" w:cs="Arial"/>
          <w:sz w:val="20"/>
          <w:szCs w:val="20"/>
          <w:lang w:val="en-US"/>
        </w:rPr>
        <w:t xml:space="preserve"> </w:t>
      </w:r>
      <w:r w:rsidRPr="00353EAE">
        <w:rPr>
          <w:rFonts w:ascii="Arial" w:hAnsi="Arial" w:cs="Arial"/>
          <w:sz w:val="20"/>
          <w:szCs w:val="20"/>
          <w:lang w:val="en-US"/>
        </w:rPr>
        <w:t xml:space="preserve">industry in India—a review. Renew. Sust. </w:t>
      </w:r>
      <w:proofErr w:type="spellStart"/>
      <w:r w:rsidRPr="00353EAE">
        <w:rPr>
          <w:rFonts w:ascii="Arial" w:hAnsi="Arial" w:cs="Arial"/>
          <w:sz w:val="20"/>
          <w:szCs w:val="20"/>
          <w:lang w:val="en-US"/>
        </w:rPr>
        <w:t>Energ</w:t>
      </w:r>
      <w:proofErr w:type="spellEnd"/>
      <w:r w:rsidRPr="00353EAE">
        <w:rPr>
          <w:rFonts w:ascii="Arial" w:hAnsi="Arial" w:cs="Arial"/>
          <w:sz w:val="20"/>
          <w:szCs w:val="20"/>
          <w:lang w:val="en-US"/>
        </w:rPr>
        <w:t xml:space="preserve">. Rev. 145:111083. </w:t>
      </w:r>
      <w:proofErr w:type="spellStart"/>
      <w:r w:rsidRPr="00353EAE">
        <w:rPr>
          <w:rFonts w:ascii="Arial" w:hAnsi="Arial" w:cs="Arial"/>
          <w:sz w:val="20"/>
          <w:szCs w:val="20"/>
          <w:lang w:val="en-US"/>
        </w:rPr>
        <w:t>doi</w:t>
      </w:r>
      <w:proofErr w:type="spellEnd"/>
      <w:r w:rsidRPr="00353EAE">
        <w:rPr>
          <w:rFonts w:ascii="Arial" w:hAnsi="Arial" w:cs="Arial"/>
          <w:sz w:val="20"/>
          <w:szCs w:val="20"/>
          <w:lang w:val="en-US"/>
        </w:rPr>
        <w:t>: 10.1016/j.</w:t>
      </w:r>
      <w:r>
        <w:rPr>
          <w:rFonts w:ascii="Arial" w:hAnsi="Arial" w:cs="Arial"/>
          <w:sz w:val="20"/>
          <w:szCs w:val="20"/>
          <w:lang w:val="en-US"/>
        </w:rPr>
        <w:t xml:space="preserve"> </w:t>
      </w:r>
      <w:r w:rsidRPr="00353EAE">
        <w:rPr>
          <w:rFonts w:ascii="Arial" w:hAnsi="Arial" w:cs="Arial"/>
          <w:sz w:val="20"/>
          <w:szCs w:val="20"/>
          <w:lang w:val="en-US"/>
        </w:rPr>
        <w:t>rser.2021.111083</w:t>
      </w:r>
    </w:p>
    <w:p w14:paraId="2BC1DEE7" w14:textId="77777777" w:rsidR="0001033E" w:rsidRDefault="0001033E" w:rsidP="00353EAE">
      <w:pPr>
        <w:jc w:val="both"/>
        <w:rPr>
          <w:rFonts w:ascii="Arial" w:hAnsi="Arial" w:cs="Arial"/>
          <w:sz w:val="20"/>
          <w:szCs w:val="20"/>
        </w:rPr>
      </w:pPr>
    </w:p>
    <w:p w14:paraId="59AF890B" w14:textId="50CB8BE0" w:rsidR="0001033E" w:rsidRPr="00353EAE" w:rsidRDefault="0001033E" w:rsidP="00353EAE">
      <w:pPr>
        <w:jc w:val="both"/>
        <w:rPr>
          <w:rFonts w:ascii="Arial" w:hAnsi="Arial" w:cs="Arial"/>
          <w:sz w:val="20"/>
          <w:szCs w:val="20"/>
          <w:lang w:val="en-US"/>
        </w:rPr>
      </w:pPr>
      <w:r w:rsidRPr="00353EAE">
        <w:rPr>
          <w:rFonts w:ascii="Arial" w:hAnsi="Arial" w:cs="Arial"/>
          <w:sz w:val="20"/>
          <w:szCs w:val="20"/>
          <w:lang w:val="en-US"/>
        </w:rPr>
        <w:t xml:space="preserve">Kumari, V., Chandra, H., Aditya, K., Kumar, K. R., </w:t>
      </w:r>
      <w:proofErr w:type="spellStart"/>
      <w:r w:rsidRPr="00353EAE">
        <w:rPr>
          <w:rFonts w:ascii="Arial" w:hAnsi="Arial" w:cs="Arial"/>
          <w:sz w:val="20"/>
          <w:szCs w:val="20"/>
          <w:lang w:val="en-US"/>
        </w:rPr>
        <w:t>Dashora</w:t>
      </w:r>
      <w:proofErr w:type="spellEnd"/>
      <w:r w:rsidRPr="00353EAE">
        <w:rPr>
          <w:rFonts w:ascii="Arial" w:hAnsi="Arial" w:cs="Arial"/>
          <w:sz w:val="20"/>
          <w:szCs w:val="20"/>
          <w:lang w:val="en-US"/>
        </w:rPr>
        <w:t>, K., Krishnan, N., et al.</w:t>
      </w:r>
      <w:r>
        <w:rPr>
          <w:rFonts w:ascii="Arial" w:hAnsi="Arial" w:cs="Arial"/>
          <w:sz w:val="20"/>
          <w:szCs w:val="20"/>
          <w:lang w:val="en-US"/>
        </w:rPr>
        <w:t xml:space="preserve"> </w:t>
      </w:r>
      <w:r w:rsidRPr="00353EAE">
        <w:rPr>
          <w:rFonts w:ascii="Arial" w:hAnsi="Arial" w:cs="Arial"/>
          <w:sz w:val="20"/>
          <w:szCs w:val="20"/>
          <w:lang w:val="en-US"/>
        </w:rPr>
        <w:t>(2021). Feasibility study on renewable energy system in tea (Camellia sinensis) estates</w:t>
      </w:r>
      <w:r>
        <w:rPr>
          <w:rFonts w:ascii="Arial" w:hAnsi="Arial" w:cs="Arial"/>
          <w:sz w:val="20"/>
          <w:szCs w:val="20"/>
          <w:lang w:val="en-US"/>
        </w:rPr>
        <w:t xml:space="preserve"> </w:t>
      </w:r>
      <w:r w:rsidRPr="00353EAE">
        <w:rPr>
          <w:rFonts w:ascii="Arial" w:hAnsi="Arial" w:cs="Arial"/>
          <w:sz w:val="20"/>
          <w:szCs w:val="20"/>
          <w:lang w:val="en-US"/>
        </w:rPr>
        <w:t xml:space="preserve">of north-east India. Indian J. Agric. Sci. 91, 1631–1635. </w:t>
      </w:r>
      <w:proofErr w:type="spellStart"/>
      <w:r w:rsidRPr="00353EAE">
        <w:rPr>
          <w:rFonts w:ascii="Arial" w:hAnsi="Arial" w:cs="Arial"/>
          <w:sz w:val="20"/>
          <w:szCs w:val="20"/>
          <w:lang w:val="en-US"/>
        </w:rPr>
        <w:t>doi</w:t>
      </w:r>
      <w:proofErr w:type="spellEnd"/>
      <w:r w:rsidRPr="00353EAE">
        <w:rPr>
          <w:rFonts w:ascii="Arial" w:hAnsi="Arial" w:cs="Arial"/>
          <w:sz w:val="20"/>
          <w:szCs w:val="20"/>
          <w:lang w:val="en-US"/>
        </w:rPr>
        <w:t>: 10.56093/</w:t>
      </w:r>
      <w:proofErr w:type="spellStart"/>
      <w:r w:rsidRPr="00353EAE">
        <w:rPr>
          <w:rFonts w:ascii="Arial" w:hAnsi="Arial" w:cs="Arial"/>
          <w:sz w:val="20"/>
          <w:szCs w:val="20"/>
          <w:lang w:val="en-US"/>
        </w:rPr>
        <w:t>ijas</w:t>
      </w:r>
      <w:proofErr w:type="spellEnd"/>
      <w:r w:rsidRPr="00353EAE">
        <w:rPr>
          <w:rFonts w:ascii="Arial" w:hAnsi="Arial" w:cs="Arial"/>
          <w:sz w:val="20"/>
          <w:szCs w:val="20"/>
          <w:lang w:val="en-US"/>
        </w:rPr>
        <w:t>.</w:t>
      </w:r>
      <w:r>
        <w:rPr>
          <w:rFonts w:ascii="Arial" w:hAnsi="Arial" w:cs="Arial"/>
          <w:sz w:val="20"/>
          <w:szCs w:val="20"/>
          <w:lang w:val="en-US"/>
        </w:rPr>
        <w:t xml:space="preserve"> </w:t>
      </w:r>
      <w:r w:rsidRPr="00353EAE">
        <w:rPr>
          <w:rFonts w:ascii="Arial" w:hAnsi="Arial" w:cs="Arial"/>
          <w:sz w:val="20"/>
          <w:szCs w:val="20"/>
          <w:lang w:val="en-US"/>
        </w:rPr>
        <w:t>v91i11.118574</w:t>
      </w:r>
    </w:p>
    <w:p w14:paraId="21809792" w14:textId="77777777" w:rsidR="0001033E" w:rsidRDefault="0001033E" w:rsidP="00353EAE">
      <w:pPr>
        <w:jc w:val="both"/>
        <w:rPr>
          <w:rFonts w:ascii="Arial" w:hAnsi="Arial" w:cs="Arial"/>
          <w:sz w:val="20"/>
          <w:szCs w:val="20"/>
          <w:lang w:val="en-US"/>
        </w:rPr>
      </w:pPr>
    </w:p>
    <w:p w14:paraId="3E295C37" w14:textId="4791052E" w:rsidR="0001033E" w:rsidRPr="00353EAE" w:rsidRDefault="0001033E" w:rsidP="00353EAE">
      <w:pPr>
        <w:jc w:val="both"/>
        <w:rPr>
          <w:rFonts w:ascii="Arial" w:hAnsi="Arial" w:cs="Arial"/>
          <w:sz w:val="20"/>
          <w:szCs w:val="20"/>
          <w:lang w:val="en-US"/>
        </w:rPr>
      </w:pPr>
      <w:r w:rsidRPr="00353EAE">
        <w:rPr>
          <w:rFonts w:ascii="Arial" w:hAnsi="Arial" w:cs="Arial"/>
          <w:sz w:val="20"/>
          <w:szCs w:val="20"/>
          <w:lang w:val="en-US"/>
        </w:rPr>
        <w:t xml:space="preserve">Mitra, R., and </w:t>
      </w:r>
      <w:proofErr w:type="spellStart"/>
      <w:r w:rsidRPr="00353EAE">
        <w:rPr>
          <w:rFonts w:ascii="Arial" w:hAnsi="Arial" w:cs="Arial"/>
          <w:sz w:val="20"/>
          <w:szCs w:val="20"/>
          <w:lang w:val="en-US"/>
        </w:rPr>
        <w:t>Totan</w:t>
      </w:r>
      <w:proofErr w:type="spellEnd"/>
      <w:r w:rsidRPr="00353EAE">
        <w:rPr>
          <w:rFonts w:ascii="Arial" w:hAnsi="Arial" w:cs="Arial"/>
          <w:sz w:val="20"/>
          <w:szCs w:val="20"/>
          <w:lang w:val="en-US"/>
        </w:rPr>
        <w:t>, S. (2016). An energy audit in a tea manufacturing industry at</w:t>
      </w:r>
      <w:r>
        <w:rPr>
          <w:rFonts w:ascii="Arial" w:hAnsi="Arial" w:cs="Arial"/>
          <w:sz w:val="20"/>
          <w:szCs w:val="20"/>
          <w:lang w:val="en-US"/>
        </w:rPr>
        <w:t xml:space="preserve"> </w:t>
      </w:r>
      <w:r w:rsidRPr="00353EAE">
        <w:rPr>
          <w:rFonts w:ascii="Arial" w:hAnsi="Arial" w:cs="Arial"/>
          <w:sz w:val="20"/>
          <w:szCs w:val="20"/>
          <w:lang w:val="en-US"/>
        </w:rPr>
        <w:t xml:space="preserve">North Bengal, India. Int. Res. J. Eng. Technol. 5, 83–89. </w:t>
      </w:r>
      <w:proofErr w:type="spellStart"/>
      <w:r w:rsidRPr="00353EAE">
        <w:rPr>
          <w:rFonts w:ascii="Arial" w:hAnsi="Arial" w:cs="Arial"/>
          <w:sz w:val="20"/>
          <w:szCs w:val="20"/>
          <w:lang w:val="en-US"/>
        </w:rPr>
        <w:t>doi</w:t>
      </w:r>
      <w:proofErr w:type="spellEnd"/>
      <w:r w:rsidRPr="00353EAE">
        <w:rPr>
          <w:rFonts w:ascii="Arial" w:hAnsi="Arial" w:cs="Arial"/>
          <w:sz w:val="20"/>
          <w:szCs w:val="20"/>
          <w:lang w:val="en-US"/>
        </w:rPr>
        <w:t>: 10.15623/</w:t>
      </w:r>
      <w:r>
        <w:rPr>
          <w:rFonts w:ascii="Arial" w:hAnsi="Arial" w:cs="Arial"/>
          <w:sz w:val="20"/>
          <w:szCs w:val="20"/>
          <w:lang w:val="en-US"/>
        </w:rPr>
        <w:t xml:space="preserve"> </w:t>
      </w:r>
      <w:r w:rsidRPr="00353EAE">
        <w:rPr>
          <w:rFonts w:ascii="Arial" w:hAnsi="Arial" w:cs="Arial"/>
          <w:sz w:val="20"/>
          <w:szCs w:val="20"/>
          <w:lang w:val="en-US"/>
        </w:rPr>
        <w:t>ijret.2016.0506017</w:t>
      </w:r>
    </w:p>
    <w:p w14:paraId="53C36F10" w14:textId="5D43780E" w:rsidR="0001033E" w:rsidRPr="00AB71E0" w:rsidRDefault="0001033E" w:rsidP="00353EAE">
      <w:pPr>
        <w:spacing w:line="276" w:lineRule="auto"/>
        <w:jc w:val="both"/>
        <w:rPr>
          <w:rFonts w:ascii="Arial" w:hAnsi="Arial" w:cs="Arial"/>
          <w:color w:val="222222"/>
          <w:sz w:val="20"/>
          <w:szCs w:val="20"/>
          <w:shd w:val="clear" w:color="auto" w:fill="FFFFFF"/>
        </w:rPr>
      </w:pPr>
      <w:r w:rsidRPr="00AB71E0">
        <w:rPr>
          <w:rFonts w:ascii="Arial" w:hAnsi="Arial" w:cs="Arial"/>
          <w:color w:val="222222"/>
          <w:sz w:val="20"/>
          <w:szCs w:val="20"/>
          <w:shd w:val="clear" w:color="auto" w:fill="FFFFFF"/>
        </w:rPr>
        <w:t xml:space="preserve">Niyonzima, T., </w:t>
      </w:r>
      <w:proofErr w:type="spellStart"/>
      <w:r w:rsidRPr="00AB71E0">
        <w:rPr>
          <w:rFonts w:ascii="Arial" w:hAnsi="Arial" w:cs="Arial"/>
          <w:color w:val="222222"/>
          <w:sz w:val="20"/>
          <w:szCs w:val="20"/>
          <w:shd w:val="clear" w:color="auto" w:fill="FFFFFF"/>
        </w:rPr>
        <w:t>Nduwamungu</w:t>
      </w:r>
      <w:proofErr w:type="spellEnd"/>
      <w:r w:rsidRPr="00AB71E0">
        <w:rPr>
          <w:rFonts w:ascii="Arial" w:hAnsi="Arial" w:cs="Arial"/>
          <w:color w:val="222222"/>
          <w:sz w:val="20"/>
          <w:szCs w:val="20"/>
          <w:shd w:val="clear" w:color="auto" w:fill="FFFFFF"/>
        </w:rPr>
        <w:t xml:space="preserve">, J., </w:t>
      </w:r>
      <w:proofErr w:type="spellStart"/>
      <w:r w:rsidRPr="00AB71E0">
        <w:rPr>
          <w:rFonts w:ascii="Arial" w:hAnsi="Arial" w:cs="Arial"/>
          <w:color w:val="222222"/>
          <w:sz w:val="20"/>
          <w:szCs w:val="20"/>
          <w:shd w:val="clear" w:color="auto" w:fill="FFFFFF"/>
        </w:rPr>
        <w:t>Izerimana</w:t>
      </w:r>
      <w:proofErr w:type="spellEnd"/>
      <w:r w:rsidRPr="00AB71E0">
        <w:rPr>
          <w:rFonts w:ascii="Arial" w:hAnsi="Arial" w:cs="Arial"/>
          <w:color w:val="222222"/>
          <w:sz w:val="20"/>
          <w:szCs w:val="20"/>
          <w:shd w:val="clear" w:color="auto" w:fill="FFFFFF"/>
        </w:rPr>
        <w:t xml:space="preserve">, E., </w:t>
      </w:r>
      <w:proofErr w:type="spellStart"/>
      <w:r w:rsidRPr="00AB71E0">
        <w:rPr>
          <w:rFonts w:ascii="Arial" w:hAnsi="Arial" w:cs="Arial"/>
          <w:color w:val="222222"/>
          <w:sz w:val="20"/>
          <w:szCs w:val="20"/>
          <w:shd w:val="clear" w:color="auto" w:fill="FFFFFF"/>
        </w:rPr>
        <w:t>Maniraho</w:t>
      </w:r>
      <w:proofErr w:type="spellEnd"/>
      <w:r w:rsidRPr="00AB71E0">
        <w:rPr>
          <w:rFonts w:ascii="Arial" w:hAnsi="Arial" w:cs="Arial"/>
          <w:color w:val="222222"/>
          <w:sz w:val="20"/>
          <w:szCs w:val="20"/>
          <w:shd w:val="clear" w:color="auto" w:fill="FFFFFF"/>
        </w:rPr>
        <w:t xml:space="preserve">, L., &amp; </w:t>
      </w:r>
      <w:proofErr w:type="spellStart"/>
      <w:r w:rsidRPr="00AB71E0">
        <w:rPr>
          <w:rFonts w:ascii="Arial" w:hAnsi="Arial" w:cs="Arial"/>
          <w:color w:val="222222"/>
          <w:sz w:val="20"/>
          <w:szCs w:val="20"/>
          <w:shd w:val="clear" w:color="auto" w:fill="FFFFFF"/>
        </w:rPr>
        <w:t>Habiyaremye</w:t>
      </w:r>
      <w:proofErr w:type="spellEnd"/>
      <w:r w:rsidRPr="00AB71E0">
        <w:rPr>
          <w:rFonts w:ascii="Arial" w:hAnsi="Arial" w:cs="Arial"/>
          <w:color w:val="222222"/>
          <w:sz w:val="20"/>
          <w:szCs w:val="20"/>
          <w:shd w:val="clear" w:color="auto" w:fill="FFFFFF"/>
        </w:rPr>
        <w:t xml:space="preserve">, G. (2020). </w:t>
      </w:r>
      <w:r w:rsidRPr="00AB71E0">
        <w:rPr>
          <w:rFonts w:ascii="Arial" w:hAnsi="Arial" w:cs="Arial"/>
          <w:color w:val="222222"/>
          <w:sz w:val="20"/>
          <w:szCs w:val="20"/>
          <w:shd w:val="clear" w:color="auto" w:fill="FFFFFF"/>
        </w:rPr>
        <w:tab/>
        <w:t xml:space="preserve">Estimation of carbon footprint of tea products at </w:t>
      </w:r>
      <w:proofErr w:type="spellStart"/>
      <w:r w:rsidRPr="00AB71E0">
        <w:rPr>
          <w:rFonts w:ascii="Arial" w:hAnsi="Arial" w:cs="Arial"/>
          <w:color w:val="222222"/>
          <w:sz w:val="20"/>
          <w:szCs w:val="20"/>
          <w:shd w:val="clear" w:color="auto" w:fill="FFFFFF"/>
        </w:rPr>
        <w:t>nyabihu</w:t>
      </w:r>
      <w:proofErr w:type="spellEnd"/>
      <w:r w:rsidRPr="00AB71E0">
        <w:rPr>
          <w:rFonts w:ascii="Arial" w:hAnsi="Arial" w:cs="Arial"/>
          <w:color w:val="222222"/>
          <w:sz w:val="20"/>
          <w:szCs w:val="20"/>
          <w:shd w:val="clear" w:color="auto" w:fill="FFFFFF"/>
        </w:rPr>
        <w:t xml:space="preserve"> tea factory, Western Province-Rwanda.</w:t>
      </w:r>
      <w:r w:rsidRPr="00AB71E0">
        <w:rPr>
          <w:rStyle w:val="apple-converted-space"/>
          <w:rFonts w:ascii="Arial" w:hAnsi="Arial" w:cs="Arial"/>
          <w:color w:val="222222"/>
          <w:sz w:val="20"/>
          <w:szCs w:val="20"/>
          <w:shd w:val="clear" w:color="auto" w:fill="FFFFFF"/>
        </w:rPr>
        <w:t> </w:t>
      </w:r>
      <w:r w:rsidRPr="00AB71E0">
        <w:rPr>
          <w:rFonts w:ascii="Arial" w:hAnsi="Arial" w:cs="Arial"/>
          <w:i/>
          <w:iCs/>
          <w:color w:val="222222"/>
          <w:sz w:val="20"/>
          <w:szCs w:val="20"/>
        </w:rPr>
        <w:t>International Journal of Development Research</w:t>
      </w:r>
      <w:r w:rsidRPr="00AB71E0">
        <w:rPr>
          <w:rFonts w:ascii="Arial" w:hAnsi="Arial" w:cs="Arial"/>
          <w:color w:val="222222"/>
          <w:sz w:val="20"/>
          <w:szCs w:val="20"/>
          <w:shd w:val="clear" w:color="auto" w:fill="FFFFFF"/>
        </w:rPr>
        <w:t>,</w:t>
      </w:r>
      <w:r w:rsidRPr="00AB71E0">
        <w:rPr>
          <w:rStyle w:val="apple-converted-space"/>
          <w:rFonts w:ascii="Arial" w:hAnsi="Arial" w:cs="Arial"/>
          <w:color w:val="222222"/>
          <w:sz w:val="20"/>
          <w:szCs w:val="20"/>
          <w:shd w:val="clear" w:color="auto" w:fill="FFFFFF"/>
        </w:rPr>
        <w:t> </w:t>
      </w:r>
      <w:r w:rsidRPr="00AB71E0">
        <w:rPr>
          <w:rFonts w:ascii="Arial" w:hAnsi="Arial" w:cs="Arial"/>
          <w:i/>
          <w:iCs/>
          <w:color w:val="222222"/>
          <w:sz w:val="20"/>
          <w:szCs w:val="20"/>
        </w:rPr>
        <w:t>10</w:t>
      </w:r>
      <w:r w:rsidRPr="00AB71E0">
        <w:rPr>
          <w:rFonts w:ascii="Arial" w:hAnsi="Arial" w:cs="Arial"/>
          <w:color w:val="222222"/>
          <w:sz w:val="20"/>
          <w:szCs w:val="20"/>
          <w:shd w:val="clear" w:color="auto" w:fill="FFFFFF"/>
        </w:rPr>
        <w:t>(03), 34129-34138.</w:t>
      </w:r>
    </w:p>
    <w:p w14:paraId="6965404B" w14:textId="77777777" w:rsidR="0001033E" w:rsidRDefault="0001033E" w:rsidP="00353EAE">
      <w:pPr>
        <w:jc w:val="both"/>
        <w:rPr>
          <w:rFonts w:ascii="Arial" w:hAnsi="Arial" w:cs="Arial"/>
          <w:sz w:val="20"/>
          <w:szCs w:val="20"/>
          <w:lang w:val="en-US"/>
        </w:rPr>
      </w:pPr>
    </w:p>
    <w:p w14:paraId="0B88A4CA" w14:textId="3BF2B70D" w:rsidR="0001033E" w:rsidRPr="00353EAE" w:rsidRDefault="0001033E" w:rsidP="00353EAE">
      <w:pPr>
        <w:jc w:val="both"/>
        <w:rPr>
          <w:rFonts w:ascii="Arial" w:hAnsi="Arial" w:cs="Arial"/>
          <w:sz w:val="20"/>
          <w:szCs w:val="20"/>
          <w:lang w:val="en-US"/>
        </w:rPr>
      </w:pPr>
      <w:r w:rsidRPr="00353EAE">
        <w:rPr>
          <w:rFonts w:ascii="Arial" w:hAnsi="Arial" w:cs="Arial"/>
          <w:sz w:val="20"/>
          <w:szCs w:val="20"/>
          <w:lang w:val="en-US"/>
        </w:rPr>
        <w:t xml:space="preserve">Ozbek, O., </w:t>
      </w:r>
      <w:proofErr w:type="spellStart"/>
      <w:r w:rsidRPr="00353EAE">
        <w:rPr>
          <w:rFonts w:ascii="Arial" w:hAnsi="Arial" w:cs="Arial"/>
          <w:sz w:val="20"/>
          <w:szCs w:val="20"/>
          <w:lang w:val="en-US"/>
        </w:rPr>
        <w:t>Gokdogan</w:t>
      </w:r>
      <w:proofErr w:type="spellEnd"/>
      <w:r w:rsidRPr="00353EAE">
        <w:rPr>
          <w:rFonts w:ascii="Arial" w:hAnsi="Arial" w:cs="Arial"/>
          <w:sz w:val="20"/>
          <w:szCs w:val="20"/>
          <w:lang w:val="en-US"/>
        </w:rPr>
        <w:t>, O., and Baran, M. F. (2021). Investigation on energy use</w:t>
      </w:r>
      <w:r>
        <w:rPr>
          <w:rFonts w:ascii="Arial" w:hAnsi="Arial" w:cs="Arial"/>
          <w:sz w:val="20"/>
          <w:szCs w:val="20"/>
          <w:lang w:val="en-US"/>
        </w:rPr>
        <w:t xml:space="preserve"> </w:t>
      </w:r>
      <w:r w:rsidRPr="00353EAE">
        <w:rPr>
          <w:rFonts w:ascii="Arial" w:hAnsi="Arial" w:cs="Arial"/>
          <w:sz w:val="20"/>
          <w:szCs w:val="20"/>
          <w:lang w:val="en-US"/>
        </w:rPr>
        <w:t>efficiency and greenhouse gas emissions (GHG) of onion cultivation. Fresenius</w:t>
      </w:r>
      <w:r>
        <w:rPr>
          <w:rFonts w:ascii="Arial" w:hAnsi="Arial" w:cs="Arial"/>
          <w:sz w:val="20"/>
          <w:szCs w:val="20"/>
          <w:lang w:val="en-US"/>
        </w:rPr>
        <w:t xml:space="preserve"> </w:t>
      </w:r>
      <w:r w:rsidRPr="00353EAE">
        <w:rPr>
          <w:rFonts w:ascii="Arial" w:hAnsi="Arial" w:cs="Arial"/>
          <w:sz w:val="20"/>
          <w:szCs w:val="20"/>
          <w:lang w:val="en-US"/>
        </w:rPr>
        <w:t>Environ. Bull. 30, 1125–1133.</w:t>
      </w:r>
    </w:p>
    <w:p w14:paraId="1C193767" w14:textId="77777777" w:rsidR="0001033E" w:rsidRDefault="0001033E" w:rsidP="00353EAE">
      <w:pPr>
        <w:jc w:val="both"/>
        <w:rPr>
          <w:rFonts w:ascii="Arial" w:hAnsi="Arial" w:cs="Arial"/>
          <w:sz w:val="20"/>
          <w:szCs w:val="20"/>
          <w:lang w:val="en-US"/>
        </w:rPr>
      </w:pPr>
    </w:p>
    <w:p w14:paraId="1426830C" w14:textId="35A528C1" w:rsidR="0001033E" w:rsidRPr="00353EAE" w:rsidRDefault="0001033E" w:rsidP="00353EAE">
      <w:pPr>
        <w:jc w:val="both"/>
        <w:rPr>
          <w:rFonts w:ascii="Arial" w:hAnsi="Arial" w:cs="Arial"/>
          <w:sz w:val="20"/>
          <w:szCs w:val="20"/>
          <w:lang w:val="en-US"/>
        </w:rPr>
      </w:pPr>
      <w:r w:rsidRPr="00353EAE">
        <w:rPr>
          <w:rFonts w:ascii="Arial" w:hAnsi="Arial" w:cs="Arial"/>
          <w:sz w:val="20"/>
          <w:szCs w:val="20"/>
          <w:lang w:val="en-US"/>
        </w:rPr>
        <w:lastRenderedPageBreak/>
        <w:t>Pathak, H., and Wassmann, R. (2007). Introducing greenhouse gas mitigation as a</w:t>
      </w:r>
      <w:r>
        <w:rPr>
          <w:rFonts w:ascii="Arial" w:hAnsi="Arial" w:cs="Arial"/>
          <w:sz w:val="20"/>
          <w:szCs w:val="20"/>
          <w:lang w:val="en-US"/>
        </w:rPr>
        <w:t xml:space="preserve"> </w:t>
      </w:r>
      <w:r w:rsidRPr="00353EAE">
        <w:rPr>
          <w:rFonts w:ascii="Arial" w:hAnsi="Arial" w:cs="Arial"/>
          <w:sz w:val="20"/>
          <w:szCs w:val="20"/>
          <w:lang w:val="en-US"/>
        </w:rPr>
        <w:t>development objective in rice-based agriculture: I. Generation of technical</w:t>
      </w:r>
      <w:r>
        <w:rPr>
          <w:rFonts w:ascii="Arial" w:hAnsi="Arial" w:cs="Arial"/>
          <w:sz w:val="20"/>
          <w:szCs w:val="20"/>
          <w:lang w:val="en-US"/>
        </w:rPr>
        <w:t xml:space="preserve"> </w:t>
      </w:r>
      <w:r w:rsidRPr="00353EAE">
        <w:rPr>
          <w:rFonts w:ascii="Arial" w:hAnsi="Arial" w:cs="Arial"/>
          <w:sz w:val="20"/>
          <w:szCs w:val="20"/>
          <w:lang w:val="en-US"/>
        </w:rPr>
        <w:t xml:space="preserve">coefficients. Agric. Syst. 94, 807–825. </w:t>
      </w:r>
      <w:proofErr w:type="spellStart"/>
      <w:r w:rsidRPr="00353EAE">
        <w:rPr>
          <w:rFonts w:ascii="Arial" w:hAnsi="Arial" w:cs="Arial"/>
          <w:sz w:val="20"/>
          <w:szCs w:val="20"/>
          <w:lang w:val="en-US"/>
        </w:rPr>
        <w:t>doi</w:t>
      </w:r>
      <w:proofErr w:type="spellEnd"/>
      <w:r w:rsidRPr="00353EAE">
        <w:rPr>
          <w:rFonts w:ascii="Arial" w:hAnsi="Arial" w:cs="Arial"/>
          <w:sz w:val="20"/>
          <w:szCs w:val="20"/>
          <w:lang w:val="en-US"/>
        </w:rPr>
        <w:t>: 10.1016/j.agsy.2006.11.015</w:t>
      </w:r>
    </w:p>
    <w:p w14:paraId="4A18D4B6" w14:textId="77777777" w:rsidR="0001033E" w:rsidRDefault="0001033E" w:rsidP="00353EAE">
      <w:pPr>
        <w:jc w:val="both"/>
        <w:rPr>
          <w:rFonts w:ascii="Arial" w:hAnsi="Arial" w:cs="Arial"/>
          <w:sz w:val="20"/>
          <w:szCs w:val="20"/>
          <w:lang w:val="en-US"/>
        </w:rPr>
      </w:pPr>
    </w:p>
    <w:p w14:paraId="247E168A" w14:textId="6C606BEA" w:rsidR="0001033E" w:rsidRPr="00353EAE" w:rsidRDefault="0001033E" w:rsidP="00353EAE">
      <w:pPr>
        <w:jc w:val="both"/>
        <w:rPr>
          <w:rFonts w:ascii="Arial" w:hAnsi="Arial" w:cs="Arial"/>
          <w:sz w:val="20"/>
          <w:szCs w:val="20"/>
          <w:lang w:val="en-US"/>
        </w:rPr>
      </w:pPr>
      <w:r w:rsidRPr="00353EAE">
        <w:rPr>
          <w:rFonts w:ascii="Arial" w:hAnsi="Arial" w:cs="Arial"/>
          <w:sz w:val="20"/>
          <w:szCs w:val="20"/>
          <w:lang w:val="en-US"/>
        </w:rPr>
        <w:t xml:space="preserve">Phukan, M., </w:t>
      </w:r>
      <w:proofErr w:type="spellStart"/>
      <w:r w:rsidRPr="00353EAE">
        <w:rPr>
          <w:rFonts w:ascii="Arial" w:hAnsi="Arial" w:cs="Arial"/>
          <w:sz w:val="20"/>
          <w:szCs w:val="20"/>
          <w:lang w:val="en-US"/>
        </w:rPr>
        <w:t>Savapondit</w:t>
      </w:r>
      <w:proofErr w:type="spellEnd"/>
      <w:r w:rsidRPr="00353EAE">
        <w:rPr>
          <w:rFonts w:ascii="Arial" w:hAnsi="Arial" w:cs="Arial"/>
          <w:sz w:val="20"/>
          <w:szCs w:val="20"/>
          <w:lang w:val="en-US"/>
        </w:rPr>
        <w:t>, D., Hazra, A., Das, S., and Pramanik, P. (2018).</w:t>
      </w:r>
      <w:r>
        <w:rPr>
          <w:rFonts w:ascii="Arial" w:hAnsi="Arial" w:cs="Arial"/>
          <w:sz w:val="20"/>
          <w:szCs w:val="20"/>
          <w:lang w:val="en-US"/>
        </w:rPr>
        <w:t xml:space="preserve"> </w:t>
      </w:r>
      <w:r w:rsidRPr="00353EAE">
        <w:rPr>
          <w:rFonts w:ascii="Arial" w:hAnsi="Arial" w:cs="Arial"/>
          <w:sz w:val="20"/>
          <w:szCs w:val="20"/>
          <w:lang w:val="en-US"/>
        </w:rPr>
        <w:t>Algorithmic derivation of CO2 assimilation based on some physiological parameters</w:t>
      </w:r>
      <w:r>
        <w:rPr>
          <w:rFonts w:ascii="Arial" w:hAnsi="Arial" w:cs="Arial"/>
          <w:sz w:val="20"/>
          <w:szCs w:val="20"/>
          <w:lang w:val="en-US"/>
        </w:rPr>
        <w:t xml:space="preserve"> </w:t>
      </w:r>
      <w:r w:rsidRPr="00353EAE">
        <w:rPr>
          <w:rFonts w:ascii="Arial" w:hAnsi="Arial" w:cs="Arial"/>
          <w:sz w:val="20"/>
          <w:szCs w:val="20"/>
          <w:lang w:val="en-US"/>
        </w:rPr>
        <w:t xml:space="preserve">of tea bushes in north-east India. Ecol. Indic. 91, 77–83. </w:t>
      </w:r>
      <w:proofErr w:type="spellStart"/>
      <w:r w:rsidRPr="00353EAE">
        <w:rPr>
          <w:rFonts w:ascii="Arial" w:hAnsi="Arial" w:cs="Arial"/>
          <w:sz w:val="20"/>
          <w:szCs w:val="20"/>
          <w:lang w:val="en-US"/>
        </w:rPr>
        <w:t>doi</w:t>
      </w:r>
      <w:proofErr w:type="spellEnd"/>
      <w:r w:rsidRPr="00353EAE">
        <w:rPr>
          <w:rFonts w:ascii="Arial" w:hAnsi="Arial" w:cs="Arial"/>
          <w:sz w:val="20"/>
          <w:szCs w:val="20"/>
          <w:lang w:val="en-US"/>
        </w:rPr>
        <w:t>: 10.1016/j.</w:t>
      </w:r>
      <w:r>
        <w:rPr>
          <w:rFonts w:ascii="Arial" w:hAnsi="Arial" w:cs="Arial"/>
          <w:sz w:val="20"/>
          <w:szCs w:val="20"/>
          <w:lang w:val="en-US"/>
        </w:rPr>
        <w:t xml:space="preserve"> </w:t>
      </w:r>
      <w:r w:rsidRPr="00353EAE">
        <w:rPr>
          <w:rFonts w:ascii="Arial" w:hAnsi="Arial" w:cs="Arial"/>
          <w:sz w:val="20"/>
          <w:szCs w:val="20"/>
          <w:lang w:val="en-US"/>
        </w:rPr>
        <w:t>ecolind.2018.03.091</w:t>
      </w:r>
    </w:p>
    <w:p w14:paraId="5881645C" w14:textId="77777777" w:rsidR="0001033E" w:rsidRDefault="0001033E" w:rsidP="00353EAE">
      <w:pPr>
        <w:spacing w:line="276" w:lineRule="auto"/>
        <w:jc w:val="both"/>
        <w:rPr>
          <w:rFonts w:ascii="Arial" w:hAnsi="Arial" w:cs="Arial"/>
          <w:sz w:val="20"/>
          <w:szCs w:val="20"/>
        </w:rPr>
      </w:pPr>
    </w:p>
    <w:p w14:paraId="1240D156" w14:textId="77777777" w:rsidR="0001033E" w:rsidRPr="00353EAE" w:rsidRDefault="0001033E" w:rsidP="00353EAE">
      <w:pPr>
        <w:jc w:val="both"/>
        <w:rPr>
          <w:rFonts w:ascii="Arial" w:hAnsi="Arial" w:cs="Arial"/>
          <w:sz w:val="20"/>
          <w:szCs w:val="20"/>
          <w:lang w:val="en-US"/>
        </w:rPr>
      </w:pPr>
      <w:r w:rsidRPr="00353EAE">
        <w:rPr>
          <w:rFonts w:ascii="Arial" w:hAnsi="Arial" w:cs="Arial"/>
          <w:sz w:val="20"/>
          <w:szCs w:val="20"/>
          <w:lang w:val="en-US"/>
        </w:rPr>
        <w:t>Pramanik, P., and Phukan, M. (2020a). Assimilating atmospheric carbon dioxide</w:t>
      </w:r>
      <w:r>
        <w:rPr>
          <w:rFonts w:ascii="Arial" w:hAnsi="Arial" w:cs="Arial"/>
          <w:sz w:val="20"/>
          <w:szCs w:val="20"/>
          <w:lang w:val="en-US"/>
        </w:rPr>
        <w:t xml:space="preserve"> </w:t>
      </w:r>
      <w:r w:rsidRPr="00353EAE">
        <w:rPr>
          <w:rFonts w:ascii="Arial" w:hAnsi="Arial" w:cs="Arial"/>
          <w:sz w:val="20"/>
          <w:szCs w:val="20"/>
          <w:lang w:val="en-US"/>
        </w:rPr>
        <w:t xml:space="preserve">in tea gardens of northeast India. J. Environ. Manag. 256:109912. </w:t>
      </w:r>
      <w:proofErr w:type="spellStart"/>
      <w:r w:rsidRPr="00353EAE">
        <w:rPr>
          <w:rFonts w:ascii="Arial" w:hAnsi="Arial" w:cs="Arial"/>
          <w:sz w:val="20"/>
          <w:szCs w:val="20"/>
          <w:lang w:val="en-US"/>
        </w:rPr>
        <w:t>doi</w:t>
      </w:r>
      <w:proofErr w:type="spellEnd"/>
      <w:r w:rsidRPr="00353EAE">
        <w:rPr>
          <w:rFonts w:ascii="Arial" w:hAnsi="Arial" w:cs="Arial"/>
          <w:sz w:val="20"/>
          <w:szCs w:val="20"/>
          <w:lang w:val="en-US"/>
        </w:rPr>
        <w:t>: 10.1016/j.</w:t>
      </w:r>
      <w:r>
        <w:rPr>
          <w:rFonts w:ascii="Arial" w:hAnsi="Arial" w:cs="Arial"/>
          <w:sz w:val="20"/>
          <w:szCs w:val="20"/>
          <w:lang w:val="en-US"/>
        </w:rPr>
        <w:t xml:space="preserve"> </w:t>
      </w:r>
      <w:r w:rsidRPr="00353EAE">
        <w:rPr>
          <w:rFonts w:ascii="Arial" w:hAnsi="Arial" w:cs="Arial"/>
          <w:sz w:val="20"/>
          <w:szCs w:val="20"/>
          <w:lang w:val="en-US"/>
        </w:rPr>
        <w:t>jenvman.2019.109912</w:t>
      </w:r>
    </w:p>
    <w:p w14:paraId="0CBCE4D6" w14:textId="77777777" w:rsidR="0001033E" w:rsidRDefault="0001033E" w:rsidP="00353EAE">
      <w:pPr>
        <w:spacing w:line="276" w:lineRule="auto"/>
        <w:jc w:val="both"/>
        <w:rPr>
          <w:rFonts w:ascii="Arial" w:hAnsi="Arial" w:cs="Arial"/>
          <w:sz w:val="20"/>
          <w:szCs w:val="20"/>
        </w:rPr>
      </w:pPr>
    </w:p>
    <w:p w14:paraId="2030605A" w14:textId="77777777" w:rsidR="0001033E" w:rsidRDefault="0001033E" w:rsidP="0001033E">
      <w:pPr>
        <w:spacing w:line="276" w:lineRule="auto"/>
        <w:jc w:val="both"/>
        <w:rPr>
          <w:rFonts w:ascii="Arial" w:hAnsi="Arial" w:cs="Arial"/>
          <w:sz w:val="20"/>
          <w:szCs w:val="20"/>
        </w:rPr>
      </w:pPr>
      <w:r w:rsidRPr="00AB71E0">
        <w:rPr>
          <w:rFonts w:ascii="Arial" w:hAnsi="Arial" w:cs="Arial"/>
          <w:sz w:val="20"/>
          <w:szCs w:val="20"/>
        </w:rPr>
        <w:t>Pramanik, P., and Phukan, M. (2020b). Potential of tea plants in carbon sequestration in north-</w:t>
      </w:r>
      <w:r w:rsidRPr="00AB71E0">
        <w:rPr>
          <w:rFonts w:ascii="Arial" w:hAnsi="Arial" w:cs="Arial"/>
          <w:sz w:val="20"/>
          <w:szCs w:val="20"/>
        </w:rPr>
        <w:tab/>
        <w:t xml:space="preserve">east India. Environ. Monit. Assess. 192:211. </w:t>
      </w:r>
      <w:proofErr w:type="spellStart"/>
      <w:r w:rsidRPr="00AB71E0">
        <w:rPr>
          <w:rFonts w:ascii="Arial" w:hAnsi="Arial" w:cs="Arial"/>
          <w:sz w:val="20"/>
          <w:szCs w:val="20"/>
        </w:rPr>
        <w:t>doi</w:t>
      </w:r>
      <w:proofErr w:type="spellEnd"/>
      <w:r w:rsidRPr="00AB71E0">
        <w:rPr>
          <w:rFonts w:ascii="Arial" w:hAnsi="Arial" w:cs="Arial"/>
          <w:sz w:val="20"/>
          <w:szCs w:val="20"/>
        </w:rPr>
        <w:t>: 10.1007/s10661-020-8164-y</w:t>
      </w:r>
    </w:p>
    <w:p w14:paraId="05EF2118" w14:textId="77777777" w:rsidR="004431AB" w:rsidRDefault="004431AB" w:rsidP="0001033E">
      <w:pPr>
        <w:spacing w:line="276" w:lineRule="auto"/>
        <w:jc w:val="both"/>
        <w:rPr>
          <w:rFonts w:ascii="Arial" w:hAnsi="Arial" w:cs="Arial"/>
          <w:sz w:val="20"/>
          <w:szCs w:val="20"/>
          <w:lang w:val="en-US"/>
        </w:rPr>
      </w:pPr>
    </w:p>
    <w:p w14:paraId="278C2287" w14:textId="327D2487" w:rsidR="0001033E" w:rsidRPr="00353EAE" w:rsidRDefault="0001033E" w:rsidP="0001033E">
      <w:pPr>
        <w:spacing w:line="276" w:lineRule="auto"/>
        <w:jc w:val="both"/>
        <w:rPr>
          <w:rFonts w:ascii="Arial" w:hAnsi="Arial" w:cs="Arial"/>
          <w:sz w:val="20"/>
          <w:szCs w:val="20"/>
        </w:rPr>
      </w:pPr>
      <w:proofErr w:type="spellStart"/>
      <w:r w:rsidRPr="00353EAE">
        <w:rPr>
          <w:rFonts w:ascii="Arial" w:hAnsi="Arial" w:cs="Arial"/>
          <w:sz w:val="20"/>
          <w:szCs w:val="20"/>
          <w:lang w:val="en-US"/>
        </w:rPr>
        <w:t>Sarndal</w:t>
      </w:r>
      <w:proofErr w:type="spellEnd"/>
      <w:r w:rsidRPr="00353EAE">
        <w:rPr>
          <w:rFonts w:ascii="Arial" w:hAnsi="Arial" w:cs="Arial"/>
          <w:sz w:val="20"/>
          <w:szCs w:val="20"/>
          <w:lang w:val="en-US"/>
        </w:rPr>
        <w:t xml:space="preserve">, C. E., Swensson, B., and </w:t>
      </w:r>
      <w:proofErr w:type="spellStart"/>
      <w:r w:rsidRPr="00353EAE">
        <w:rPr>
          <w:rFonts w:ascii="Arial" w:hAnsi="Arial" w:cs="Arial"/>
          <w:sz w:val="20"/>
          <w:szCs w:val="20"/>
          <w:lang w:val="en-US"/>
        </w:rPr>
        <w:t>Wretman</w:t>
      </w:r>
      <w:proofErr w:type="spellEnd"/>
      <w:r w:rsidRPr="00353EAE">
        <w:rPr>
          <w:rFonts w:ascii="Arial" w:hAnsi="Arial" w:cs="Arial"/>
          <w:sz w:val="20"/>
          <w:szCs w:val="20"/>
          <w:lang w:val="en-US"/>
        </w:rPr>
        <w:t>, J. (1992). Model assisted survey</w:t>
      </w:r>
      <w:r>
        <w:rPr>
          <w:rFonts w:ascii="Arial" w:hAnsi="Arial" w:cs="Arial"/>
          <w:sz w:val="20"/>
          <w:szCs w:val="20"/>
          <w:lang w:val="en-US"/>
        </w:rPr>
        <w:t xml:space="preserve"> </w:t>
      </w:r>
      <w:r w:rsidRPr="00353EAE">
        <w:rPr>
          <w:rFonts w:ascii="Arial" w:hAnsi="Arial" w:cs="Arial"/>
          <w:sz w:val="20"/>
          <w:szCs w:val="20"/>
          <w:lang w:val="en-US"/>
        </w:rPr>
        <w:t>sampling. Springer, New York</w:t>
      </w:r>
      <w:r>
        <w:rPr>
          <w:rFonts w:ascii="Arial" w:hAnsi="Arial" w:cs="Arial"/>
          <w:sz w:val="20"/>
          <w:szCs w:val="20"/>
        </w:rPr>
        <w:t xml:space="preserve"> </w:t>
      </w:r>
      <w:r w:rsidRPr="00353EAE">
        <w:rPr>
          <w:rFonts w:ascii="Arial" w:hAnsi="Arial" w:cs="Arial"/>
          <w:sz w:val="20"/>
          <w:szCs w:val="20"/>
          <w:lang w:val="en-US"/>
        </w:rPr>
        <w:t>Shah, S. K., and Patel, V. A. (2016). Tea production in India: challenges and</w:t>
      </w:r>
      <w:r>
        <w:rPr>
          <w:rFonts w:ascii="Arial" w:hAnsi="Arial" w:cs="Arial"/>
          <w:sz w:val="20"/>
          <w:szCs w:val="20"/>
          <w:lang w:val="en-US"/>
        </w:rPr>
        <w:t xml:space="preserve"> </w:t>
      </w:r>
      <w:r w:rsidRPr="00353EAE">
        <w:rPr>
          <w:rFonts w:ascii="Arial" w:hAnsi="Arial" w:cs="Arial"/>
          <w:sz w:val="20"/>
          <w:szCs w:val="20"/>
          <w:lang w:val="en-US"/>
        </w:rPr>
        <w:t xml:space="preserve">opportunities. J. Tea Sci. Res. 6, 1–6. </w:t>
      </w:r>
      <w:proofErr w:type="spellStart"/>
      <w:r w:rsidRPr="00353EAE">
        <w:rPr>
          <w:rFonts w:ascii="Arial" w:hAnsi="Arial" w:cs="Arial"/>
          <w:sz w:val="20"/>
          <w:szCs w:val="20"/>
          <w:lang w:val="en-US"/>
        </w:rPr>
        <w:t>doi</w:t>
      </w:r>
      <w:proofErr w:type="spellEnd"/>
      <w:r w:rsidRPr="00353EAE">
        <w:rPr>
          <w:rFonts w:ascii="Arial" w:hAnsi="Arial" w:cs="Arial"/>
          <w:sz w:val="20"/>
          <w:szCs w:val="20"/>
          <w:lang w:val="en-US"/>
        </w:rPr>
        <w:t>: 10.5376/jtsr.2016.06.0005</w:t>
      </w:r>
    </w:p>
    <w:p w14:paraId="7B4FBA63" w14:textId="77777777" w:rsidR="0001033E" w:rsidRDefault="0001033E" w:rsidP="00353EAE">
      <w:pPr>
        <w:jc w:val="both"/>
        <w:rPr>
          <w:rFonts w:ascii="Arial" w:hAnsi="Arial" w:cs="Arial"/>
          <w:sz w:val="20"/>
          <w:szCs w:val="20"/>
          <w:lang w:val="en-US"/>
        </w:rPr>
      </w:pPr>
    </w:p>
    <w:p w14:paraId="46156358" w14:textId="78B96474" w:rsidR="0001033E" w:rsidRPr="00353EAE" w:rsidRDefault="0001033E" w:rsidP="00353EAE">
      <w:pPr>
        <w:jc w:val="both"/>
        <w:rPr>
          <w:rFonts w:ascii="Arial" w:hAnsi="Arial" w:cs="Arial"/>
          <w:sz w:val="20"/>
          <w:szCs w:val="20"/>
          <w:lang w:val="en-US"/>
        </w:rPr>
      </w:pPr>
      <w:r w:rsidRPr="00353EAE">
        <w:rPr>
          <w:rFonts w:ascii="Arial" w:hAnsi="Arial" w:cs="Arial"/>
          <w:sz w:val="20"/>
          <w:szCs w:val="20"/>
          <w:lang w:val="en-US"/>
        </w:rPr>
        <w:t>Sharma, A., Dutta, A. K., Bora, M. K., and Dutta, P. P. (2019). Study of energy</w:t>
      </w:r>
      <w:r>
        <w:rPr>
          <w:rFonts w:ascii="Arial" w:hAnsi="Arial" w:cs="Arial"/>
          <w:sz w:val="20"/>
          <w:szCs w:val="20"/>
          <w:lang w:val="en-US"/>
        </w:rPr>
        <w:t xml:space="preserve"> </w:t>
      </w:r>
      <w:r w:rsidRPr="00353EAE">
        <w:rPr>
          <w:rFonts w:ascii="Arial" w:hAnsi="Arial" w:cs="Arial"/>
          <w:sz w:val="20"/>
          <w:szCs w:val="20"/>
          <w:lang w:val="en-US"/>
        </w:rPr>
        <w:t>management in a tea processing industry in Assam, India. AIP Conf. Proc.</w:t>
      </w:r>
      <w:r>
        <w:rPr>
          <w:rFonts w:ascii="Arial" w:hAnsi="Arial" w:cs="Arial"/>
          <w:sz w:val="20"/>
          <w:szCs w:val="20"/>
          <w:lang w:val="en-US"/>
        </w:rPr>
        <w:t xml:space="preserve"> </w:t>
      </w:r>
      <w:r w:rsidRPr="00353EAE">
        <w:rPr>
          <w:rFonts w:ascii="Arial" w:hAnsi="Arial" w:cs="Arial"/>
          <w:sz w:val="20"/>
          <w:szCs w:val="20"/>
          <w:lang w:val="en-US"/>
        </w:rPr>
        <w:t xml:space="preserve">2091:020012. </w:t>
      </w:r>
      <w:proofErr w:type="spellStart"/>
      <w:r w:rsidRPr="00353EAE">
        <w:rPr>
          <w:rFonts w:ascii="Arial" w:hAnsi="Arial" w:cs="Arial"/>
          <w:sz w:val="20"/>
          <w:szCs w:val="20"/>
          <w:lang w:val="en-US"/>
        </w:rPr>
        <w:t>doi</w:t>
      </w:r>
      <w:proofErr w:type="spellEnd"/>
      <w:r w:rsidRPr="00353EAE">
        <w:rPr>
          <w:rFonts w:ascii="Arial" w:hAnsi="Arial" w:cs="Arial"/>
          <w:sz w:val="20"/>
          <w:szCs w:val="20"/>
          <w:lang w:val="en-US"/>
        </w:rPr>
        <w:t>: 10.1063/1.5096503</w:t>
      </w:r>
    </w:p>
    <w:p w14:paraId="0C5D7760" w14:textId="77777777" w:rsidR="0001033E" w:rsidRDefault="0001033E" w:rsidP="00353EAE">
      <w:pPr>
        <w:jc w:val="both"/>
        <w:rPr>
          <w:rFonts w:ascii="Arial" w:hAnsi="Arial" w:cs="Arial"/>
          <w:sz w:val="20"/>
          <w:szCs w:val="20"/>
          <w:lang w:val="en-US"/>
        </w:rPr>
      </w:pPr>
    </w:p>
    <w:p w14:paraId="3D90F9B1" w14:textId="164FBEF5" w:rsidR="0001033E" w:rsidRPr="00353EAE" w:rsidRDefault="0001033E" w:rsidP="00353EAE">
      <w:pPr>
        <w:jc w:val="both"/>
        <w:rPr>
          <w:rFonts w:ascii="Arial" w:hAnsi="Arial" w:cs="Arial"/>
          <w:sz w:val="20"/>
          <w:szCs w:val="20"/>
          <w:lang w:val="en-US"/>
        </w:rPr>
      </w:pPr>
      <w:r w:rsidRPr="00353EAE">
        <w:rPr>
          <w:rFonts w:ascii="Arial" w:hAnsi="Arial" w:cs="Arial"/>
          <w:sz w:val="20"/>
          <w:szCs w:val="20"/>
          <w:lang w:val="en-US"/>
        </w:rPr>
        <w:t>Silva, W. C. A. (1994). Status review of energy utilization by the tea industry in</w:t>
      </w:r>
      <w:r>
        <w:rPr>
          <w:rFonts w:ascii="Arial" w:hAnsi="Arial" w:cs="Arial"/>
          <w:sz w:val="20"/>
          <w:szCs w:val="20"/>
          <w:lang w:val="en-US"/>
        </w:rPr>
        <w:t xml:space="preserve"> </w:t>
      </w:r>
      <w:r w:rsidRPr="00353EAE">
        <w:rPr>
          <w:rFonts w:ascii="Arial" w:hAnsi="Arial" w:cs="Arial"/>
          <w:sz w:val="20"/>
          <w:szCs w:val="20"/>
          <w:lang w:val="en-US"/>
        </w:rPr>
        <w:t>Sri Lanka. Sri Lanka J. Tea Sci. 63, 46–58.</w:t>
      </w:r>
    </w:p>
    <w:p w14:paraId="078EE603" w14:textId="77777777" w:rsidR="0001033E" w:rsidRDefault="0001033E" w:rsidP="00353EAE">
      <w:pPr>
        <w:jc w:val="both"/>
        <w:rPr>
          <w:rFonts w:ascii="Arial" w:hAnsi="Arial" w:cs="Arial"/>
          <w:sz w:val="20"/>
          <w:szCs w:val="20"/>
          <w:lang w:val="en-US"/>
        </w:rPr>
      </w:pPr>
    </w:p>
    <w:p w14:paraId="7DC7C327" w14:textId="3CAE58BC" w:rsidR="0001033E" w:rsidRPr="00353EAE" w:rsidRDefault="0001033E" w:rsidP="00353EAE">
      <w:pPr>
        <w:jc w:val="both"/>
        <w:rPr>
          <w:rFonts w:ascii="Arial" w:hAnsi="Arial" w:cs="Arial"/>
          <w:sz w:val="20"/>
          <w:szCs w:val="20"/>
          <w:lang w:val="en-US"/>
        </w:rPr>
      </w:pPr>
      <w:proofErr w:type="spellStart"/>
      <w:r w:rsidRPr="00353EAE">
        <w:rPr>
          <w:rFonts w:ascii="Arial" w:hAnsi="Arial" w:cs="Arial"/>
          <w:sz w:val="20"/>
          <w:szCs w:val="20"/>
          <w:lang w:val="en-US"/>
        </w:rPr>
        <w:t>Sukhatme</w:t>
      </w:r>
      <w:proofErr w:type="spellEnd"/>
      <w:r w:rsidRPr="00353EAE">
        <w:rPr>
          <w:rFonts w:ascii="Arial" w:hAnsi="Arial" w:cs="Arial"/>
          <w:sz w:val="20"/>
          <w:szCs w:val="20"/>
          <w:lang w:val="en-US"/>
        </w:rPr>
        <w:t xml:space="preserve">, P. V., </w:t>
      </w:r>
      <w:proofErr w:type="spellStart"/>
      <w:r w:rsidRPr="00353EAE">
        <w:rPr>
          <w:rFonts w:ascii="Arial" w:hAnsi="Arial" w:cs="Arial"/>
          <w:sz w:val="20"/>
          <w:szCs w:val="20"/>
          <w:lang w:val="en-US"/>
        </w:rPr>
        <w:t>Sukhatme</w:t>
      </w:r>
      <w:proofErr w:type="spellEnd"/>
      <w:r w:rsidRPr="00353EAE">
        <w:rPr>
          <w:rFonts w:ascii="Arial" w:hAnsi="Arial" w:cs="Arial"/>
          <w:sz w:val="20"/>
          <w:szCs w:val="20"/>
          <w:lang w:val="en-US"/>
        </w:rPr>
        <w:t xml:space="preserve">, B. V., </w:t>
      </w:r>
      <w:proofErr w:type="spellStart"/>
      <w:r w:rsidRPr="00353EAE">
        <w:rPr>
          <w:rFonts w:ascii="Arial" w:hAnsi="Arial" w:cs="Arial"/>
          <w:sz w:val="20"/>
          <w:szCs w:val="20"/>
          <w:lang w:val="en-US"/>
        </w:rPr>
        <w:t>Sukhatme</w:t>
      </w:r>
      <w:proofErr w:type="spellEnd"/>
      <w:r w:rsidRPr="00353EAE">
        <w:rPr>
          <w:rFonts w:ascii="Arial" w:hAnsi="Arial" w:cs="Arial"/>
          <w:sz w:val="20"/>
          <w:szCs w:val="20"/>
          <w:lang w:val="en-US"/>
        </w:rPr>
        <w:t>, S., and Asok, C. (1984). Sampling</w:t>
      </w:r>
      <w:r>
        <w:rPr>
          <w:rFonts w:ascii="Arial" w:hAnsi="Arial" w:cs="Arial"/>
          <w:sz w:val="20"/>
          <w:szCs w:val="20"/>
          <w:lang w:val="en-US"/>
        </w:rPr>
        <w:t xml:space="preserve"> </w:t>
      </w:r>
      <w:r w:rsidRPr="00353EAE">
        <w:rPr>
          <w:rFonts w:ascii="Arial" w:hAnsi="Arial" w:cs="Arial"/>
          <w:sz w:val="20"/>
          <w:szCs w:val="20"/>
          <w:lang w:val="en-US"/>
        </w:rPr>
        <w:t>theory of surveys with applications. Indian Society of Agricultural Statistics,</w:t>
      </w:r>
      <w:r>
        <w:rPr>
          <w:rFonts w:ascii="Arial" w:hAnsi="Arial" w:cs="Arial"/>
          <w:sz w:val="20"/>
          <w:szCs w:val="20"/>
          <w:lang w:val="en-US"/>
        </w:rPr>
        <w:t xml:space="preserve"> </w:t>
      </w:r>
      <w:r w:rsidRPr="00353EAE">
        <w:rPr>
          <w:rFonts w:ascii="Arial" w:hAnsi="Arial" w:cs="Arial"/>
          <w:sz w:val="20"/>
          <w:szCs w:val="20"/>
          <w:lang w:val="en-US"/>
        </w:rPr>
        <w:t>New Delhi.</w:t>
      </w:r>
    </w:p>
    <w:p w14:paraId="6D45BC8F" w14:textId="77777777" w:rsidR="0001033E" w:rsidRDefault="0001033E" w:rsidP="00353EAE">
      <w:pPr>
        <w:spacing w:line="276" w:lineRule="auto"/>
        <w:jc w:val="both"/>
        <w:rPr>
          <w:rFonts w:ascii="Arial" w:hAnsi="Arial" w:cs="Arial"/>
          <w:sz w:val="20"/>
          <w:szCs w:val="20"/>
        </w:rPr>
      </w:pPr>
    </w:p>
    <w:p w14:paraId="7396B6C9" w14:textId="101AC008" w:rsidR="0001033E" w:rsidRPr="00AB71E0" w:rsidRDefault="0001033E" w:rsidP="00353EAE">
      <w:pPr>
        <w:spacing w:line="276" w:lineRule="auto"/>
        <w:jc w:val="both"/>
        <w:rPr>
          <w:rFonts w:ascii="Arial" w:hAnsi="Arial" w:cs="Arial"/>
          <w:sz w:val="20"/>
          <w:szCs w:val="20"/>
        </w:rPr>
      </w:pPr>
      <w:r w:rsidRPr="00AB71E0">
        <w:rPr>
          <w:rFonts w:ascii="Arial" w:hAnsi="Arial" w:cs="Arial"/>
          <w:sz w:val="20"/>
          <w:szCs w:val="20"/>
        </w:rPr>
        <w:t xml:space="preserve">Tea Board of India. (2023). Available at: https://teaboard.gov.in Accessed on August 16, 2023 </w:t>
      </w:r>
      <w:proofErr w:type="spellStart"/>
      <w:r w:rsidRPr="00AB71E0">
        <w:rPr>
          <w:rFonts w:ascii="Arial" w:hAnsi="Arial" w:cs="Arial"/>
          <w:sz w:val="20"/>
          <w:szCs w:val="20"/>
        </w:rPr>
        <w:t>Udeagha</w:t>
      </w:r>
      <w:proofErr w:type="spellEnd"/>
      <w:r w:rsidRPr="00AB71E0">
        <w:rPr>
          <w:rFonts w:ascii="Arial" w:hAnsi="Arial" w:cs="Arial"/>
          <w:sz w:val="20"/>
          <w:szCs w:val="20"/>
        </w:rPr>
        <w:t xml:space="preserve">, M. C., and </w:t>
      </w:r>
      <w:proofErr w:type="spellStart"/>
      <w:r w:rsidRPr="00AB71E0">
        <w:rPr>
          <w:rFonts w:ascii="Arial" w:hAnsi="Arial" w:cs="Arial"/>
          <w:sz w:val="20"/>
          <w:szCs w:val="20"/>
        </w:rPr>
        <w:t>Ngepah</w:t>
      </w:r>
      <w:proofErr w:type="spellEnd"/>
      <w:r w:rsidRPr="00AB71E0">
        <w:rPr>
          <w:rFonts w:ascii="Arial" w:hAnsi="Arial" w:cs="Arial"/>
          <w:sz w:val="20"/>
          <w:szCs w:val="20"/>
        </w:rPr>
        <w:t xml:space="preserve">, N. (2022a). Disaggregating the environmental effects of </w:t>
      </w:r>
      <w:r w:rsidRPr="00AB71E0">
        <w:rPr>
          <w:rFonts w:ascii="Arial" w:hAnsi="Arial" w:cs="Arial"/>
          <w:sz w:val="20"/>
          <w:szCs w:val="20"/>
        </w:rPr>
        <w:tab/>
        <w:t xml:space="preserve">renewable and non-renewable energy consumption in South Africa: fresh evidence </w:t>
      </w:r>
      <w:r w:rsidRPr="00AB71E0">
        <w:rPr>
          <w:rFonts w:ascii="Arial" w:hAnsi="Arial" w:cs="Arial"/>
          <w:sz w:val="20"/>
          <w:szCs w:val="20"/>
        </w:rPr>
        <w:tab/>
        <w:t xml:space="preserve">from the novel dynamic ARDL simulations approach. Econ. Chang. </w:t>
      </w:r>
      <w:proofErr w:type="spellStart"/>
      <w:r w:rsidRPr="00AB71E0">
        <w:rPr>
          <w:rFonts w:ascii="Arial" w:hAnsi="Arial" w:cs="Arial"/>
          <w:sz w:val="20"/>
          <w:szCs w:val="20"/>
        </w:rPr>
        <w:t>Restruct</w:t>
      </w:r>
      <w:proofErr w:type="spellEnd"/>
      <w:r w:rsidRPr="00AB71E0">
        <w:rPr>
          <w:rFonts w:ascii="Arial" w:hAnsi="Arial" w:cs="Arial"/>
          <w:sz w:val="20"/>
          <w:szCs w:val="20"/>
        </w:rPr>
        <w:t>. 55, 1767–</w:t>
      </w:r>
      <w:r w:rsidRPr="00AB71E0">
        <w:rPr>
          <w:rFonts w:ascii="Arial" w:hAnsi="Arial" w:cs="Arial"/>
          <w:sz w:val="20"/>
          <w:szCs w:val="20"/>
        </w:rPr>
        <w:tab/>
        <w:t xml:space="preserve">1814. </w:t>
      </w:r>
      <w:proofErr w:type="spellStart"/>
      <w:r w:rsidRPr="00AB71E0">
        <w:rPr>
          <w:rFonts w:ascii="Arial" w:hAnsi="Arial" w:cs="Arial"/>
          <w:sz w:val="20"/>
          <w:szCs w:val="20"/>
        </w:rPr>
        <w:t>doi</w:t>
      </w:r>
      <w:proofErr w:type="spellEnd"/>
      <w:r w:rsidRPr="00AB71E0">
        <w:rPr>
          <w:rFonts w:ascii="Arial" w:hAnsi="Arial" w:cs="Arial"/>
          <w:sz w:val="20"/>
          <w:szCs w:val="20"/>
        </w:rPr>
        <w:t>: 10.1007/s10644-021-09368-y</w:t>
      </w:r>
    </w:p>
    <w:p w14:paraId="1BE2F99C" w14:textId="77777777" w:rsidR="0001033E" w:rsidRDefault="0001033E" w:rsidP="00353EAE">
      <w:pPr>
        <w:spacing w:line="276" w:lineRule="auto"/>
        <w:jc w:val="both"/>
        <w:rPr>
          <w:rFonts w:ascii="Arial" w:hAnsi="Arial" w:cs="Arial"/>
          <w:sz w:val="20"/>
          <w:szCs w:val="20"/>
        </w:rPr>
      </w:pPr>
    </w:p>
    <w:p w14:paraId="77EF3487" w14:textId="572C3850" w:rsidR="0001033E" w:rsidRPr="00AB71E0" w:rsidRDefault="0001033E" w:rsidP="00353EAE">
      <w:pPr>
        <w:spacing w:line="276" w:lineRule="auto"/>
        <w:jc w:val="both"/>
        <w:rPr>
          <w:rFonts w:ascii="Arial" w:hAnsi="Arial" w:cs="Arial"/>
          <w:sz w:val="20"/>
          <w:szCs w:val="20"/>
        </w:rPr>
      </w:pPr>
      <w:proofErr w:type="spellStart"/>
      <w:r w:rsidRPr="00AB71E0">
        <w:rPr>
          <w:rFonts w:ascii="Arial" w:hAnsi="Arial" w:cs="Arial"/>
          <w:sz w:val="20"/>
          <w:szCs w:val="20"/>
        </w:rPr>
        <w:t>Udeagha</w:t>
      </w:r>
      <w:proofErr w:type="spellEnd"/>
      <w:r w:rsidRPr="00AB71E0">
        <w:rPr>
          <w:rFonts w:ascii="Arial" w:hAnsi="Arial" w:cs="Arial"/>
          <w:sz w:val="20"/>
          <w:szCs w:val="20"/>
        </w:rPr>
        <w:t xml:space="preserve">, M. C., and </w:t>
      </w:r>
      <w:proofErr w:type="spellStart"/>
      <w:r w:rsidRPr="00AB71E0">
        <w:rPr>
          <w:rFonts w:ascii="Arial" w:hAnsi="Arial" w:cs="Arial"/>
          <w:sz w:val="20"/>
          <w:szCs w:val="20"/>
        </w:rPr>
        <w:t>Ngepah</w:t>
      </w:r>
      <w:proofErr w:type="spellEnd"/>
      <w:r w:rsidRPr="00AB71E0">
        <w:rPr>
          <w:rFonts w:ascii="Arial" w:hAnsi="Arial" w:cs="Arial"/>
          <w:sz w:val="20"/>
          <w:szCs w:val="20"/>
        </w:rPr>
        <w:t xml:space="preserve">, N. (2022b). Dynamic ARDL simulations effects of fiscal decentralization, green technological innovation, trade openness, and institutional </w:t>
      </w:r>
      <w:r w:rsidRPr="00AB71E0">
        <w:rPr>
          <w:rFonts w:ascii="Arial" w:hAnsi="Arial" w:cs="Arial"/>
          <w:sz w:val="20"/>
          <w:szCs w:val="20"/>
        </w:rPr>
        <w:tab/>
        <w:t>quality</w:t>
      </w:r>
      <w:r>
        <w:rPr>
          <w:rFonts w:ascii="Arial" w:hAnsi="Arial" w:cs="Arial"/>
          <w:sz w:val="20"/>
          <w:szCs w:val="20"/>
        </w:rPr>
        <w:t xml:space="preserve"> </w:t>
      </w:r>
      <w:r w:rsidRPr="00AB71E0">
        <w:rPr>
          <w:rFonts w:ascii="Arial" w:hAnsi="Arial" w:cs="Arial"/>
          <w:sz w:val="20"/>
          <w:szCs w:val="20"/>
        </w:rPr>
        <w:t>on</w:t>
      </w:r>
      <w:r>
        <w:rPr>
          <w:rFonts w:ascii="Arial" w:hAnsi="Arial" w:cs="Arial"/>
          <w:sz w:val="20"/>
          <w:szCs w:val="20"/>
        </w:rPr>
        <w:t xml:space="preserve"> </w:t>
      </w:r>
      <w:r w:rsidRPr="00AB71E0">
        <w:rPr>
          <w:rFonts w:ascii="Arial" w:hAnsi="Arial" w:cs="Arial"/>
          <w:sz w:val="20"/>
          <w:szCs w:val="20"/>
        </w:rPr>
        <w:t xml:space="preserve">environmental sustainability: evidence from South Africa. Sustainability </w:t>
      </w:r>
      <w:r w:rsidRPr="00AB71E0">
        <w:rPr>
          <w:rFonts w:ascii="Arial" w:hAnsi="Arial" w:cs="Arial"/>
          <w:sz w:val="20"/>
          <w:szCs w:val="20"/>
        </w:rPr>
        <w:tab/>
        <w:t xml:space="preserve">14:10268. </w:t>
      </w:r>
      <w:proofErr w:type="spellStart"/>
      <w:r w:rsidRPr="00AB71E0">
        <w:rPr>
          <w:rFonts w:ascii="Arial" w:hAnsi="Arial" w:cs="Arial"/>
          <w:sz w:val="20"/>
          <w:szCs w:val="20"/>
        </w:rPr>
        <w:t>doi</w:t>
      </w:r>
      <w:proofErr w:type="spellEnd"/>
      <w:r w:rsidRPr="00AB71E0">
        <w:rPr>
          <w:rFonts w:ascii="Arial" w:hAnsi="Arial" w:cs="Arial"/>
          <w:sz w:val="20"/>
          <w:szCs w:val="20"/>
        </w:rPr>
        <w:t>: 10.3390/su141610268</w:t>
      </w:r>
    </w:p>
    <w:p w14:paraId="462C9CBA" w14:textId="77777777" w:rsidR="0001033E" w:rsidRDefault="0001033E" w:rsidP="00353EAE">
      <w:pPr>
        <w:spacing w:line="276" w:lineRule="auto"/>
        <w:jc w:val="both"/>
        <w:rPr>
          <w:rFonts w:ascii="Arial" w:hAnsi="Arial" w:cs="Arial"/>
          <w:sz w:val="20"/>
          <w:szCs w:val="20"/>
        </w:rPr>
      </w:pPr>
    </w:p>
    <w:p w14:paraId="2EBF1475" w14:textId="7B31F262" w:rsidR="0001033E" w:rsidRPr="00AB71E0" w:rsidRDefault="0001033E" w:rsidP="00353EAE">
      <w:pPr>
        <w:spacing w:line="276" w:lineRule="auto"/>
        <w:jc w:val="both"/>
        <w:rPr>
          <w:rFonts w:ascii="Arial" w:hAnsi="Arial" w:cs="Arial"/>
          <w:sz w:val="20"/>
          <w:szCs w:val="20"/>
        </w:rPr>
      </w:pPr>
      <w:proofErr w:type="spellStart"/>
      <w:r w:rsidRPr="00AB71E0">
        <w:rPr>
          <w:rFonts w:ascii="Arial" w:hAnsi="Arial" w:cs="Arial"/>
          <w:sz w:val="20"/>
          <w:szCs w:val="20"/>
        </w:rPr>
        <w:t>Udeagha</w:t>
      </w:r>
      <w:proofErr w:type="spellEnd"/>
      <w:r w:rsidRPr="00AB71E0">
        <w:rPr>
          <w:rFonts w:ascii="Arial" w:hAnsi="Arial" w:cs="Arial"/>
          <w:sz w:val="20"/>
          <w:szCs w:val="20"/>
        </w:rPr>
        <w:t xml:space="preserve">, M. C., and </w:t>
      </w:r>
      <w:proofErr w:type="spellStart"/>
      <w:r w:rsidRPr="00AB71E0">
        <w:rPr>
          <w:rFonts w:ascii="Arial" w:hAnsi="Arial" w:cs="Arial"/>
          <w:sz w:val="20"/>
          <w:szCs w:val="20"/>
        </w:rPr>
        <w:t>Ngepah</w:t>
      </w:r>
      <w:proofErr w:type="spellEnd"/>
      <w:r w:rsidRPr="00AB71E0">
        <w:rPr>
          <w:rFonts w:ascii="Arial" w:hAnsi="Arial" w:cs="Arial"/>
          <w:sz w:val="20"/>
          <w:szCs w:val="20"/>
        </w:rPr>
        <w:t xml:space="preserve">, N. (2022c). The asymmetric effect of technological innovation on CO2 emissions in South Africa: new evidence from the QARDL approach. Front. Environ. Sci. 10:985719. </w:t>
      </w:r>
      <w:proofErr w:type="spellStart"/>
      <w:r w:rsidRPr="00AB71E0">
        <w:rPr>
          <w:rFonts w:ascii="Arial" w:hAnsi="Arial" w:cs="Arial"/>
          <w:sz w:val="20"/>
          <w:szCs w:val="20"/>
        </w:rPr>
        <w:t>doi</w:t>
      </w:r>
      <w:proofErr w:type="spellEnd"/>
      <w:r w:rsidRPr="00AB71E0">
        <w:rPr>
          <w:rFonts w:ascii="Arial" w:hAnsi="Arial" w:cs="Arial"/>
          <w:sz w:val="20"/>
          <w:szCs w:val="20"/>
        </w:rPr>
        <w:t>: 10.3389/fenvs.2022.985719</w:t>
      </w:r>
    </w:p>
    <w:p w14:paraId="027660AE" w14:textId="77777777" w:rsidR="0001033E" w:rsidRDefault="0001033E" w:rsidP="00353EAE">
      <w:pPr>
        <w:spacing w:line="276" w:lineRule="auto"/>
        <w:jc w:val="both"/>
        <w:rPr>
          <w:rFonts w:ascii="Arial" w:hAnsi="Arial" w:cs="Arial"/>
          <w:sz w:val="20"/>
          <w:szCs w:val="20"/>
        </w:rPr>
      </w:pPr>
    </w:p>
    <w:p w14:paraId="73809841" w14:textId="567931BF" w:rsidR="0001033E" w:rsidRPr="00AB71E0" w:rsidRDefault="0001033E" w:rsidP="00353EAE">
      <w:pPr>
        <w:spacing w:line="276" w:lineRule="auto"/>
        <w:jc w:val="both"/>
        <w:rPr>
          <w:rFonts w:ascii="Arial" w:hAnsi="Arial" w:cs="Arial"/>
          <w:sz w:val="20"/>
          <w:szCs w:val="20"/>
        </w:rPr>
      </w:pPr>
      <w:r w:rsidRPr="00AB71E0">
        <w:rPr>
          <w:rFonts w:ascii="Arial" w:hAnsi="Arial" w:cs="Arial"/>
          <w:sz w:val="20"/>
          <w:szCs w:val="20"/>
        </w:rPr>
        <w:t xml:space="preserve">Ulyanin, Y. A., Kharitonov, V. V., and </w:t>
      </w:r>
      <w:proofErr w:type="spellStart"/>
      <w:r w:rsidRPr="00AB71E0">
        <w:rPr>
          <w:rFonts w:ascii="Arial" w:hAnsi="Arial" w:cs="Arial"/>
          <w:sz w:val="20"/>
          <w:szCs w:val="20"/>
        </w:rPr>
        <w:t>Yurshina</w:t>
      </w:r>
      <w:proofErr w:type="spellEnd"/>
      <w:r w:rsidRPr="00AB71E0">
        <w:rPr>
          <w:rFonts w:ascii="Arial" w:hAnsi="Arial" w:cs="Arial"/>
          <w:sz w:val="20"/>
          <w:szCs w:val="20"/>
        </w:rPr>
        <w:t xml:space="preserve">, D. Y. (2018). Forecasting the dynamics of the depletion of conventional energy resources. Stud. Russ. Econ. Dev. 29, 153–160. </w:t>
      </w:r>
      <w:proofErr w:type="spellStart"/>
      <w:r w:rsidRPr="00AB71E0">
        <w:rPr>
          <w:rFonts w:ascii="Arial" w:hAnsi="Arial" w:cs="Arial"/>
          <w:sz w:val="20"/>
          <w:szCs w:val="20"/>
        </w:rPr>
        <w:t>doi</w:t>
      </w:r>
      <w:proofErr w:type="spellEnd"/>
      <w:r w:rsidRPr="00AB71E0">
        <w:rPr>
          <w:rFonts w:ascii="Arial" w:hAnsi="Arial" w:cs="Arial"/>
          <w:sz w:val="20"/>
          <w:szCs w:val="20"/>
        </w:rPr>
        <w:t>: 10.1134/S1075700718020156</w:t>
      </w:r>
    </w:p>
    <w:p w14:paraId="2CE885D2" w14:textId="77777777" w:rsidR="0001033E" w:rsidRDefault="0001033E" w:rsidP="00353EAE">
      <w:pPr>
        <w:spacing w:line="276" w:lineRule="auto"/>
        <w:jc w:val="both"/>
        <w:rPr>
          <w:rFonts w:ascii="Arial" w:hAnsi="Arial" w:cs="Arial"/>
          <w:sz w:val="20"/>
          <w:szCs w:val="20"/>
        </w:rPr>
      </w:pPr>
    </w:p>
    <w:p w14:paraId="275DE7F5" w14:textId="1267A318" w:rsidR="0001033E" w:rsidRPr="00AB71E0" w:rsidRDefault="0001033E" w:rsidP="00353EAE">
      <w:pPr>
        <w:spacing w:line="276" w:lineRule="auto"/>
        <w:jc w:val="both"/>
        <w:rPr>
          <w:rFonts w:ascii="Arial" w:hAnsi="Arial" w:cs="Arial"/>
          <w:sz w:val="20"/>
          <w:szCs w:val="20"/>
        </w:rPr>
      </w:pPr>
      <w:proofErr w:type="spellStart"/>
      <w:r w:rsidRPr="00AB71E0">
        <w:rPr>
          <w:rFonts w:ascii="Arial" w:hAnsi="Arial" w:cs="Arial"/>
          <w:sz w:val="20"/>
          <w:szCs w:val="20"/>
        </w:rPr>
        <w:t>Vidanagama</w:t>
      </w:r>
      <w:proofErr w:type="spellEnd"/>
      <w:r w:rsidRPr="00AB71E0">
        <w:rPr>
          <w:rFonts w:ascii="Arial" w:hAnsi="Arial" w:cs="Arial"/>
          <w:sz w:val="20"/>
          <w:szCs w:val="20"/>
        </w:rPr>
        <w:t xml:space="preserve">, J., and </w:t>
      </w:r>
      <w:proofErr w:type="spellStart"/>
      <w:r w:rsidRPr="00AB71E0">
        <w:rPr>
          <w:rFonts w:ascii="Arial" w:hAnsi="Arial" w:cs="Arial"/>
          <w:sz w:val="20"/>
          <w:szCs w:val="20"/>
        </w:rPr>
        <w:t>Lokupitiya</w:t>
      </w:r>
      <w:proofErr w:type="spellEnd"/>
      <w:r w:rsidRPr="00AB71E0">
        <w:rPr>
          <w:rFonts w:ascii="Arial" w:hAnsi="Arial" w:cs="Arial"/>
          <w:sz w:val="20"/>
          <w:szCs w:val="20"/>
        </w:rPr>
        <w:t>, E. (2018). Energy usage and greenhouse gas emissions associated with tea and rubber manufacturing processes in Sri Lanka. Environ. Dev. 26,</w:t>
      </w:r>
    </w:p>
    <w:p w14:paraId="34A06B9A" w14:textId="77777777" w:rsidR="0001033E" w:rsidRDefault="0001033E" w:rsidP="00353EAE">
      <w:pPr>
        <w:spacing w:line="276" w:lineRule="auto"/>
        <w:jc w:val="both"/>
        <w:rPr>
          <w:rFonts w:ascii="Arial" w:hAnsi="Arial" w:cs="Arial"/>
          <w:color w:val="222222"/>
          <w:sz w:val="20"/>
          <w:szCs w:val="20"/>
          <w:shd w:val="clear" w:color="auto" w:fill="FFFFFF"/>
        </w:rPr>
      </w:pPr>
    </w:p>
    <w:p w14:paraId="0540D653" w14:textId="3594C2AF" w:rsidR="00353EAE" w:rsidRPr="004431AB" w:rsidRDefault="0001033E" w:rsidP="004431AB">
      <w:pPr>
        <w:spacing w:line="276" w:lineRule="auto"/>
        <w:jc w:val="both"/>
        <w:rPr>
          <w:rFonts w:ascii="Arial" w:hAnsi="Arial" w:cs="Arial"/>
          <w:color w:val="222222"/>
          <w:sz w:val="20"/>
          <w:szCs w:val="20"/>
          <w:shd w:val="clear" w:color="auto" w:fill="FFFFFF"/>
        </w:rPr>
        <w:sectPr w:rsidR="00353EAE" w:rsidRPr="004431AB" w:rsidSect="00F12DF1">
          <w:type w:val="continuous"/>
          <w:pgSz w:w="11906" w:h="16838"/>
          <w:pgMar w:top="1440" w:right="1440" w:bottom="1440" w:left="1440" w:header="706" w:footer="706" w:gutter="0"/>
          <w:cols w:space="708"/>
          <w:docGrid w:linePitch="360"/>
        </w:sectPr>
      </w:pPr>
      <w:r w:rsidRPr="00AB71E0">
        <w:rPr>
          <w:rFonts w:ascii="Arial" w:hAnsi="Arial" w:cs="Arial"/>
          <w:color w:val="222222"/>
          <w:sz w:val="20"/>
          <w:szCs w:val="20"/>
          <w:shd w:val="clear" w:color="auto" w:fill="FFFFFF"/>
        </w:rPr>
        <w:t>Zhang, C., Ye, X., Wu, X., &amp; Yang, X. (2023). Carbon footprint of black tea products under different technological routes and its influencing factors.</w:t>
      </w:r>
      <w:r w:rsidRPr="00AB71E0">
        <w:rPr>
          <w:rStyle w:val="apple-converted-space"/>
          <w:rFonts w:ascii="Arial" w:hAnsi="Arial" w:cs="Arial"/>
          <w:color w:val="222222"/>
          <w:sz w:val="20"/>
          <w:szCs w:val="20"/>
          <w:shd w:val="clear" w:color="auto" w:fill="FFFFFF"/>
        </w:rPr>
        <w:t> </w:t>
      </w:r>
      <w:r w:rsidRPr="00AB71E0">
        <w:rPr>
          <w:rFonts w:ascii="Arial" w:hAnsi="Arial" w:cs="Arial"/>
          <w:i/>
          <w:iCs/>
          <w:color w:val="222222"/>
          <w:sz w:val="20"/>
          <w:szCs w:val="20"/>
        </w:rPr>
        <w:t>Frontiers in Earth Science</w:t>
      </w:r>
      <w:r w:rsidRPr="00AB71E0">
        <w:rPr>
          <w:rFonts w:ascii="Arial" w:hAnsi="Arial" w:cs="Arial"/>
          <w:color w:val="222222"/>
          <w:sz w:val="20"/>
          <w:szCs w:val="20"/>
          <w:shd w:val="clear" w:color="auto" w:fill="FFFFFF"/>
        </w:rPr>
        <w:t>,</w:t>
      </w:r>
      <w:r w:rsidRPr="00AB71E0">
        <w:rPr>
          <w:rStyle w:val="apple-converted-space"/>
          <w:rFonts w:ascii="Arial" w:hAnsi="Arial" w:cs="Arial"/>
          <w:color w:val="222222"/>
          <w:sz w:val="20"/>
          <w:szCs w:val="20"/>
          <w:shd w:val="clear" w:color="auto" w:fill="FFFFFF"/>
        </w:rPr>
        <w:t> </w:t>
      </w:r>
      <w:r w:rsidRPr="00AB71E0">
        <w:rPr>
          <w:rFonts w:ascii="Arial" w:hAnsi="Arial" w:cs="Arial"/>
          <w:i/>
          <w:iCs/>
          <w:color w:val="222222"/>
          <w:sz w:val="20"/>
          <w:szCs w:val="20"/>
        </w:rPr>
        <w:t>10</w:t>
      </w:r>
      <w:r w:rsidRPr="00AB71E0">
        <w:rPr>
          <w:rFonts w:ascii="Arial" w:hAnsi="Arial" w:cs="Arial"/>
          <w:color w:val="222222"/>
          <w:sz w:val="20"/>
          <w:szCs w:val="20"/>
          <w:shd w:val="clear" w:color="auto" w:fill="FFFFFF"/>
        </w:rPr>
        <w:t>, 1046052.</w:t>
      </w:r>
    </w:p>
    <w:p w14:paraId="2B68ACDC" w14:textId="77777777" w:rsidR="00353EAE" w:rsidRPr="00AB71E0" w:rsidRDefault="00353EAE" w:rsidP="004431AB">
      <w:pPr>
        <w:spacing w:line="360" w:lineRule="auto"/>
        <w:ind w:left="360"/>
        <w:rPr>
          <w:rFonts w:ascii="Arial" w:hAnsi="Arial" w:cs="Arial"/>
          <w:sz w:val="20"/>
          <w:szCs w:val="20"/>
        </w:rPr>
      </w:pPr>
    </w:p>
    <w:sectPr w:rsidR="00353EAE" w:rsidRPr="00AB71E0" w:rsidSect="00F12DF1">
      <w:type w:val="continuous"/>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halim1507060hstu@gmail.com" w:date="2025-06-27T20:56:00Z" w:initials="h">
    <w:p w14:paraId="62678E4A" w14:textId="318EC0E5" w:rsidR="006F078A" w:rsidRDefault="009B2E98" w:rsidP="006F078A">
      <w:pPr>
        <w:pStyle w:val="NormalWeb"/>
        <w:jc w:val="right"/>
      </w:pPr>
      <w:r>
        <w:rPr>
          <w:rStyle w:val="CommentReference"/>
        </w:rPr>
        <w:annotationRef/>
      </w:r>
      <w:r w:rsidR="006F078A">
        <w:t>While informative, the abstract is too dense and lacks clear segmentation.</w:t>
      </w:r>
      <w:r w:rsidR="006F078A">
        <w:t xml:space="preserve"> </w:t>
      </w:r>
      <w:r w:rsidR="006F078A">
        <w:t>Refine to clearly highlight:</w:t>
      </w:r>
      <w:r w:rsidR="006F078A">
        <w:t xml:space="preserve"> </w:t>
      </w:r>
      <w:r w:rsidR="006F078A">
        <w:t>Background/problem</w:t>
      </w:r>
      <w:r w:rsidR="006F078A">
        <w:t xml:space="preserve">, </w:t>
      </w:r>
      <w:r w:rsidR="006F078A">
        <w:t>Method</w:t>
      </w:r>
      <w:r w:rsidR="006F078A">
        <w:t xml:space="preserve">, </w:t>
      </w:r>
      <w:r w:rsidR="006F078A">
        <w:t>Key findings</w:t>
      </w:r>
      <w:r w:rsidR="006F078A">
        <w:t xml:space="preserve">, </w:t>
      </w:r>
      <w:r w:rsidR="006F078A">
        <w:t>Conclusion and implications</w:t>
      </w:r>
    </w:p>
    <w:p w14:paraId="3E1DAB79" w14:textId="39CA866C" w:rsidR="009B2E98" w:rsidRDefault="009B2E98">
      <w:pPr>
        <w:pStyle w:val="CommentText"/>
      </w:pPr>
    </w:p>
  </w:comment>
  <w:comment w:id="1" w:author="halim1507060hstu@gmail.com" w:date="2025-06-27T21:25:00Z" w:initials="h">
    <w:p w14:paraId="3DBD914A" w14:textId="6179AD0C" w:rsidR="007544B2" w:rsidRDefault="007544B2" w:rsidP="007544B2">
      <w:pPr>
        <w:pStyle w:val="NormalWeb"/>
      </w:pPr>
      <w:r>
        <w:rPr>
          <w:rStyle w:val="CommentReference"/>
        </w:rPr>
        <w:annotationRef/>
      </w:r>
      <w:r>
        <w:t xml:space="preserve"> There's no </w:t>
      </w:r>
      <w:r>
        <w:rPr>
          <w:rStyle w:val="Strong"/>
        </w:rPr>
        <w:t>Methodology</w:t>
      </w:r>
      <w:r>
        <w:t xml:space="preserve"> section, although the study claims to adopt a “descriptive and exploratory approach” using “secondary d</w:t>
      </w:r>
      <w:r>
        <w:t>ata.</w:t>
      </w:r>
      <w:r>
        <w:t xml:space="preserve"> </w:t>
      </w:r>
      <w:r>
        <w:t>Add a section detailing:</w:t>
      </w:r>
      <w:r>
        <w:t xml:space="preserve"> </w:t>
      </w:r>
      <w:r>
        <w:t>Type and scope of secondary data</w:t>
      </w:r>
      <w:r>
        <w:t xml:space="preserve">,    </w:t>
      </w:r>
      <w:r>
        <w:t>Inclusion/exclusion criteria for sources</w:t>
      </w:r>
      <w:r>
        <w:t xml:space="preserve">, </w:t>
      </w:r>
      <w:r>
        <w:t>Analytical framework for quantifying CO₂</w:t>
      </w:r>
      <w:r>
        <w:t>.</w:t>
      </w:r>
    </w:p>
    <w:p w14:paraId="79DC89F2" w14:textId="2C7B8B5E" w:rsidR="007544B2" w:rsidRDefault="007544B2">
      <w:pPr>
        <w:pStyle w:val="CommentText"/>
      </w:pPr>
    </w:p>
  </w:comment>
  <w:comment w:id="2" w:author="halim1507060hstu@gmail.com" w:date="2025-06-27T20:56:00Z" w:initials="h">
    <w:p w14:paraId="7BD9A116" w14:textId="32CE5546" w:rsidR="009B2E98" w:rsidRDefault="009B2E98">
      <w:pPr>
        <w:pStyle w:val="CommentText"/>
      </w:pPr>
      <w:r>
        <w:rPr>
          <w:rStyle w:val="CommentReference"/>
        </w:rPr>
        <w:annotationRef/>
      </w:r>
      <w:r w:rsidR="006F078A">
        <w:t xml:space="preserve"> This section </w:t>
      </w:r>
      <w:r w:rsidR="006F078A">
        <w:t>is incomplete or placeholder-only.</w:t>
      </w:r>
      <w:r w:rsidR="006F078A">
        <w:t xml:space="preserve"> </w:t>
      </w:r>
      <w:r>
        <w:t>Replace placeholders with actual data interpretation. Discuss the data trends from Tables 1 &amp; 2 and figures; explain implications. Provide a comparative discussion between black and green tea systems if possible.</w:t>
      </w:r>
    </w:p>
  </w:comment>
  <w:comment w:id="3" w:author="halim1507060hstu@gmail.com" w:date="2025-06-27T20:37:00Z" w:initials="h">
    <w:p w14:paraId="0FE06895" w14:textId="4418B761" w:rsidR="004B3240" w:rsidRDefault="004B3240">
      <w:pPr>
        <w:pStyle w:val="CommentText"/>
      </w:pPr>
      <w:r>
        <w:rPr>
          <w:rStyle w:val="CommentReference"/>
        </w:rPr>
        <w:annotationRef/>
      </w:r>
      <w:r>
        <w:t>The conclusion is brief and mostly repeats content from the abstract.</w:t>
      </w:r>
      <w:r>
        <w:t xml:space="preserve"> Please s</w:t>
      </w:r>
      <w:r>
        <w:t>ummarizing key insights from each lifecycle stage</w:t>
      </w:r>
      <w:r>
        <w:t>.</w:t>
      </w:r>
      <w:r w:rsidRPr="004B3240">
        <w:t xml:space="preserve"> </w:t>
      </w:r>
      <w:r>
        <w:t>Reflecting on gaps/limitations</w:t>
      </w:r>
      <w:r>
        <w:t xml:space="preserve"> and s</w:t>
      </w:r>
      <w:r>
        <w:t>uggesting areas for future research</w:t>
      </w:r>
      <w:r w:rsidR="009B2E98">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E1DAB79" w15:done="0"/>
  <w15:commentEx w15:paraId="79DC89F2" w15:done="0"/>
  <w15:commentEx w15:paraId="7BD9A116" w15:done="0"/>
  <w15:commentEx w15:paraId="0FE0689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C0983E3" w16cex:dateUtc="2025-06-27T14:56:00Z"/>
  <w16cex:commentExtensible w16cex:durableId="2C098AE1" w16cex:dateUtc="2025-06-27T15:25:00Z"/>
  <w16cex:commentExtensible w16cex:durableId="2C098400" w16cex:dateUtc="2025-06-27T14:56:00Z"/>
  <w16cex:commentExtensible w16cex:durableId="2C097F97" w16cex:dateUtc="2025-06-27T14: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E1DAB79" w16cid:durableId="2C0983E3"/>
  <w16cid:commentId w16cid:paraId="79DC89F2" w16cid:durableId="2C098AE1"/>
  <w16cid:commentId w16cid:paraId="7BD9A116" w16cid:durableId="2C098400"/>
  <w16cid:commentId w16cid:paraId="0FE06895" w16cid:durableId="2C097F9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9FE157" w14:textId="77777777" w:rsidR="003F116E" w:rsidRDefault="003F116E" w:rsidP="002F735D">
      <w:r>
        <w:separator/>
      </w:r>
    </w:p>
  </w:endnote>
  <w:endnote w:type="continuationSeparator" w:id="0">
    <w:p w14:paraId="5C5CDEBC" w14:textId="77777777" w:rsidR="003F116E" w:rsidRDefault="003F116E" w:rsidP="002F73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webkit-standard">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9BAF7" w14:textId="77777777" w:rsidR="00F12DF1" w:rsidRDefault="00F12D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4D806" w14:textId="77777777" w:rsidR="00F12DF1" w:rsidRDefault="00F12D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CFAD1" w14:textId="77777777" w:rsidR="00F12DF1" w:rsidRDefault="00F12D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C42C0B" w14:textId="77777777" w:rsidR="003F116E" w:rsidRDefault="003F116E" w:rsidP="002F735D">
      <w:r>
        <w:separator/>
      </w:r>
    </w:p>
  </w:footnote>
  <w:footnote w:type="continuationSeparator" w:id="0">
    <w:p w14:paraId="4E462179" w14:textId="77777777" w:rsidR="003F116E" w:rsidRDefault="003F116E" w:rsidP="002F73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FEAAB" w14:textId="61BD137D" w:rsidR="00F12DF1" w:rsidRDefault="003F116E">
    <w:pPr>
      <w:pStyle w:val="Header"/>
    </w:pPr>
    <w:r>
      <w:rPr>
        <w:noProof/>
      </w:rPr>
      <w:pict w14:anchorId="6C8C69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37540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6AECB" w14:textId="0FFCC943" w:rsidR="00F12DF1" w:rsidRDefault="003F116E">
    <w:pPr>
      <w:pStyle w:val="Header"/>
    </w:pPr>
    <w:r>
      <w:rPr>
        <w:noProof/>
      </w:rPr>
      <w:pict w14:anchorId="346133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37540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A12E0" w14:textId="268EDBDF" w:rsidR="00F12DF1" w:rsidRDefault="003F116E">
    <w:pPr>
      <w:pStyle w:val="Header"/>
    </w:pPr>
    <w:r>
      <w:rPr>
        <w:noProof/>
      </w:rPr>
      <w:pict w14:anchorId="3C51BB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37540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5289E"/>
    <w:multiLevelType w:val="hybridMultilevel"/>
    <w:tmpl w:val="02141C80"/>
    <w:lvl w:ilvl="0" w:tplc="BC14E5D8">
      <w:start w:val="1"/>
      <w:numFmt w:val="decimal"/>
      <w:lvlText w:val="%1."/>
      <w:lvlJc w:val="left"/>
      <w:pPr>
        <w:tabs>
          <w:tab w:val="num" w:pos="720"/>
        </w:tabs>
        <w:ind w:left="720" w:hanging="360"/>
      </w:pPr>
    </w:lvl>
    <w:lvl w:ilvl="1" w:tplc="40F8D00C" w:tentative="1">
      <w:start w:val="1"/>
      <w:numFmt w:val="decimal"/>
      <w:lvlText w:val="%2."/>
      <w:lvlJc w:val="left"/>
      <w:pPr>
        <w:tabs>
          <w:tab w:val="num" w:pos="1440"/>
        </w:tabs>
        <w:ind w:left="1440" w:hanging="360"/>
      </w:pPr>
    </w:lvl>
    <w:lvl w:ilvl="2" w:tplc="E43A323E" w:tentative="1">
      <w:start w:val="1"/>
      <w:numFmt w:val="decimal"/>
      <w:lvlText w:val="%3."/>
      <w:lvlJc w:val="left"/>
      <w:pPr>
        <w:tabs>
          <w:tab w:val="num" w:pos="2160"/>
        </w:tabs>
        <w:ind w:left="2160" w:hanging="360"/>
      </w:pPr>
    </w:lvl>
    <w:lvl w:ilvl="3" w:tplc="E766E500" w:tentative="1">
      <w:start w:val="1"/>
      <w:numFmt w:val="decimal"/>
      <w:lvlText w:val="%4."/>
      <w:lvlJc w:val="left"/>
      <w:pPr>
        <w:tabs>
          <w:tab w:val="num" w:pos="2880"/>
        </w:tabs>
        <w:ind w:left="2880" w:hanging="360"/>
      </w:pPr>
    </w:lvl>
    <w:lvl w:ilvl="4" w:tplc="BA168C96" w:tentative="1">
      <w:start w:val="1"/>
      <w:numFmt w:val="decimal"/>
      <w:lvlText w:val="%5."/>
      <w:lvlJc w:val="left"/>
      <w:pPr>
        <w:tabs>
          <w:tab w:val="num" w:pos="3600"/>
        </w:tabs>
        <w:ind w:left="3600" w:hanging="360"/>
      </w:pPr>
    </w:lvl>
    <w:lvl w:ilvl="5" w:tplc="D020E3A6" w:tentative="1">
      <w:start w:val="1"/>
      <w:numFmt w:val="decimal"/>
      <w:lvlText w:val="%6."/>
      <w:lvlJc w:val="left"/>
      <w:pPr>
        <w:tabs>
          <w:tab w:val="num" w:pos="4320"/>
        </w:tabs>
        <w:ind w:left="4320" w:hanging="360"/>
      </w:pPr>
    </w:lvl>
    <w:lvl w:ilvl="6" w:tplc="D1CAB814" w:tentative="1">
      <w:start w:val="1"/>
      <w:numFmt w:val="decimal"/>
      <w:lvlText w:val="%7."/>
      <w:lvlJc w:val="left"/>
      <w:pPr>
        <w:tabs>
          <w:tab w:val="num" w:pos="5040"/>
        </w:tabs>
        <w:ind w:left="5040" w:hanging="360"/>
      </w:pPr>
    </w:lvl>
    <w:lvl w:ilvl="7" w:tplc="85103816" w:tentative="1">
      <w:start w:val="1"/>
      <w:numFmt w:val="decimal"/>
      <w:lvlText w:val="%8."/>
      <w:lvlJc w:val="left"/>
      <w:pPr>
        <w:tabs>
          <w:tab w:val="num" w:pos="5760"/>
        </w:tabs>
        <w:ind w:left="5760" w:hanging="360"/>
      </w:pPr>
    </w:lvl>
    <w:lvl w:ilvl="8" w:tplc="2C60BA2C" w:tentative="1">
      <w:start w:val="1"/>
      <w:numFmt w:val="decimal"/>
      <w:lvlText w:val="%9."/>
      <w:lvlJc w:val="left"/>
      <w:pPr>
        <w:tabs>
          <w:tab w:val="num" w:pos="6480"/>
        </w:tabs>
        <w:ind w:left="6480" w:hanging="360"/>
      </w:pPr>
    </w:lvl>
  </w:abstractNum>
  <w:abstractNum w:abstractNumId="1" w15:restartNumberingAfterBreak="0">
    <w:nsid w:val="0D06556E"/>
    <w:multiLevelType w:val="hybridMultilevel"/>
    <w:tmpl w:val="30022800"/>
    <w:lvl w:ilvl="0" w:tplc="D26E67F4">
      <w:start w:val="2"/>
      <w:numFmt w:val="decimal"/>
      <w:lvlText w:val="%1."/>
      <w:lvlJc w:val="left"/>
      <w:pPr>
        <w:tabs>
          <w:tab w:val="num" w:pos="720"/>
        </w:tabs>
        <w:ind w:left="720" w:hanging="360"/>
      </w:pPr>
    </w:lvl>
    <w:lvl w:ilvl="1" w:tplc="634CC0DE" w:tentative="1">
      <w:start w:val="1"/>
      <w:numFmt w:val="decimal"/>
      <w:lvlText w:val="%2."/>
      <w:lvlJc w:val="left"/>
      <w:pPr>
        <w:tabs>
          <w:tab w:val="num" w:pos="1440"/>
        </w:tabs>
        <w:ind w:left="1440" w:hanging="360"/>
      </w:pPr>
    </w:lvl>
    <w:lvl w:ilvl="2" w:tplc="7772D9EC" w:tentative="1">
      <w:start w:val="1"/>
      <w:numFmt w:val="decimal"/>
      <w:lvlText w:val="%3."/>
      <w:lvlJc w:val="left"/>
      <w:pPr>
        <w:tabs>
          <w:tab w:val="num" w:pos="2160"/>
        </w:tabs>
        <w:ind w:left="2160" w:hanging="360"/>
      </w:pPr>
    </w:lvl>
    <w:lvl w:ilvl="3" w:tplc="DA4AC89A" w:tentative="1">
      <w:start w:val="1"/>
      <w:numFmt w:val="decimal"/>
      <w:lvlText w:val="%4."/>
      <w:lvlJc w:val="left"/>
      <w:pPr>
        <w:tabs>
          <w:tab w:val="num" w:pos="2880"/>
        </w:tabs>
        <w:ind w:left="2880" w:hanging="360"/>
      </w:pPr>
    </w:lvl>
    <w:lvl w:ilvl="4" w:tplc="2FA8969A" w:tentative="1">
      <w:start w:val="1"/>
      <w:numFmt w:val="decimal"/>
      <w:lvlText w:val="%5."/>
      <w:lvlJc w:val="left"/>
      <w:pPr>
        <w:tabs>
          <w:tab w:val="num" w:pos="3600"/>
        </w:tabs>
        <w:ind w:left="3600" w:hanging="360"/>
      </w:pPr>
    </w:lvl>
    <w:lvl w:ilvl="5" w:tplc="36023622" w:tentative="1">
      <w:start w:val="1"/>
      <w:numFmt w:val="decimal"/>
      <w:lvlText w:val="%6."/>
      <w:lvlJc w:val="left"/>
      <w:pPr>
        <w:tabs>
          <w:tab w:val="num" w:pos="4320"/>
        </w:tabs>
        <w:ind w:left="4320" w:hanging="360"/>
      </w:pPr>
    </w:lvl>
    <w:lvl w:ilvl="6" w:tplc="FF96C80E" w:tentative="1">
      <w:start w:val="1"/>
      <w:numFmt w:val="decimal"/>
      <w:lvlText w:val="%7."/>
      <w:lvlJc w:val="left"/>
      <w:pPr>
        <w:tabs>
          <w:tab w:val="num" w:pos="5040"/>
        </w:tabs>
        <w:ind w:left="5040" w:hanging="360"/>
      </w:pPr>
    </w:lvl>
    <w:lvl w:ilvl="7" w:tplc="596AB00A" w:tentative="1">
      <w:start w:val="1"/>
      <w:numFmt w:val="decimal"/>
      <w:lvlText w:val="%8."/>
      <w:lvlJc w:val="left"/>
      <w:pPr>
        <w:tabs>
          <w:tab w:val="num" w:pos="5760"/>
        </w:tabs>
        <w:ind w:left="5760" w:hanging="360"/>
      </w:pPr>
    </w:lvl>
    <w:lvl w:ilvl="8" w:tplc="003652A8" w:tentative="1">
      <w:start w:val="1"/>
      <w:numFmt w:val="decimal"/>
      <w:lvlText w:val="%9."/>
      <w:lvlJc w:val="left"/>
      <w:pPr>
        <w:tabs>
          <w:tab w:val="num" w:pos="6480"/>
        </w:tabs>
        <w:ind w:left="6480" w:hanging="360"/>
      </w:pPr>
    </w:lvl>
  </w:abstractNum>
  <w:abstractNum w:abstractNumId="2" w15:restartNumberingAfterBreak="0">
    <w:nsid w:val="107A54B6"/>
    <w:multiLevelType w:val="hybridMultilevel"/>
    <w:tmpl w:val="0B40E206"/>
    <w:lvl w:ilvl="0" w:tplc="08F8624A">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C568BE"/>
    <w:multiLevelType w:val="hybridMultilevel"/>
    <w:tmpl w:val="79A8AA1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6F147DC"/>
    <w:multiLevelType w:val="hybridMultilevel"/>
    <w:tmpl w:val="62CA74B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7AB3E83"/>
    <w:multiLevelType w:val="hybridMultilevel"/>
    <w:tmpl w:val="F0325A86"/>
    <w:lvl w:ilvl="0" w:tplc="5E2879CC">
      <w:start w:val="1"/>
      <w:numFmt w:val="bullet"/>
      <w:lvlText w:val="•"/>
      <w:lvlJc w:val="left"/>
      <w:pPr>
        <w:tabs>
          <w:tab w:val="num" w:pos="720"/>
        </w:tabs>
        <w:ind w:left="720" w:hanging="360"/>
      </w:pPr>
      <w:rPr>
        <w:rFonts w:ascii="Arial" w:hAnsi="Arial" w:hint="default"/>
      </w:rPr>
    </w:lvl>
    <w:lvl w:ilvl="1" w:tplc="EBB410A6" w:tentative="1">
      <w:start w:val="1"/>
      <w:numFmt w:val="bullet"/>
      <w:lvlText w:val="•"/>
      <w:lvlJc w:val="left"/>
      <w:pPr>
        <w:tabs>
          <w:tab w:val="num" w:pos="1440"/>
        </w:tabs>
        <w:ind w:left="1440" w:hanging="360"/>
      </w:pPr>
      <w:rPr>
        <w:rFonts w:ascii="Arial" w:hAnsi="Arial" w:hint="default"/>
      </w:rPr>
    </w:lvl>
    <w:lvl w:ilvl="2" w:tplc="0F964860" w:tentative="1">
      <w:start w:val="1"/>
      <w:numFmt w:val="bullet"/>
      <w:lvlText w:val="•"/>
      <w:lvlJc w:val="left"/>
      <w:pPr>
        <w:tabs>
          <w:tab w:val="num" w:pos="2160"/>
        </w:tabs>
        <w:ind w:left="2160" w:hanging="360"/>
      </w:pPr>
      <w:rPr>
        <w:rFonts w:ascii="Arial" w:hAnsi="Arial" w:hint="default"/>
      </w:rPr>
    </w:lvl>
    <w:lvl w:ilvl="3" w:tplc="129C40A6" w:tentative="1">
      <w:start w:val="1"/>
      <w:numFmt w:val="bullet"/>
      <w:lvlText w:val="•"/>
      <w:lvlJc w:val="left"/>
      <w:pPr>
        <w:tabs>
          <w:tab w:val="num" w:pos="2880"/>
        </w:tabs>
        <w:ind w:left="2880" w:hanging="360"/>
      </w:pPr>
      <w:rPr>
        <w:rFonts w:ascii="Arial" w:hAnsi="Arial" w:hint="default"/>
      </w:rPr>
    </w:lvl>
    <w:lvl w:ilvl="4" w:tplc="8DB2502C" w:tentative="1">
      <w:start w:val="1"/>
      <w:numFmt w:val="bullet"/>
      <w:lvlText w:val="•"/>
      <w:lvlJc w:val="left"/>
      <w:pPr>
        <w:tabs>
          <w:tab w:val="num" w:pos="3600"/>
        </w:tabs>
        <w:ind w:left="3600" w:hanging="360"/>
      </w:pPr>
      <w:rPr>
        <w:rFonts w:ascii="Arial" w:hAnsi="Arial" w:hint="default"/>
      </w:rPr>
    </w:lvl>
    <w:lvl w:ilvl="5" w:tplc="2FCAD54E" w:tentative="1">
      <w:start w:val="1"/>
      <w:numFmt w:val="bullet"/>
      <w:lvlText w:val="•"/>
      <w:lvlJc w:val="left"/>
      <w:pPr>
        <w:tabs>
          <w:tab w:val="num" w:pos="4320"/>
        </w:tabs>
        <w:ind w:left="4320" w:hanging="360"/>
      </w:pPr>
      <w:rPr>
        <w:rFonts w:ascii="Arial" w:hAnsi="Arial" w:hint="default"/>
      </w:rPr>
    </w:lvl>
    <w:lvl w:ilvl="6" w:tplc="D256C09A" w:tentative="1">
      <w:start w:val="1"/>
      <w:numFmt w:val="bullet"/>
      <w:lvlText w:val="•"/>
      <w:lvlJc w:val="left"/>
      <w:pPr>
        <w:tabs>
          <w:tab w:val="num" w:pos="5040"/>
        </w:tabs>
        <w:ind w:left="5040" w:hanging="360"/>
      </w:pPr>
      <w:rPr>
        <w:rFonts w:ascii="Arial" w:hAnsi="Arial" w:hint="default"/>
      </w:rPr>
    </w:lvl>
    <w:lvl w:ilvl="7" w:tplc="5A26F83E" w:tentative="1">
      <w:start w:val="1"/>
      <w:numFmt w:val="bullet"/>
      <w:lvlText w:val="•"/>
      <w:lvlJc w:val="left"/>
      <w:pPr>
        <w:tabs>
          <w:tab w:val="num" w:pos="5760"/>
        </w:tabs>
        <w:ind w:left="5760" w:hanging="360"/>
      </w:pPr>
      <w:rPr>
        <w:rFonts w:ascii="Arial" w:hAnsi="Arial" w:hint="default"/>
      </w:rPr>
    </w:lvl>
    <w:lvl w:ilvl="8" w:tplc="1430EA0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AED1E6F"/>
    <w:multiLevelType w:val="hybridMultilevel"/>
    <w:tmpl w:val="37C00DC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B640989"/>
    <w:multiLevelType w:val="hybridMultilevel"/>
    <w:tmpl w:val="CA603AA4"/>
    <w:lvl w:ilvl="0" w:tplc="2A2EAB58">
      <w:start w:val="5"/>
      <w:numFmt w:val="decimal"/>
      <w:lvlText w:val="%1."/>
      <w:lvlJc w:val="left"/>
      <w:pPr>
        <w:tabs>
          <w:tab w:val="num" w:pos="720"/>
        </w:tabs>
        <w:ind w:left="720" w:hanging="360"/>
      </w:pPr>
      <w:rPr>
        <w:b/>
        <w:bCs/>
      </w:rPr>
    </w:lvl>
    <w:lvl w:ilvl="1" w:tplc="35C427D4" w:tentative="1">
      <w:start w:val="1"/>
      <w:numFmt w:val="decimal"/>
      <w:lvlText w:val="%2."/>
      <w:lvlJc w:val="left"/>
      <w:pPr>
        <w:tabs>
          <w:tab w:val="num" w:pos="1440"/>
        </w:tabs>
        <w:ind w:left="1440" w:hanging="360"/>
      </w:pPr>
    </w:lvl>
    <w:lvl w:ilvl="2" w:tplc="5D88C876" w:tentative="1">
      <w:start w:val="1"/>
      <w:numFmt w:val="decimal"/>
      <w:lvlText w:val="%3."/>
      <w:lvlJc w:val="left"/>
      <w:pPr>
        <w:tabs>
          <w:tab w:val="num" w:pos="2160"/>
        </w:tabs>
        <w:ind w:left="2160" w:hanging="360"/>
      </w:pPr>
    </w:lvl>
    <w:lvl w:ilvl="3" w:tplc="E64EC1E0" w:tentative="1">
      <w:start w:val="1"/>
      <w:numFmt w:val="decimal"/>
      <w:lvlText w:val="%4."/>
      <w:lvlJc w:val="left"/>
      <w:pPr>
        <w:tabs>
          <w:tab w:val="num" w:pos="2880"/>
        </w:tabs>
        <w:ind w:left="2880" w:hanging="360"/>
      </w:pPr>
    </w:lvl>
    <w:lvl w:ilvl="4" w:tplc="438E0738" w:tentative="1">
      <w:start w:val="1"/>
      <w:numFmt w:val="decimal"/>
      <w:lvlText w:val="%5."/>
      <w:lvlJc w:val="left"/>
      <w:pPr>
        <w:tabs>
          <w:tab w:val="num" w:pos="3600"/>
        </w:tabs>
        <w:ind w:left="3600" w:hanging="360"/>
      </w:pPr>
    </w:lvl>
    <w:lvl w:ilvl="5" w:tplc="67A8087C" w:tentative="1">
      <w:start w:val="1"/>
      <w:numFmt w:val="decimal"/>
      <w:lvlText w:val="%6."/>
      <w:lvlJc w:val="left"/>
      <w:pPr>
        <w:tabs>
          <w:tab w:val="num" w:pos="4320"/>
        </w:tabs>
        <w:ind w:left="4320" w:hanging="360"/>
      </w:pPr>
    </w:lvl>
    <w:lvl w:ilvl="6" w:tplc="FF1450DC" w:tentative="1">
      <w:start w:val="1"/>
      <w:numFmt w:val="decimal"/>
      <w:lvlText w:val="%7."/>
      <w:lvlJc w:val="left"/>
      <w:pPr>
        <w:tabs>
          <w:tab w:val="num" w:pos="5040"/>
        </w:tabs>
        <w:ind w:left="5040" w:hanging="360"/>
      </w:pPr>
    </w:lvl>
    <w:lvl w:ilvl="7" w:tplc="9A5EA87A" w:tentative="1">
      <w:start w:val="1"/>
      <w:numFmt w:val="decimal"/>
      <w:lvlText w:val="%8."/>
      <w:lvlJc w:val="left"/>
      <w:pPr>
        <w:tabs>
          <w:tab w:val="num" w:pos="5760"/>
        </w:tabs>
        <w:ind w:left="5760" w:hanging="360"/>
      </w:pPr>
    </w:lvl>
    <w:lvl w:ilvl="8" w:tplc="CFF457BE" w:tentative="1">
      <w:start w:val="1"/>
      <w:numFmt w:val="decimal"/>
      <w:lvlText w:val="%9."/>
      <w:lvlJc w:val="left"/>
      <w:pPr>
        <w:tabs>
          <w:tab w:val="num" w:pos="6480"/>
        </w:tabs>
        <w:ind w:left="6480" w:hanging="360"/>
      </w:pPr>
    </w:lvl>
  </w:abstractNum>
  <w:abstractNum w:abstractNumId="8" w15:restartNumberingAfterBreak="0">
    <w:nsid w:val="1F7E52A2"/>
    <w:multiLevelType w:val="multilevel"/>
    <w:tmpl w:val="AD10E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1748E2"/>
    <w:multiLevelType w:val="multilevel"/>
    <w:tmpl w:val="89261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591521"/>
    <w:multiLevelType w:val="hybridMultilevel"/>
    <w:tmpl w:val="F31E5890"/>
    <w:lvl w:ilvl="0" w:tplc="08F8624A">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5E26B8F"/>
    <w:multiLevelType w:val="hybridMultilevel"/>
    <w:tmpl w:val="5D46D98E"/>
    <w:lvl w:ilvl="0" w:tplc="04090001">
      <w:start w:val="1"/>
      <w:numFmt w:val="bullet"/>
      <w:lvlText w:val=""/>
      <w:lvlJc w:val="left"/>
      <w:pPr>
        <w:ind w:left="720" w:hanging="360"/>
      </w:pPr>
      <w:rPr>
        <w:rFonts w:ascii="Symbol" w:hAnsi="Symbol" w:hint="default"/>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2" w15:restartNumberingAfterBreak="0">
    <w:nsid w:val="38611339"/>
    <w:multiLevelType w:val="hybridMultilevel"/>
    <w:tmpl w:val="1EBC8A7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B572BBF"/>
    <w:multiLevelType w:val="hybridMultilevel"/>
    <w:tmpl w:val="06F44218"/>
    <w:lvl w:ilvl="0" w:tplc="08F8624A">
      <w:start w:val="1"/>
      <w:numFmt w:val="bullet"/>
      <w:lvlText w:val="•"/>
      <w:lvlJc w:val="left"/>
      <w:pPr>
        <w:tabs>
          <w:tab w:val="num" w:pos="720"/>
        </w:tabs>
        <w:ind w:left="720" w:hanging="360"/>
      </w:pPr>
      <w:rPr>
        <w:rFonts w:ascii="Arial" w:hAnsi="Arial" w:hint="default"/>
      </w:rPr>
    </w:lvl>
    <w:lvl w:ilvl="1" w:tplc="20C6A780" w:tentative="1">
      <w:start w:val="1"/>
      <w:numFmt w:val="bullet"/>
      <w:lvlText w:val="•"/>
      <w:lvlJc w:val="left"/>
      <w:pPr>
        <w:tabs>
          <w:tab w:val="num" w:pos="1440"/>
        </w:tabs>
        <w:ind w:left="1440" w:hanging="360"/>
      </w:pPr>
      <w:rPr>
        <w:rFonts w:ascii="Arial" w:hAnsi="Arial" w:hint="default"/>
      </w:rPr>
    </w:lvl>
    <w:lvl w:ilvl="2" w:tplc="6C3CDBB6" w:tentative="1">
      <w:start w:val="1"/>
      <w:numFmt w:val="bullet"/>
      <w:lvlText w:val="•"/>
      <w:lvlJc w:val="left"/>
      <w:pPr>
        <w:tabs>
          <w:tab w:val="num" w:pos="2160"/>
        </w:tabs>
        <w:ind w:left="2160" w:hanging="360"/>
      </w:pPr>
      <w:rPr>
        <w:rFonts w:ascii="Arial" w:hAnsi="Arial" w:hint="default"/>
      </w:rPr>
    </w:lvl>
    <w:lvl w:ilvl="3" w:tplc="79621FB0" w:tentative="1">
      <w:start w:val="1"/>
      <w:numFmt w:val="bullet"/>
      <w:lvlText w:val="•"/>
      <w:lvlJc w:val="left"/>
      <w:pPr>
        <w:tabs>
          <w:tab w:val="num" w:pos="2880"/>
        </w:tabs>
        <w:ind w:left="2880" w:hanging="360"/>
      </w:pPr>
      <w:rPr>
        <w:rFonts w:ascii="Arial" w:hAnsi="Arial" w:hint="default"/>
      </w:rPr>
    </w:lvl>
    <w:lvl w:ilvl="4" w:tplc="2020C62A" w:tentative="1">
      <w:start w:val="1"/>
      <w:numFmt w:val="bullet"/>
      <w:lvlText w:val="•"/>
      <w:lvlJc w:val="left"/>
      <w:pPr>
        <w:tabs>
          <w:tab w:val="num" w:pos="3600"/>
        </w:tabs>
        <w:ind w:left="3600" w:hanging="360"/>
      </w:pPr>
      <w:rPr>
        <w:rFonts w:ascii="Arial" w:hAnsi="Arial" w:hint="default"/>
      </w:rPr>
    </w:lvl>
    <w:lvl w:ilvl="5" w:tplc="E91453C4" w:tentative="1">
      <w:start w:val="1"/>
      <w:numFmt w:val="bullet"/>
      <w:lvlText w:val="•"/>
      <w:lvlJc w:val="left"/>
      <w:pPr>
        <w:tabs>
          <w:tab w:val="num" w:pos="4320"/>
        </w:tabs>
        <w:ind w:left="4320" w:hanging="360"/>
      </w:pPr>
      <w:rPr>
        <w:rFonts w:ascii="Arial" w:hAnsi="Arial" w:hint="default"/>
      </w:rPr>
    </w:lvl>
    <w:lvl w:ilvl="6" w:tplc="1C30CA62" w:tentative="1">
      <w:start w:val="1"/>
      <w:numFmt w:val="bullet"/>
      <w:lvlText w:val="•"/>
      <w:lvlJc w:val="left"/>
      <w:pPr>
        <w:tabs>
          <w:tab w:val="num" w:pos="5040"/>
        </w:tabs>
        <w:ind w:left="5040" w:hanging="360"/>
      </w:pPr>
      <w:rPr>
        <w:rFonts w:ascii="Arial" w:hAnsi="Arial" w:hint="default"/>
      </w:rPr>
    </w:lvl>
    <w:lvl w:ilvl="7" w:tplc="A6B645FE" w:tentative="1">
      <w:start w:val="1"/>
      <w:numFmt w:val="bullet"/>
      <w:lvlText w:val="•"/>
      <w:lvlJc w:val="left"/>
      <w:pPr>
        <w:tabs>
          <w:tab w:val="num" w:pos="5760"/>
        </w:tabs>
        <w:ind w:left="5760" w:hanging="360"/>
      </w:pPr>
      <w:rPr>
        <w:rFonts w:ascii="Arial" w:hAnsi="Arial" w:hint="default"/>
      </w:rPr>
    </w:lvl>
    <w:lvl w:ilvl="8" w:tplc="90DE045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D163071"/>
    <w:multiLevelType w:val="hybridMultilevel"/>
    <w:tmpl w:val="2956222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DC9161E"/>
    <w:multiLevelType w:val="multilevel"/>
    <w:tmpl w:val="7BF603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2F2F17"/>
    <w:multiLevelType w:val="hybridMultilevel"/>
    <w:tmpl w:val="6A0849E8"/>
    <w:lvl w:ilvl="0" w:tplc="DF681E7C">
      <w:start w:val="1"/>
      <w:numFmt w:val="bullet"/>
      <w:lvlText w:val="•"/>
      <w:lvlJc w:val="left"/>
      <w:pPr>
        <w:tabs>
          <w:tab w:val="num" w:pos="720"/>
        </w:tabs>
        <w:ind w:left="720" w:hanging="360"/>
      </w:pPr>
      <w:rPr>
        <w:rFonts w:ascii="Arial" w:hAnsi="Arial" w:hint="default"/>
      </w:rPr>
    </w:lvl>
    <w:lvl w:ilvl="1" w:tplc="D6A2B5F8" w:tentative="1">
      <w:start w:val="1"/>
      <w:numFmt w:val="bullet"/>
      <w:lvlText w:val="•"/>
      <w:lvlJc w:val="left"/>
      <w:pPr>
        <w:tabs>
          <w:tab w:val="num" w:pos="1440"/>
        </w:tabs>
        <w:ind w:left="1440" w:hanging="360"/>
      </w:pPr>
      <w:rPr>
        <w:rFonts w:ascii="Arial" w:hAnsi="Arial" w:hint="default"/>
      </w:rPr>
    </w:lvl>
    <w:lvl w:ilvl="2" w:tplc="6F72C17C" w:tentative="1">
      <w:start w:val="1"/>
      <w:numFmt w:val="bullet"/>
      <w:lvlText w:val="•"/>
      <w:lvlJc w:val="left"/>
      <w:pPr>
        <w:tabs>
          <w:tab w:val="num" w:pos="2160"/>
        </w:tabs>
        <w:ind w:left="2160" w:hanging="360"/>
      </w:pPr>
      <w:rPr>
        <w:rFonts w:ascii="Arial" w:hAnsi="Arial" w:hint="default"/>
      </w:rPr>
    </w:lvl>
    <w:lvl w:ilvl="3" w:tplc="4896FFF8" w:tentative="1">
      <w:start w:val="1"/>
      <w:numFmt w:val="bullet"/>
      <w:lvlText w:val="•"/>
      <w:lvlJc w:val="left"/>
      <w:pPr>
        <w:tabs>
          <w:tab w:val="num" w:pos="2880"/>
        </w:tabs>
        <w:ind w:left="2880" w:hanging="360"/>
      </w:pPr>
      <w:rPr>
        <w:rFonts w:ascii="Arial" w:hAnsi="Arial" w:hint="default"/>
      </w:rPr>
    </w:lvl>
    <w:lvl w:ilvl="4" w:tplc="8C948372" w:tentative="1">
      <w:start w:val="1"/>
      <w:numFmt w:val="bullet"/>
      <w:lvlText w:val="•"/>
      <w:lvlJc w:val="left"/>
      <w:pPr>
        <w:tabs>
          <w:tab w:val="num" w:pos="3600"/>
        </w:tabs>
        <w:ind w:left="3600" w:hanging="360"/>
      </w:pPr>
      <w:rPr>
        <w:rFonts w:ascii="Arial" w:hAnsi="Arial" w:hint="default"/>
      </w:rPr>
    </w:lvl>
    <w:lvl w:ilvl="5" w:tplc="2C9019DA" w:tentative="1">
      <w:start w:val="1"/>
      <w:numFmt w:val="bullet"/>
      <w:lvlText w:val="•"/>
      <w:lvlJc w:val="left"/>
      <w:pPr>
        <w:tabs>
          <w:tab w:val="num" w:pos="4320"/>
        </w:tabs>
        <w:ind w:left="4320" w:hanging="360"/>
      </w:pPr>
      <w:rPr>
        <w:rFonts w:ascii="Arial" w:hAnsi="Arial" w:hint="default"/>
      </w:rPr>
    </w:lvl>
    <w:lvl w:ilvl="6" w:tplc="133E6DE4" w:tentative="1">
      <w:start w:val="1"/>
      <w:numFmt w:val="bullet"/>
      <w:lvlText w:val="•"/>
      <w:lvlJc w:val="left"/>
      <w:pPr>
        <w:tabs>
          <w:tab w:val="num" w:pos="5040"/>
        </w:tabs>
        <w:ind w:left="5040" w:hanging="360"/>
      </w:pPr>
      <w:rPr>
        <w:rFonts w:ascii="Arial" w:hAnsi="Arial" w:hint="default"/>
      </w:rPr>
    </w:lvl>
    <w:lvl w:ilvl="7" w:tplc="49443EA6" w:tentative="1">
      <w:start w:val="1"/>
      <w:numFmt w:val="bullet"/>
      <w:lvlText w:val="•"/>
      <w:lvlJc w:val="left"/>
      <w:pPr>
        <w:tabs>
          <w:tab w:val="num" w:pos="5760"/>
        </w:tabs>
        <w:ind w:left="5760" w:hanging="360"/>
      </w:pPr>
      <w:rPr>
        <w:rFonts w:ascii="Arial" w:hAnsi="Arial" w:hint="default"/>
      </w:rPr>
    </w:lvl>
    <w:lvl w:ilvl="8" w:tplc="BA76AF2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FF01E93"/>
    <w:multiLevelType w:val="hybridMultilevel"/>
    <w:tmpl w:val="28BAE43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35C61A0"/>
    <w:multiLevelType w:val="multilevel"/>
    <w:tmpl w:val="19B0C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AA5F69"/>
    <w:multiLevelType w:val="hybridMultilevel"/>
    <w:tmpl w:val="2BCA42C2"/>
    <w:lvl w:ilvl="0" w:tplc="6E565BE0">
      <w:start w:val="1"/>
      <w:numFmt w:val="bullet"/>
      <w:lvlText w:val="•"/>
      <w:lvlJc w:val="left"/>
      <w:pPr>
        <w:tabs>
          <w:tab w:val="num" w:pos="720"/>
        </w:tabs>
        <w:ind w:left="720" w:hanging="360"/>
      </w:pPr>
      <w:rPr>
        <w:rFonts w:ascii="Arial" w:hAnsi="Arial" w:hint="default"/>
      </w:rPr>
    </w:lvl>
    <w:lvl w:ilvl="1" w:tplc="03DA1474" w:tentative="1">
      <w:start w:val="1"/>
      <w:numFmt w:val="bullet"/>
      <w:lvlText w:val="•"/>
      <w:lvlJc w:val="left"/>
      <w:pPr>
        <w:tabs>
          <w:tab w:val="num" w:pos="1440"/>
        </w:tabs>
        <w:ind w:left="1440" w:hanging="360"/>
      </w:pPr>
      <w:rPr>
        <w:rFonts w:ascii="Arial" w:hAnsi="Arial" w:hint="default"/>
      </w:rPr>
    </w:lvl>
    <w:lvl w:ilvl="2" w:tplc="E7A41422" w:tentative="1">
      <w:start w:val="1"/>
      <w:numFmt w:val="bullet"/>
      <w:lvlText w:val="•"/>
      <w:lvlJc w:val="left"/>
      <w:pPr>
        <w:tabs>
          <w:tab w:val="num" w:pos="2160"/>
        </w:tabs>
        <w:ind w:left="2160" w:hanging="360"/>
      </w:pPr>
      <w:rPr>
        <w:rFonts w:ascii="Arial" w:hAnsi="Arial" w:hint="default"/>
      </w:rPr>
    </w:lvl>
    <w:lvl w:ilvl="3" w:tplc="D1FC4F42" w:tentative="1">
      <w:start w:val="1"/>
      <w:numFmt w:val="bullet"/>
      <w:lvlText w:val="•"/>
      <w:lvlJc w:val="left"/>
      <w:pPr>
        <w:tabs>
          <w:tab w:val="num" w:pos="2880"/>
        </w:tabs>
        <w:ind w:left="2880" w:hanging="360"/>
      </w:pPr>
      <w:rPr>
        <w:rFonts w:ascii="Arial" w:hAnsi="Arial" w:hint="default"/>
      </w:rPr>
    </w:lvl>
    <w:lvl w:ilvl="4" w:tplc="2A5699AE" w:tentative="1">
      <w:start w:val="1"/>
      <w:numFmt w:val="bullet"/>
      <w:lvlText w:val="•"/>
      <w:lvlJc w:val="left"/>
      <w:pPr>
        <w:tabs>
          <w:tab w:val="num" w:pos="3600"/>
        </w:tabs>
        <w:ind w:left="3600" w:hanging="360"/>
      </w:pPr>
      <w:rPr>
        <w:rFonts w:ascii="Arial" w:hAnsi="Arial" w:hint="default"/>
      </w:rPr>
    </w:lvl>
    <w:lvl w:ilvl="5" w:tplc="51BAA344" w:tentative="1">
      <w:start w:val="1"/>
      <w:numFmt w:val="bullet"/>
      <w:lvlText w:val="•"/>
      <w:lvlJc w:val="left"/>
      <w:pPr>
        <w:tabs>
          <w:tab w:val="num" w:pos="4320"/>
        </w:tabs>
        <w:ind w:left="4320" w:hanging="360"/>
      </w:pPr>
      <w:rPr>
        <w:rFonts w:ascii="Arial" w:hAnsi="Arial" w:hint="default"/>
      </w:rPr>
    </w:lvl>
    <w:lvl w:ilvl="6" w:tplc="EA92AB8C" w:tentative="1">
      <w:start w:val="1"/>
      <w:numFmt w:val="bullet"/>
      <w:lvlText w:val="•"/>
      <w:lvlJc w:val="left"/>
      <w:pPr>
        <w:tabs>
          <w:tab w:val="num" w:pos="5040"/>
        </w:tabs>
        <w:ind w:left="5040" w:hanging="360"/>
      </w:pPr>
      <w:rPr>
        <w:rFonts w:ascii="Arial" w:hAnsi="Arial" w:hint="default"/>
      </w:rPr>
    </w:lvl>
    <w:lvl w:ilvl="7" w:tplc="84D8CD58" w:tentative="1">
      <w:start w:val="1"/>
      <w:numFmt w:val="bullet"/>
      <w:lvlText w:val="•"/>
      <w:lvlJc w:val="left"/>
      <w:pPr>
        <w:tabs>
          <w:tab w:val="num" w:pos="5760"/>
        </w:tabs>
        <w:ind w:left="5760" w:hanging="360"/>
      </w:pPr>
      <w:rPr>
        <w:rFonts w:ascii="Arial" w:hAnsi="Arial" w:hint="default"/>
      </w:rPr>
    </w:lvl>
    <w:lvl w:ilvl="8" w:tplc="43101D3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78B565F"/>
    <w:multiLevelType w:val="hybridMultilevel"/>
    <w:tmpl w:val="8D5A4324"/>
    <w:lvl w:ilvl="0" w:tplc="FFFFFFFF">
      <w:start w:val="1"/>
      <w:numFmt w:val="decimal"/>
      <w:lvlText w:val="%1."/>
      <w:lvlJc w:val="left"/>
      <w:pPr>
        <w:ind w:left="1080" w:hanging="360"/>
      </w:pPr>
      <w:rPr>
        <w:rFonts w:ascii="Times New Roman" w:hAnsi="Times New Roman" w:cs="Times New Roman"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48290421"/>
    <w:multiLevelType w:val="hybridMultilevel"/>
    <w:tmpl w:val="443C1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582791"/>
    <w:multiLevelType w:val="hybridMultilevel"/>
    <w:tmpl w:val="29EA50C0"/>
    <w:lvl w:ilvl="0" w:tplc="04090001">
      <w:start w:val="1"/>
      <w:numFmt w:val="bullet"/>
      <w:lvlText w:val=""/>
      <w:lvlJc w:val="left"/>
      <w:pPr>
        <w:ind w:left="720" w:hanging="360"/>
      </w:pPr>
      <w:rPr>
        <w:rFonts w:ascii="Symbol" w:hAnsi="Symbol" w:hint="default"/>
        <w:b/>
        <w:bCs/>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23" w15:restartNumberingAfterBreak="0">
    <w:nsid w:val="48BA5D2D"/>
    <w:multiLevelType w:val="hybridMultilevel"/>
    <w:tmpl w:val="EE7A4642"/>
    <w:lvl w:ilvl="0" w:tplc="FFFFFFFF">
      <w:start w:val="1"/>
      <w:numFmt w:val="decimal"/>
      <w:lvlText w:val="%1."/>
      <w:lvlJc w:val="left"/>
      <w:pPr>
        <w:ind w:left="720" w:hanging="360"/>
      </w:pPr>
      <w:rPr>
        <w:rFonts w:ascii="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F204887"/>
    <w:multiLevelType w:val="hybridMultilevel"/>
    <w:tmpl w:val="FEBE6208"/>
    <w:lvl w:ilvl="0" w:tplc="08F8624A">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1657E9"/>
    <w:multiLevelType w:val="hybridMultilevel"/>
    <w:tmpl w:val="A2F414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CDC35DF"/>
    <w:multiLevelType w:val="hybridMultilevel"/>
    <w:tmpl w:val="DCA8ABC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5DE84F79"/>
    <w:multiLevelType w:val="hybridMultilevel"/>
    <w:tmpl w:val="51D48AFA"/>
    <w:lvl w:ilvl="0" w:tplc="443411B2">
      <w:start w:val="1"/>
      <w:numFmt w:val="bullet"/>
      <w:lvlText w:val="•"/>
      <w:lvlJc w:val="left"/>
      <w:pPr>
        <w:tabs>
          <w:tab w:val="num" w:pos="720"/>
        </w:tabs>
        <w:ind w:left="720" w:hanging="360"/>
      </w:pPr>
      <w:rPr>
        <w:rFonts w:ascii="Arial" w:hAnsi="Arial" w:hint="default"/>
      </w:rPr>
    </w:lvl>
    <w:lvl w:ilvl="1" w:tplc="408835E6" w:tentative="1">
      <w:start w:val="1"/>
      <w:numFmt w:val="bullet"/>
      <w:lvlText w:val="•"/>
      <w:lvlJc w:val="left"/>
      <w:pPr>
        <w:tabs>
          <w:tab w:val="num" w:pos="1440"/>
        </w:tabs>
        <w:ind w:left="1440" w:hanging="360"/>
      </w:pPr>
      <w:rPr>
        <w:rFonts w:ascii="Arial" w:hAnsi="Arial" w:hint="default"/>
      </w:rPr>
    </w:lvl>
    <w:lvl w:ilvl="2" w:tplc="07B8898A" w:tentative="1">
      <w:start w:val="1"/>
      <w:numFmt w:val="bullet"/>
      <w:lvlText w:val="•"/>
      <w:lvlJc w:val="left"/>
      <w:pPr>
        <w:tabs>
          <w:tab w:val="num" w:pos="2160"/>
        </w:tabs>
        <w:ind w:left="2160" w:hanging="360"/>
      </w:pPr>
      <w:rPr>
        <w:rFonts w:ascii="Arial" w:hAnsi="Arial" w:hint="default"/>
      </w:rPr>
    </w:lvl>
    <w:lvl w:ilvl="3" w:tplc="DC30A14E" w:tentative="1">
      <w:start w:val="1"/>
      <w:numFmt w:val="bullet"/>
      <w:lvlText w:val="•"/>
      <w:lvlJc w:val="left"/>
      <w:pPr>
        <w:tabs>
          <w:tab w:val="num" w:pos="2880"/>
        </w:tabs>
        <w:ind w:left="2880" w:hanging="360"/>
      </w:pPr>
      <w:rPr>
        <w:rFonts w:ascii="Arial" w:hAnsi="Arial" w:hint="default"/>
      </w:rPr>
    </w:lvl>
    <w:lvl w:ilvl="4" w:tplc="AA2A96FA" w:tentative="1">
      <w:start w:val="1"/>
      <w:numFmt w:val="bullet"/>
      <w:lvlText w:val="•"/>
      <w:lvlJc w:val="left"/>
      <w:pPr>
        <w:tabs>
          <w:tab w:val="num" w:pos="3600"/>
        </w:tabs>
        <w:ind w:left="3600" w:hanging="360"/>
      </w:pPr>
      <w:rPr>
        <w:rFonts w:ascii="Arial" w:hAnsi="Arial" w:hint="default"/>
      </w:rPr>
    </w:lvl>
    <w:lvl w:ilvl="5" w:tplc="68004D92" w:tentative="1">
      <w:start w:val="1"/>
      <w:numFmt w:val="bullet"/>
      <w:lvlText w:val="•"/>
      <w:lvlJc w:val="left"/>
      <w:pPr>
        <w:tabs>
          <w:tab w:val="num" w:pos="4320"/>
        </w:tabs>
        <w:ind w:left="4320" w:hanging="360"/>
      </w:pPr>
      <w:rPr>
        <w:rFonts w:ascii="Arial" w:hAnsi="Arial" w:hint="default"/>
      </w:rPr>
    </w:lvl>
    <w:lvl w:ilvl="6" w:tplc="6F8EF85A" w:tentative="1">
      <w:start w:val="1"/>
      <w:numFmt w:val="bullet"/>
      <w:lvlText w:val="•"/>
      <w:lvlJc w:val="left"/>
      <w:pPr>
        <w:tabs>
          <w:tab w:val="num" w:pos="5040"/>
        </w:tabs>
        <w:ind w:left="5040" w:hanging="360"/>
      </w:pPr>
      <w:rPr>
        <w:rFonts w:ascii="Arial" w:hAnsi="Arial" w:hint="default"/>
      </w:rPr>
    </w:lvl>
    <w:lvl w:ilvl="7" w:tplc="223CAC04" w:tentative="1">
      <w:start w:val="1"/>
      <w:numFmt w:val="bullet"/>
      <w:lvlText w:val="•"/>
      <w:lvlJc w:val="left"/>
      <w:pPr>
        <w:tabs>
          <w:tab w:val="num" w:pos="5760"/>
        </w:tabs>
        <w:ind w:left="5760" w:hanging="360"/>
      </w:pPr>
      <w:rPr>
        <w:rFonts w:ascii="Arial" w:hAnsi="Arial" w:hint="default"/>
      </w:rPr>
    </w:lvl>
    <w:lvl w:ilvl="8" w:tplc="B2D04B3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08E6E68"/>
    <w:multiLevelType w:val="hybridMultilevel"/>
    <w:tmpl w:val="9F54D29A"/>
    <w:lvl w:ilvl="0" w:tplc="08F8624A">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A3379AB"/>
    <w:multiLevelType w:val="hybridMultilevel"/>
    <w:tmpl w:val="82D25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3C67E7"/>
    <w:multiLevelType w:val="hybridMultilevel"/>
    <w:tmpl w:val="D7AC8C12"/>
    <w:lvl w:ilvl="0" w:tplc="25A454D4">
      <w:start w:val="4"/>
      <w:numFmt w:val="decimal"/>
      <w:lvlText w:val="%1."/>
      <w:lvlJc w:val="left"/>
      <w:pPr>
        <w:tabs>
          <w:tab w:val="num" w:pos="720"/>
        </w:tabs>
        <w:ind w:left="720" w:hanging="360"/>
      </w:pPr>
      <w:rPr>
        <w:b/>
        <w:bCs/>
      </w:rPr>
    </w:lvl>
    <w:lvl w:ilvl="1" w:tplc="4F946F6C" w:tentative="1">
      <w:start w:val="1"/>
      <w:numFmt w:val="decimal"/>
      <w:lvlText w:val="%2."/>
      <w:lvlJc w:val="left"/>
      <w:pPr>
        <w:tabs>
          <w:tab w:val="num" w:pos="1440"/>
        </w:tabs>
        <w:ind w:left="1440" w:hanging="360"/>
      </w:pPr>
    </w:lvl>
    <w:lvl w:ilvl="2" w:tplc="224C3C62" w:tentative="1">
      <w:start w:val="1"/>
      <w:numFmt w:val="decimal"/>
      <w:lvlText w:val="%3."/>
      <w:lvlJc w:val="left"/>
      <w:pPr>
        <w:tabs>
          <w:tab w:val="num" w:pos="2160"/>
        </w:tabs>
        <w:ind w:left="2160" w:hanging="360"/>
      </w:pPr>
    </w:lvl>
    <w:lvl w:ilvl="3" w:tplc="C8FC1528" w:tentative="1">
      <w:start w:val="1"/>
      <w:numFmt w:val="decimal"/>
      <w:lvlText w:val="%4."/>
      <w:lvlJc w:val="left"/>
      <w:pPr>
        <w:tabs>
          <w:tab w:val="num" w:pos="2880"/>
        </w:tabs>
        <w:ind w:left="2880" w:hanging="360"/>
      </w:pPr>
    </w:lvl>
    <w:lvl w:ilvl="4" w:tplc="EC843746" w:tentative="1">
      <w:start w:val="1"/>
      <w:numFmt w:val="decimal"/>
      <w:lvlText w:val="%5."/>
      <w:lvlJc w:val="left"/>
      <w:pPr>
        <w:tabs>
          <w:tab w:val="num" w:pos="3600"/>
        </w:tabs>
        <w:ind w:left="3600" w:hanging="360"/>
      </w:pPr>
    </w:lvl>
    <w:lvl w:ilvl="5" w:tplc="F02C4B7A" w:tentative="1">
      <w:start w:val="1"/>
      <w:numFmt w:val="decimal"/>
      <w:lvlText w:val="%6."/>
      <w:lvlJc w:val="left"/>
      <w:pPr>
        <w:tabs>
          <w:tab w:val="num" w:pos="4320"/>
        </w:tabs>
        <w:ind w:left="4320" w:hanging="360"/>
      </w:pPr>
    </w:lvl>
    <w:lvl w:ilvl="6" w:tplc="0EAE9514" w:tentative="1">
      <w:start w:val="1"/>
      <w:numFmt w:val="decimal"/>
      <w:lvlText w:val="%7."/>
      <w:lvlJc w:val="left"/>
      <w:pPr>
        <w:tabs>
          <w:tab w:val="num" w:pos="5040"/>
        </w:tabs>
        <w:ind w:left="5040" w:hanging="360"/>
      </w:pPr>
    </w:lvl>
    <w:lvl w:ilvl="7" w:tplc="95BCD112" w:tentative="1">
      <w:start w:val="1"/>
      <w:numFmt w:val="decimal"/>
      <w:lvlText w:val="%8."/>
      <w:lvlJc w:val="left"/>
      <w:pPr>
        <w:tabs>
          <w:tab w:val="num" w:pos="5760"/>
        </w:tabs>
        <w:ind w:left="5760" w:hanging="360"/>
      </w:pPr>
    </w:lvl>
    <w:lvl w:ilvl="8" w:tplc="4DE4A1D4" w:tentative="1">
      <w:start w:val="1"/>
      <w:numFmt w:val="decimal"/>
      <w:lvlText w:val="%9."/>
      <w:lvlJc w:val="left"/>
      <w:pPr>
        <w:tabs>
          <w:tab w:val="num" w:pos="6480"/>
        </w:tabs>
        <w:ind w:left="6480" w:hanging="360"/>
      </w:pPr>
    </w:lvl>
  </w:abstractNum>
  <w:abstractNum w:abstractNumId="31" w15:restartNumberingAfterBreak="0">
    <w:nsid w:val="72822B3E"/>
    <w:multiLevelType w:val="hybridMultilevel"/>
    <w:tmpl w:val="43963D66"/>
    <w:lvl w:ilvl="0" w:tplc="CB40DA7E">
      <w:start w:val="3"/>
      <w:numFmt w:val="decimal"/>
      <w:lvlText w:val="%1."/>
      <w:lvlJc w:val="left"/>
      <w:pPr>
        <w:tabs>
          <w:tab w:val="num" w:pos="720"/>
        </w:tabs>
        <w:ind w:left="720" w:hanging="360"/>
      </w:pPr>
    </w:lvl>
    <w:lvl w:ilvl="1" w:tplc="9186689E" w:tentative="1">
      <w:start w:val="1"/>
      <w:numFmt w:val="decimal"/>
      <w:lvlText w:val="%2."/>
      <w:lvlJc w:val="left"/>
      <w:pPr>
        <w:tabs>
          <w:tab w:val="num" w:pos="1440"/>
        </w:tabs>
        <w:ind w:left="1440" w:hanging="360"/>
      </w:pPr>
    </w:lvl>
    <w:lvl w:ilvl="2" w:tplc="F60AA464" w:tentative="1">
      <w:start w:val="1"/>
      <w:numFmt w:val="decimal"/>
      <w:lvlText w:val="%3."/>
      <w:lvlJc w:val="left"/>
      <w:pPr>
        <w:tabs>
          <w:tab w:val="num" w:pos="2160"/>
        </w:tabs>
        <w:ind w:left="2160" w:hanging="360"/>
      </w:pPr>
    </w:lvl>
    <w:lvl w:ilvl="3" w:tplc="00EC9538" w:tentative="1">
      <w:start w:val="1"/>
      <w:numFmt w:val="decimal"/>
      <w:lvlText w:val="%4."/>
      <w:lvlJc w:val="left"/>
      <w:pPr>
        <w:tabs>
          <w:tab w:val="num" w:pos="2880"/>
        </w:tabs>
        <w:ind w:left="2880" w:hanging="360"/>
      </w:pPr>
    </w:lvl>
    <w:lvl w:ilvl="4" w:tplc="F92EE408" w:tentative="1">
      <w:start w:val="1"/>
      <w:numFmt w:val="decimal"/>
      <w:lvlText w:val="%5."/>
      <w:lvlJc w:val="left"/>
      <w:pPr>
        <w:tabs>
          <w:tab w:val="num" w:pos="3600"/>
        </w:tabs>
        <w:ind w:left="3600" w:hanging="360"/>
      </w:pPr>
    </w:lvl>
    <w:lvl w:ilvl="5" w:tplc="AC188EB0" w:tentative="1">
      <w:start w:val="1"/>
      <w:numFmt w:val="decimal"/>
      <w:lvlText w:val="%6."/>
      <w:lvlJc w:val="left"/>
      <w:pPr>
        <w:tabs>
          <w:tab w:val="num" w:pos="4320"/>
        </w:tabs>
        <w:ind w:left="4320" w:hanging="360"/>
      </w:pPr>
    </w:lvl>
    <w:lvl w:ilvl="6" w:tplc="5E985D2E" w:tentative="1">
      <w:start w:val="1"/>
      <w:numFmt w:val="decimal"/>
      <w:lvlText w:val="%7."/>
      <w:lvlJc w:val="left"/>
      <w:pPr>
        <w:tabs>
          <w:tab w:val="num" w:pos="5040"/>
        </w:tabs>
        <w:ind w:left="5040" w:hanging="360"/>
      </w:pPr>
    </w:lvl>
    <w:lvl w:ilvl="7" w:tplc="321A8914" w:tentative="1">
      <w:start w:val="1"/>
      <w:numFmt w:val="decimal"/>
      <w:lvlText w:val="%8."/>
      <w:lvlJc w:val="left"/>
      <w:pPr>
        <w:tabs>
          <w:tab w:val="num" w:pos="5760"/>
        </w:tabs>
        <w:ind w:left="5760" w:hanging="360"/>
      </w:pPr>
    </w:lvl>
    <w:lvl w:ilvl="8" w:tplc="5BC4C464" w:tentative="1">
      <w:start w:val="1"/>
      <w:numFmt w:val="decimal"/>
      <w:lvlText w:val="%9."/>
      <w:lvlJc w:val="left"/>
      <w:pPr>
        <w:tabs>
          <w:tab w:val="num" w:pos="6480"/>
        </w:tabs>
        <w:ind w:left="6480" w:hanging="360"/>
      </w:pPr>
    </w:lvl>
  </w:abstractNum>
  <w:abstractNum w:abstractNumId="32" w15:restartNumberingAfterBreak="0">
    <w:nsid w:val="77496A9F"/>
    <w:multiLevelType w:val="hybridMultilevel"/>
    <w:tmpl w:val="6D48CA0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7A2830F5"/>
    <w:multiLevelType w:val="hybridMultilevel"/>
    <w:tmpl w:val="8CA067A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DD47C8C"/>
    <w:multiLevelType w:val="hybridMultilevel"/>
    <w:tmpl w:val="D0F6EAD0"/>
    <w:lvl w:ilvl="0" w:tplc="04090001">
      <w:start w:val="1"/>
      <w:numFmt w:val="bullet"/>
      <w:lvlText w:val=""/>
      <w:lvlJc w:val="left"/>
      <w:pPr>
        <w:ind w:left="720" w:hanging="360"/>
      </w:pPr>
      <w:rPr>
        <w:rFonts w:ascii="Symbol" w:hAnsi="Symbol" w:hint="default"/>
        <w:b/>
        <w:bCs/>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num w:numId="1">
    <w:abstractNumId w:val="21"/>
  </w:num>
  <w:num w:numId="2">
    <w:abstractNumId w:val="23"/>
  </w:num>
  <w:num w:numId="3">
    <w:abstractNumId w:val="0"/>
  </w:num>
  <w:num w:numId="4">
    <w:abstractNumId w:val="13"/>
  </w:num>
  <w:num w:numId="5">
    <w:abstractNumId w:val="1"/>
  </w:num>
  <w:num w:numId="6">
    <w:abstractNumId w:val="27"/>
  </w:num>
  <w:num w:numId="7">
    <w:abstractNumId w:val="31"/>
  </w:num>
  <w:num w:numId="8">
    <w:abstractNumId w:val="5"/>
  </w:num>
  <w:num w:numId="9">
    <w:abstractNumId w:val="30"/>
  </w:num>
  <w:num w:numId="10">
    <w:abstractNumId w:val="19"/>
  </w:num>
  <w:num w:numId="11">
    <w:abstractNumId w:val="7"/>
  </w:num>
  <w:num w:numId="12">
    <w:abstractNumId w:val="16"/>
  </w:num>
  <w:num w:numId="13">
    <w:abstractNumId w:val="20"/>
  </w:num>
  <w:num w:numId="14">
    <w:abstractNumId w:val="10"/>
  </w:num>
  <w:num w:numId="15">
    <w:abstractNumId w:val="28"/>
  </w:num>
  <w:num w:numId="16">
    <w:abstractNumId w:val="2"/>
  </w:num>
  <w:num w:numId="17">
    <w:abstractNumId w:val="24"/>
  </w:num>
  <w:num w:numId="18">
    <w:abstractNumId w:val="32"/>
  </w:num>
  <w:num w:numId="19">
    <w:abstractNumId w:val="26"/>
  </w:num>
  <w:num w:numId="20">
    <w:abstractNumId w:val="25"/>
  </w:num>
  <w:num w:numId="21">
    <w:abstractNumId w:val="18"/>
  </w:num>
  <w:num w:numId="22">
    <w:abstractNumId w:val="29"/>
  </w:num>
  <w:num w:numId="23">
    <w:abstractNumId w:val="11"/>
  </w:num>
  <w:num w:numId="24">
    <w:abstractNumId w:val="34"/>
  </w:num>
  <w:num w:numId="25">
    <w:abstractNumId w:val="22"/>
  </w:num>
  <w:num w:numId="26">
    <w:abstractNumId w:val="3"/>
  </w:num>
  <w:num w:numId="27">
    <w:abstractNumId w:val="17"/>
  </w:num>
  <w:num w:numId="28">
    <w:abstractNumId w:val="6"/>
  </w:num>
  <w:num w:numId="29">
    <w:abstractNumId w:val="14"/>
  </w:num>
  <w:num w:numId="30">
    <w:abstractNumId w:val="4"/>
  </w:num>
  <w:num w:numId="31">
    <w:abstractNumId w:val="12"/>
  </w:num>
  <w:num w:numId="32">
    <w:abstractNumId w:val="33"/>
  </w:num>
  <w:num w:numId="33">
    <w:abstractNumId w:val="8"/>
  </w:num>
  <w:num w:numId="34">
    <w:abstractNumId w:val="15"/>
  </w:num>
  <w:num w:numId="35">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alim1507060hstu@gmail.com">
    <w15:presenceInfo w15:providerId="Windows Live" w15:userId="c4a325ba8e1c28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U1sDAzMjcyNTYzMjFS0lEKTi0uzszPAykwrAUAbibrFCwAAAA="/>
  </w:docVars>
  <w:rsids>
    <w:rsidRoot w:val="00312311"/>
    <w:rsid w:val="0001033E"/>
    <w:rsid w:val="00071972"/>
    <w:rsid w:val="00084128"/>
    <w:rsid w:val="000F508C"/>
    <w:rsid w:val="0015517B"/>
    <w:rsid w:val="00156738"/>
    <w:rsid w:val="0018361F"/>
    <w:rsid w:val="0020110F"/>
    <w:rsid w:val="00227C66"/>
    <w:rsid w:val="00263DFC"/>
    <w:rsid w:val="00276F1C"/>
    <w:rsid w:val="002B3991"/>
    <w:rsid w:val="002E2492"/>
    <w:rsid w:val="002F735D"/>
    <w:rsid w:val="00312311"/>
    <w:rsid w:val="00353EAE"/>
    <w:rsid w:val="00376BEF"/>
    <w:rsid w:val="00377A6A"/>
    <w:rsid w:val="003A7BC9"/>
    <w:rsid w:val="003D1FF0"/>
    <w:rsid w:val="003E3B28"/>
    <w:rsid w:val="003F116E"/>
    <w:rsid w:val="004431AB"/>
    <w:rsid w:val="00473FA0"/>
    <w:rsid w:val="00490732"/>
    <w:rsid w:val="004B3240"/>
    <w:rsid w:val="004D2F89"/>
    <w:rsid w:val="00556108"/>
    <w:rsid w:val="00583087"/>
    <w:rsid w:val="00591324"/>
    <w:rsid w:val="005A6329"/>
    <w:rsid w:val="00620AF4"/>
    <w:rsid w:val="00647F77"/>
    <w:rsid w:val="00666CE4"/>
    <w:rsid w:val="006952A1"/>
    <w:rsid w:val="006C16A5"/>
    <w:rsid w:val="006F078A"/>
    <w:rsid w:val="007300B3"/>
    <w:rsid w:val="007544B2"/>
    <w:rsid w:val="00763844"/>
    <w:rsid w:val="00765307"/>
    <w:rsid w:val="00771E83"/>
    <w:rsid w:val="00773DA7"/>
    <w:rsid w:val="007A569A"/>
    <w:rsid w:val="007D5EFC"/>
    <w:rsid w:val="008058A1"/>
    <w:rsid w:val="00813A74"/>
    <w:rsid w:val="00832B86"/>
    <w:rsid w:val="008B4C80"/>
    <w:rsid w:val="008C6905"/>
    <w:rsid w:val="008C7498"/>
    <w:rsid w:val="00941CFD"/>
    <w:rsid w:val="009527EA"/>
    <w:rsid w:val="009B2E98"/>
    <w:rsid w:val="009D42F4"/>
    <w:rsid w:val="009D466B"/>
    <w:rsid w:val="00A00B32"/>
    <w:rsid w:val="00A13101"/>
    <w:rsid w:val="00A844C2"/>
    <w:rsid w:val="00AB71E0"/>
    <w:rsid w:val="00B76534"/>
    <w:rsid w:val="00B849B9"/>
    <w:rsid w:val="00B95D57"/>
    <w:rsid w:val="00BE0BB2"/>
    <w:rsid w:val="00C83E09"/>
    <w:rsid w:val="00CA2E51"/>
    <w:rsid w:val="00CB02DE"/>
    <w:rsid w:val="00D17B58"/>
    <w:rsid w:val="00D33174"/>
    <w:rsid w:val="00D636BF"/>
    <w:rsid w:val="00DD28C2"/>
    <w:rsid w:val="00DE044A"/>
    <w:rsid w:val="00E12B2A"/>
    <w:rsid w:val="00E50EAA"/>
    <w:rsid w:val="00EE0D77"/>
    <w:rsid w:val="00F03028"/>
    <w:rsid w:val="00F12DF1"/>
    <w:rsid w:val="00F6195B"/>
    <w:rsid w:val="00FC192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9704146"/>
  <w15:chartTrackingRefBased/>
  <w15:docId w15:val="{7588AA91-2F6C-C245-8D0A-8159B1EDA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IN"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311"/>
  </w:style>
  <w:style w:type="paragraph" w:styleId="Heading3">
    <w:name w:val="heading 3"/>
    <w:basedOn w:val="Normal"/>
    <w:link w:val="Heading3Char"/>
    <w:uiPriority w:val="9"/>
    <w:qFormat/>
    <w:rsid w:val="008C7498"/>
    <w:pPr>
      <w:spacing w:before="100" w:beforeAutospacing="1" w:after="100" w:afterAutospacing="1"/>
      <w:outlineLvl w:val="2"/>
    </w:pPr>
    <w:rPr>
      <w:rFonts w:ascii="Times New Roman" w:eastAsia="Times New Roman" w:hAnsi="Times New Roman" w:cs="Times New Roman"/>
      <w:b/>
      <w:bCs/>
      <w:kern w:val="0"/>
      <w:sz w:val="27"/>
      <w:szCs w:val="27"/>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2311"/>
    <w:pPr>
      <w:ind w:left="720"/>
      <w:contextualSpacing/>
    </w:pPr>
  </w:style>
  <w:style w:type="table" w:styleId="TableGridLight">
    <w:name w:val="Grid Table Light"/>
    <w:basedOn w:val="TableNormal"/>
    <w:uiPriority w:val="40"/>
    <w:rsid w:val="0031231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3123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312311"/>
  </w:style>
  <w:style w:type="paragraph" w:styleId="NormalWeb">
    <w:name w:val="Normal (Web)"/>
    <w:basedOn w:val="Normal"/>
    <w:uiPriority w:val="99"/>
    <w:unhideWhenUsed/>
    <w:rsid w:val="00832B86"/>
    <w:pPr>
      <w:spacing w:before="100" w:beforeAutospacing="1" w:after="100" w:afterAutospacing="1"/>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832B86"/>
    <w:rPr>
      <w:b/>
      <w:bCs/>
    </w:rPr>
  </w:style>
  <w:style w:type="character" w:styleId="Emphasis">
    <w:name w:val="Emphasis"/>
    <w:basedOn w:val="DefaultParagraphFont"/>
    <w:uiPriority w:val="20"/>
    <w:qFormat/>
    <w:rsid w:val="00832B86"/>
    <w:rPr>
      <w:i/>
      <w:iCs/>
    </w:rPr>
  </w:style>
  <w:style w:type="paragraph" w:customStyle="1" w:styleId="s3">
    <w:name w:val="s3"/>
    <w:basedOn w:val="Normal"/>
    <w:rsid w:val="009527EA"/>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bumpedfont15">
    <w:name w:val="bumpedfont15"/>
    <w:basedOn w:val="DefaultParagraphFont"/>
    <w:rsid w:val="009527EA"/>
  </w:style>
  <w:style w:type="paragraph" w:customStyle="1" w:styleId="s4">
    <w:name w:val="s4"/>
    <w:basedOn w:val="Normal"/>
    <w:rsid w:val="009527EA"/>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s6">
    <w:name w:val="s6"/>
    <w:basedOn w:val="Normal"/>
    <w:rsid w:val="009527EA"/>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s7">
    <w:name w:val="s7"/>
    <w:basedOn w:val="Normal"/>
    <w:rsid w:val="009527EA"/>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s8">
    <w:name w:val="s8"/>
    <w:basedOn w:val="Normal"/>
    <w:rsid w:val="009527EA"/>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s9">
    <w:name w:val="s9"/>
    <w:basedOn w:val="Normal"/>
    <w:rsid w:val="009527EA"/>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s10">
    <w:name w:val="s10"/>
    <w:basedOn w:val="Normal"/>
    <w:rsid w:val="009527EA"/>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s11">
    <w:name w:val="s11"/>
    <w:basedOn w:val="Normal"/>
    <w:rsid w:val="009527EA"/>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Heading3Char">
    <w:name w:val="Heading 3 Char"/>
    <w:basedOn w:val="DefaultParagraphFont"/>
    <w:link w:val="Heading3"/>
    <w:uiPriority w:val="9"/>
    <w:rsid w:val="008C7498"/>
    <w:rPr>
      <w:rFonts w:ascii="Times New Roman" w:eastAsia="Times New Roman" w:hAnsi="Times New Roman" w:cs="Times New Roman"/>
      <w:b/>
      <w:bCs/>
      <w:kern w:val="0"/>
      <w:sz w:val="27"/>
      <w:szCs w:val="27"/>
      <w:lang w:val="en-US"/>
      <w14:ligatures w14:val="none"/>
    </w:rPr>
  </w:style>
  <w:style w:type="paragraph" w:customStyle="1" w:styleId="p1">
    <w:name w:val="p1"/>
    <w:basedOn w:val="Normal"/>
    <w:rsid w:val="00353EAE"/>
    <w:rPr>
      <w:rFonts w:ascii="Helvetica" w:eastAsia="Times New Roman" w:hAnsi="Helvetica" w:cs="Times New Roman"/>
      <w:color w:val="141515"/>
      <w:kern w:val="0"/>
      <w:sz w:val="11"/>
      <w:szCs w:val="11"/>
      <w:lang w:val="en-US"/>
      <w14:ligatures w14:val="none"/>
    </w:rPr>
  </w:style>
  <w:style w:type="paragraph" w:customStyle="1" w:styleId="p2">
    <w:name w:val="p2"/>
    <w:basedOn w:val="Normal"/>
    <w:rsid w:val="00353EAE"/>
    <w:rPr>
      <w:rFonts w:ascii="Helvetica" w:eastAsia="Times New Roman" w:hAnsi="Helvetica" w:cs="Times New Roman"/>
      <w:color w:val="141515"/>
      <w:kern w:val="0"/>
      <w:sz w:val="11"/>
      <w:szCs w:val="11"/>
      <w:lang w:val="en-US"/>
      <w14:ligatures w14:val="none"/>
    </w:rPr>
  </w:style>
  <w:style w:type="paragraph" w:customStyle="1" w:styleId="p3">
    <w:name w:val="p3"/>
    <w:basedOn w:val="Normal"/>
    <w:rsid w:val="00353EAE"/>
    <w:rPr>
      <w:rFonts w:ascii="Helvetica" w:eastAsia="Times New Roman" w:hAnsi="Helvetica" w:cs="Times New Roman"/>
      <w:color w:val="56B84E"/>
      <w:kern w:val="0"/>
      <w:sz w:val="11"/>
      <w:szCs w:val="11"/>
      <w:lang w:val="en-US"/>
      <w14:ligatures w14:val="none"/>
    </w:rPr>
  </w:style>
  <w:style w:type="paragraph" w:customStyle="1" w:styleId="p4">
    <w:name w:val="p4"/>
    <w:basedOn w:val="Normal"/>
    <w:rsid w:val="00353EAE"/>
    <w:rPr>
      <w:rFonts w:ascii="Helvetica" w:eastAsia="Times New Roman" w:hAnsi="Helvetica" w:cs="Times New Roman"/>
      <w:color w:val="56B84E"/>
      <w:kern w:val="0"/>
      <w:sz w:val="11"/>
      <w:szCs w:val="11"/>
      <w:lang w:val="en-US"/>
      <w14:ligatures w14:val="none"/>
    </w:rPr>
  </w:style>
  <w:style w:type="paragraph" w:customStyle="1" w:styleId="p5">
    <w:name w:val="p5"/>
    <w:basedOn w:val="Normal"/>
    <w:rsid w:val="00353EAE"/>
    <w:rPr>
      <w:rFonts w:ascii="Helvetica" w:eastAsia="Times New Roman" w:hAnsi="Helvetica" w:cs="Times New Roman"/>
      <w:color w:val="141515"/>
      <w:kern w:val="0"/>
      <w:sz w:val="10"/>
      <w:szCs w:val="10"/>
      <w:lang w:val="en-US"/>
      <w14:ligatures w14:val="none"/>
    </w:rPr>
  </w:style>
  <w:style w:type="character" w:customStyle="1" w:styleId="s1">
    <w:name w:val="s1"/>
    <w:basedOn w:val="DefaultParagraphFont"/>
    <w:rsid w:val="00353EAE"/>
    <w:rPr>
      <w:rFonts w:ascii="Helvetica" w:hAnsi="Helvetica" w:hint="default"/>
      <w:sz w:val="11"/>
      <w:szCs w:val="11"/>
    </w:rPr>
  </w:style>
  <w:style w:type="character" w:customStyle="1" w:styleId="s2">
    <w:name w:val="s2"/>
    <w:basedOn w:val="DefaultParagraphFont"/>
    <w:rsid w:val="00353EAE"/>
    <w:rPr>
      <w:color w:val="141515"/>
    </w:rPr>
  </w:style>
  <w:style w:type="character" w:customStyle="1" w:styleId="s5">
    <w:name w:val="s5"/>
    <w:basedOn w:val="DefaultParagraphFont"/>
    <w:rsid w:val="00353EAE"/>
    <w:rPr>
      <w:color w:val="56B84E"/>
    </w:rPr>
  </w:style>
  <w:style w:type="paragraph" w:styleId="Header">
    <w:name w:val="header"/>
    <w:basedOn w:val="Normal"/>
    <w:link w:val="HeaderChar"/>
    <w:uiPriority w:val="99"/>
    <w:unhideWhenUsed/>
    <w:rsid w:val="002F735D"/>
    <w:pPr>
      <w:tabs>
        <w:tab w:val="center" w:pos="4680"/>
        <w:tab w:val="right" w:pos="9360"/>
      </w:tabs>
    </w:pPr>
  </w:style>
  <w:style w:type="character" w:customStyle="1" w:styleId="HeaderChar">
    <w:name w:val="Header Char"/>
    <w:basedOn w:val="DefaultParagraphFont"/>
    <w:link w:val="Header"/>
    <w:uiPriority w:val="99"/>
    <w:rsid w:val="002F735D"/>
  </w:style>
  <w:style w:type="paragraph" w:styleId="Footer">
    <w:name w:val="footer"/>
    <w:basedOn w:val="Normal"/>
    <w:link w:val="FooterChar"/>
    <w:uiPriority w:val="99"/>
    <w:unhideWhenUsed/>
    <w:rsid w:val="002F735D"/>
    <w:pPr>
      <w:tabs>
        <w:tab w:val="center" w:pos="4680"/>
        <w:tab w:val="right" w:pos="9360"/>
      </w:tabs>
    </w:pPr>
  </w:style>
  <w:style w:type="character" w:customStyle="1" w:styleId="FooterChar">
    <w:name w:val="Footer Char"/>
    <w:basedOn w:val="DefaultParagraphFont"/>
    <w:link w:val="Footer"/>
    <w:uiPriority w:val="99"/>
    <w:rsid w:val="002F735D"/>
  </w:style>
  <w:style w:type="character" w:styleId="LineNumber">
    <w:name w:val="line number"/>
    <w:basedOn w:val="DefaultParagraphFont"/>
    <w:uiPriority w:val="99"/>
    <w:semiHidden/>
    <w:unhideWhenUsed/>
    <w:rsid w:val="002F735D"/>
  </w:style>
  <w:style w:type="character" w:styleId="Hyperlink">
    <w:name w:val="Hyperlink"/>
    <w:basedOn w:val="DefaultParagraphFont"/>
    <w:uiPriority w:val="99"/>
    <w:unhideWhenUsed/>
    <w:rsid w:val="00CB02DE"/>
    <w:rPr>
      <w:color w:val="0563C1" w:themeColor="hyperlink"/>
      <w:u w:val="single"/>
    </w:rPr>
  </w:style>
  <w:style w:type="character" w:styleId="UnresolvedMention">
    <w:name w:val="Unresolved Mention"/>
    <w:basedOn w:val="DefaultParagraphFont"/>
    <w:uiPriority w:val="99"/>
    <w:semiHidden/>
    <w:unhideWhenUsed/>
    <w:rsid w:val="00CB02DE"/>
    <w:rPr>
      <w:color w:val="605E5C"/>
      <w:shd w:val="clear" w:color="auto" w:fill="E1DFDD"/>
    </w:rPr>
  </w:style>
  <w:style w:type="character" w:styleId="CommentReference">
    <w:name w:val="annotation reference"/>
    <w:basedOn w:val="DefaultParagraphFont"/>
    <w:uiPriority w:val="99"/>
    <w:semiHidden/>
    <w:unhideWhenUsed/>
    <w:rsid w:val="004B3240"/>
    <w:rPr>
      <w:sz w:val="16"/>
      <w:szCs w:val="16"/>
    </w:rPr>
  </w:style>
  <w:style w:type="paragraph" w:styleId="CommentText">
    <w:name w:val="annotation text"/>
    <w:basedOn w:val="Normal"/>
    <w:link w:val="CommentTextChar"/>
    <w:uiPriority w:val="99"/>
    <w:semiHidden/>
    <w:unhideWhenUsed/>
    <w:rsid w:val="004B3240"/>
    <w:rPr>
      <w:sz w:val="20"/>
      <w:szCs w:val="20"/>
    </w:rPr>
  </w:style>
  <w:style w:type="character" w:customStyle="1" w:styleId="CommentTextChar">
    <w:name w:val="Comment Text Char"/>
    <w:basedOn w:val="DefaultParagraphFont"/>
    <w:link w:val="CommentText"/>
    <w:uiPriority w:val="99"/>
    <w:semiHidden/>
    <w:rsid w:val="004B3240"/>
    <w:rPr>
      <w:sz w:val="20"/>
      <w:szCs w:val="20"/>
    </w:rPr>
  </w:style>
  <w:style w:type="paragraph" w:styleId="CommentSubject">
    <w:name w:val="annotation subject"/>
    <w:basedOn w:val="CommentText"/>
    <w:next w:val="CommentText"/>
    <w:link w:val="CommentSubjectChar"/>
    <w:uiPriority w:val="99"/>
    <w:semiHidden/>
    <w:unhideWhenUsed/>
    <w:rsid w:val="004B3240"/>
    <w:rPr>
      <w:b/>
      <w:bCs/>
    </w:rPr>
  </w:style>
  <w:style w:type="character" w:customStyle="1" w:styleId="CommentSubjectChar">
    <w:name w:val="Comment Subject Char"/>
    <w:basedOn w:val="CommentTextChar"/>
    <w:link w:val="CommentSubject"/>
    <w:uiPriority w:val="99"/>
    <w:semiHidden/>
    <w:rsid w:val="004B324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16440">
      <w:bodyDiv w:val="1"/>
      <w:marLeft w:val="0"/>
      <w:marRight w:val="0"/>
      <w:marTop w:val="0"/>
      <w:marBottom w:val="0"/>
      <w:divBdr>
        <w:top w:val="none" w:sz="0" w:space="0" w:color="auto"/>
        <w:left w:val="none" w:sz="0" w:space="0" w:color="auto"/>
        <w:bottom w:val="none" w:sz="0" w:space="0" w:color="auto"/>
        <w:right w:val="none" w:sz="0" w:space="0" w:color="auto"/>
      </w:divBdr>
    </w:div>
    <w:div w:id="366683968">
      <w:bodyDiv w:val="1"/>
      <w:marLeft w:val="0"/>
      <w:marRight w:val="0"/>
      <w:marTop w:val="0"/>
      <w:marBottom w:val="0"/>
      <w:divBdr>
        <w:top w:val="none" w:sz="0" w:space="0" w:color="auto"/>
        <w:left w:val="none" w:sz="0" w:space="0" w:color="auto"/>
        <w:bottom w:val="none" w:sz="0" w:space="0" w:color="auto"/>
        <w:right w:val="none" w:sz="0" w:space="0" w:color="auto"/>
      </w:divBdr>
    </w:div>
    <w:div w:id="763917995">
      <w:bodyDiv w:val="1"/>
      <w:marLeft w:val="0"/>
      <w:marRight w:val="0"/>
      <w:marTop w:val="0"/>
      <w:marBottom w:val="0"/>
      <w:divBdr>
        <w:top w:val="none" w:sz="0" w:space="0" w:color="auto"/>
        <w:left w:val="none" w:sz="0" w:space="0" w:color="auto"/>
        <w:bottom w:val="none" w:sz="0" w:space="0" w:color="auto"/>
        <w:right w:val="none" w:sz="0" w:space="0" w:color="auto"/>
      </w:divBdr>
    </w:div>
    <w:div w:id="813447601">
      <w:bodyDiv w:val="1"/>
      <w:marLeft w:val="0"/>
      <w:marRight w:val="0"/>
      <w:marTop w:val="0"/>
      <w:marBottom w:val="0"/>
      <w:divBdr>
        <w:top w:val="none" w:sz="0" w:space="0" w:color="auto"/>
        <w:left w:val="none" w:sz="0" w:space="0" w:color="auto"/>
        <w:bottom w:val="none" w:sz="0" w:space="0" w:color="auto"/>
        <w:right w:val="none" w:sz="0" w:space="0" w:color="auto"/>
      </w:divBdr>
    </w:div>
    <w:div w:id="899902716">
      <w:bodyDiv w:val="1"/>
      <w:marLeft w:val="0"/>
      <w:marRight w:val="0"/>
      <w:marTop w:val="0"/>
      <w:marBottom w:val="0"/>
      <w:divBdr>
        <w:top w:val="none" w:sz="0" w:space="0" w:color="auto"/>
        <w:left w:val="none" w:sz="0" w:space="0" w:color="auto"/>
        <w:bottom w:val="none" w:sz="0" w:space="0" w:color="auto"/>
        <w:right w:val="none" w:sz="0" w:space="0" w:color="auto"/>
      </w:divBdr>
    </w:div>
    <w:div w:id="1314481230">
      <w:bodyDiv w:val="1"/>
      <w:marLeft w:val="0"/>
      <w:marRight w:val="0"/>
      <w:marTop w:val="0"/>
      <w:marBottom w:val="0"/>
      <w:divBdr>
        <w:top w:val="none" w:sz="0" w:space="0" w:color="auto"/>
        <w:left w:val="none" w:sz="0" w:space="0" w:color="auto"/>
        <w:bottom w:val="none" w:sz="0" w:space="0" w:color="auto"/>
        <w:right w:val="none" w:sz="0" w:space="0" w:color="auto"/>
      </w:divBdr>
    </w:div>
    <w:div w:id="1369136735">
      <w:bodyDiv w:val="1"/>
      <w:marLeft w:val="0"/>
      <w:marRight w:val="0"/>
      <w:marTop w:val="0"/>
      <w:marBottom w:val="0"/>
      <w:divBdr>
        <w:top w:val="none" w:sz="0" w:space="0" w:color="auto"/>
        <w:left w:val="none" w:sz="0" w:space="0" w:color="auto"/>
        <w:bottom w:val="none" w:sz="0" w:space="0" w:color="auto"/>
        <w:right w:val="none" w:sz="0" w:space="0" w:color="auto"/>
      </w:divBdr>
    </w:div>
    <w:div w:id="1633559142">
      <w:bodyDiv w:val="1"/>
      <w:marLeft w:val="0"/>
      <w:marRight w:val="0"/>
      <w:marTop w:val="0"/>
      <w:marBottom w:val="0"/>
      <w:divBdr>
        <w:top w:val="none" w:sz="0" w:space="0" w:color="auto"/>
        <w:left w:val="none" w:sz="0" w:space="0" w:color="auto"/>
        <w:bottom w:val="none" w:sz="0" w:space="0" w:color="auto"/>
        <w:right w:val="none" w:sz="0" w:space="0" w:color="auto"/>
      </w:divBdr>
    </w:div>
    <w:div w:id="1653754554">
      <w:bodyDiv w:val="1"/>
      <w:marLeft w:val="0"/>
      <w:marRight w:val="0"/>
      <w:marTop w:val="0"/>
      <w:marBottom w:val="0"/>
      <w:divBdr>
        <w:top w:val="none" w:sz="0" w:space="0" w:color="auto"/>
        <w:left w:val="none" w:sz="0" w:space="0" w:color="auto"/>
        <w:bottom w:val="none" w:sz="0" w:space="0" w:color="auto"/>
        <w:right w:val="none" w:sz="0" w:space="0" w:color="auto"/>
      </w:divBdr>
    </w:div>
    <w:div w:id="1668633470">
      <w:bodyDiv w:val="1"/>
      <w:marLeft w:val="0"/>
      <w:marRight w:val="0"/>
      <w:marTop w:val="0"/>
      <w:marBottom w:val="0"/>
      <w:divBdr>
        <w:top w:val="none" w:sz="0" w:space="0" w:color="auto"/>
        <w:left w:val="none" w:sz="0" w:space="0" w:color="auto"/>
        <w:bottom w:val="none" w:sz="0" w:space="0" w:color="auto"/>
        <w:right w:val="none" w:sz="0" w:space="0" w:color="auto"/>
      </w:divBdr>
    </w:div>
    <w:div w:id="1766879500">
      <w:bodyDiv w:val="1"/>
      <w:marLeft w:val="0"/>
      <w:marRight w:val="0"/>
      <w:marTop w:val="0"/>
      <w:marBottom w:val="0"/>
      <w:divBdr>
        <w:top w:val="none" w:sz="0" w:space="0" w:color="auto"/>
        <w:left w:val="none" w:sz="0" w:space="0" w:color="auto"/>
        <w:bottom w:val="none" w:sz="0" w:space="0" w:color="auto"/>
        <w:right w:val="none" w:sz="0" w:space="0" w:color="auto"/>
      </w:divBdr>
    </w:div>
    <w:div w:id="1847597136">
      <w:bodyDiv w:val="1"/>
      <w:marLeft w:val="0"/>
      <w:marRight w:val="0"/>
      <w:marTop w:val="0"/>
      <w:marBottom w:val="0"/>
      <w:divBdr>
        <w:top w:val="none" w:sz="0" w:space="0" w:color="auto"/>
        <w:left w:val="none" w:sz="0" w:space="0" w:color="auto"/>
        <w:bottom w:val="none" w:sz="0" w:space="0" w:color="auto"/>
        <w:right w:val="none" w:sz="0" w:space="0" w:color="auto"/>
      </w:divBdr>
    </w:div>
    <w:div w:id="1863545155">
      <w:bodyDiv w:val="1"/>
      <w:marLeft w:val="0"/>
      <w:marRight w:val="0"/>
      <w:marTop w:val="0"/>
      <w:marBottom w:val="0"/>
      <w:divBdr>
        <w:top w:val="none" w:sz="0" w:space="0" w:color="auto"/>
        <w:left w:val="none" w:sz="0" w:space="0" w:color="auto"/>
        <w:bottom w:val="none" w:sz="0" w:space="0" w:color="auto"/>
        <w:right w:val="none" w:sz="0" w:space="0" w:color="auto"/>
      </w:divBdr>
    </w:div>
    <w:div w:id="2021352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eader" Target="header3.xml"/><Relationship Id="rId17" Type="http://schemas.microsoft.com/office/2018/08/relationships/commentsExtensible" Target="commentsExtensible.xml"/><Relationship Id="rId25" Type="http://schemas.microsoft.com/office/2011/relationships/people" Target="people.xm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8D6C4A-F8C3-DC47-80BE-B27413CA7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485</TotalTime>
  <Pages>10</Pages>
  <Words>4121</Words>
  <Characters>23495</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bidishah.25@gmail.com</dc:creator>
  <cp:keywords/>
  <dc:description/>
  <cp:lastModifiedBy>halim1507060hstu@gmail.com</cp:lastModifiedBy>
  <cp:revision>37</cp:revision>
  <dcterms:created xsi:type="dcterms:W3CDTF">2024-10-14T13:25:00Z</dcterms:created>
  <dcterms:modified xsi:type="dcterms:W3CDTF">2025-06-27T15:27:00Z</dcterms:modified>
</cp:coreProperties>
</file>