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B8C9" w14:textId="21A7F477" w:rsidR="00E825FE" w:rsidRPr="00EA36B9" w:rsidRDefault="00E825FE">
      <w:pPr>
        <w:rPr>
          <w:rFonts w:ascii="Times New Roman" w:hAnsi="Times New Roman" w:cs="Times New Roman"/>
          <w:b/>
          <w:bCs/>
          <w:sz w:val="24"/>
          <w:szCs w:val="24"/>
        </w:rPr>
      </w:pPr>
      <w:r w:rsidRPr="00EA36B9">
        <w:rPr>
          <w:rFonts w:ascii="Times New Roman" w:hAnsi="Times New Roman" w:cs="Times New Roman"/>
          <w:b/>
          <w:bCs/>
          <w:sz w:val="24"/>
          <w:szCs w:val="24"/>
        </w:rPr>
        <w:t>Genetic Diversity and Trait Association in Tartary Buckwheat (</w:t>
      </w:r>
      <w:r w:rsidRPr="00EA36B9">
        <w:rPr>
          <w:rFonts w:ascii="Times New Roman" w:hAnsi="Times New Roman" w:cs="Times New Roman"/>
          <w:b/>
          <w:bCs/>
          <w:i/>
          <w:iCs/>
          <w:sz w:val="24"/>
          <w:szCs w:val="24"/>
        </w:rPr>
        <w:t xml:space="preserve">Fagopyrum </w:t>
      </w:r>
      <w:proofErr w:type="spellStart"/>
      <w:r w:rsidRPr="00EA36B9">
        <w:rPr>
          <w:rFonts w:ascii="Times New Roman" w:hAnsi="Times New Roman" w:cs="Times New Roman"/>
          <w:b/>
          <w:bCs/>
          <w:i/>
          <w:iCs/>
          <w:sz w:val="24"/>
          <w:szCs w:val="24"/>
        </w:rPr>
        <w:t>tataricum</w:t>
      </w:r>
      <w:proofErr w:type="spellEnd"/>
      <w:r w:rsidRPr="00EA36B9">
        <w:rPr>
          <w:rFonts w:ascii="Times New Roman" w:hAnsi="Times New Roman" w:cs="Times New Roman"/>
          <w:b/>
          <w:bCs/>
          <w:sz w:val="24"/>
          <w:szCs w:val="24"/>
        </w:rPr>
        <w:t xml:space="preserve">) Using </w:t>
      </w:r>
      <w:proofErr w:type="spellStart"/>
      <w:r w:rsidRPr="00EA36B9">
        <w:rPr>
          <w:rFonts w:ascii="Times New Roman" w:hAnsi="Times New Roman" w:cs="Times New Roman"/>
          <w:b/>
          <w:bCs/>
          <w:sz w:val="24"/>
          <w:szCs w:val="24"/>
        </w:rPr>
        <w:t>Mahalanobis</w:t>
      </w:r>
      <w:proofErr w:type="spellEnd"/>
      <w:r w:rsidRPr="00EA36B9">
        <w:rPr>
          <w:rFonts w:ascii="Times New Roman" w:hAnsi="Times New Roman" w:cs="Times New Roman"/>
          <w:b/>
          <w:bCs/>
          <w:sz w:val="24"/>
          <w:szCs w:val="24"/>
        </w:rPr>
        <w:t xml:space="preserve"> D² Analysis in the Cold-Arid Region of Kinnaur, Himachal Pradesh</w:t>
      </w:r>
    </w:p>
    <w:p w14:paraId="7FA4E301" w14:textId="42EBF988" w:rsidR="002C5837" w:rsidRPr="00EA36B9" w:rsidRDefault="002C5837">
      <w:pPr>
        <w:rPr>
          <w:rFonts w:ascii="Times New Roman" w:hAnsi="Times New Roman" w:cs="Times New Roman"/>
          <w:b/>
          <w:bCs/>
          <w:sz w:val="24"/>
          <w:szCs w:val="24"/>
        </w:rPr>
      </w:pPr>
      <w:r w:rsidRPr="00EA36B9">
        <w:rPr>
          <w:rFonts w:ascii="Times New Roman" w:hAnsi="Times New Roman" w:cs="Times New Roman"/>
          <w:b/>
          <w:bCs/>
          <w:sz w:val="24"/>
          <w:szCs w:val="24"/>
        </w:rPr>
        <w:t>Abstract</w:t>
      </w:r>
    </w:p>
    <w:p w14:paraId="054FC3A7" w14:textId="598B5108" w:rsidR="002C5837" w:rsidRPr="00133E36" w:rsidRDefault="002C5837" w:rsidP="00133E36">
      <w:pPr>
        <w:ind w:firstLine="720"/>
        <w:jc w:val="both"/>
        <w:rPr>
          <w:rFonts w:ascii="Times New Roman" w:hAnsi="Times New Roman" w:cs="Times New Roman"/>
          <w:sz w:val="24"/>
          <w:szCs w:val="24"/>
        </w:rPr>
      </w:pPr>
      <w:r w:rsidRPr="00EA36B9">
        <w:rPr>
          <w:rFonts w:ascii="Times New Roman" w:hAnsi="Times New Roman" w:cs="Times New Roman"/>
          <w:sz w:val="24"/>
          <w:szCs w:val="24"/>
          <w:lang w:val="en-US"/>
        </w:rPr>
        <w:t>A total of 22 accessions of Ta</w:t>
      </w:r>
      <w:r w:rsidR="00FD532A" w:rsidRPr="00EA36B9">
        <w:rPr>
          <w:rFonts w:ascii="Times New Roman" w:hAnsi="Times New Roman" w:cs="Times New Roman"/>
          <w:sz w:val="24"/>
          <w:szCs w:val="24"/>
          <w:lang w:val="en-US"/>
        </w:rPr>
        <w:t>rtary</w:t>
      </w:r>
      <w:r w:rsidRPr="00EA36B9">
        <w:rPr>
          <w:rFonts w:ascii="Times New Roman" w:hAnsi="Times New Roman" w:cs="Times New Roman"/>
          <w:sz w:val="24"/>
          <w:szCs w:val="24"/>
          <w:lang w:val="en-US"/>
        </w:rPr>
        <w:t xml:space="preserve"> buck</w:t>
      </w:r>
      <w:r w:rsidR="00FD532A" w:rsidRPr="00EA36B9">
        <w:rPr>
          <w:rFonts w:ascii="Times New Roman" w:hAnsi="Times New Roman" w:cs="Times New Roman"/>
          <w:sz w:val="24"/>
          <w:szCs w:val="24"/>
          <w:lang w:val="en-US"/>
        </w:rPr>
        <w:t>wh</w:t>
      </w:r>
      <w:r w:rsidRPr="00EA36B9">
        <w:rPr>
          <w:rFonts w:ascii="Times New Roman" w:hAnsi="Times New Roman" w:cs="Times New Roman"/>
          <w:sz w:val="24"/>
          <w:szCs w:val="24"/>
          <w:lang w:val="en-US"/>
        </w:rPr>
        <w:t>eat with some local germplas</w:t>
      </w:r>
      <w:r w:rsidR="000B63BF" w:rsidRPr="00EA36B9">
        <w:rPr>
          <w:rFonts w:ascii="Times New Roman" w:hAnsi="Times New Roman" w:cs="Times New Roman"/>
          <w:sz w:val="24"/>
          <w:szCs w:val="24"/>
          <w:lang w:val="en-US"/>
        </w:rPr>
        <w:t>m</w:t>
      </w:r>
      <w:r w:rsidRPr="00EA36B9">
        <w:rPr>
          <w:rFonts w:ascii="Times New Roman" w:hAnsi="Times New Roman" w:cs="Times New Roman"/>
          <w:sz w:val="24"/>
          <w:szCs w:val="24"/>
          <w:lang w:val="en-US"/>
        </w:rPr>
        <w:t xml:space="preserve"> were analyzed by cluster analysis using 6 quantitative characters to group them on the similarity at phenotypic level and to identify the most relevant characters. </w:t>
      </w:r>
      <w:r w:rsidR="00FD532A" w:rsidRPr="00EA36B9">
        <w:rPr>
          <w:rFonts w:ascii="Times New Roman" w:hAnsi="Times New Roman" w:cs="Times New Roman"/>
          <w:sz w:val="24"/>
          <w:szCs w:val="24"/>
        </w:rPr>
        <w:t xml:space="preserve">The analysis of variance (ANOVA) showed significant genetic variability among the evaluated genotypes across all traits studied. </w:t>
      </w:r>
      <w:r w:rsidR="00093328" w:rsidRPr="00EA36B9">
        <w:rPr>
          <w:rFonts w:ascii="Times New Roman" w:hAnsi="Times New Roman" w:cs="Times New Roman"/>
          <w:sz w:val="24"/>
          <w:szCs w:val="24"/>
        </w:rPr>
        <w:t xml:space="preserve">Among the studied genotypes Shimla B1 was found to have maximum leaves per plant, plant height, biological yield and straw yield per plant. </w:t>
      </w:r>
      <w:r w:rsidRPr="00EA36B9">
        <w:rPr>
          <w:rFonts w:ascii="Times New Roman" w:hAnsi="Times New Roman" w:cs="Times New Roman"/>
          <w:sz w:val="24"/>
          <w:szCs w:val="24"/>
          <w:lang w:val="en-US"/>
        </w:rPr>
        <w:t xml:space="preserve">The genotypic variance for all the </w:t>
      </w:r>
      <w:commentRangeStart w:id="0"/>
      <w:r w:rsidRPr="00EA36B9">
        <w:rPr>
          <w:rFonts w:ascii="Times New Roman" w:hAnsi="Times New Roman" w:cs="Times New Roman"/>
          <w:sz w:val="24"/>
          <w:szCs w:val="24"/>
          <w:lang w:val="en-US"/>
        </w:rPr>
        <w:t>trait</w:t>
      </w:r>
      <w:commentRangeEnd w:id="0"/>
      <w:r w:rsidR="009C61FC">
        <w:rPr>
          <w:rStyle w:val="CommentReference"/>
        </w:rPr>
        <w:commentReference w:id="0"/>
      </w:r>
      <w:r w:rsidRPr="00EA36B9">
        <w:rPr>
          <w:rFonts w:ascii="Times New Roman" w:hAnsi="Times New Roman" w:cs="Times New Roman"/>
          <w:sz w:val="24"/>
          <w:szCs w:val="24"/>
          <w:lang w:val="en-US"/>
        </w:rPr>
        <w:t xml:space="preserve"> was lower than the phenotypic variance. </w:t>
      </w:r>
      <w:r w:rsidR="00FD532A" w:rsidRPr="00EA36B9">
        <w:rPr>
          <w:rFonts w:ascii="Times New Roman" w:hAnsi="Times New Roman" w:cs="Times New Roman"/>
          <w:sz w:val="24"/>
          <w:szCs w:val="24"/>
        </w:rPr>
        <w:t xml:space="preserve">High phenotypic and genotypic variation, heritability, and genetic advance were observed for </w:t>
      </w:r>
      <w:commentRangeStart w:id="1"/>
      <w:r w:rsidR="00FD532A" w:rsidRPr="00EA36B9">
        <w:rPr>
          <w:rFonts w:ascii="Times New Roman" w:hAnsi="Times New Roman" w:cs="Times New Roman"/>
          <w:sz w:val="24"/>
          <w:szCs w:val="24"/>
          <w:lang w:val="en-US"/>
        </w:rPr>
        <w:t xml:space="preserve">leaf per plant </w:t>
      </w:r>
      <w:commentRangeEnd w:id="1"/>
      <w:r w:rsidR="00133E36">
        <w:rPr>
          <w:rStyle w:val="CommentReference"/>
        </w:rPr>
        <w:commentReference w:id="1"/>
      </w:r>
      <w:r w:rsidR="00FD532A" w:rsidRPr="00EA36B9">
        <w:rPr>
          <w:rFonts w:ascii="Times New Roman" w:hAnsi="Times New Roman" w:cs="Times New Roman"/>
          <w:sz w:val="24"/>
          <w:szCs w:val="24"/>
          <w:lang w:val="en-US"/>
        </w:rPr>
        <w:t>and harvest index.</w:t>
      </w:r>
      <w:r w:rsidR="00FD532A" w:rsidRPr="00EA36B9">
        <w:rPr>
          <w:rFonts w:ascii="Times New Roman" w:hAnsi="Times New Roman" w:cs="Times New Roman"/>
          <w:sz w:val="24"/>
          <w:szCs w:val="24"/>
        </w:rPr>
        <w:t xml:space="preserve"> Straw yield per plant showed a strong and positive correlation with leaves per plant, plant height, biological yield and harvest index. </w:t>
      </w:r>
      <w:commentRangeStart w:id="2"/>
      <w:r w:rsidR="00FD532A" w:rsidRPr="00EA36B9">
        <w:rPr>
          <w:rFonts w:ascii="Times New Roman" w:hAnsi="Times New Roman" w:cs="Times New Roman"/>
          <w:sz w:val="24"/>
          <w:szCs w:val="24"/>
          <w:lang w:val="en-US"/>
        </w:rPr>
        <w:t xml:space="preserve">The nonhierarchical </w:t>
      </w:r>
      <w:proofErr w:type="spellStart"/>
      <w:r w:rsidR="00FD532A" w:rsidRPr="00EA36B9">
        <w:rPr>
          <w:rFonts w:ascii="Times New Roman" w:hAnsi="Times New Roman" w:cs="Times New Roman"/>
          <w:sz w:val="24"/>
          <w:szCs w:val="24"/>
          <w:lang w:val="en-US"/>
        </w:rPr>
        <w:t>euclidean</w:t>
      </w:r>
      <w:proofErr w:type="spellEnd"/>
      <w:r w:rsidR="00FD532A" w:rsidRPr="00EA36B9">
        <w:rPr>
          <w:rFonts w:ascii="Times New Roman" w:hAnsi="Times New Roman" w:cs="Times New Roman"/>
          <w:sz w:val="24"/>
          <w:szCs w:val="24"/>
          <w:lang w:val="en-US"/>
        </w:rPr>
        <w:t xml:space="preserve"> cluster analysis using </w:t>
      </w:r>
      <w:proofErr w:type="spellStart"/>
      <w:r w:rsidR="00FD532A" w:rsidRPr="00EA36B9">
        <w:rPr>
          <w:rFonts w:ascii="Times New Roman" w:hAnsi="Times New Roman" w:cs="Times New Roman"/>
          <w:sz w:val="24"/>
          <w:szCs w:val="24"/>
          <w:lang w:val="en-US"/>
        </w:rPr>
        <w:t>mahalanobis</w:t>
      </w:r>
      <w:proofErr w:type="spellEnd"/>
      <w:r w:rsidR="00FD532A" w:rsidRPr="00EA36B9">
        <w:rPr>
          <w:rFonts w:ascii="Times New Roman" w:hAnsi="Times New Roman" w:cs="Times New Roman"/>
          <w:sz w:val="24"/>
          <w:szCs w:val="24"/>
          <w:lang w:val="en-US"/>
        </w:rPr>
        <w:t xml:space="preserve"> statistic grouped the genotypes into two distinct cluster among which one was </w:t>
      </w:r>
      <w:proofErr w:type="spellStart"/>
      <w:r w:rsidR="00093328" w:rsidRPr="00EA36B9">
        <w:rPr>
          <w:rFonts w:ascii="Times New Roman" w:hAnsi="Times New Roman" w:cs="Times New Roman"/>
          <w:sz w:val="24"/>
          <w:szCs w:val="24"/>
          <w:lang w:val="en-US"/>
        </w:rPr>
        <w:t>polygenotypic</w:t>
      </w:r>
      <w:proofErr w:type="spellEnd"/>
      <w:r w:rsidR="00093328" w:rsidRPr="00EA36B9">
        <w:rPr>
          <w:rFonts w:ascii="Times New Roman" w:hAnsi="Times New Roman" w:cs="Times New Roman"/>
          <w:sz w:val="24"/>
          <w:szCs w:val="24"/>
          <w:lang w:val="en-US"/>
        </w:rPr>
        <w:t>,</w:t>
      </w:r>
      <w:r w:rsidR="00FD532A" w:rsidRPr="00EA36B9">
        <w:rPr>
          <w:rFonts w:ascii="Times New Roman" w:hAnsi="Times New Roman" w:cs="Times New Roman"/>
          <w:sz w:val="24"/>
          <w:szCs w:val="24"/>
          <w:lang w:val="en-US"/>
        </w:rPr>
        <w:t xml:space="preserve"> and one was </w:t>
      </w:r>
      <w:proofErr w:type="spellStart"/>
      <w:r w:rsidR="00FD532A" w:rsidRPr="00EA36B9">
        <w:rPr>
          <w:rFonts w:ascii="Times New Roman" w:hAnsi="Times New Roman" w:cs="Times New Roman"/>
          <w:sz w:val="24"/>
          <w:szCs w:val="24"/>
          <w:lang w:val="en-US"/>
        </w:rPr>
        <w:t>monogen</w:t>
      </w:r>
      <w:r w:rsidR="00093328" w:rsidRPr="00EA36B9">
        <w:rPr>
          <w:rFonts w:ascii="Times New Roman" w:hAnsi="Times New Roman" w:cs="Times New Roman"/>
          <w:sz w:val="24"/>
          <w:szCs w:val="24"/>
          <w:lang w:val="en-US"/>
        </w:rPr>
        <w:t>otyp</w:t>
      </w:r>
      <w:r w:rsidR="00FD532A" w:rsidRPr="00EA36B9">
        <w:rPr>
          <w:rFonts w:ascii="Times New Roman" w:hAnsi="Times New Roman" w:cs="Times New Roman"/>
          <w:sz w:val="24"/>
          <w:szCs w:val="24"/>
          <w:lang w:val="en-US"/>
        </w:rPr>
        <w:t>ic</w:t>
      </w:r>
      <w:proofErr w:type="spellEnd"/>
      <w:r w:rsidR="00FD532A" w:rsidRPr="00EA36B9">
        <w:rPr>
          <w:rFonts w:ascii="Times New Roman" w:hAnsi="Times New Roman" w:cs="Times New Roman"/>
          <w:sz w:val="24"/>
          <w:szCs w:val="24"/>
          <w:lang w:val="en-US"/>
        </w:rPr>
        <w:t>.</w:t>
      </w:r>
      <w:r w:rsidR="00093328" w:rsidRPr="00EA36B9">
        <w:rPr>
          <w:rFonts w:ascii="Times New Roman" w:hAnsi="Times New Roman" w:cs="Times New Roman"/>
          <w:sz w:val="24"/>
          <w:szCs w:val="24"/>
          <w:lang w:val="en-US"/>
        </w:rPr>
        <w:t xml:space="preserve"> </w:t>
      </w:r>
      <w:commentRangeEnd w:id="2"/>
      <w:r w:rsidR="00133E36">
        <w:rPr>
          <w:rStyle w:val="CommentReference"/>
        </w:rPr>
        <w:commentReference w:id="2"/>
      </w:r>
      <w:r w:rsidR="00093328" w:rsidRPr="00EA36B9">
        <w:rPr>
          <w:rFonts w:ascii="Times New Roman" w:hAnsi="Times New Roman" w:cs="Times New Roman"/>
          <w:sz w:val="24"/>
          <w:szCs w:val="24"/>
          <w:lang w:val="en-US"/>
        </w:rPr>
        <w:t>Among all the genotypes studied, Shimla B1 and IC 341589 were found to be the best and recommended for further testing and evaluation.</w:t>
      </w:r>
    </w:p>
    <w:p w14:paraId="6D578960" w14:textId="2152C6E4" w:rsidR="00401206" w:rsidRPr="00EA36B9" w:rsidRDefault="00AF4EA9">
      <w:pPr>
        <w:rPr>
          <w:rFonts w:ascii="Times New Roman" w:hAnsi="Times New Roman" w:cs="Times New Roman"/>
          <w:sz w:val="24"/>
          <w:szCs w:val="24"/>
        </w:rPr>
      </w:pPr>
      <w:r w:rsidRPr="00EA36B9">
        <w:rPr>
          <w:rFonts w:ascii="Times New Roman" w:hAnsi="Times New Roman" w:cs="Times New Roman"/>
          <w:b/>
          <w:bCs/>
          <w:sz w:val="24"/>
          <w:szCs w:val="24"/>
        </w:rPr>
        <w:t>Introduction</w:t>
      </w:r>
    </w:p>
    <w:p w14:paraId="32FFFC3C" w14:textId="1CA948FA"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Buckwheat, a member of the genus </w:t>
      </w:r>
      <w:r w:rsidRPr="00EA36B9">
        <w:rPr>
          <w:rFonts w:ascii="Times New Roman" w:hAnsi="Times New Roman" w:cs="Times New Roman"/>
          <w:i/>
          <w:iCs/>
          <w:sz w:val="24"/>
          <w:szCs w:val="24"/>
          <w:lang w:val="en-IN"/>
        </w:rPr>
        <w:t>Fagopyrum</w:t>
      </w:r>
      <w:r w:rsidRPr="00EA36B9">
        <w:rPr>
          <w:rFonts w:ascii="Times New Roman" w:hAnsi="Times New Roman" w:cs="Times New Roman"/>
          <w:sz w:val="24"/>
          <w:szCs w:val="24"/>
          <w:lang w:val="en-IN"/>
        </w:rPr>
        <w:t xml:space="preserve"> Mill. under the family </w:t>
      </w:r>
      <w:proofErr w:type="spellStart"/>
      <w:r w:rsidRPr="00EA36B9">
        <w:rPr>
          <w:rFonts w:ascii="Times New Roman" w:hAnsi="Times New Roman" w:cs="Times New Roman"/>
          <w:sz w:val="24"/>
          <w:szCs w:val="24"/>
          <w:lang w:val="en-IN"/>
        </w:rPr>
        <w:t>Polygonaceae</w:t>
      </w:r>
      <w:proofErr w:type="spellEnd"/>
      <w:r w:rsidRPr="00EA36B9">
        <w:rPr>
          <w:rFonts w:ascii="Times New Roman" w:hAnsi="Times New Roman" w:cs="Times New Roman"/>
          <w:sz w:val="24"/>
          <w:szCs w:val="24"/>
          <w:lang w:val="en-IN"/>
        </w:rPr>
        <w:t xml:space="preserve">, is widely distributed across Asia and Europe. </w:t>
      </w:r>
      <w:commentRangeStart w:id="3"/>
      <w:r w:rsidRPr="00EA36B9">
        <w:rPr>
          <w:rFonts w:ascii="Times New Roman" w:hAnsi="Times New Roman" w:cs="Times New Roman"/>
          <w:sz w:val="24"/>
          <w:szCs w:val="24"/>
          <w:lang w:val="en-IN"/>
        </w:rPr>
        <w:t>Of the many species in the genus, only two—</w:t>
      </w:r>
      <w:r w:rsidRPr="00EA36B9">
        <w:rPr>
          <w:rFonts w:ascii="Times New Roman" w:hAnsi="Times New Roman" w:cs="Times New Roman"/>
          <w:i/>
          <w:iCs/>
          <w:sz w:val="24"/>
          <w:szCs w:val="24"/>
          <w:lang w:val="en-IN"/>
        </w:rPr>
        <w:t>Fagopyrum esculentum</w:t>
      </w:r>
      <w:r w:rsidRPr="00EA36B9">
        <w:rPr>
          <w:rFonts w:ascii="Times New Roman" w:hAnsi="Times New Roman" w:cs="Times New Roman"/>
          <w:sz w:val="24"/>
          <w:szCs w:val="24"/>
          <w:lang w:val="en-IN"/>
        </w:rPr>
        <w:t xml:space="preserve"> (common buckwheat) and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(Tartary buckwheat) are cultivated on a significant scale. </w:t>
      </w:r>
      <w:commentRangeEnd w:id="3"/>
      <w:r w:rsidR="00133E36">
        <w:rPr>
          <w:rStyle w:val="CommentReference"/>
        </w:rPr>
        <w:commentReference w:id="3"/>
      </w:r>
      <w:r w:rsidRPr="00EA36B9">
        <w:rPr>
          <w:rFonts w:ascii="Times New Roman" w:hAnsi="Times New Roman" w:cs="Times New Roman"/>
          <w:sz w:val="24"/>
          <w:szCs w:val="24"/>
          <w:lang w:val="en-IN"/>
        </w:rPr>
        <w:t xml:space="preserve">Common buckwheat is a self-incompatible species, primarily grown in countries such as China, the Russian Federation, Ukraine, and Kazakhstan (Campbell, 1995). </w:t>
      </w:r>
      <w:commentRangeStart w:id="4"/>
      <w:r w:rsidRPr="00EA36B9">
        <w:rPr>
          <w:rFonts w:ascii="Times New Roman" w:hAnsi="Times New Roman" w:cs="Times New Roman"/>
          <w:sz w:val="24"/>
          <w:szCs w:val="24"/>
          <w:lang w:val="en-IN"/>
        </w:rPr>
        <w:t>Major exporters include China, Brazil, France, the USA, and Canada, while Japan is the leading global importer.</w:t>
      </w:r>
      <w:commentRangeEnd w:id="4"/>
      <w:r w:rsidR="00133E36">
        <w:rPr>
          <w:rStyle w:val="CommentReference"/>
        </w:rPr>
        <w:commentReference w:id="4"/>
      </w:r>
    </w:p>
    <w:p w14:paraId="217C5600" w14:textId="77777777"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Tartary buckwheat, in contrast, is self-pollinating and is typically grown in various regions worldwide. However, it is mostly used or marketed locally. Owing to its strong tolerance to frost,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is mainly cultivated in the high-altitude mountainous regions of Asia and, to a lesser extent, in other areas. In many such regions, common buckwheat, which is less frost-tolerant and has lower yields, is gradually being replaced by Tartary buckwheat. This trend is particularly noticeable in parts of India, Nepal, and China, where common buckwheat cultivation is decreasing while Tartary buckwheat remains stable or is expanding. In the hill regions of Himachal Pradesh, farmers continue to grow various landraces of Tartary buckwheat, including some unique types such as Bhate </w:t>
      </w:r>
      <w:proofErr w:type="spellStart"/>
      <w:r w:rsidRPr="00EA36B9">
        <w:rPr>
          <w:rFonts w:ascii="Times New Roman" w:hAnsi="Times New Roman" w:cs="Times New Roman"/>
          <w:sz w:val="24"/>
          <w:szCs w:val="24"/>
          <w:lang w:val="en-IN"/>
        </w:rPr>
        <w:t>Phaper</w:t>
      </w:r>
      <w:proofErr w:type="spellEnd"/>
      <w:r w:rsidRPr="00EA36B9">
        <w:rPr>
          <w:rFonts w:ascii="Times New Roman" w:hAnsi="Times New Roman" w:cs="Times New Roman"/>
          <w:sz w:val="24"/>
          <w:szCs w:val="24"/>
          <w:lang w:val="en-IN"/>
        </w:rPr>
        <w:t xml:space="preserve"> (rice Tartary buckwheat), which is notable for its non-adhering hull (Bhardwaj and Kaur, 2020).</w:t>
      </w:r>
    </w:p>
    <w:p w14:paraId="39FC0D6D" w14:textId="16DC4719"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Despite its value, the cultivation area of buckwheat has declined over time. This reduction is mainly due to its replacement by more profitable crops like apple, green pea, hops, and potato, as well as the limited availability of high-yielding, stress-resistant varieties with good grain quality (Joshi and Rana, 1997). Therefore, breeding efforts are essential to improve its productivity. A foundational step in buckwheat breeding involves classifying and evaluating a wide range of germplasm based on multiple traits. Proper characterization, documentation, and conservation of genetic resources are critical to support breeding programs (Singh et al., 2024).</w:t>
      </w:r>
    </w:p>
    <w:p w14:paraId="71B573EB" w14:textId="68A02C17" w:rsidR="00A428A5" w:rsidRPr="00EA36B9" w:rsidRDefault="002C5837" w:rsidP="00A428A5">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In this context, the present study focused on characterizing local germplasm of Tartary buckwheat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high-altitude regions of the northern Himalayas, </w:t>
      </w:r>
      <w:r w:rsidRPr="00EA36B9">
        <w:rPr>
          <w:rFonts w:ascii="Times New Roman" w:hAnsi="Times New Roman" w:cs="Times New Roman"/>
          <w:sz w:val="24"/>
          <w:szCs w:val="24"/>
          <w:lang w:val="en-IN"/>
        </w:rPr>
        <w:lastRenderedPageBreak/>
        <w:t xml:space="preserve">along with selected indigenous and exotic accessions. Six key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-morphological traits were used to evaluate genetic diversity. The findings from this study can help in identifying promising groups of accessions for future hybridization, organizing efficient germplasm collection strategies, understanding variation patterns, and gaining insights into crop evolution.</w:t>
      </w:r>
    </w:p>
    <w:p w14:paraId="23D32A99" w14:textId="7C48B547"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Materials and Methods</w:t>
      </w:r>
    </w:p>
    <w:p w14:paraId="3F82011D" w14:textId="33F17793"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Plant Materials</w:t>
      </w:r>
    </w:p>
    <w:p w14:paraId="7F6F165C" w14:textId="32537068" w:rsidR="00825C86" w:rsidRPr="00EA36B9" w:rsidRDefault="00825C86"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A total of 22 accessions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were used in the present investigation</w:t>
      </w:r>
      <w:r w:rsidR="00986F49" w:rsidRPr="00EA36B9">
        <w:rPr>
          <w:rFonts w:ascii="Times New Roman" w:hAnsi="Times New Roman" w:cs="Times New Roman"/>
          <w:sz w:val="24"/>
          <w:szCs w:val="24"/>
        </w:rPr>
        <w:t xml:space="preserve"> (Table</w:t>
      </w:r>
      <w:r w:rsidR="00EA36B9" w:rsidRPr="00EA36B9">
        <w:rPr>
          <w:rFonts w:ascii="Times New Roman" w:hAnsi="Times New Roman" w:cs="Times New Roman"/>
          <w:sz w:val="24"/>
          <w:szCs w:val="24"/>
        </w:rPr>
        <w:t xml:space="preserve"> 1</w:t>
      </w:r>
      <w:r w:rsidR="00986F49" w:rsidRPr="00EA36B9">
        <w:rPr>
          <w:rFonts w:ascii="Times New Roman" w:hAnsi="Times New Roman" w:cs="Times New Roman"/>
          <w:sz w:val="24"/>
          <w:szCs w:val="24"/>
        </w:rPr>
        <w:t>)</w:t>
      </w:r>
      <w:r w:rsidRPr="00EA36B9">
        <w:rPr>
          <w:rFonts w:ascii="Times New Roman" w:hAnsi="Times New Roman" w:cs="Times New Roman"/>
          <w:sz w:val="24"/>
          <w:szCs w:val="24"/>
        </w:rPr>
        <w:t xml:space="preserve">. These were characterized and evaluated in 2023. The accessions were collected from the Regional Station, ICAR-National Bureau of Plant Genetic Resources, Shimla (ICAR-NBPGR) and Chaudhary Sarwan Kumar Krishi </w:t>
      </w:r>
      <w:proofErr w:type="spellStart"/>
      <w:r w:rsidRPr="00EA36B9">
        <w:rPr>
          <w:rFonts w:ascii="Times New Roman" w:hAnsi="Times New Roman" w:cs="Times New Roman"/>
          <w:sz w:val="24"/>
          <w:szCs w:val="24"/>
        </w:rPr>
        <w:t>Vishvavidyalaya</w:t>
      </w:r>
      <w:proofErr w:type="spellEnd"/>
      <w:r w:rsidRPr="00EA36B9">
        <w:rPr>
          <w:rFonts w:ascii="Times New Roman" w:hAnsi="Times New Roman" w:cs="Times New Roman"/>
          <w:sz w:val="24"/>
          <w:szCs w:val="24"/>
        </w:rPr>
        <w:t>, Palampur (CSKHPKV).</w:t>
      </w:r>
    </w:p>
    <w:p w14:paraId="4F7A000E" w14:textId="57F281C8"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1</w:t>
      </w:r>
      <w:r w:rsidRPr="00EA36B9">
        <w:rPr>
          <w:rFonts w:ascii="Times New Roman" w:hAnsi="Times New Roman" w:cs="Times New Roman"/>
          <w:sz w:val="24"/>
          <w:szCs w:val="24"/>
        </w:rPr>
        <w:t>. List of 22 buckwheat genotypes used in the present study</w:t>
      </w:r>
    </w:p>
    <w:tbl>
      <w:tblPr>
        <w:tblStyle w:val="TableGrid"/>
        <w:tblW w:w="0" w:type="auto"/>
        <w:tblLook w:val="04A0" w:firstRow="1" w:lastRow="0" w:firstColumn="1" w:lastColumn="0" w:noHBand="0" w:noVBand="1"/>
      </w:tblPr>
      <w:tblGrid>
        <w:gridCol w:w="846"/>
        <w:gridCol w:w="1417"/>
        <w:gridCol w:w="1843"/>
        <w:gridCol w:w="709"/>
        <w:gridCol w:w="1701"/>
        <w:gridCol w:w="2500"/>
      </w:tblGrid>
      <w:tr w:rsidR="00C16459" w:rsidRPr="00EA36B9" w14:paraId="68561FC1"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660F9E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417" w:type="dxa"/>
            <w:tcBorders>
              <w:top w:val="single" w:sz="4" w:space="0" w:color="auto"/>
              <w:left w:val="single" w:sz="4" w:space="0" w:color="auto"/>
              <w:bottom w:val="single" w:sz="4" w:space="0" w:color="auto"/>
              <w:right w:val="single" w:sz="4" w:space="0" w:color="auto"/>
            </w:tcBorders>
            <w:hideMark/>
          </w:tcPr>
          <w:p w14:paraId="215F93B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1843" w:type="dxa"/>
            <w:tcBorders>
              <w:top w:val="single" w:sz="4" w:space="0" w:color="auto"/>
              <w:left w:val="single" w:sz="4" w:space="0" w:color="auto"/>
              <w:bottom w:val="single" w:sz="4" w:space="0" w:color="auto"/>
              <w:right w:val="single" w:sz="4" w:space="0" w:color="auto"/>
            </w:tcBorders>
            <w:hideMark/>
          </w:tcPr>
          <w:p w14:paraId="6AB3B9C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c>
          <w:tcPr>
            <w:tcW w:w="709" w:type="dxa"/>
            <w:tcBorders>
              <w:top w:val="single" w:sz="4" w:space="0" w:color="auto"/>
              <w:left w:val="single" w:sz="4" w:space="0" w:color="auto"/>
              <w:bottom w:val="single" w:sz="4" w:space="0" w:color="auto"/>
              <w:right w:val="single" w:sz="4" w:space="0" w:color="auto"/>
            </w:tcBorders>
            <w:hideMark/>
          </w:tcPr>
          <w:p w14:paraId="0BEB451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701" w:type="dxa"/>
            <w:tcBorders>
              <w:top w:val="single" w:sz="4" w:space="0" w:color="auto"/>
              <w:left w:val="single" w:sz="4" w:space="0" w:color="auto"/>
              <w:bottom w:val="single" w:sz="4" w:space="0" w:color="auto"/>
              <w:right w:val="single" w:sz="4" w:space="0" w:color="auto"/>
            </w:tcBorders>
            <w:hideMark/>
          </w:tcPr>
          <w:p w14:paraId="5BC63A8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2500" w:type="dxa"/>
            <w:tcBorders>
              <w:top w:val="single" w:sz="4" w:space="0" w:color="auto"/>
              <w:left w:val="single" w:sz="4" w:space="0" w:color="auto"/>
              <w:bottom w:val="single" w:sz="4" w:space="0" w:color="auto"/>
              <w:right w:val="single" w:sz="4" w:space="0" w:color="auto"/>
            </w:tcBorders>
            <w:hideMark/>
          </w:tcPr>
          <w:p w14:paraId="5EBF34B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r>
      <w:tr w:rsidR="00C16459" w:rsidRPr="00EA36B9" w14:paraId="737195EB"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4B0D0F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4F1FFE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Shimla B1</w:t>
            </w:r>
          </w:p>
        </w:tc>
        <w:tc>
          <w:tcPr>
            <w:tcW w:w="1843" w:type="dxa"/>
            <w:tcBorders>
              <w:top w:val="single" w:sz="4" w:space="0" w:color="auto"/>
              <w:left w:val="single" w:sz="4" w:space="0" w:color="auto"/>
              <w:bottom w:val="single" w:sz="4" w:space="0" w:color="auto"/>
              <w:right w:val="single" w:sz="4" w:space="0" w:color="auto"/>
            </w:tcBorders>
            <w:hideMark/>
          </w:tcPr>
          <w:p w14:paraId="1979F2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65D3A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719E811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47929</w:t>
            </w:r>
          </w:p>
        </w:tc>
        <w:tc>
          <w:tcPr>
            <w:tcW w:w="2500" w:type="dxa"/>
            <w:tcBorders>
              <w:top w:val="single" w:sz="4" w:space="0" w:color="auto"/>
              <w:left w:val="single" w:sz="4" w:space="0" w:color="auto"/>
              <w:bottom w:val="single" w:sz="4" w:space="0" w:color="auto"/>
              <w:right w:val="single" w:sz="4" w:space="0" w:color="auto"/>
            </w:tcBorders>
            <w:hideMark/>
          </w:tcPr>
          <w:p w14:paraId="68CBF48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34DFC11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7914A4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BDAC9C6"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Himpriya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37B9E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586FF7B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5A8014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341589</w:t>
            </w:r>
          </w:p>
        </w:tc>
        <w:tc>
          <w:tcPr>
            <w:tcW w:w="2500" w:type="dxa"/>
            <w:tcBorders>
              <w:top w:val="single" w:sz="4" w:space="0" w:color="auto"/>
              <w:left w:val="single" w:sz="4" w:space="0" w:color="auto"/>
              <w:bottom w:val="single" w:sz="4" w:space="0" w:color="auto"/>
              <w:right w:val="single" w:sz="4" w:space="0" w:color="auto"/>
            </w:tcBorders>
            <w:hideMark/>
          </w:tcPr>
          <w:p w14:paraId="7E94FD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843B64D"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6FFC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1E00CD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26755</w:t>
            </w:r>
          </w:p>
        </w:tc>
        <w:tc>
          <w:tcPr>
            <w:tcW w:w="1843" w:type="dxa"/>
            <w:tcBorders>
              <w:top w:val="single" w:sz="4" w:space="0" w:color="auto"/>
              <w:left w:val="single" w:sz="4" w:space="0" w:color="auto"/>
              <w:bottom w:val="single" w:sz="4" w:space="0" w:color="auto"/>
              <w:right w:val="single" w:sz="4" w:space="0" w:color="auto"/>
            </w:tcBorders>
            <w:hideMark/>
          </w:tcPr>
          <w:p w14:paraId="1FCE216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1E560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7AE9CB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356112</w:t>
            </w:r>
          </w:p>
        </w:tc>
        <w:tc>
          <w:tcPr>
            <w:tcW w:w="2500" w:type="dxa"/>
            <w:tcBorders>
              <w:top w:val="single" w:sz="4" w:space="0" w:color="auto"/>
              <w:left w:val="single" w:sz="4" w:space="0" w:color="auto"/>
              <w:bottom w:val="single" w:sz="4" w:space="0" w:color="auto"/>
              <w:right w:val="single" w:sz="4" w:space="0" w:color="auto"/>
            </w:tcBorders>
            <w:hideMark/>
          </w:tcPr>
          <w:p w14:paraId="20BFC7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D50C607"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8B5A8D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4C1B76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444</w:t>
            </w:r>
          </w:p>
        </w:tc>
        <w:tc>
          <w:tcPr>
            <w:tcW w:w="1843" w:type="dxa"/>
            <w:tcBorders>
              <w:top w:val="single" w:sz="4" w:space="0" w:color="auto"/>
              <w:left w:val="single" w:sz="4" w:space="0" w:color="auto"/>
              <w:bottom w:val="single" w:sz="4" w:space="0" w:color="auto"/>
              <w:right w:val="single" w:sz="4" w:space="0" w:color="auto"/>
            </w:tcBorders>
            <w:hideMark/>
          </w:tcPr>
          <w:p w14:paraId="54AB8A3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53E27E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331448C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37288</w:t>
            </w:r>
          </w:p>
        </w:tc>
        <w:tc>
          <w:tcPr>
            <w:tcW w:w="2500" w:type="dxa"/>
            <w:tcBorders>
              <w:top w:val="single" w:sz="4" w:space="0" w:color="auto"/>
              <w:left w:val="single" w:sz="4" w:space="0" w:color="auto"/>
              <w:bottom w:val="single" w:sz="4" w:space="0" w:color="auto"/>
              <w:right w:val="single" w:sz="4" w:space="0" w:color="auto"/>
            </w:tcBorders>
            <w:hideMark/>
          </w:tcPr>
          <w:p w14:paraId="2C380C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FFFE363"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EC9F0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441894F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214</w:t>
            </w:r>
          </w:p>
        </w:tc>
        <w:tc>
          <w:tcPr>
            <w:tcW w:w="1843" w:type="dxa"/>
            <w:tcBorders>
              <w:top w:val="single" w:sz="4" w:space="0" w:color="auto"/>
              <w:left w:val="single" w:sz="4" w:space="0" w:color="auto"/>
              <w:bottom w:val="single" w:sz="4" w:space="0" w:color="auto"/>
              <w:right w:val="single" w:sz="4" w:space="0" w:color="auto"/>
            </w:tcBorders>
            <w:hideMark/>
          </w:tcPr>
          <w:p w14:paraId="7E183A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29487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171514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341667</w:t>
            </w:r>
          </w:p>
        </w:tc>
        <w:tc>
          <w:tcPr>
            <w:tcW w:w="2500" w:type="dxa"/>
            <w:tcBorders>
              <w:top w:val="single" w:sz="4" w:space="0" w:color="auto"/>
              <w:left w:val="single" w:sz="4" w:space="0" w:color="auto"/>
              <w:bottom w:val="single" w:sz="4" w:space="0" w:color="auto"/>
              <w:right w:val="single" w:sz="4" w:space="0" w:color="auto"/>
            </w:tcBorders>
            <w:hideMark/>
          </w:tcPr>
          <w:p w14:paraId="1ED301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05ED719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6C301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72173F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129</w:t>
            </w:r>
          </w:p>
        </w:tc>
        <w:tc>
          <w:tcPr>
            <w:tcW w:w="1843" w:type="dxa"/>
            <w:tcBorders>
              <w:top w:val="single" w:sz="4" w:space="0" w:color="auto"/>
              <w:left w:val="single" w:sz="4" w:space="0" w:color="auto"/>
              <w:bottom w:val="single" w:sz="4" w:space="0" w:color="auto"/>
              <w:right w:val="single" w:sz="4" w:space="0" w:color="auto"/>
            </w:tcBorders>
            <w:hideMark/>
          </w:tcPr>
          <w:p w14:paraId="00DF49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110B485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hideMark/>
          </w:tcPr>
          <w:p w14:paraId="78E21A4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345059</w:t>
            </w:r>
          </w:p>
        </w:tc>
        <w:tc>
          <w:tcPr>
            <w:tcW w:w="2500" w:type="dxa"/>
            <w:tcBorders>
              <w:top w:val="single" w:sz="4" w:space="0" w:color="auto"/>
              <w:left w:val="single" w:sz="4" w:space="0" w:color="auto"/>
              <w:bottom w:val="single" w:sz="4" w:space="0" w:color="auto"/>
              <w:right w:val="single" w:sz="4" w:space="0" w:color="auto"/>
            </w:tcBorders>
            <w:hideMark/>
          </w:tcPr>
          <w:p w14:paraId="1515F1E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AEDE179"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12BD62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09C321E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5</w:t>
            </w:r>
          </w:p>
        </w:tc>
        <w:tc>
          <w:tcPr>
            <w:tcW w:w="1843" w:type="dxa"/>
            <w:tcBorders>
              <w:top w:val="single" w:sz="4" w:space="0" w:color="auto"/>
              <w:left w:val="single" w:sz="4" w:space="0" w:color="auto"/>
              <w:bottom w:val="single" w:sz="4" w:space="0" w:color="auto"/>
              <w:right w:val="single" w:sz="4" w:space="0" w:color="auto"/>
            </w:tcBorders>
            <w:hideMark/>
          </w:tcPr>
          <w:p w14:paraId="1DF995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ADC01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14:paraId="3540C4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323723</w:t>
            </w:r>
          </w:p>
        </w:tc>
        <w:tc>
          <w:tcPr>
            <w:tcW w:w="2500" w:type="dxa"/>
            <w:tcBorders>
              <w:top w:val="single" w:sz="4" w:space="0" w:color="auto"/>
              <w:left w:val="single" w:sz="4" w:space="0" w:color="auto"/>
              <w:bottom w:val="single" w:sz="4" w:space="0" w:color="auto"/>
              <w:right w:val="single" w:sz="4" w:space="0" w:color="auto"/>
            </w:tcBorders>
            <w:hideMark/>
          </w:tcPr>
          <w:p w14:paraId="10BF6E0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21A810E"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2EF9AA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D0C3FD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46160</w:t>
            </w:r>
          </w:p>
        </w:tc>
        <w:tc>
          <w:tcPr>
            <w:tcW w:w="1843" w:type="dxa"/>
            <w:tcBorders>
              <w:top w:val="single" w:sz="4" w:space="0" w:color="auto"/>
              <w:left w:val="single" w:sz="4" w:space="0" w:color="auto"/>
              <w:bottom w:val="single" w:sz="4" w:space="0" w:color="auto"/>
              <w:right w:val="single" w:sz="4" w:space="0" w:color="auto"/>
            </w:tcBorders>
            <w:hideMark/>
          </w:tcPr>
          <w:p w14:paraId="49F9C4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0DE31D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14:paraId="5D01A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341674</w:t>
            </w:r>
          </w:p>
        </w:tc>
        <w:tc>
          <w:tcPr>
            <w:tcW w:w="2500" w:type="dxa"/>
            <w:tcBorders>
              <w:top w:val="single" w:sz="4" w:space="0" w:color="auto"/>
              <w:left w:val="single" w:sz="4" w:space="0" w:color="auto"/>
              <w:bottom w:val="single" w:sz="4" w:space="0" w:color="auto"/>
              <w:right w:val="single" w:sz="4" w:space="0" w:color="auto"/>
            </w:tcBorders>
            <w:hideMark/>
          </w:tcPr>
          <w:p w14:paraId="22DE38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6162672"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DD5C0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5C466369"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Himgiri</w:t>
            </w:r>
            <w:proofErr w:type="spellEnd"/>
            <w:r w:rsidRPr="00EA36B9">
              <w:rPr>
                <w:rFonts w:ascii="Times New Roman" w:hAnsi="Times New Roman" w:cs="Times New Roman"/>
                <w:sz w:val="24"/>
                <w:szCs w:val="24"/>
              </w:rPr>
              <w:t xml:space="preserve"> 109728</w:t>
            </w:r>
          </w:p>
        </w:tc>
        <w:tc>
          <w:tcPr>
            <w:tcW w:w="1843" w:type="dxa"/>
            <w:tcBorders>
              <w:top w:val="single" w:sz="4" w:space="0" w:color="auto"/>
              <w:left w:val="single" w:sz="4" w:space="0" w:color="auto"/>
              <w:bottom w:val="single" w:sz="4" w:space="0" w:color="auto"/>
              <w:right w:val="single" w:sz="4" w:space="0" w:color="auto"/>
            </w:tcBorders>
            <w:hideMark/>
          </w:tcPr>
          <w:p w14:paraId="13609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AB9E9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493E1C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341683</w:t>
            </w:r>
          </w:p>
        </w:tc>
        <w:tc>
          <w:tcPr>
            <w:tcW w:w="2500" w:type="dxa"/>
            <w:tcBorders>
              <w:top w:val="single" w:sz="4" w:space="0" w:color="auto"/>
              <w:left w:val="single" w:sz="4" w:space="0" w:color="auto"/>
              <w:bottom w:val="single" w:sz="4" w:space="0" w:color="auto"/>
              <w:right w:val="single" w:sz="4" w:space="0" w:color="auto"/>
            </w:tcBorders>
            <w:hideMark/>
          </w:tcPr>
          <w:p w14:paraId="6ECBA8C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A271B8C"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ACDA29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6DE2E65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318859</w:t>
            </w:r>
          </w:p>
        </w:tc>
        <w:tc>
          <w:tcPr>
            <w:tcW w:w="1843" w:type="dxa"/>
            <w:tcBorders>
              <w:top w:val="single" w:sz="4" w:space="0" w:color="auto"/>
              <w:left w:val="single" w:sz="4" w:space="0" w:color="auto"/>
              <w:bottom w:val="single" w:sz="4" w:space="0" w:color="auto"/>
              <w:right w:val="single" w:sz="4" w:space="0" w:color="auto"/>
            </w:tcBorders>
            <w:hideMark/>
          </w:tcPr>
          <w:p w14:paraId="34AAE0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1A85ED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1EF52C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371665</w:t>
            </w:r>
          </w:p>
        </w:tc>
        <w:tc>
          <w:tcPr>
            <w:tcW w:w="2500" w:type="dxa"/>
            <w:tcBorders>
              <w:top w:val="single" w:sz="4" w:space="0" w:color="auto"/>
              <w:left w:val="single" w:sz="4" w:space="0" w:color="auto"/>
              <w:bottom w:val="single" w:sz="4" w:space="0" w:color="auto"/>
              <w:right w:val="single" w:sz="4" w:space="0" w:color="auto"/>
            </w:tcBorders>
            <w:hideMark/>
          </w:tcPr>
          <w:p w14:paraId="3EA7E5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2E5F7C24"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958A7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3916D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109729</w:t>
            </w:r>
          </w:p>
        </w:tc>
        <w:tc>
          <w:tcPr>
            <w:tcW w:w="1843" w:type="dxa"/>
            <w:tcBorders>
              <w:top w:val="single" w:sz="4" w:space="0" w:color="auto"/>
              <w:left w:val="single" w:sz="4" w:space="0" w:color="auto"/>
              <w:bottom w:val="single" w:sz="4" w:space="0" w:color="auto"/>
              <w:right w:val="single" w:sz="4" w:space="0" w:color="auto"/>
            </w:tcBorders>
            <w:hideMark/>
          </w:tcPr>
          <w:p w14:paraId="3C0916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3A44FD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1975A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42430</w:t>
            </w:r>
          </w:p>
        </w:tc>
        <w:tc>
          <w:tcPr>
            <w:tcW w:w="2500" w:type="dxa"/>
            <w:tcBorders>
              <w:top w:val="single" w:sz="4" w:space="0" w:color="auto"/>
              <w:left w:val="single" w:sz="4" w:space="0" w:color="auto"/>
              <w:bottom w:val="single" w:sz="4" w:space="0" w:color="auto"/>
              <w:right w:val="single" w:sz="4" w:space="0" w:color="auto"/>
            </w:tcBorders>
            <w:hideMark/>
          </w:tcPr>
          <w:p w14:paraId="7679813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bl>
    <w:p w14:paraId="202A447A" w14:textId="6CAA8AC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noProof/>
          <w:sz w:val="24"/>
          <w:szCs w:val="24"/>
        </w:rPr>
        <w:drawing>
          <wp:anchor distT="0" distB="0" distL="114300" distR="114300" simplePos="0" relativeHeight="251659264" behindDoc="1" locked="0" layoutInCell="1" allowOverlap="1" wp14:anchorId="10E22A35" wp14:editId="7DE24629">
            <wp:simplePos x="0" y="0"/>
            <wp:positionH relativeFrom="margin">
              <wp:posOffset>769620</wp:posOffset>
            </wp:positionH>
            <wp:positionV relativeFrom="paragraph">
              <wp:posOffset>43815</wp:posOffset>
            </wp:positionV>
            <wp:extent cx="3982720" cy="228600"/>
            <wp:effectExtent l="0" t="0" r="0" b="0"/>
            <wp:wrapTight wrapText="bothSides">
              <wp:wrapPolygon edited="0">
                <wp:start x="0" y="0"/>
                <wp:lineTo x="0" y="19800"/>
                <wp:lineTo x="21490" y="19800"/>
                <wp:lineTo x="21490" y="0"/>
                <wp:lineTo x="0" y="0"/>
              </wp:wrapPolygon>
            </wp:wrapTight>
            <wp:docPr id="26303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228600"/>
                    </a:xfrm>
                    <a:prstGeom prst="rect">
                      <a:avLst/>
                    </a:prstGeom>
                    <a:noFill/>
                  </pic:spPr>
                </pic:pic>
              </a:graphicData>
            </a:graphic>
            <wp14:sizeRelH relativeFrom="margin">
              <wp14:pctWidth>0</wp14:pctWidth>
            </wp14:sizeRelH>
            <wp14:sizeRelV relativeFrom="margin">
              <wp14:pctHeight>0</wp14:pctHeight>
            </wp14:sizeRelV>
          </wp:anchor>
        </w:drawing>
      </w:r>
    </w:p>
    <w:p w14:paraId="0BA7DDB5" w14:textId="77777777" w:rsidR="00C16459" w:rsidRPr="00EA36B9" w:rsidRDefault="00C16459" w:rsidP="00AF4EA9">
      <w:pPr>
        <w:jc w:val="both"/>
        <w:rPr>
          <w:rFonts w:ascii="Times New Roman" w:hAnsi="Times New Roman" w:cs="Times New Roman"/>
          <w:sz w:val="24"/>
          <w:szCs w:val="24"/>
        </w:rPr>
      </w:pPr>
    </w:p>
    <w:p w14:paraId="4BCA7C91" w14:textId="4CD8A2F5"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Experimental Design and location</w:t>
      </w:r>
    </w:p>
    <w:p w14:paraId="6107B45A" w14:textId="48203C68" w:rsidR="00F40B45" w:rsidRPr="00EA36B9" w:rsidRDefault="00825C86" w:rsidP="00AF4EA9">
      <w:pPr>
        <w:jc w:val="both"/>
        <w:rPr>
          <w:rFonts w:ascii="Times New Roman" w:hAnsi="Times New Roman"/>
          <w:sz w:val="24"/>
          <w:szCs w:val="24"/>
        </w:rPr>
      </w:pPr>
      <w:r w:rsidRPr="00EA36B9">
        <w:rPr>
          <w:rFonts w:ascii="Times New Roman" w:hAnsi="Times New Roman" w:cs="Times New Roman"/>
          <w:sz w:val="24"/>
          <w:szCs w:val="24"/>
        </w:rPr>
        <w:t xml:space="preserve">The experimental material was evaluated at </w:t>
      </w:r>
      <w:r w:rsidRPr="00EA36B9">
        <w:rPr>
          <w:rFonts w:ascii="Times New Roman" w:hAnsi="Times New Roman"/>
          <w:sz w:val="24"/>
          <w:szCs w:val="24"/>
          <w:lang w:val="en-IN"/>
        </w:rPr>
        <w:t xml:space="preserve">The Experimental Farm, </w:t>
      </w:r>
      <w:r w:rsidR="00F40B45" w:rsidRPr="00EA36B9">
        <w:rPr>
          <w:rFonts w:ascii="Times New Roman" w:hAnsi="Times New Roman"/>
          <w:sz w:val="24"/>
          <w:szCs w:val="24"/>
          <w:lang w:val="en-IN"/>
        </w:rPr>
        <w:t>Mountain Agricultural Research &amp; Extension Centre (</w:t>
      </w:r>
      <w:r w:rsidRPr="00EA36B9">
        <w:rPr>
          <w:rFonts w:ascii="Times New Roman" w:hAnsi="Times New Roman"/>
          <w:sz w:val="24"/>
          <w:szCs w:val="24"/>
          <w:lang w:val="en-IN"/>
        </w:rPr>
        <w:t>MAREC</w:t>
      </w:r>
      <w:r w:rsidR="00F40B45" w:rsidRPr="00EA36B9">
        <w:rPr>
          <w:rFonts w:ascii="Times New Roman" w:hAnsi="Times New Roman"/>
          <w:sz w:val="24"/>
          <w:szCs w:val="24"/>
          <w:lang w:val="en-IN"/>
        </w:rPr>
        <w:t>)</w:t>
      </w:r>
      <w:r w:rsidRPr="00EA36B9">
        <w:rPr>
          <w:rFonts w:ascii="Times New Roman" w:hAnsi="Times New Roman"/>
          <w:sz w:val="24"/>
          <w:szCs w:val="24"/>
          <w:lang w:val="en-IN"/>
        </w:rPr>
        <w:t>, Sangla, Kinnaur. The farm is located at 31° 29' N latitude and 78° 60' E longitude at a height of 2,621 meters above mean sea level (</w:t>
      </w:r>
      <w:proofErr w:type="spellStart"/>
      <w:r w:rsidRPr="00EA36B9">
        <w:rPr>
          <w:rFonts w:ascii="Times New Roman" w:hAnsi="Times New Roman"/>
          <w:sz w:val="24"/>
          <w:szCs w:val="24"/>
          <w:lang w:val="en-IN"/>
        </w:rPr>
        <w:t>amsl</w:t>
      </w:r>
      <w:proofErr w:type="spellEnd"/>
      <w:r w:rsidRPr="00EA36B9">
        <w:rPr>
          <w:rFonts w:ascii="Times New Roman" w:hAnsi="Times New Roman"/>
          <w:sz w:val="24"/>
          <w:szCs w:val="24"/>
          <w:lang w:val="en-IN"/>
        </w:rPr>
        <w:t>).</w:t>
      </w:r>
      <w:r w:rsidR="00F40B45" w:rsidRPr="00EA36B9">
        <w:rPr>
          <w:rFonts w:ascii="Times New Roman" w:hAnsi="Times New Roman"/>
          <w:sz w:val="24"/>
          <w:szCs w:val="24"/>
          <w:lang w:val="en-IN"/>
        </w:rPr>
        <w:t xml:space="preserve"> The experimental material was sown in a well-prepared field in Randomized Complete Block Design (RCBD) with two checks viz., Shimla B1 and </w:t>
      </w:r>
      <w:proofErr w:type="spellStart"/>
      <w:r w:rsidR="00F40B45" w:rsidRPr="00EA36B9">
        <w:rPr>
          <w:rFonts w:ascii="Times New Roman" w:hAnsi="Times New Roman"/>
          <w:sz w:val="24"/>
          <w:szCs w:val="24"/>
          <w:lang w:val="en-IN"/>
        </w:rPr>
        <w:t>Himpriya</w:t>
      </w:r>
      <w:proofErr w:type="spellEnd"/>
      <w:r w:rsidR="00F40B45" w:rsidRPr="00EA36B9">
        <w:rPr>
          <w:rFonts w:ascii="Times New Roman" w:hAnsi="Times New Roman"/>
          <w:sz w:val="24"/>
          <w:szCs w:val="24"/>
          <w:lang w:val="en-IN"/>
        </w:rPr>
        <w:t xml:space="preserve">. In a block, two 1m long lines were there with a spacing of 25 cm row to row and 75 cm block to block. For proper drainage, the blocks were raised a little to avoid water stagnation. </w:t>
      </w:r>
      <w:r w:rsidR="00F40B45" w:rsidRPr="00EA36B9">
        <w:rPr>
          <w:rFonts w:ascii="Times New Roman" w:hAnsi="Times New Roman"/>
          <w:sz w:val="24"/>
          <w:szCs w:val="24"/>
        </w:rPr>
        <w:t xml:space="preserve">The recommended cultural practices were followed to grow vigorous plants. </w:t>
      </w:r>
    </w:p>
    <w:p w14:paraId="5E51B726" w14:textId="3F761E48" w:rsidR="00F40B45" w:rsidRPr="00EA36B9" w:rsidRDefault="00F40B45" w:rsidP="00AF4EA9">
      <w:pPr>
        <w:jc w:val="both"/>
        <w:rPr>
          <w:rFonts w:ascii="Times New Roman" w:hAnsi="Times New Roman"/>
          <w:b/>
          <w:bCs/>
          <w:sz w:val="24"/>
          <w:szCs w:val="24"/>
        </w:rPr>
      </w:pPr>
      <w:r w:rsidRPr="00EA36B9">
        <w:rPr>
          <w:rFonts w:ascii="Times New Roman" w:hAnsi="Times New Roman"/>
          <w:b/>
          <w:bCs/>
          <w:sz w:val="24"/>
          <w:szCs w:val="24"/>
        </w:rPr>
        <w:t>Data collection and Statistical analysis</w:t>
      </w:r>
    </w:p>
    <w:p w14:paraId="5C1BAD1F" w14:textId="347CC79F" w:rsidR="00F40B45" w:rsidRPr="00EA36B9" w:rsidRDefault="00DD1484" w:rsidP="00AF4EA9">
      <w:pPr>
        <w:jc w:val="both"/>
        <w:rPr>
          <w:rFonts w:ascii="Times New Roman" w:hAnsi="Times New Roman"/>
          <w:sz w:val="24"/>
          <w:szCs w:val="24"/>
        </w:rPr>
      </w:pPr>
      <w:r w:rsidRPr="00EA36B9">
        <w:rPr>
          <w:rFonts w:ascii="Times New Roman" w:hAnsi="Times New Roman"/>
          <w:sz w:val="24"/>
          <w:szCs w:val="24"/>
        </w:rPr>
        <w:t xml:space="preserve">The accessions were characterized on the basis of six </w:t>
      </w:r>
      <w:proofErr w:type="spellStart"/>
      <w:r w:rsidRPr="00EA36B9">
        <w:rPr>
          <w:rFonts w:ascii="Times New Roman" w:hAnsi="Times New Roman"/>
          <w:sz w:val="24"/>
          <w:szCs w:val="24"/>
        </w:rPr>
        <w:t>agro</w:t>
      </w:r>
      <w:proofErr w:type="spellEnd"/>
      <w:r w:rsidRPr="00EA36B9">
        <w:rPr>
          <w:rFonts w:ascii="Times New Roman" w:hAnsi="Times New Roman"/>
          <w:sz w:val="24"/>
          <w:szCs w:val="24"/>
        </w:rPr>
        <w:t xml:space="preserve">-morphological traits viz., leaves per plant (LPP), primary branches per plant (PBPP), plant height (PH), biological yield (BY), harvest index (HI) and straw yield per plant (SYPP). Five plants of each genotype in each replication were selected at random (excluding border plants) and phenotypic data were collected for these traits. </w:t>
      </w:r>
    </w:p>
    <w:p w14:paraId="37C5B515" w14:textId="230DC23A" w:rsidR="00DD1484" w:rsidRPr="00EA36B9" w:rsidRDefault="00DD1484"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Based on the averaged data, descriptive statistics were estimated. Statistical analysis, including analysis of variance (ANOVA), variability parameters, correlation coefficients (both genotypic as well as phenotypic), and path coefficients based on six quantitative, were conducted using </w:t>
      </w:r>
      <w:proofErr w:type="spellStart"/>
      <w:r w:rsidRPr="00EA36B9">
        <w:rPr>
          <w:rFonts w:ascii="Times New Roman" w:hAnsi="Times New Roman" w:cs="Times New Roman"/>
          <w:sz w:val="24"/>
          <w:szCs w:val="24"/>
        </w:rPr>
        <w:t>Windostat</w:t>
      </w:r>
      <w:proofErr w:type="spellEnd"/>
      <w:r w:rsidRPr="00EA36B9">
        <w:rPr>
          <w:rFonts w:ascii="Times New Roman" w:hAnsi="Times New Roman" w:cs="Times New Roman"/>
          <w:sz w:val="24"/>
          <w:szCs w:val="24"/>
        </w:rPr>
        <w:t xml:space="preserve"> 8.0 </w:t>
      </w:r>
      <w:r w:rsidR="008A2E26" w:rsidRPr="00EA36B9">
        <w:rPr>
          <w:rFonts w:ascii="Times New Roman" w:hAnsi="Times New Roman" w:cs="Times New Roman"/>
          <w:sz w:val="24"/>
          <w:szCs w:val="24"/>
        </w:rPr>
        <w:t>software</w:t>
      </w:r>
      <w:r w:rsidRPr="00EA36B9">
        <w:rPr>
          <w:rFonts w:ascii="Times New Roman" w:hAnsi="Times New Roman" w:cs="Times New Roman"/>
          <w:sz w:val="24"/>
          <w:szCs w:val="24"/>
        </w:rPr>
        <w:t xml:space="preserve"> package developed by </w:t>
      </w:r>
      <w:proofErr w:type="spellStart"/>
      <w:r w:rsidRPr="00EA36B9">
        <w:rPr>
          <w:rFonts w:ascii="Times New Roman" w:hAnsi="Times New Roman" w:cs="Times New Roman"/>
          <w:sz w:val="24"/>
          <w:szCs w:val="24"/>
        </w:rPr>
        <w:t>Indostat</w:t>
      </w:r>
      <w:proofErr w:type="spellEnd"/>
      <w:r w:rsidRPr="00EA36B9">
        <w:rPr>
          <w:rFonts w:ascii="Times New Roman" w:hAnsi="Times New Roman" w:cs="Times New Roman"/>
          <w:sz w:val="24"/>
          <w:szCs w:val="24"/>
        </w:rPr>
        <w:t xml:space="preserve"> Services, Hyderabad, India. The replicated dataset was analysed for variance as per Panse and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xml:space="preserve"> </w:t>
      </w:r>
      <w:r w:rsidR="00AA1B81" w:rsidRPr="00EA36B9">
        <w:rPr>
          <w:rFonts w:ascii="Times New Roman" w:hAnsi="Times New Roman" w:cs="Times New Roman"/>
          <w:sz w:val="24"/>
          <w:szCs w:val="24"/>
        </w:rPr>
        <w:t>(1984)</w:t>
      </w:r>
      <w:r w:rsidRPr="00EA36B9">
        <w:rPr>
          <w:rFonts w:ascii="Times New Roman" w:hAnsi="Times New Roman" w:cs="Times New Roman"/>
          <w:sz w:val="24"/>
          <w:szCs w:val="24"/>
        </w:rPr>
        <w:t xml:space="preserve">. Genotypic and phenotypic coefficients of variation were computed as per the method described by Burton and DeVane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Broad-sense heritability and genetic advance as a percentage of the mean were estimated using the approaches of Burton and DeVane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and Johnson et al. </w:t>
      </w:r>
      <w:r w:rsidR="00AA1B81" w:rsidRPr="00EA36B9">
        <w:rPr>
          <w:rFonts w:ascii="Times New Roman" w:hAnsi="Times New Roman" w:cs="Times New Roman"/>
          <w:sz w:val="24"/>
          <w:szCs w:val="24"/>
        </w:rPr>
        <w:t>(1955)</w:t>
      </w:r>
      <w:r w:rsidRPr="00EA36B9">
        <w:rPr>
          <w:rFonts w:ascii="Times New Roman" w:hAnsi="Times New Roman" w:cs="Times New Roman"/>
          <w:sz w:val="24"/>
          <w:szCs w:val="24"/>
        </w:rPr>
        <w:t>. Correlation coefficients at both genotypic and phenotypic levels were calculated according to 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et al. </w:t>
      </w:r>
      <w:r w:rsidR="00AA1B81" w:rsidRPr="00EA36B9">
        <w:rPr>
          <w:rFonts w:ascii="Times New Roman" w:hAnsi="Times New Roman" w:cs="Times New Roman"/>
          <w:sz w:val="24"/>
          <w:szCs w:val="24"/>
        </w:rPr>
        <w:t>(1958)</w:t>
      </w:r>
      <w:r w:rsidRPr="00EA36B9">
        <w:rPr>
          <w:rFonts w:ascii="Times New Roman" w:hAnsi="Times New Roman" w:cs="Times New Roman"/>
          <w:sz w:val="24"/>
          <w:szCs w:val="24"/>
        </w:rPr>
        <w:t xml:space="preserve">. The genetic divergence amongst genotypes was computed following </w:t>
      </w: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xml:space="preserve"> D</w:t>
      </w:r>
      <w:r w:rsidRPr="00EA36B9">
        <w:rPr>
          <w:rFonts w:ascii="Times New Roman" w:hAnsi="Times New Roman" w:cs="Times New Roman"/>
          <w:sz w:val="24"/>
          <w:szCs w:val="24"/>
          <w:vertAlign w:val="superscript"/>
        </w:rPr>
        <w:t>2</w:t>
      </w:r>
      <w:r w:rsidRPr="00EA36B9">
        <w:rPr>
          <w:rFonts w:ascii="Times New Roman" w:hAnsi="Times New Roman" w:cs="Times New Roman"/>
          <w:sz w:val="24"/>
          <w:szCs w:val="24"/>
        </w:rPr>
        <w:t xml:space="preserve"> technique (1936)</w:t>
      </w:r>
      <w:r w:rsidR="008A2E26" w:rsidRPr="00EA36B9">
        <w:rPr>
          <w:rFonts w:ascii="Times New Roman" w:hAnsi="Times New Roman" w:cs="Times New Roman"/>
          <w:sz w:val="24"/>
          <w:szCs w:val="24"/>
        </w:rPr>
        <w:t xml:space="preserve"> and the genotypes were grouped into different clusters following Tocher’s method described by Rao (1952).</w:t>
      </w:r>
    </w:p>
    <w:p w14:paraId="7AA4791F" w14:textId="0F273564" w:rsidR="00825C86" w:rsidRPr="00EA36B9" w:rsidRDefault="008A2E2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Results</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and</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Discussion</w:t>
      </w:r>
    </w:p>
    <w:p w14:paraId="62D14FFB" w14:textId="77777777"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3.1. Analysis of variance (ANOVA)</w:t>
      </w:r>
    </w:p>
    <w:p w14:paraId="73B91985" w14:textId="2ABDA9F7" w:rsidR="008A2E26"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Table</w:t>
      </w:r>
      <w:r w:rsidR="00986F49" w:rsidRPr="00EA36B9">
        <w:rPr>
          <w:rFonts w:ascii="Times New Roman" w:hAnsi="Times New Roman" w:cs="Times New Roman"/>
          <w:sz w:val="24"/>
          <w:szCs w:val="24"/>
        </w:rPr>
        <w:t xml:space="preserv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xml:space="preserve"> summarises the ANOVA results for six </w:t>
      </w:r>
      <w:r w:rsidR="00615AE8" w:rsidRPr="00EA36B9">
        <w:rPr>
          <w:rFonts w:ascii="Times New Roman" w:hAnsi="Times New Roman" w:cs="Times New Roman"/>
          <w:sz w:val="24"/>
          <w:szCs w:val="24"/>
        </w:rPr>
        <w:t>quantitative</w:t>
      </w:r>
      <w:r w:rsidRPr="00EA36B9">
        <w:rPr>
          <w:rFonts w:ascii="Times New Roman" w:hAnsi="Times New Roman" w:cs="Times New Roman"/>
          <w:sz w:val="24"/>
          <w:szCs w:val="24"/>
        </w:rPr>
        <w:t xml:space="preser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evaluated under RCBD. The findings revealed statistically significant differences (p&lt;0.05) among the genotypes for each of the evaluated traits.</w:t>
      </w:r>
    </w:p>
    <w:p w14:paraId="11B6E467" w14:textId="0C94C58C"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Analysis of variance for six morphological traits evaluated for 22 buckwheat genotypes</w:t>
      </w:r>
    </w:p>
    <w:tbl>
      <w:tblPr>
        <w:tblStyle w:val="TableGrid"/>
        <w:tblW w:w="0" w:type="auto"/>
        <w:jc w:val="center"/>
        <w:tblLook w:val="04A0" w:firstRow="1" w:lastRow="0" w:firstColumn="1" w:lastColumn="0" w:noHBand="0" w:noVBand="1"/>
      </w:tblPr>
      <w:tblGrid>
        <w:gridCol w:w="2312"/>
        <w:gridCol w:w="2158"/>
        <w:gridCol w:w="2388"/>
        <w:gridCol w:w="2158"/>
      </w:tblGrid>
      <w:tr w:rsidR="00C16459" w:rsidRPr="00EA36B9" w14:paraId="1A46AA1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tcPr>
          <w:p w14:paraId="1B660F90" w14:textId="77777777" w:rsidR="00C16459" w:rsidRPr="00EA36B9" w:rsidRDefault="00C16459" w:rsidP="00EA36B9">
            <w:pPr>
              <w:spacing w:after="160" w:line="259" w:lineRule="auto"/>
              <w:jc w:val="both"/>
              <w:rPr>
                <w:rFonts w:ascii="Times New Roman" w:hAnsi="Times New Roman" w:cs="Times New Roman"/>
                <w:sz w:val="24"/>
                <w:szCs w:val="24"/>
              </w:rPr>
            </w:pPr>
          </w:p>
        </w:tc>
        <w:tc>
          <w:tcPr>
            <w:tcW w:w="6704" w:type="dxa"/>
            <w:gridSpan w:val="3"/>
            <w:tcBorders>
              <w:top w:val="single" w:sz="4" w:space="0" w:color="auto"/>
              <w:left w:val="single" w:sz="4" w:space="0" w:color="auto"/>
              <w:bottom w:val="single" w:sz="4" w:space="0" w:color="auto"/>
              <w:right w:val="single" w:sz="4" w:space="0" w:color="auto"/>
            </w:tcBorders>
            <w:hideMark/>
          </w:tcPr>
          <w:p w14:paraId="356FBA31"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 sum of squares</w:t>
            </w:r>
          </w:p>
        </w:tc>
      </w:tr>
      <w:tr w:rsidR="00C16459" w:rsidRPr="00EA36B9" w14:paraId="55CF449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3F8085A"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2158" w:type="dxa"/>
            <w:tcBorders>
              <w:top w:val="single" w:sz="4" w:space="0" w:color="auto"/>
              <w:left w:val="single" w:sz="4" w:space="0" w:color="auto"/>
              <w:bottom w:val="single" w:sz="4" w:space="0" w:color="auto"/>
              <w:right w:val="single" w:sz="4" w:space="0" w:color="auto"/>
            </w:tcBorders>
            <w:hideMark/>
          </w:tcPr>
          <w:p w14:paraId="7D652FEB"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 xml:space="preserve">Replication </w:t>
            </w:r>
          </w:p>
        </w:tc>
        <w:tc>
          <w:tcPr>
            <w:tcW w:w="2388" w:type="dxa"/>
            <w:tcBorders>
              <w:top w:val="single" w:sz="4" w:space="0" w:color="auto"/>
              <w:left w:val="single" w:sz="4" w:space="0" w:color="auto"/>
              <w:bottom w:val="single" w:sz="4" w:space="0" w:color="auto"/>
              <w:right w:val="single" w:sz="4" w:space="0" w:color="auto"/>
            </w:tcBorders>
            <w:hideMark/>
          </w:tcPr>
          <w:p w14:paraId="2DEC58A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Treatments</w:t>
            </w:r>
          </w:p>
        </w:tc>
        <w:tc>
          <w:tcPr>
            <w:tcW w:w="2158" w:type="dxa"/>
            <w:tcBorders>
              <w:top w:val="single" w:sz="4" w:space="0" w:color="auto"/>
              <w:left w:val="single" w:sz="4" w:space="0" w:color="auto"/>
              <w:bottom w:val="single" w:sz="4" w:space="0" w:color="auto"/>
              <w:right w:val="single" w:sz="4" w:space="0" w:color="auto"/>
            </w:tcBorders>
            <w:hideMark/>
          </w:tcPr>
          <w:p w14:paraId="5F1222D6"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Error</w:t>
            </w:r>
          </w:p>
        </w:tc>
      </w:tr>
      <w:tr w:rsidR="00C16459" w:rsidRPr="00EA36B9" w14:paraId="7870460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B87D87C"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2158" w:type="dxa"/>
            <w:tcBorders>
              <w:top w:val="single" w:sz="4" w:space="0" w:color="auto"/>
              <w:left w:val="single" w:sz="4" w:space="0" w:color="auto"/>
              <w:bottom w:val="single" w:sz="4" w:space="0" w:color="auto"/>
              <w:right w:val="single" w:sz="4" w:space="0" w:color="auto"/>
            </w:tcBorders>
            <w:hideMark/>
          </w:tcPr>
          <w:p w14:paraId="7588CF4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c>
          <w:tcPr>
            <w:tcW w:w="2388" w:type="dxa"/>
            <w:tcBorders>
              <w:top w:val="single" w:sz="4" w:space="0" w:color="auto"/>
              <w:left w:val="single" w:sz="4" w:space="0" w:color="auto"/>
              <w:bottom w:val="single" w:sz="4" w:space="0" w:color="auto"/>
              <w:right w:val="single" w:sz="4" w:space="0" w:color="auto"/>
            </w:tcBorders>
            <w:hideMark/>
          </w:tcPr>
          <w:p w14:paraId="1C84ECE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105.00*</w:t>
            </w:r>
          </w:p>
        </w:tc>
        <w:tc>
          <w:tcPr>
            <w:tcW w:w="2158" w:type="dxa"/>
            <w:tcBorders>
              <w:top w:val="single" w:sz="4" w:space="0" w:color="auto"/>
              <w:left w:val="single" w:sz="4" w:space="0" w:color="auto"/>
              <w:bottom w:val="single" w:sz="4" w:space="0" w:color="auto"/>
              <w:right w:val="single" w:sz="4" w:space="0" w:color="auto"/>
            </w:tcBorders>
            <w:hideMark/>
          </w:tcPr>
          <w:p w14:paraId="328020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0.53</w:t>
            </w:r>
          </w:p>
        </w:tc>
      </w:tr>
      <w:tr w:rsidR="00C16459" w:rsidRPr="00EA36B9" w14:paraId="21F0CF3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63B8BAF"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2158" w:type="dxa"/>
            <w:tcBorders>
              <w:top w:val="single" w:sz="4" w:space="0" w:color="auto"/>
              <w:left w:val="single" w:sz="4" w:space="0" w:color="auto"/>
              <w:bottom w:val="single" w:sz="4" w:space="0" w:color="auto"/>
              <w:right w:val="single" w:sz="4" w:space="0" w:color="auto"/>
            </w:tcBorders>
            <w:hideMark/>
          </w:tcPr>
          <w:p w14:paraId="356A65E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w:t>
            </w:r>
          </w:p>
        </w:tc>
        <w:tc>
          <w:tcPr>
            <w:tcW w:w="2388" w:type="dxa"/>
            <w:tcBorders>
              <w:top w:val="single" w:sz="4" w:space="0" w:color="auto"/>
              <w:left w:val="single" w:sz="4" w:space="0" w:color="auto"/>
              <w:bottom w:val="single" w:sz="4" w:space="0" w:color="auto"/>
              <w:right w:val="single" w:sz="4" w:space="0" w:color="auto"/>
            </w:tcBorders>
            <w:hideMark/>
          </w:tcPr>
          <w:p w14:paraId="4DD44B0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0.59*</w:t>
            </w:r>
          </w:p>
        </w:tc>
        <w:tc>
          <w:tcPr>
            <w:tcW w:w="2158" w:type="dxa"/>
            <w:tcBorders>
              <w:top w:val="single" w:sz="4" w:space="0" w:color="auto"/>
              <w:left w:val="single" w:sz="4" w:space="0" w:color="auto"/>
              <w:bottom w:val="single" w:sz="4" w:space="0" w:color="auto"/>
              <w:right w:val="single" w:sz="4" w:space="0" w:color="auto"/>
            </w:tcBorders>
            <w:hideMark/>
          </w:tcPr>
          <w:p w14:paraId="644E110B"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0.01</w:t>
            </w:r>
          </w:p>
        </w:tc>
      </w:tr>
      <w:tr w:rsidR="00C16459" w:rsidRPr="00EA36B9" w14:paraId="26E71554"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E4AC40E"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PH</w:t>
            </w:r>
          </w:p>
        </w:tc>
        <w:tc>
          <w:tcPr>
            <w:tcW w:w="2158" w:type="dxa"/>
            <w:tcBorders>
              <w:top w:val="single" w:sz="4" w:space="0" w:color="auto"/>
              <w:left w:val="single" w:sz="4" w:space="0" w:color="auto"/>
              <w:bottom w:val="single" w:sz="4" w:space="0" w:color="auto"/>
              <w:right w:val="single" w:sz="4" w:space="0" w:color="auto"/>
            </w:tcBorders>
            <w:hideMark/>
          </w:tcPr>
          <w:p w14:paraId="05501AB7"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5.28</w:t>
            </w:r>
          </w:p>
        </w:tc>
        <w:tc>
          <w:tcPr>
            <w:tcW w:w="2388" w:type="dxa"/>
            <w:tcBorders>
              <w:top w:val="single" w:sz="4" w:space="0" w:color="auto"/>
              <w:left w:val="single" w:sz="4" w:space="0" w:color="auto"/>
              <w:bottom w:val="single" w:sz="4" w:space="0" w:color="auto"/>
              <w:right w:val="single" w:sz="4" w:space="0" w:color="auto"/>
            </w:tcBorders>
            <w:hideMark/>
          </w:tcPr>
          <w:p w14:paraId="6D1D98D9"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229.26*</w:t>
            </w:r>
          </w:p>
        </w:tc>
        <w:tc>
          <w:tcPr>
            <w:tcW w:w="2158" w:type="dxa"/>
            <w:tcBorders>
              <w:top w:val="single" w:sz="4" w:space="0" w:color="auto"/>
              <w:left w:val="single" w:sz="4" w:space="0" w:color="auto"/>
              <w:bottom w:val="single" w:sz="4" w:space="0" w:color="auto"/>
              <w:right w:val="single" w:sz="4" w:space="0" w:color="auto"/>
            </w:tcBorders>
            <w:hideMark/>
          </w:tcPr>
          <w:p w14:paraId="237DA9C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5.34</w:t>
            </w:r>
          </w:p>
        </w:tc>
      </w:tr>
      <w:tr w:rsidR="00C16459" w:rsidRPr="00EA36B9" w14:paraId="2F566C3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A2A0FC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2158" w:type="dxa"/>
            <w:tcBorders>
              <w:top w:val="single" w:sz="4" w:space="0" w:color="auto"/>
              <w:left w:val="single" w:sz="4" w:space="0" w:color="auto"/>
              <w:bottom w:val="single" w:sz="4" w:space="0" w:color="auto"/>
              <w:right w:val="single" w:sz="4" w:space="0" w:color="auto"/>
            </w:tcBorders>
            <w:hideMark/>
          </w:tcPr>
          <w:p w14:paraId="0AAC447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0.05</w:t>
            </w:r>
          </w:p>
        </w:tc>
        <w:tc>
          <w:tcPr>
            <w:tcW w:w="2388" w:type="dxa"/>
            <w:tcBorders>
              <w:top w:val="single" w:sz="4" w:space="0" w:color="auto"/>
              <w:left w:val="single" w:sz="4" w:space="0" w:color="auto"/>
              <w:bottom w:val="single" w:sz="4" w:space="0" w:color="auto"/>
              <w:right w:val="single" w:sz="4" w:space="0" w:color="auto"/>
            </w:tcBorders>
            <w:hideMark/>
          </w:tcPr>
          <w:p w14:paraId="0DCAAC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6.46*</w:t>
            </w:r>
          </w:p>
        </w:tc>
        <w:tc>
          <w:tcPr>
            <w:tcW w:w="2158" w:type="dxa"/>
            <w:tcBorders>
              <w:top w:val="single" w:sz="4" w:space="0" w:color="auto"/>
              <w:left w:val="single" w:sz="4" w:space="0" w:color="auto"/>
              <w:bottom w:val="single" w:sz="4" w:space="0" w:color="auto"/>
              <w:right w:val="single" w:sz="4" w:space="0" w:color="auto"/>
            </w:tcBorders>
            <w:hideMark/>
          </w:tcPr>
          <w:p w14:paraId="334D161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r w:rsidR="00C16459" w:rsidRPr="00EA36B9" w14:paraId="34181020"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1835D38"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2158" w:type="dxa"/>
            <w:tcBorders>
              <w:top w:val="single" w:sz="4" w:space="0" w:color="auto"/>
              <w:left w:val="single" w:sz="4" w:space="0" w:color="auto"/>
              <w:bottom w:val="single" w:sz="4" w:space="0" w:color="auto"/>
              <w:right w:val="single" w:sz="4" w:space="0" w:color="auto"/>
            </w:tcBorders>
            <w:hideMark/>
          </w:tcPr>
          <w:p w14:paraId="479BE6E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w:t>
            </w:r>
          </w:p>
        </w:tc>
        <w:tc>
          <w:tcPr>
            <w:tcW w:w="2388" w:type="dxa"/>
            <w:tcBorders>
              <w:top w:val="single" w:sz="4" w:space="0" w:color="auto"/>
              <w:left w:val="single" w:sz="4" w:space="0" w:color="auto"/>
              <w:bottom w:val="single" w:sz="4" w:space="0" w:color="auto"/>
              <w:right w:val="single" w:sz="4" w:space="0" w:color="auto"/>
            </w:tcBorders>
            <w:hideMark/>
          </w:tcPr>
          <w:p w14:paraId="42F57F7C"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123.16*</w:t>
            </w:r>
          </w:p>
        </w:tc>
        <w:tc>
          <w:tcPr>
            <w:tcW w:w="2158" w:type="dxa"/>
            <w:tcBorders>
              <w:top w:val="single" w:sz="4" w:space="0" w:color="auto"/>
              <w:left w:val="single" w:sz="4" w:space="0" w:color="auto"/>
              <w:bottom w:val="single" w:sz="4" w:space="0" w:color="auto"/>
              <w:right w:val="single" w:sz="4" w:space="0" w:color="auto"/>
            </w:tcBorders>
            <w:hideMark/>
          </w:tcPr>
          <w:p w14:paraId="5F289CE6"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0.82</w:t>
            </w:r>
          </w:p>
        </w:tc>
      </w:tr>
      <w:tr w:rsidR="00C16459" w:rsidRPr="00EA36B9" w14:paraId="492B0E1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1A2F7D0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2158" w:type="dxa"/>
            <w:tcBorders>
              <w:top w:val="single" w:sz="4" w:space="0" w:color="auto"/>
              <w:left w:val="single" w:sz="4" w:space="0" w:color="auto"/>
              <w:bottom w:val="single" w:sz="4" w:space="0" w:color="auto"/>
              <w:right w:val="single" w:sz="4" w:space="0" w:color="auto"/>
            </w:tcBorders>
            <w:hideMark/>
          </w:tcPr>
          <w:p w14:paraId="2ADC7AD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0.02</w:t>
            </w:r>
          </w:p>
        </w:tc>
        <w:tc>
          <w:tcPr>
            <w:tcW w:w="2388" w:type="dxa"/>
            <w:tcBorders>
              <w:top w:val="single" w:sz="4" w:space="0" w:color="auto"/>
              <w:left w:val="single" w:sz="4" w:space="0" w:color="auto"/>
              <w:bottom w:val="single" w:sz="4" w:space="0" w:color="auto"/>
              <w:right w:val="single" w:sz="4" w:space="0" w:color="auto"/>
            </w:tcBorders>
            <w:hideMark/>
          </w:tcPr>
          <w:p w14:paraId="6761694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2.80*</w:t>
            </w:r>
          </w:p>
        </w:tc>
        <w:tc>
          <w:tcPr>
            <w:tcW w:w="2158" w:type="dxa"/>
            <w:tcBorders>
              <w:top w:val="single" w:sz="4" w:space="0" w:color="auto"/>
              <w:left w:val="single" w:sz="4" w:space="0" w:color="auto"/>
              <w:bottom w:val="single" w:sz="4" w:space="0" w:color="auto"/>
              <w:right w:val="single" w:sz="4" w:space="0" w:color="auto"/>
            </w:tcBorders>
            <w:hideMark/>
          </w:tcPr>
          <w:p w14:paraId="1F10236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bl>
    <w:p w14:paraId="527016E2" w14:textId="77777777" w:rsidR="00C16459" w:rsidRPr="00EA36B9" w:rsidRDefault="00C16459" w:rsidP="00C16459">
      <w:pPr>
        <w:jc w:val="both"/>
        <w:rPr>
          <w:rFonts w:ascii="Times New Roman" w:hAnsi="Times New Roman" w:cs="Times New Roman"/>
          <w:sz w:val="24"/>
          <w:szCs w:val="24"/>
        </w:rPr>
      </w:pPr>
    </w:p>
    <w:p w14:paraId="3064EB95"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LPP= leaves per plant, PBPP= primary branches per plant, PH= plant height, BY= biological yield, HI=harvest index, SYPP=straw yield per plant, * represent significance at 5 % level according to F test</w:t>
      </w:r>
    </w:p>
    <w:p w14:paraId="46CB21B5" w14:textId="77777777" w:rsidR="00C16459" w:rsidRPr="00EA36B9" w:rsidRDefault="00C16459" w:rsidP="00275251">
      <w:pPr>
        <w:jc w:val="both"/>
        <w:rPr>
          <w:rFonts w:ascii="Times New Roman" w:hAnsi="Times New Roman" w:cs="Times New Roman"/>
          <w:sz w:val="24"/>
          <w:szCs w:val="24"/>
        </w:rPr>
      </w:pPr>
    </w:p>
    <w:p w14:paraId="5C84B72C" w14:textId="2A888B22" w:rsidR="00FD532A" w:rsidRPr="00EA36B9" w:rsidRDefault="00FD532A"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Mean performance</w:t>
      </w:r>
    </w:p>
    <w:p w14:paraId="01AA09E0" w14:textId="5F2C208E" w:rsidR="00FD532A" w:rsidRPr="00EA36B9" w:rsidRDefault="00FD532A"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mean values of all genotypes exhibited distinct patterns of variation across all evaluated traits (Table </w:t>
      </w:r>
      <w:r w:rsidR="00986F49" w:rsidRPr="00EA36B9">
        <w:rPr>
          <w:rFonts w:ascii="Times New Roman" w:hAnsi="Times New Roman" w:cs="Times New Roman"/>
          <w:sz w:val="24"/>
          <w:szCs w:val="24"/>
        </w:rPr>
        <w:t>3</w:t>
      </w:r>
      <w:r w:rsidRPr="00EA36B9">
        <w:rPr>
          <w:rFonts w:ascii="Times New Roman" w:hAnsi="Times New Roman" w:cs="Times New Roman"/>
          <w:sz w:val="24"/>
          <w:szCs w:val="24"/>
        </w:rPr>
        <w:t>). Amongst the evaluated genotypes</w:t>
      </w:r>
      <w:r w:rsidR="00FC1A28" w:rsidRPr="00EA36B9">
        <w:rPr>
          <w:rFonts w:ascii="Times New Roman" w:hAnsi="Times New Roman" w:cs="Times New Roman"/>
          <w:sz w:val="24"/>
          <w:szCs w:val="24"/>
        </w:rPr>
        <w:t xml:space="preserve">, Shimla B1 (42.40) exhibited maximum number of leaves per plant followed by IC 341589 (34.53) and IC 37288 (32.93) similarly maximum </w:t>
      </w:r>
      <w:commentRangeStart w:id="5"/>
      <w:r w:rsidR="00FC1A28" w:rsidRPr="00EA36B9">
        <w:rPr>
          <w:rFonts w:ascii="Times New Roman" w:hAnsi="Times New Roman" w:cs="Times New Roman"/>
          <w:sz w:val="24"/>
          <w:szCs w:val="24"/>
        </w:rPr>
        <w:t xml:space="preserve">primary branches </w:t>
      </w:r>
      <w:commentRangeEnd w:id="5"/>
      <w:r w:rsidR="008716F0">
        <w:rPr>
          <w:rStyle w:val="CommentReference"/>
        </w:rPr>
        <w:commentReference w:id="5"/>
      </w:r>
      <w:commentRangeStart w:id="6"/>
      <w:r w:rsidR="00FC1A28" w:rsidRPr="00EA36B9">
        <w:rPr>
          <w:rFonts w:ascii="Times New Roman" w:hAnsi="Times New Roman" w:cs="Times New Roman"/>
          <w:sz w:val="24"/>
          <w:szCs w:val="24"/>
        </w:rPr>
        <w:t>were</w:t>
      </w:r>
      <w:commentRangeEnd w:id="6"/>
      <w:r w:rsidR="00363E92">
        <w:rPr>
          <w:rStyle w:val="CommentReference"/>
        </w:rPr>
        <w:commentReference w:id="6"/>
      </w:r>
      <w:r w:rsidR="00FC1A28" w:rsidRPr="00EA36B9">
        <w:rPr>
          <w:rFonts w:ascii="Times New Roman" w:hAnsi="Times New Roman" w:cs="Times New Roman"/>
          <w:sz w:val="24"/>
          <w:szCs w:val="24"/>
        </w:rPr>
        <w:t xml:space="preserve"> found in Sangla B214 (3.93) followed by IC 341674 (3.67), IC 341589 (3.53) and IC 37288 (3.53). Maximum plant height and biological yield was exhibited by Shimla B1 (112.35 cm and 16.00 g, respectively) followed by </w:t>
      </w:r>
      <w:proofErr w:type="spellStart"/>
      <w:r w:rsidR="00FC1A28" w:rsidRPr="00EA36B9">
        <w:rPr>
          <w:rFonts w:ascii="Times New Roman" w:hAnsi="Times New Roman" w:cs="Times New Roman"/>
          <w:sz w:val="24"/>
          <w:szCs w:val="24"/>
        </w:rPr>
        <w:t>Himpriya</w:t>
      </w:r>
      <w:proofErr w:type="spellEnd"/>
      <w:r w:rsidR="00FC1A28" w:rsidRPr="00EA36B9">
        <w:rPr>
          <w:rFonts w:ascii="Times New Roman" w:hAnsi="Times New Roman" w:cs="Times New Roman"/>
          <w:sz w:val="24"/>
          <w:szCs w:val="24"/>
        </w:rPr>
        <w:t xml:space="preserve"> (99.69 cm and 13.53 g, respectively). For harvest index, IC 341589 exhibited maximum harvest index (35.26) followed by IC 318859 (34.91) and Shimla B1 (34.19).</w:t>
      </w:r>
      <w:r w:rsidR="00093328" w:rsidRPr="00EA36B9">
        <w:rPr>
          <w:rFonts w:ascii="Times New Roman" w:hAnsi="Times New Roman" w:cs="Times New Roman"/>
          <w:sz w:val="24"/>
          <w:szCs w:val="24"/>
        </w:rPr>
        <w:t xml:space="preserve"> The maximum straw yield was observed in Shimla B1 (10.53 g) followed by IC 46160 (9.73 g) and IC 42430 (9.73). These results corroborate with the previous findings of Auber et al. (2021) and Singh et al. (2024). </w:t>
      </w:r>
    </w:p>
    <w:p w14:paraId="31CD314C"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3. Mean values of 22 buckwheat genotypes for different traits under the study</w:t>
      </w:r>
    </w:p>
    <w:tbl>
      <w:tblPr>
        <w:tblStyle w:val="TableGrid"/>
        <w:tblW w:w="0" w:type="auto"/>
        <w:tblLook w:val="04A0" w:firstRow="1" w:lastRow="0" w:firstColumn="1" w:lastColumn="0" w:noHBand="0" w:noVBand="1"/>
      </w:tblPr>
      <w:tblGrid>
        <w:gridCol w:w="1296"/>
        <w:gridCol w:w="1266"/>
        <w:gridCol w:w="1261"/>
        <w:gridCol w:w="1270"/>
        <w:gridCol w:w="1376"/>
        <w:gridCol w:w="1266"/>
        <w:gridCol w:w="1281"/>
      </w:tblGrid>
      <w:tr w:rsidR="00C16459" w:rsidRPr="00EA36B9" w14:paraId="564A1E8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7E909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b/>
                <w:bCs/>
                <w:sz w:val="24"/>
                <w:szCs w:val="24"/>
              </w:rPr>
              <w:t>Genotypes</w:t>
            </w:r>
          </w:p>
        </w:tc>
        <w:tc>
          <w:tcPr>
            <w:tcW w:w="1288" w:type="dxa"/>
            <w:tcBorders>
              <w:top w:val="single" w:sz="4" w:space="0" w:color="auto"/>
              <w:left w:val="single" w:sz="4" w:space="0" w:color="auto"/>
              <w:bottom w:val="single" w:sz="4" w:space="0" w:color="auto"/>
              <w:right w:val="single" w:sz="4" w:space="0" w:color="auto"/>
            </w:tcBorders>
            <w:hideMark/>
          </w:tcPr>
          <w:p w14:paraId="322BB07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511E590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w:t>
            </w:r>
          </w:p>
        </w:tc>
        <w:tc>
          <w:tcPr>
            <w:tcW w:w="1288" w:type="dxa"/>
            <w:tcBorders>
              <w:top w:val="single" w:sz="4" w:space="0" w:color="auto"/>
              <w:left w:val="single" w:sz="4" w:space="0" w:color="auto"/>
              <w:bottom w:val="single" w:sz="4" w:space="0" w:color="auto"/>
              <w:right w:val="single" w:sz="4" w:space="0" w:color="auto"/>
            </w:tcBorders>
            <w:hideMark/>
          </w:tcPr>
          <w:p w14:paraId="144AC6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13A360A3" w14:textId="77777777" w:rsidR="00C16459" w:rsidRPr="00EA36B9" w:rsidRDefault="00C16459" w:rsidP="00C16459">
            <w:pPr>
              <w:spacing w:after="160" w:line="259" w:lineRule="auto"/>
              <w:jc w:val="both"/>
              <w:rPr>
                <w:rFonts w:ascii="Times New Roman" w:hAnsi="Times New Roman" w:cs="Times New Roman"/>
                <w:b/>
                <w:bCs/>
                <w:sz w:val="24"/>
                <w:szCs w:val="24"/>
              </w:rPr>
            </w:pPr>
            <w:commentRangeStart w:id="7"/>
            <w:r w:rsidRPr="00EA36B9">
              <w:rPr>
                <w:rFonts w:ascii="Times New Roman" w:hAnsi="Times New Roman" w:cs="Times New Roman"/>
                <w:b/>
                <w:bCs/>
                <w:sz w:val="24"/>
                <w:szCs w:val="24"/>
              </w:rPr>
              <w:t>BIO YIELD</w:t>
            </w:r>
            <w:commentRangeEnd w:id="7"/>
            <w:r w:rsidR="00363E92">
              <w:rPr>
                <w:rStyle w:val="CommentReference"/>
              </w:rPr>
              <w:commentReference w:id="7"/>
            </w:r>
          </w:p>
        </w:tc>
        <w:tc>
          <w:tcPr>
            <w:tcW w:w="1288" w:type="dxa"/>
            <w:tcBorders>
              <w:top w:val="single" w:sz="4" w:space="0" w:color="auto"/>
              <w:left w:val="single" w:sz="4" w:space="0" w:color="auto"/>
              <w:bottom w:val="single" w:sz="4" w:space="0" w:color="auto"/>
              <w:right w:val="single" w:sz="4" w:space="0" w:color="auto"/>
            </w:tcBorders>
            <w:hideMark/>
          </w:tcPr>
          <w:p w14:paraId="7DBEFE3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232B7C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00DF45F1"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482103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CB5BC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D45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5DBA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F93D4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2AFFCC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80EBB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r w:rsidR="00C16459" w:rsidRPr="00EA36B9" w14:paraId="5C5FC22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08AD11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84557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CEBF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988C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4374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CC94B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57173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9.53</w:t>
            </w:r>
          </w:p>
        </w:tc>
      </w:tr>
      <w:tr w:rsidR="00C16459" w:rsidRPr="00EA36B9" w14:paraId="0B09D04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60A94DA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A15E6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35B1C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F0D78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88.35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D8972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088F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32.04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68C9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9.20</w:t>
            </w:r>
          </w:p>
        </w:tc>
      </w:tr>
      <w:tr w:rsidR="00C16459" w:rsidRPr="00EA36B9" w14:paraId="7AE3387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8870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746A7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8E3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4E5A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F6BF8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1F7CD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05C8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8.07</w:t>
            </w:r>
          </w:p>
        </w:tc>
      </w:tr>
      <w:tr w:rsidR="00C16459" w:rsidRPr="00EA36B9" w14:paraId="6829DF9B"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9FB6C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D74C6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3FDF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499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76.63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75C4B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7969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29E45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175766C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42A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8B9D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F1C1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75E3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A3B4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F5276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8B12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0F26E2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F0E155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A56786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25636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62806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E3F6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D62873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EA41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7.53</w:t>
            </w:r>
          </w:p>
        </w:tc>
      </w:tr>
      <w:tr w:rsidR="00C16459" w:rsidRPr="00EA36B9" w14:paraId="5A71225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F79004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0C4E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B33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59922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89.48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D02E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A340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EF96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6B1F47B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3FCE6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DF35D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2157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32B7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76.97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7AA39C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7747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04D3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04335DB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A102C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8157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1F6557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3956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79.38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CB377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C078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34.91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9A581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7.33</w:t>
            </w:r>
          </w:p>
        </w:tc>
      </w:tr>
      <w:tr w:rsidR="00C16459" w:rsidRPr="00EA36B9" w14:paraId="508D25D5"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9E7DF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853095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9AAA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CE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91.92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ABC96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ECBF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31.51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744BC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355D538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1F129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BDF89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9A536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23759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90.28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674A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5A327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F26F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8.60</w:t>
            </w:r>
          </w:p>
        </w:tc>
      </w:tr>
      <w:tr w:rsidR="00C16459" w:rsidRPr="00EA36B9" w14:paraId="507179F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85B6AE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2093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D22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81EB0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94.65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148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1E44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7FF1F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7.47</w:t>
            </w:r>
          </w:p>
        </w:tc>
      </w:tr>
      <w:tr w:rsidR="00C16459" w:rsidRPr="00EA36B9" w14:paraId="23BD0B4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C6133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13D49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CF65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E70B0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1EA19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629E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16.78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9AE12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1191473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667A3B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FFE7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6E7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BF95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19917E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937EE7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048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1B31301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D6709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D388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1906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1705F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4CB43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CA996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23.89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ECE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295B2A6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90ED8D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A0B5E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57078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CAB4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83.61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7452A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E93B8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41D76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w:t>
            </w:r>
          </w:p>
        </w:tc>
      </w:tr>
      <w:tr w:rsidR="00C16459" w:rsidRPr="00EA36B9" w14:paraId="68A10A62"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6065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DDDA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03D3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DBBC2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6CF1D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9D74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9783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29C96CA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518352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BD0EE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F1DB6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87A17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81.96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D79AE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5F22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B9AA5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4C19D4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F5B205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5F538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8165C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E29D9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8376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6630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71687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7.87</w:t>
            </w:r>
          </w:p>
        </w:tc>
      </w:tr>
      <w:tr w:rsidR="00C16459" w:rsidRPr="00EA36B9" w14:paraId="0C1EF4D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2BBBD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58483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D8667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DEB0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83.25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41CD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73737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E2212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8.73</w:t>
            </w:r>
          </w:p>
        </w:tc>
      </w:tr>
      <w:tr w:rsidR="00C16459" w:rsidRPr="00EA36B9" w14:paraId="27881C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AA32543" w14:textId="77777777" w:rsidR="00C16459" w:rsidRPr="00EA36B9" w:rsidRDefault="00C16459" w:rsidP="00C16459">
            <w:pPr>
              <w:spacing w:after="160" w:line="259" w:lineRule="auto"/>
              <w:jc w:val="both"/>
              <w:rPr>
                <w:rFonts w:ascii="Times New Roman" w:hAnsi="Times New Roman" w:cs="Times New Roman"/>
                <w:b/>
                <w:bCs/>
                <w:sz w:val="24"/>
                <w:szCs w:val="24"/>
              </w:rPr>
            </w:pPr>
            <w:commentRangeStart w:id="8"/>
            <w:r w:rsidRPr="00EA36B9">
              <w:rPr>
                <w:rFonts w:ascii="Times New Roman" w:hAnsi="Times New Roman" w:cs="Times New Roman"/>
                <w:b/>
                <w:bCs/>
                <w:sz w:val="24"/>
                <w:szCs w:val="24"/>
              </w:rPr>
              <w:t>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FD930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A1F570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59E1F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63D7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374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71A3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commentRangeEnd w:id="8"/>
            <w:r w:rsidR="00363E92">
              <w:rPr>
                <w:rStyle w:val="CommentReference"/>
              </w:rPr>
              <w:commentReference w:id="8"/>
            </w:r>
          </w:p>
        </w:tc>
      </w:tr>
      <w:tr w:rsidR="00C16459" w:rsidRPr="00EA36B9" w14:paraId="142729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BB98BD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36022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FC9C1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FCA1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86.99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FD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6EE84F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76FB9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w:t>
            </w:r>
          </w:p>
        </w:tc>
      </w:tr>
      <w:tr w:rsidR="00C16459" w:rsidRPr="00EA36B9" w14:paraId="2849DFB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D6F47E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CD</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12611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D29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4A16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3.81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464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4ADEB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1DE0E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r>
      <w:tr w:rsidR="00C16459" w:rsidRPr="00EA36B9" w14:paraId="2CE2C44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517B17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SE(m)</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FF06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AD37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45AF3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5EDF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0B84A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9116F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0.15</w:t>
            </w:r>
          </w:p>
        </w:tc>
      </w:tr>
      <w:tr w:rsidR="00C16459" w:rsidRPr="00EA36B9" w14:paraId="552C23E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91853C" w14:textId="77777777" w:rsidR="00C16459" w:rsidRPr="00EA36B9" w:rsidRDefault="00C16459" w:rsidP="00C16459">
            <w:pPr>
              <w:spacing w:after="160" w:line="259" w:lineRule="auto"/>
              <w:jc w:val="both"/>
              <w:rPr>
                <w:rFonts w:ascii="Times New Roman" w:hAnsi="Times New Roman" w:cs="Times New Roman"/>
                <w:b/>
                <w:bCs/>
                <w:sz w:val="24"/>
                <w:szCs w:val="24"/>
              </w:rPr>
            </w:pPr>
            <w:commentRangeStart w:id="9"/>
            <w:r w:rsidRPr="00EA36B9">
              <w:rPr>
                <w:rFonts w:ascii="Times New Roman" w:hAnsi="Times New Roman" w:cs="Times New Roman"/>
                <w:b/>
                <w:bCs/>
                <w:sz w:val="24"/>
                <w:szCs w:val="24"/>
              </w:rPr>
              <w:t>CV</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3B0F8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32BA4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02200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782BD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37D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DA605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w:t>
            </w:r>
            <w:commentRangeEnd w:id="9"/>
            <w:r w:rsidR="00363E92">
              <w:rPr>
                <w:rStyle w:val="CommentReference"/>
              </w:rPr>
              <w:commentReference w:id="9"/>
            </w:r>
          </w:p>
        </w:tc>
      </w:tr>
    </w:tbl>
    <w:p w14:paraId="196A6349" w14:textId="77777777" w:rsidR="00C16459" w:rsidRPr="00EA36B9" w:rsidRDefault="00C16459" w:rsidP="00C16459">
      <w:pPr>
        <w:jc w:val="both"/>
        <w:rPr>
          <w:rFonts w:ascii="Times New Roman" w:hAnsi="Times New Roman" w:cs="Times New Roman"/>
          <w:sz w:val="24"/>
          <w:szCs w:val="24"/>
        </w:rPr>
      </w:pPr>
    </w:p>
    <w:p w14:paraId="3CEE00A1" w14:textId="77777777" w:rsidR="00C16459" w:rsidRPr="00EA36B9" w:rsidRDefault="00C16459" w:rsidP="00275251">
      <w:pPr>
        <w:jc w:val="both"/>
        <w:rPr>
          <w:rFonts w:ascii="Times New Roman" w:hAnsi="Times New Roman" w:cs="Times New Roman"/>
          <w:sz w:val="24"/>
          <w:szCs w:val="24"/>
        </w:rPr>
      </w:pPr>
    </w:p>
    <w:p w14:paraId="2E27B184" w14:textId="6E1367AC"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3.2 Genetic variability estimations</w:t>
      </w:r>
    </w:p>
    <w:p w14:paraId="508979E5" w14:textId="3F128BC4" w:rsidR="00275251"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parameters of genetic variability, including, range, mean, standard error, phenotypic and genotypic coefficients of variation (PCV and GCV, respectively), broad-sense heritability, and genetic advance as a percentage of the mean six quantitative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has been presented in table </w:t>
      </w:r>
      <w:r w:rsidR="00986F49" w:rsidRPr="00EA36B9">
        <w:rPr>
          <w:rFonts w:ascii="Times New Roman" w:hAnsi="Times New Roman" w:cs="Times New Roman"/>
          <w:sz w:val="24"/>
          <w:szCs w:val="24"/>
        </w:rPr>
        <w:t>4</w:t>
      </w:r>
      <w:r w:rsidRPr="00EA36B9">
        <w:rPr>
          <w:rFonts w:ascii="Times New Roman" w:hAnsi="Times New Roman" w:cs="Times New Roman"/>
          <w:sz w:val="24"/>
          <w:szCs w:val="24"/>
        </w:rPr>
        <w:t>.</w:t>
      </w:r>
    </w:p>
    <w:p w14:paraId="66EA1EA4"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4. Estimates of parameters of genetic variability for six quantitative traits of buckwheat</w:t>
      </w:r>
    </w:p>
    <w:tbl>
      <w:tblPr>
        <w:tblStyle w:val="TableGrid"/>
        <w:tblW w:w="0" w:type="auto"/>
        <w:tblLook w:val="04A0" w:firstRow="1" w:lastRow="0" w:firstColumn="1" w:lastColumn="0" w:noHBand="0" w:noVBand="1"/>
      </w:tblPr>
      <w:tblGrid>
        <w:gridCol w:w="846"/>
        <w:gridCol w:w="1793"/>
        <w:gridCol w:w="1302"/>
        <w:gridCol w:w="1302"/>
        <w:gridCol w:w="1302"/>
        <w:gridCol w:w="1169"/>
        <w:gridCol w:w="1302"/>
      </w:tblGrid>
      <w:tr w:rsidR="00C16459" w:rsidRPr="00EA36B9" w14:paraId="19E8669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3EA664A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1793" w:type="dxa"/>
            <w:tcBorders>
              <w:top w:val="single" w:sz="4" w:space="0" w:color="auto"/>
              <w:left w:val="single" w:sz="4" w:space="0" w:color="auto"/>
              <w:bottom w:val="single" w:sz="4" w:space="0" w:color="auto"/>
              <w:right w:val="single" w:sz="4" w:space="0" w:color="auto"/>
            </w:tcBorders>
            <w:hideMark/>
          </w:tcPr>
          <w:p w14:paraId="107023CD" w14:textId="77777777" w:rsidR="00C16459" w:rsidRPr="00EA36B9" w:rsidRDefault="00C16459" w:rsidP="00C16459">
            <w:pPr>
              <w:spacing w:after="160" w:line="259" w:lineRule="auto"/>
              <w:jc w:val="both"/>
              <w:rPr>
                <w:rFonts w:ascii="Times New Roman" w:hAnsi="Times New Roman" w:cs="Times New Roman"/>
                <w:b/>
                <w:bCs/>
                <w:sz w:val="24"/>
                <w:szCs w:val="24"/>
              </w:rPr>
            </w:pPr>
            <w:commentRangeStart w:id="10"/>
            <w:r w:rsidRPr="00EA36B9">
              <w:rPr>
                <w:rFonts w:ascii="Times New Roman" w:hAnsi="Times New Roman" w:cs="Times New Roman"/>
                <w:b/>
                <w:bCs/>
                <w:sz w:val="24"/>
                <w:szCs w:val="24"/>
              </w:rPr>
              <w:t>Range</w:t>
            </w:r>
            <w:commentRangeEnd w:id="10"/>
            <w:r w:rsidR="00363E92">
              <w:rPr>
                <w:rStyle w:val="CommentReference"/>
              </w:rPr>
              <w:commentReference w:id="10"/>
            </w:r>
          </w:p>
        </w:tc>
        <w:tc>
          <w:tcPr>
            <w:tcW w:w="1302" w:type="dxa"/>
            <w:tcBorders>
              <w:top w:val="single" w:sz="4" w:space="0" w:color="auto"/>
              <w:left w:val="single" w:sz="4" w:space="0" w:color="auto"/>
              <w:bottom w:val="single" w:sz="4" w:space="0" w:color="auto"/>
              <w:right w:val="single" w:sz="4" w:space="0" w:color="auto"/>
            </w:tcBorders>
            <w:hideMark/>
          </w:tcPr>
          <w:p w14:paraId="391A2DB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PCV</w:t>
            </w:r>
          </w:p>
        </w:tc>
        <w:tc>
          <w:tcPr>
            <w:tcW w:w="1302" w:type="dxa"/>
            <w:tcBorders>
              <w:top w:val="single" w:sz="4" w:space="0" w:color="auto"/>
              <w:left w:val="single" w:sz="4" w:space="0" w:color="auto"/>
              <w:bottom w:val="single" w:sz="4" w:space="0" w:color="auto"/>
              <w:right w:val="single" w:sz="4" w:space="0" w:color="auto"/>
            </w:tcBorders>
            <w:hideMark/>
          </w:tcPr>
          <w:p w14:paraId="3C5983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GCV</w:t>
            </w:r>
          </w:p>
        </w:tc>
        <w:tc>
          <w:tcPr>
            <w:tcW w:w="1302" w:type="dxa"/>
            <w:tcBorders>
              <w:top w:val="single" w:sz="4" w:space="0" w:color="auto"/>
              <w:left w:val="single" w:sz="4" w:space="0" w:color="auto"/>
              <w:bottom w:val="single" w:sz="4" w:space="0" w:color="auto"/>
              <w:right w:val="single" w:sz="4" w:space="0" w:color="auto"/>
            </w:tcBorders>
            <w:hideMark/>
          </w:tcPr>
          <w:p w14:paraId="510FF4E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H2</w:t>
            </w:r>
          </w:p>
        </w:tc>
        <w:tc>
          <w:tcPr>
            <w:tcW w:w="1169" w:type="dxa"/>
            <w:tcBorders>
              <w:top w:val="single" w:sz="4" w:space="0" w:color="auto"/>
              <w:left w:val="single" w:sz="4" w:space="0" w:color="auto"/>
              <w:bottom w:val="single" w:sz="4" w:space="0" w:color="auto"/>
              <w:right w:val="single" w:sz="4" w:space="0" w:color="auto"/>
            </w:tcBorders>
            <w:hideMark/>
          </w:tcPr>
          <w:p w14:paraId="6C33DF8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w:t>
            </w:r>
          </w:p>
        </w:tc>
        <w:tc>
          <w:tcPr>
            <w:tcW w:w="1302" w:type="dxa"/>
            <w:tcBorders>
              <w:top w:val="single" w:sz="4" w:space="0" w:color="auto"/>
              <w:left w:val="single" w:sz="4" w:space="0" w:color="auto"/>
              <w:bottom w:val="single" w:sz="4" w:space="0" w:color="auto"/>
              <w:right w:val="single" w:sz="4" w:space="0" w:color="auto"/>
            </w:tcBorders>
            <w:hideMark/>
          </w:tcPr>
          <w:p w14:paraId="1D13C13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GAM</w:t>
            </w:r>
          </w:p>
        </w:tc>
      </w:tr>
      <w:tr w:rsidR="00C16459" w:rsidRPr="00EA36B9" w14:paraId="219B3641" w14:textId="77777777" w:rsidTr="00C16459">
        <w:trPr>
          <w:trHeight w:val="191"/>
        </w:trPr>
        <w:tc>
          <w:tcPr>
            <w:tcW w:w="846" w:type="dxa"/>
            <w:tcBorders>
              <w:top w:val="single" w:sz="4" w:space="0" w:color="auto"/>
              <w:left w:val="single" w:sz="4" w:space="0" w:color="auto"/>
              <w:bottom w:val="single" w:sz="4" w:space="0" w:color="auto"/>
              <w:right w:val="single" w:sz="4" w:space="0" w:color="auto"/>
            </w:tcBorders>
            <w:hideMark/>
          </w:tcPr>
          <w:p w14:paraId="03B3D81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793" w:type="dxa"/>
            <w:tcBorders>
              <w:top w:val="single" w:sz="4" w:space="0" w:color="auto"/>
              <w:left w:val="single" w:sz="4" w:space="0" w:color="auto"/>
              <w:bottom w:val="single" w:sz="4" w:space="0" w:color="auto"/>
              <w:right w:val="single" w:sz="4" w:space="0" w:color="auto"/>
            </w:tcBorders>
            <w:hideMark/>
          </w:tcPr>
          <w:p w14:paraId="2575B7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18.00-42.40</w:t>
            </w:r>
          </w:p>
        </w:tc>
        <w:tc>
          <w:tcPr>
            <w:tcW w:w="1302" w:type="dxa"/>
            <w:tcBorders>
              <w:top w:val="single" w:sz="4" w:space="0" w:color="auto"/>
              <w:left w:val="single" w:sz="4" w:space="0" w:color="auto"/>
              <w:bottom w:val="single" w:sz="4" w:space="0" w:color="auto"/>
              <w:right w:val="single" w:sz="4" w:space="0" w:color="auto"/>
            </w:tcBorders>
            <w:hideMark/>
          </w:tcPr>
          <w:p w14:paraId="30005A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21.79</w:t>
            </w:r>
          </w:p>
        </w:tc>
        <w:tc>
          <w:tcPr>
            <w:tcW w:w="1302" w:type="dxa"/>
            <w:tcBorders>
              <w:top w:val="single" w:sz="4" w:space="0" w:color="auto"/>
              <w:left w:val="single" w:sz="4" w:space="0" w:color="auto"/>
              <w:bottom w:val="single" w:sz="4" w:space="0" w:color="auto"/>
              <w:right w:val="single" w:sz="4" w:space="0" w:color="auto"/>
            </w:tcBorders>
            <w:hideMark/>
          </w:tcPr>
          <w:p w14:paraId="18968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21.73</w:t>
            </w:r>
          </w:p>
        </w:tc>
        <w:tc>
          <w:tcPr>
            <w:tcW w:w="1302" w:type="dxa"/>
            <w:tcBorders>
              <w:top w:val="single" w:sz="4" w:space="0" w:color="auto"/>
              <w:left w:val="single" w:sz="4" w:space="0" w:color="auto"/>
              <w:bottom w:val="single" w:sz="4" w:space="0" w:color="auto"/>
              <w:right w:val="single" w:sz="4" w:space="0" w:color="auto"/>
            </w:tcBorders>
            <w:hideMark/>
          </w:tcPr>
          <w:p w14:paraId="62189D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99.49</w:t>
            </w:r>
          </w:p>
        </w:tc>
        <w:tc>
          <w:tcPr>
            <w:tcW w:w="1169" w:type="dxa"/>
            <w:tcBorders>
              <w:top w:val="single" w:sz="4" w:space="0" w:color="auto"/>
              <w:left w:val="single" w:sz="4" w:space="0" w:color="auto"/>
              <w:bottom w:val="single" w:sz="4" w:space="0" w:color="auto"/>
              <w:right w:val="single" w:sz="4" w:space="0" w:color="auto"/>
            </w:tcBorders>
            <w:hideMark/>
          </w:tcPr>
          <w:p w14:paraId="655737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12.13</w:t>
            </w:r>
          </w:p>
        </w:tc>
        <w:tc>
          <w:tcPr>
            <w:tcW w:w="1302" w:type="dxa"/>
            <w:tcBorders>
              <w:top w:val="single" w:sz="4" w:space="0" w:color="auto"/>
              <w:left w:val="single" w:sz="4" w:space="0" w:color="auto"/>
              <w:bottom w:val="single" w:sz="4" w:space="0" w:color="auto"/>
              <w:right w:val="single" w:sz="4" w:space="0" w:color="auto"/>
            </w:tcBorders>
            <w:hideMark/>
          </w:tcPr>
          <w:p w14:paraId="5DF1D5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44.66</w:t>
            </w:r>
          </w:p>
        </w:tc>
      </w:tr>
      <w:tr w:rsidR="00C16459" w:rsidRPr="00EA36B9" w14:paraId="601234D7"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5A7D2AE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793" w:type="dxa"/>
            <w:tcBorders>
              <w:top w:val="single" w:sz="4" w:space="0" w:color="auto"/>
              <w:left w:val="single" w:sz="4" w:space="0" w:color="auto"/>
              <w:bottom w:val="single" w:sz="4" w:space="0" w:color="auto"/>
              <w:right w:val="single" w:sz="4" w:space="0" w:color="auto"/>
            </w:tcBorders>
            <w:hideMark/>
          </w:tcPr>
          <w:p w14:paraId="0EE327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2.27-3.93</w:t>
            </w:r>
          </w:p>
        </w:tc>
        <w:tc>
          <w:tcPr>
            <w:tcW w:w="1302" w:type="dxa"/>
            <w:tcBorders>
              <w:top w:val="single" w:sz="4" w:space="0" w:color="auto"/>
              <w:left w:val="single" w:sz="4" w:space="0" w:color="auto"/>
              <w:bottom w:val="single" w:sz="4" w:space="0" w:color="auto"/>
              <w:right w:val="single" w:sz="4" w:space="0" w:color="auto"/>
            </w:tcBorders>
            <w:hideMark/>
          </w:tcPr>
          <w:p w14:paraId="3B5DD65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14.81</w:t>
            </w:r>
          </w:p>
        </w:tc>
        <w:tc>
          <w:tcPr>
            <w:tcW w:w="1302" w:type="dxa"/>
            <w:tcBorders>
              <w:top w:val="single" w:sz="4" w:space="0" w:color="auto"/>
              <w:left w:val="single" w:sz="4" w:space="0" w:color="auto"/>
              <w:bottom w:val="single" w:sz="4" w:space="0" w:color="auto"/>
              <w:right w:val="single" w:sz="4" w:space="0" w:color="auto"/>
            </w:tcBorders>
            <w:hideMark/>
          </w:tcPr>
          <w:p w14:paraId="19F5BA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14.66</w:t>
            </w:r>
          </w:p>
        </w:tc>
        <w:tc>
          <w:tcPr>
            <w:tcW w:w="1302" w:type="dxa"/>
            <w:tcBorders>
              <w:top w:val="single" w:sz="4" w:space="0" w:color="auto"/>
              <w:left w:val="single" w:sz="4" w:space="0" w:color="auto"/>
              <w:bottom w:val="single" w:sz="4" w:space="0" w:color="auto"/>
              <w:right w:val="single" w:sz="4" w:space="0" w:color="auto"/>
            </w:tcBorders>
            <w:hideMark/>
          </w:tcPr>
          <w:p w14:paraId="02F7FF6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97.94</w:t>
            </w:r>
          </w:p>
        </w:tc>
        <w:tc>
          <w:tcPr>
            <w:tcW w:w="1169" w:type="dxa"/>
            <w:tcBorders>
              <w:top w:val="single" w:sz="4" w:space="0" w:color="auto"/>
              <w:left w:val="single" w:sz="4" w:space="0" w:color="auto"/>
              <w:bottom w:val="single" w:sz="4" w:space="0" w:color="auto"/>
              <w:right w:val="single" w:sz="4" w:space="0" w:color="auto"/>
            </w:tcBorders>
            <w:hideMark/>
          </w:tcPr>
          <w:p w14:paraId="7F0CC7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0.90</w:t>
            </w:r>
          </w:p>
        </w:tc>
        <w:tc>
          <w:tcPr>
            <w:tcW w:w="1302" w:type="dxa"/>
            <w:tcBorders>
              <w:top w:val="single" w:sz="4" w:space="0" w:color="auto"/>
              <w:left w:val="single" w:sz="4" w:space="0" w:color="auto"/>
              <w:bottom w:val="single" w:sz="4" w:space="0" w:color="auto"/>
              <w:right w:val="single" w:sz="4" w:space="0" w:color="auto"/>
            </w:tcBorders>
            <w:hideMark/>
          </w:tcPr>
          <w:p w14:paraId="2851AAC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29.88</w:t>
            </w:r>
          </w:p>
        </w:tc>
      </w:tr>
      <w:tr w:rsidR="00C16459" w:rsidRPr="00EA36B9" w14:paraId="581C47A6" w14:textId="77777777" w:rsidTr="00C16459">
        <w:trPr>
          <w:trHeight w:val="218"/>
        </w:trPr>
        <w:tc>
          <w:tcPr>
            <w:tcW w:w="846" w:type="dxa"/>
            <w:tcBorders>
              <w:top w:val="single" w:sz="4" w:space="0" w:color="auto"/>
              <w:left w:val="single" w:sz="4" w:space="0" w:color="auto"/>
              <w:bottom w:val="single" w:sz="4" w:space="0" w:color="auto"/>
              <w:right w:val="single" w:sz="4" w:space="0" w:color="auto"/>
            </w:tcBorders>
            <w:hideMark/>
          </w:tcPr>
          <w:p w14:paraId="3582090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793" w:type="dxa"/>
            <w:tcBorders>
              <w:top w:val="single" w:sz="4" w:space="0" w:color="auto"/>
              <w:left w:val="single" w:sz="4" w:space="0" w:color="auto"/>
              <w:bottom w:val="single" w:sz="4" w:space="0" w:color="auto"/>
              <w:right w:val="single" w:sz="4" w:space="0" w:color="auto"/>
            </w:tcBorders>
            <w:hideMark/>
          </w:tcPr>
          <w:p w14:paraId="58A215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73.20-112.35</w:t>
            </w:r>
          </w:p>
        </w:tc>
        <w:tc>
          <w:tcPr>
            <w:tcW w:w="1302" w:type="dxa"/>
            <w:tcBorders>
              <w:top w:val="single" w:sz="4" w:space="0" w:color="auto"/>
              <w:left w:val="single" w:sz="4" w:space="0" w:color="auto"/>
              <w:bottom w:val="single" w:sz="4" w:space="0" w:color="auto"/>
              <w:right w:val="single" w:sz="4" w:space="0" w:color="auto"/>
            </w:tcBorders>
            <w:hideMark/>
          </w:tcPr>
          <w:p w14:paraId="5D23CC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10.05</w:t>
            </w:r>
          </w:p>
        </w:tc>
        <w:tc>
          <w:tcPr>
            <w:tcW w:w="1302" w:type="dxa"/>
            <w:tcBorders>
              <w:top w:val="single" w:sz="4" w:space="0" w:color="auto"/>
              <w:left w:val="single" w:sz="4" w:space="0" w:color="auto"/>
              <w:bottom w:val="single" w:sz="4" w:space="0" w:color="auto"/>
              <w:right w:val="single" w:sz="4" w:space="0" w:color="auto"/>
            </w:tcBorders>
            <w:hideMark/>
          </w:tcPr>
          <w:p w14:paraId="4155FD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302" w:type="dxa"/>
            <w:tcBorders>
              <w:top w:val="single" w:sz="4" w:space="0" w:color="auto"/>
              <w:left w:val="single" w:sz="4" w:space="0" w:color="auto"/>
              <w:bottom w:val="single" w:sz="4" w:space="0" w:color="auto"/>
              <w:right w:val="single" w:sz="4" w:space="0" w:color="auto"/>
            </w:tcBorders>
            <w:hideMark/>
          </w:tcPr>
          <w:p w14:paraId="1AD8FE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97.67</w:t>
            </w:r>
          </w:p>
        </w:tc>
        <w:tc>
          <w:tcPr>
            <w:tcW w:w="1169" w:type="dxa"/>
            <w:tcBorders>
              <w:top w:val="single" w:sz="4" w:space="0" w:color="auto"/>
              <w:left w:val="single" w:sz="4" w:space="0" w:color="auto"/>
              <w:bottom w:val="single" w:sz="4" w:space="0" w:color="auto"/>
              <w:right w:val="single" w:sz="4" w:space="0" w:color="auto"/>
            </w:tcBorders>
            <w:hideMark/>
          </w:tcPr>
          <w:p w14:paraId="11A3033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17.58</w:t>
            </w:r>
          </w:p>
        </w:tc>
        <w:tc>
          <w:tcPr>
            <w:tcW w:w="1302" w:type="dxa"/>
            <w:tcBorders>
              <w:top w:val="single" w:sz="4" w:space="0" w:color="auto"/>
              <w:left w:val="single" w:sz="4" w:space="0" w:color="auto"/>
              <w:bottom w:val="single" w:sz="4" w:space="0" w:color="auto"/>
              <w:right w:val="single" w:sz="4" w:space="0" w:color="auto"/>
            </w:tcBorders>
            <w:hideMark/>
          </w:tcPr>
          <w:p w14:paraId="35BE14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20.22</w:t>
            </w:r>
          </w:p>
        </w:tc>
      </w:tr>
      <w:tr w:rsidR="00C16459" w:rsidRPr="00EA36B9" w14:paraId="1C0DDC72" w14:textId="77777777" w:rsidTr="00C16459">
        <w:trPr>
          <w:trHeight w:val="275"/>
        </w:trPr>
        <w:tc>
          <w:tcPr>
            <w:tcW w:w="846" w:type="dxa"/>
            <w:tcBorders>
              <w:top w:val="single" w:sz="4" w:space="0" w:color="auto"/>
              <w:left w:val="single" w:sz="4" w:space="0" w:color="auto"/>
              <w:bottom w:val="single" w:sz="4" w:space="0" w:color="auto"/>
              <w:right w:val="single" w:sz="4" w:space="0" w:color="auto"/>
            </w:tcBorders>
            <w:hideMark/>
          </w:tcPr>
          <w:p w14:paraId="4FF588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793" w:type="dxa"/>
            <w:tcBorders>
              <w:top w:val="single" w:sz="4" w:space="0" w:color="auto"/>
              <w:left w:val="single" w:sz="4" w:space="0" w:color="auto"/>
              <w:bottom w:val="single" w:sz="4" w:space="0" w:color="auto"/>
              <w:right w:val="single" w:sz="4" w:space="0" w:color="auto"/>
            </w:tcBorders>
            <w:hideMark/>
          </w:tcPr>
          <w:p w14:paraId="1971C9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9.13-16.00</w:t>
            </w:r>
          </w:p>
        </w:tc>
        <w:tc>
          <w:tcPr>
            <w:tcW w:w="1302" w:type="dxa"/>
            <w:tcBorders>
              <w:top w:val="single" w:sz="4" w:space="0" w:color="auto"/>
              <w:left w:val="single" w:sz="4" w:space="0" w:color="auto"/>
              <w:bottom w:val="single" w:sz="4" w:space="0" w:color="auto"/>
              <w:right w:val="single" w:sz="4" w:space="0" w:color="auto"/>
            </w:tcBorders>
            <w:hideMark/>
          </w:tcPr>
          <w:p w14:paraId="3D3B8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12.68</w:t>
            </w:r>
          </w:p>
        </w:tc>
        <w:tc>
          <w:tcPr>
            <w:tcW w:w="1302" w:type="dxa"/>
            <w:tcBorders>
              <w:top w:val="single" w:sz="4" w:space="0" w:color="auto"/>
              <w:left w:val="single" w:sz="4" w:space="0" w:color="auto"/>
              <w:bottom w:val="single" w:sz="4" w:space="0" w:color="auto"/>
              <w:right w:val="single" w:sz="4" w:space="0" w:color="auto"/>
            </w:tcBorders>
            <w:hideMark/>
          </w:tcPr>
          <w:p w14:paraId="301CF5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12.62</w:t>
            </w:r>
          </w:p>
        </w:tc>
        <w:tc>
          <w:tcPr>
            <w:tcW w:w="1302" w:type="dxa"/>
            <w:tcBorders>
              <w:top w:val="single" w:sz="4" w:space="0" w:color="auto"/>
              <w:left w:val="single" w:sz="4" w:space="0" w:color="auto"/>
              <w:bottom w:val="single" w:sz="4" w:space="0" w:color="auto"/>
              <w:right w:val="single" w:sz="4" w:space="0" w:color="auto"/>
            </w:tcBorders>
            <w:hideMark/>
          </w:tcPr>
          <w:p w14:paraId="61F8B4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99.07</w:t>
            </w:r>
          </w:p>
        </w:tc>
        <w:tc>
          <w:tcPr>
            <w:tcW w:w="1169" w:type="dxa"/>
            <w:tcBorders>
              <w:top w:val="single" w:sz="4" w:space="0" w:color="auto"/>
              <w:left w:val="single" w:sz="4" w:space="0" w:color="auto"/>
              <w:bottom w:val="single" w:sz="4" w:space="0" w:color="auto"/>
              <w:right w:val="single" w:sz="4" w:space="0" w:color="auto"/>
            </w:tcBorders>
            <w:hideMark/>
          </w:tcPr>
          <w:p w14:paraId="1D2995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2.99</w:t>
            </w:r>
          </w:p>
        </w:tc>
        <w:tc>
          <w:tcPr>
            <w:tcW w:w="1302" w:type="dxa"/>
            <w:tcBorders>
              <w:top w:val="single" w:sz="4" w:space="0" w:color="auto"/>
              <w:left w:val="single" w:sz="4" w:space="0" w:color="auto"/>
              <w:bottom w:val="single" w:sz="4" w:space="0" w:color="auto"/>
              <w:right w:val="single" w:sz="4" w:space="0" w:color="auto"/>
            </w:tcBorders>
            <w:hideMark/>
          </w:tcPr>
          <w:p w14:paraId="5F5D5E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r>
      <w:tr w:rsidR="00C16459" w:rsidRPr="00EA36B9" w14:paraId="368DBD09" w14:textId="77777777" w:rsidTr="00C16459">
        <w:trPr>
          <w:trHeight w:val="193"/>
        </w:trPr>
        <w:tc>
          <w:tcPr>
            <w:tcW w:w="846" w:type="dxa"/>
            <w:tcBorders>
              <w:top w:val="single" w:sz="4" w:space="0" w:color="auto"/>
              <w:left w:val="single" w:sz="4" w:space="0" w:color="auto"/>
              <w:bottom w:val="single" w:sz="4" w:space="0" w:color="auto"/>
              <w:right w:val="single" w:sz="4" w:space="0" w:color="auto"/>
            </w:tcBorders>
            <w:hideMark/>
          </w:tcPr>
          <w:p w14:paraId="5ACEBA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793" w:type="dxa"/>
            <w:tcBorders>
              <w:top w:val="single" w:sz="4" w:space="0" w:color="auto"/>
              <w:left w:val="single" w:sz="4" w:space="0" w:color="auto"/>
              <w:bottom w:val="single" w:sz="4" w:space="0" w:color="auto"/>
              <w:right w:val="single" w:sz="4" w:space="0" w:color="auto"/>
            </w:tcBorders>
            <w:hideMark/>
          </w:tcPr>
          <w:p w14:paraId="47E1764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16.58-34.91</w:t>
            </w:r>
          </w:p>
        </w:tc>
        <w:tc>
          <w:tcPr>
            <w:tcW w:w="1302" w:type="dxa"/>
            <w:tcBorders>
              <w:top w:val="single" w:sz="4" w:space="0" w:color="auto"/>
              <w:left w:val="single" w:sz="4" w:space="0" w:color="auto"/>
              <w:bottom w:val="single" w:sz="4" w:space="0" w:color="auto"/>
              <w:right w:val="single" w:sz="4" w:space="0" w:color="auto"/>
            </w:tcBorders>
            <w:hideMark/>
          </w:tcPr>
          <w:p w14:paraId="2F8395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24.75</w:t>
            </w:r>
          </w:p>
        </w:tc>
        <w:tc>
          <w:tcPr>
            <w:tcW w:w="1302" w:type="dxa"/>
            <w:tcBorders>
              <w:top w:val="single" w:sz="4" w:space="0" w:color="auto"/>
              <w:left w:val="single" w:sz="4" w:space="0" w:color="auto"/>
              <w:bottom w:val="single" w:sz="4" w:space="0" w:color="auto"/>
              <w:right w:val="single" w:sz="4" w:space="0" w:color="auto"/>
            </w:tcBorders>
            <w:hideMark/>
          </w:tcPr>
          <w:p w14:paraId="6601A4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24.67</w:t>
            </w:r>
          </w:p>
        </w:tc>
        <w:tc>
          <w:tcPr>
            <w:tcW w:w="1302" w:type="dxa"/>
            <w:tcBorders>
              <w:top w:val="single" w:sz="4" w:space="0" w:color="auto"/>
              <w:left w:val="single" w:sz="4" w:space="0" w:color="auto"/>
              <w:bottom w:val="single" w:sz="4" w:space="0" w:color="auto"/>
              <w:right w:val="single" w:sz="4" w:space="0" w:color="auto"/>
            </w:tcBorders>
            <w:hideMark/>
          </w:tcPr>
          <w:p w14:paraId="68002E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99.33</w:t>
            </w:r>
          </w:p>
        </w:tc>
        <w:tc>
          <w:tcPr>
            <w:tcW w:w="1169" w:type="dxa"/>
            <w:tcBorders>
              <w:top w:val="single" w:sz="4" w:space="0" w:color="auto"/>
              <w:left w:val="single" w:sz="4" w:space="0" w:color="auto"/>
              <w:bottom w:val="single" w:sz="4" w:space="0" w:color="auto"/>
              <w:right w:val="single" w:sz="4" w:space="0" w:color="auto"/>
            </w:tcBorders>
            <w:hideMark/>
          </w:tcPr>
          <w:p w14:paraId="6A1781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13.11</w:t>
            </w:r>
          </w:p>
        </w:tc>
        <w:tc>
          <w:tcPr>
            <w:tcW w:w="1302" w:type="dxa"/>
            <w:tcBorders>
              <w:top w:val="single" w:sz="4" w:space="0" w:color="auto"/>
              <w:left w:val="single" w:sz="4" w:space="0" w:color="auto"/>
              <w:bottom w:val="single" w:sz="4" w:space="0" w:color="auto"/>
              <w:right w:val="single" w:sz="4" w:space="0" w:color="auto"/>
            </w:tcBorders>
            <w:hideMark/>
          </w:tcPr>
          <w:p w14:paraId="22D73EB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50.66</w:t>
            </w:r>
          </w:p>
        </w:tc>
      </w:tr>
      <w:tr w:rsidR="00C16459" w:rsidRPr="00EA36B9" w14:paraId="368457E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7699D1D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1793" w:type="dxa"/>
            <w:tcBorders>
              <w:top w:val="single" w:sz="4" w:space="0" w:color="auto"/>
              <w:left w:val="single" w:sz="4" w:space="0" w:color="auto"/>
              <w:bottom w:val="single" w:sz="4" w:space="0" w:color="auto"/>
              <w:right w:val="single" w:sz="4" w:space="0" w:color="auto"/>
            </w:tcBorders>
            <w:hideMark/>
          </w:tcPr>
          <w:p w14:paraId="061421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6.80-10.53</w:t>
            </w:r>
          </w:p>
        </w:tc>
        <w:tc>
          <w:tcPr>
            <w:tcW w:w="1302" w:type="dxa"/>
            <w:tcBorders>
              <w:top w:val="single" w:sz="4" w:space="0" w:color="auto"/>
              <w:left w:val="single" w:sz="4" w:space="0" w:color="auto"/>
              <w:bottom w:val="single" w:sz="4" w:space="0" w:color="auto"/>
              <w:right w:val="single" w:sz="4" w:space="0" w:color="auto"/>
            </w:tcBorders>
            <w:hideMark/>
          </w:tcPr>
          <w:p w14:paraId="4D585F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11.33</w:t>
            </w:r>
          </w:p>
        </w:tc>
        <w:tc>
          <w:tcPr>
            <w:tcW w:w="1302" w:type="dxa"/>
            <w:tcBorders>
              <w:top w:val="single" w:sz="4" w:space="0" w:color="auto"/>
              <w:left w:val="single" w:sz="4" w:space="0" w:color="auto"/>
              <w:bottom w:val="single" w:sz="4" w:space="0" w:color="auto"/>
              <w:right w:val="single" w:sz="4" w:space="0" w:color="auto"/>
            </w:tcBorders>
            <w:hideMark/>
          </w:tcPr>
          <w:p w14:paraId="52645C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11.19</w:t>
            </w:r>
          </w:p>
        </w:tc>
        <w:tc>
          <w:tcPr>
            <w:tcW w:w="1302" w:type="dxa"/>
            <w:tcBorders>
              <w:top w:val="single" w:sz="4" w:space="0" w:color="auto"/>
              <w:left w:val="single" w:sz="4" w:space="0" w:color="auto"/>
              <w:bottom w:val="single" w:sz="4" w:space="0" w:color="auto"/>
              <w:right w:val="single" w:sz="4" w:space="0" w:color="auto"/>
            </w:tcBorders>
            <w:hideMark/>
          </w:tcPr>
          <w:p w14:paraId="6F336D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97.69</w:t>
            </w:r>
          </w:p>
        </w:tc>
        <w:tc>
          <w:tcPr>
            <w:tcW w:w="1169" w:type="dxa"/>
            <w:tcBorders>
              <w:top w:val="single" w:sz="4" w:space="0" w:color="auto"/>
              <w:left w:val="single" w:sz="4" w:space="0" w:color="auto"/>
              <w:bottom w:val="single" w:sz="4" w:space="0" w:color="auto"/>
              <w:right w:val="single" w:sz="4" w:space="0" w:color="auto"/>
            </w:tcBorders>
            <w:hideMark/>
          </w:tcPr>
          <w:p w14:paraId="230BCCF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1.94</w:t>
            </w:r>
          </w:p>
        </w:tc>
        <w:tc>
          <w:tcPr>
            <w:tcW w:w="1302" w:type="dxa"/>
            <w:tcBorders>
              <w:top w:val="single" w:sz="4" w:space="0" w:color="auto"/>
              <w:left w:val="single" w:sz="4" w:space="0" w:color="auto"/>
              <w:bottom w:val="single" w:sz="4" w:space="0" w:color="auto"/>
              <w:right w:val="single" w:sz="4" w:space="0" w:color="auto"/>
            </w:tcBorders>
            <w:hideMark/>
          </w:tcPr>
          <w:p w14:paraId="16C249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22.79</w:t>
            </w:r>
          </w:p>
        </w:tc>
      </w:tr>
    </w:tbl>
    <w:p w14:paraId="0E2C6BAC" w14:textId="77777777" w:rsidR="00C16459" w:rsidRPr="00EA36B9" w:rsidRDefault="00C16459" w:rsidP="00C16459">
      <w:pPr>
        <w:jc w:val="both"/>
        <w:rPr>
          <w:rFonts w:ascii="Times New Roman" w:hAnsi="Times New Roman" w:cs="Times New Roman"/>
          <w:sz w:val="24"/>
          <w:szCs w:val="24"/>
        </w:rPr>
      </w:pPr>
    </w:p>
    <w:p w14:paraId="37C65852" w14:textId="77777777" w:rsidR="00C16459" w:rsidRPr="00EA36B9" w:rsidRDefault="00C16459" w:rsidP="00275251">
      <w:pPr>
        <w:jc w:val="both"/>
        <w:rPr>
          <w:rFonts w:ascii="Times New Roman" w:hAnsi="Times New Roman" w:cs="Times New Roman"/>
          <w:sz w:val="24"/>
          <w:szCs w:val="24"/>
        </w:rPr>
      </w:pPr>
    </w:p>
    <w:p w14:paraId="71E3F19E" w14:textId="22454CFC" w:rsidR="009872B7" w:rsidRPr="00EA36B9" w:rsidRDefault="00D52574" w:rsidP="00275251">
      <w:pPr>
        <w:jc w:val="both"/>
        <w:rPr>
          <w:rFonts w:ascii="Times New Roman" w:hAnsi="Times New Roman" w:cs="Times New Roman"/>
          <w:sz w:val="24"/>
          <w:szCs w:val="24"/>
        </w:rPr>
      </w:pPr>
      <w:r w:rsidRPr="00EA36B9">
        <w:rPr>
          <w:rFonts w:ascii="Times New Roman" w:hAnsi="Times New Roman" w:cs="Times New Roman"/>
          <w:sz w:val="24"/>
          <w:szCs w:val="24"/>
        </w:rPr>
        <w:t>The results showed that the genotypic coefficient of variances were minutely lower than the phenotypic coefficient of variances</w:t>
      </w:r>
      <w:r w:rsidR="00D008D1" w:rsidRPr="00EA36B9">
        <w:rPr>
          <w:rFonts w:ascii="Times New Roman" w:hAnsi="Times New Roman" w:cs="Times New Roman"/>
          <w:sz w:val="24"/>
          <w:szCs w:val="24"/>
        </w:rPr>
        <w:t xml:space="preserve"> which highlights the role of environment in the expression of characters</w:t>
      </w:r>
      <w:r w:rsidRPr="00EA36B9">
        <w:rPr>
          <w:rFonts w:ascii="Times New Roman" w:hAnsi="Times New Roman" w:cs="Times New Roman"/>
          <w:sz w:val="24"/>
          <w:szCs w:val="24"/>
        </w:rPr>
        <w:t xml:space="preserve">. </w:t>
      </w:r>
      <w:r w:rsidR="00D008D1" w:rsidRPr="00EA36B9">
        <w:rPr>
          <w:rFonts w:ascii="Times New Roman" w:hAnsi="Times New Roman" w:cs="Times New Roman"/>
          <w:sz w:val="24"/>
          <w:szCs w:val="24"/>
        </w:rPr>
        <w:t xml:space="preserve">The classification of PCV and GCV estimates followed the standard thresholds: low (&lt;10%), moderate (10-20%), and high (&gt;20%) as per Deshmukh et al (1986). Notably high PCV and GCV were observed for </w:t>
      </w:r>
      <w:commentRangeStart w:id="11"/>
      <w:r w:rsidR="00D008D1" w:rsidRPr="00EA36B9">
        <w:rPr>
          <w:rFonts w:ascii="Times New Roman" w:hAnsi="Times New Roman" w:cs="Times New Roman"/>
          <w:sz w:val="24"/>
          <w:szCs w:val="24"/>
        </w:rPr>
        <w:t>HI</w:t>
      </w:r>
      <w:commentRangeEnd w:id="11"/>
      <w:r w:rsidR="0041602B">
        <w:rPr>
          <w:rStyle w:val="CommentReference"/>
        </w:rPr>
        <w:commentReference w:id="11"/>
      </w:r>
      <w:r w:rsidR="00D008D1" w:rsidRPr="00EA36B9">
        <w:rPr>
          <w:rFonts w:ascii="Times New Roman" w:hAnsi="Times New Roman" w:cs="Times New Roman"/>
          <w:sz w:val="24"/>
          <w:szCs w:val="24"/>
        </w:rPr>
        <w:t xml:space="preserve"> (24.75% and 24.67%, respectively) and LPP (21.79% and 21.73, respectively) whereas moderate PCV and GCV estimated were found for PBPP (14.81% and 14.66, respectively), BY (12.68% and 12.62%, respectively), SYPP (11.33% and 11.19%, respectively). On the other hand, PH exhibited moderate PCV (10.05%) and low GCV (9.93%).</w:t>
      </w:r>
      <w:r w:rsidR="00673489" w:rsidRPr="00EA36B9">
        <w:rPr>
          <w:rFonts w:ascii="Times New Roman" w:hAnsi="Times New Roman" w:cs="Times New Roman"/>
          <w:sz w:val="24"/>
          <w:szCs w:val="24"/>
        </w:rPr>
        <w:t xml:space="preserve"> The characters displaying high PCV and GCV corresponds to their high inherent variability and provide huge scope for selection and genetic enhancement.</w:t>
      </w:r>
      <w:r w:rsidR="00615AE8" w:rsidRPr="00EA36B9">
        <w:rPr>
          <w:rFonts w:ascii="Times New Roman" w:hAnsi="Times New Roman" w:cs="Times New Roman"/>
          <w:sz w:val="24"/>
          <w:szCs w:val="24"/>
        </w:rPr>
        <w:t xml:space="preserve"> Dutta et al. (2008) and </w:t>
      </w:r>
      <w:r w:rsidR="00615AE8" w:rsidRPr="00EA36B9">
        <w:rPr>
          <w:rFonts w:ascii="Times New Roman" w:hAnsi="Times New Roman" w:cs="Times New Roman"/>
          <w:sz w:val="24"/>
          <w:szCs w:val="24"/>
          <w:lang w:val="en-US"/>
        </w:rPr>
        <w:t>Singh et al. (2024)</w:t>
      </w:r>
      <w:r w:rsidR="00615AE8"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lang w:val="en-US"/>
        </w:rPr>
        <w:t xml:space="preserve">also absorbed high PCV and high GCV </w:t>
      </w:r>
      <w:commentRangeStart w:id="12"/>
      <w:r w:rsidR="00615AE8" w:rsidRPr="00EA36B9">
        <w:rPr>
          <w:rFonts w:ascii="Times New Roman" w:hAnsi="Times New Roman" w:cs="Times New Roman"/>
          <w:sz w:val="24"/>
          <w:szCs w:val="24"/>
          <w:lang w:val="en-US"/>
        </w:rPr>
        <w:t xml:space="preserve">are </w:t>
      </w:r>
      <w:commentRangeEnd w:id="12"/>
      <w:r w:rsidR="0041602B">
        <w:rPr>
          <w:rStyle w:val="CommentReference"/>
        </w:rPr>
        <w:commentReference w:id="12"/>
      </w:r>
      <w:r w:rsidR="00615AE8" w:rsidRPr="00EA36B9">
        <w:rPr>
          <w:rFonts w:ascii="Times New Roman" w:hAnsi="Times New Roman" w:cs="Times New Roman"/>
          <w:sz w:val="24"/>
          <w:szCs w:val="24"/>
          <w:lang w:val="en-US"/>
        </w:rPr>
        <w:t xml:space="preserve">the number of secondary branches, number of leaves in buckwheat. </w:t>
      </w:r>
    </w:p>
    <w:p w14:paraId="16199C7F" w14:textId="37C01465" w:rsidR="00673489" w:rsidRPr="00EA36B9" w:rsidRDefault="00673489" w:rsidP="00275251">
      <w:pPr>
        <w:jc w:val="both"/>
        <w:rPr>
          <w:rFonts w:ascii="Times New Roman" w:hAnsi="Times New Roman" w:cs="Times New Roman"/>
          <w:sz w:val="24"/>
          <w:szCs w:val="24"/>
          <w:lang w:val="en-US"/>
        </w:rPr>
      </w:pPr>
      <w:r w:rsidRPr="00EA36B9">
        <w:rPr>
          <w:rFonts w:ascii="Times New Roman" w:hAnsi="Times New Roman" w:cs="Times New Roman"/>
          <w:sz w:val="24"/>
          <w:szCs w:val="24"/>
        </w:rPr>
        <w:t xml:space="preserve">The GCV offers insight into the genetic variability of the quantitative traits but cannot alone be the indicative of the heritable proportion of variation. To gain a comprehensive understanding of advancement through selection, it is crucial to </w:t>
      </w:r>
      <w:r w:rsidRPr="00EA36B9">
        <w:rPr>
          <w:rFonts w:ascii="Times New Roman" w:hAnsi="Times New Roman" w:cs="Times New Roman"/>
          <w:sz w:val="24"/>
          <w:szCs w:val="24"/>
          <w:lang w:val="en-US"/>
        </w:rPr>
        <w:t>complement the genotypic coefficient of variance with heritability estimates</w:t>
      </w:r>
      <w:r w:rsidR="009933F2" w:rsidRPr="00EA36B9">
        <w:rPr>
          <w:rFonts w:ascii="Times New Roman" w:hAnsi="Times New Roman" w:cs="Times New Roman"/>
          <w:sz w:val="24"/>
          <w:szCs w:val="24"/>
          <w:lang w:val="en-US"/>
        </w:rPr>
        <w:t xml:space="preserve"> (Sood et al., 2025)</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The GCV</w:t>
      </w:r>
      <w:r w:rsidRPr="00EA36B9">
        <w:rPr>
          <w:rFonts w:ascii="Times New Roman" w:hAnsi="Times New Roman" w:cs="Times New Roman"/>
          <w:sz w:val="24"/>
          <w:szCs w:val="24"/>
          <w:lang w:val="en-US"/>
        </w:rPr>
        <w:t xml:space="preserve"> combined with heritability values, </w:t>
      </w:r>
      <w:r w:rsidR="00FA5697" w:rsidRPr="00EA36B9">
        <w:rPr>
          <w:rFonts w:ascii="Times New Roman" w:hAnsi="Times New Roman" w:cs="Times New Roman"/>
          <w:sz w:val="24"/>
          <w:szCs w:val="24"/>
          <w:lang w:val="en-US"/>
        </w:rPr>
        <w:t>offers</w:t>
      </w:r>
      <w:r w:rsidRPr="00EA36B9">
        <w:rPr>
          <w:rFonts w:ascii="Times New Roman" w:hAnsi="Times New Roman" w:cs="Times New Roman"/>
          <w:sz w:val="24"/>
          <w:szCs w:val="24"/>
          <w:lang w:val="en-US"/>
        </w:rPr>
        <w:t xml:space="preserve"> the most </w:t>
      </w:r>
      <w:r w:rsidR="00FA5697" w:rsidRPr="00EA36B9">
        <w:rPr>
          <w:rFonts w:ascii="Times New Roman" w:hAnsi="Times New Roman" w:cs="Times New Roman"/>
          <w:sz w:val="24"/>
          <w:szCs w:val="24"/>
          <w:lang w:val="en-US"/>
        </w:rPr>
        <w:t>precise</w:t>
      </w:r>
      <w:r w:rsidRPr="00EA36B9">
        <w:rPr>
          <w:rFonts w:ascii="Times New Roman" w:hAnsi="Times New Roman" w:cs="Times New Roman"/>
          <w:sz w:val="24"/>
          <w:szCs w:val="24"/>
          <w:lang w:val="en-US"/>
        </w:rPr>
        <w:t xml:space="preserve"> depiction of the anticipated progress achievable through selection</w:t>
      </w:r>
      <w:r w:rsidR="00FA5697" w:rsidRPr="00EA36B9">
        <w:rPr>
          <w:rFonts w:ascii="Times New Roman" w:hAnsi="Times New Roman" w:cs="Times New Roman"/>
          <w:sz w:val="24"/>
          <w:szCs w:val="24"/>
          <w:lang w:val="en-US"/>
        </w:rPr>
        <w:t>.</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H</w:t>
      </w:r>
      <w:r w:rsidRPr="00EA36B9">
        <w:rPr>
          <w:rFonts w:ascii="Times New Roman" w:hAnsi="Times New Roman" w:cs="Times New Roman"/>
          <w:sz w:val="24"/>
          <w:szCs w:val="24"/>
          <w:lang w:val="en-US"/>
        </w:rPr>
        <w:t>eritability values play a pivotal role in the forecast of expected gains attainable via selection processes</w:t>
      </w:r>
      <w:r w:rsidR="00FA5697" w:rsidRPr="00EA36B9">
        <w:rPr>
          <w:rFonts w:ascii="Times New Roman" w:hAnsi="Times New Roman" w:cs="Times New Roman"/>
          <w:sz w:val="24"/>
          <w:szCs w:val="24"/>
          <w:lang w:val="en-US"/>
        </w:rPr>
        <w:t xml:space="preserve"> (Singh et al., 2024). </w:t>
      </w:r>
    </w:p>
    <w:p w14:paraId="6D72B33B" w14:textId="5E299B3B" w:rsidR="00FA5697" w:rsidRPr="00EA36B9" w:rsidRDefault="00FA5697"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broad-sense heritability were categorised into low (&lt;50%), moderate (50-80%), and high (&gt;80%) categories. All the traits under the study exhibited high heritability </w:t>
      </w:r>
      <w:r w:rsidR="0064559D" w:rsidRPr="00EA36B9">
        <w:rPr>
          <w:rFonts w:ascii="Times New Roman" w:hAnsi="Times New Roman" w:cs="Times New Roman"/>
          <w:sz w:val="24"/>
          <w:szCs w:val="24"/>
        </w:rPr>
        <w:t>with values greater than 90%. This signifies that the traits are under strong genic control and are less affected by environmental influences, and hence, they are highly responsive to phenotypic selection.</w:t>
      </w:r>
      <w:r w:rsidR="009933F2" w:rsidRPr="00EA36B9">
        <w:rPr>
          <w:rFonts w:ascii="Times New Roman" w:hAnsi="Times New Roman" w:cs="Times New Roman"/>
          <w:sz w:val="24"/>
          <w:szCs w:val="24"/>
        </w:rPr>
        <w:t xml:space="preserve"> In similar case, Aubert et al. (2021) for different yield related traits in buckwheat.</w:t>
      </w:r>
    </w:p>
    <w:p w14:paraId="76521977" w14:textId="70285968" w:rsidR="00825C86" w:rsidRPr="00EA36B9" w:rsidRDefault="00A31800"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However, heritability alone cannot reveal the amount of genetic improvement achievable through individual genotype selection. </w:t>
      </w:r>
      <w:r w:rsidR="0064559D" w:rsidRPr="00EA36B9">
        <w:rPr>
          <w:rFonts w:ascii="Times New Roman" w:hAnsi="Times New Roman" w:cs="Times New Roman"/>
          <w:sz w:val="24"/>
          <w:szCs w:val="24"/>
        </w:rPr>
        <w:t xml:space="preserve">Factors such as studied population, environmental conditions and the methodology used in the study influences the heritability of a trait (Fehr, 1987). </w:t>
      </w:r>
      <w:r w:rsidRPr="00EA36B9">
        <w:rPr>
          <w:rFonts w:ascii="Times New Roman" w:hAnsi="Times New Roman" w:cs="Times New Roman"/>
          <w:sz w:val="24"/>
          <w:szCs w:val="24"/>
        </w:rPr>
        <w:t xml:space="preserve">To achieve a more practical insight into the potential improvements achievable through selection processes a more comprehensive understanding and knowledge is required using both heritability and genetic advance. </w:t>
      </w:r>
      <w:r w:rsidR="0064559D" w:rsidRPr="00EA36B9">
        <w:rPr>
          <w:rFonts w:ascii="Times New Roman" w:hAnsi="Times New Roman" w:cs="Times New Roman"/>
          <w:sz w:val="24"/>
          <w:szCs w:val="24"/>
        </w:rPr>
        <w:t>The genetic advance as percent of the mean (GAM) was classified into three categories viz., low (&lt;10%), moderate (10-20%), and high (&gt;20%) as per Johnson et al. (1955). Based on this classification all the traits under the study exhibited high GAM, indicating the predominance of additive gene action and the possibility of significant gains through direct selection.</w:t>
      </w:r>
      <w:r w:rsidRPr="00EA36B9">
        <w:rPr>
          <w:rFonts w:ascii="Times New Roman" w:hAnsi="Times New Roman" w:cs="Times New Roman"/>
          <w:sz w:val="24"/>
          <w:szCs w:val="24"/>
        </w:rPr>
        <w:t xml:space="preserve"> All the traits exhibited high heritability coupled with high GAM suggesting that the selection of these traits for improvement will be </w:t>
      </w:r>
      <w:r w:rsidR="000349DC" w:rsidRPr="00EA36B9">
        <w:rPr>
          <w:rFonts w:ascii="Times New Roman" w:hAnsi="Times New Roman" w:cs="Times New Roman"/>
          <w:sz w:val="24"/>
          <w:szCs w:val="24"/>
        </w:rPr>
        <w:t xml:space="preserve">effective and </w:t>
      </w:r>
      <w:r w:rsidRPr="00EA36B9">
        <w:rPr>
          <w:rFonts w:ascii="Times New Roman" w:hAnsi="Times New Roman" w:cs="Times New Roman"/>
          <w:sz w:val="24"/>
          <w:szCs w:val="24"/>
        </w:rPr>
        <w:t>rewarding.</w:t>
      </w:r>
      <w:r w:rsidR="000349DC" w:rsidRPr="00EA36B9">
        <w:rPr>
          <w:rFonts w:ascii="Times New Roman" w:hAnsi="Times New Roman" w:cs="Times New Roman"/>
          <w:sz w:val="24"/>
          <w:szCs w:val="24"/>
        </w:rPr>
        <w:t xml:space="preserve"> Also, it suggests the role of non-additive gene action in their inheritance.</w:t>
      </w:r>
      <w:r w:rsidR="009933F2" w:rsidRPr="00EA36B9">
        <w:rPr>
          <w:rFonts w:ascii="Times New Roman" w:hAnsi="Times New Roman" w:cs="Times New Roman"/>
          <w:sz w:val="24"/>
          <w:szCs w:val="24"/>
        </w:rPr>
        <w:t xml:space="preserve"> Similar results in buckwheat have been reported by </w:t>
      </w:r>
      <w:commentRangeStart w:id="13"/>
      <w:r w:rsidR="009933F2" w:rsidRPr="00EA36B9">
        <w:rPr>
          <w:rFonts w:ascii="Times New Roman" w:hAnsi="Times New Roman" w:cs="Times New Roman"/>
          <w:sz w:val="24"/>
          <w:szCs w:val="24"/>
        </w:rPr>
        <w:t>Aubert et al. (2021), Sowmya et al. (2021) and Singh et al. (202</w:t>
      </w:r>
      <w:r w:rsidR="007416D5" w:rsidRPr="00EA36B9">
        <w:rPr>
          <w:rFonts w:ascii="Times New Roman" w:hAnsi="Times New Roman" w:cs="Times New Roman"/>
          <w:sz w:val="24"/>
          <w:szCs w:val="24"/>
        </w:rPr>
        <w:t>4</w:t>
      </w:r>
      <w:r w:rsidR="009933F2" w:rsidRPr="00EA36B9">
        <w:rPr>
          <w:rFonts w:ascii="Times New Roman" w:hAnsi="Times New Roman" w:cs="Times New Roman"/>
          <w:sz w:val="24"/>
          <w:szCs w:val="24"/>
        </w:rPr>
        <w:t>) in their respective materials.</w:t>
      </w:r>
      <w:commentRangeEnd w:id="13"/>
      <w:r w:rsidR="008E5265">
        <w:rPr>
          <w:rStyle w:val="CommentReference"/>
        </w:rPr>
        <w:commentReference w:id="13"/>
      </w:r>
    </w:p>
    <w:p w14:paraId="1F8F67F0" w14:textId="02F20741" w:rsidR="000349DC" w:rsidRPr="00EA36B9" w:rsidRDefault="000349DC"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Correlation</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studies</w:t>
      </w:r>
    </w:p>
    <w:p w14:paraId="4CE18C64" w14:textId="58CDEFA9" w:rsidR="00C16459" w:rsidRPr="00EA36B9" w:rsidRDefault="00D80066"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Correlation analysis is a valuable tool in the determination of ideal plant types and the optimisation of selection efficiency in breeding schemes </w:t>
      </w:r>
      <w:r w:rsidR="003448CB" w:rsidRPr="00EA36B9">
        <w:rPr>
          <w:rFonts w:ascii="Times New Roman" w:hAnsi="Times New Roman" w:cs="Times New Roman"/>
          <w:sz w:val="24"/>
          <w:szCs w:val="24"/>
        </w:rPr>
        <w:t>(Prasad, 2022)</w:t>
      </w:r>
      <w:r w:rsidRPr="00EA36B9">
        <w:rPr>
          <w:rFonts w:ascii="Times New Roman" w:hAnsi="Times New Roman" w:cs="Times New Roman"/>
          <w:sz w:val="24"/>
          <w:szCs w:val="24"/>
        </w:rPr>
        <w:t xml:space="preserve">, with genotypic correlations considered more precise than phenotypic ones due to less environmental influence </w:t>
      </w:r>
      <w:r w:rsidR="003448CB" w:rsidRPr="00EA36B9">
        <w:rPr>
          <w:rFonts w:ascii="Times New Roman" w:hAnsi="Times New Roman" w:cs="Times New Roman"/>
          <w:sz w:val="24"/>
          <w:szCs w:val="24"/>
        </w:rPr>
        <w:lastRenderedPageBreak/>
        <w:t>(Kumar and Hazarika,</w:t>
      </w:r>
      <w:r w:rsidR="009933F2" w:rsidRPr="00EA36B9">
        <w:rPr>
          <w:rFonts w:ascii="Times New Roman" w:hAnsi="Times New Roman" w:cs="Times New Roman"/>
          <w:sz w:val="24"/>
          <w:szCs w:val="24"/>
        </w:rPr>
        <w:t xml:space="preserve"> </w:t>
      </w:r>
      <w:r w:rsidR="003448CB" w:rsidRPr="00EA36B9">
        <w:rPr>
          <w:rFonts w:ascii="Times New Roman" w:hAnsi="Times New Roman" w:cs="Times New Roman"/>
          <w:sz w:val="24"/>
          <w:szCs w:val="24"/>
        </w:rPr>
        <w:t>202</w:t>
      </w:r>
      <w:r w:rsidR="009933F2" w:rsidRPr="00EA36B9">
        <w:rPr>
          <w:rFonts w:ascii="Times New Roman" w:hAnsi="Times New Roman" w:cs="Times New Roman"/>
          <w:sz w:val="24"/>
          <w:szCs w:val="24"/>
        </w:rPr>
        <w:t>0</w:t>
      </w:r>
      <w:r w:rsidR="003448CB" w:rsidRPr="00EA36B9">
        <w:rPr>
          <w:rFonts w:ascii="Times New Roman" w:hAnsi="Times New Roman" w:cs="Times New Roman"/>
          <w:sz w:val="24"/>
          <w:szCs w:val="24"/>
        </w:rPr>
        <w:t>)</w:t>
      </w:r>
      <w:r w:rsidRPr="00EA36B9">
        <w:rPr>
          <w:rFonts w:ascii="Times New Roman" w:hAnsi="Times New Roman" w:cs="Times New Roman"/>
          <w:sz w:val="24"/>
          <w:szCs w:val="24"/>
        </w:rPr>
        <w:t xml:space="preserve">. </w:t>
      </w:r>
      <w:commentRangeStart w:id="14"/>
      <w:r w:rsidR="000349DC" w:rsidRPr="00EA36B9">
        <w:rPr>
          <w:rFonts w:ascii="Times New Roman" w:hAnsi="Times New Roman" w:cs="Times New Roman"/>
          <w:sz w:val="24"/>
          <w:szCs w:val="24"/>
        </w:rPr>
        <w:t>Table 3</w:t>
      </w:r>
      <w:commentRangeEnd w:id="14"/>
      <w:r w:rsidR="008E5265">
        <w:rPr>
          <w:rStyle w:val="CommentReference"/>
        </w:rPr>
        <w:commentReference w:id="14"/>
      </w:r>
      <w:r w:rsidR="000349DC" w:rsidRPr="00EA36B9">
        <w:rPr>
          <w:rFonts w:ascii="Times New Roman" w:hAnsi="Times New Roman" w:cs="Times New Roman"/>
          <w:sz w:val="24"/>
          <w:szCs w:val="24"/>
        </w:rPr>
        <w:t xml:space="preserve"> presents the estimates of phenotypic and genotypic correlation coefficients among the studied traits of </w:t>
      </w:r>
      <w:proofErr w:type="spellStart"/>
      <w:r w:rsidR="000349DC" w:rsidRPr="00EA36B9">
        <w:rPr>
          <w:rFonts w:ascii="Times New Roman" w:hAnsi="Times New Roman" w:cs="Times New Roman"/>
          <w:sz w:val="24"/>
          <w:szCs w:val="24"/>
        </w:rPr>
        <w:t>tartary</w:t>
      </w:r>
      <w:proofErr w:type="spellEnd"/>
      <w:r w:rsidR="000349DC" w:rsidRPr="00EA36B9">
        <w:rPr>
          <w:rFonts w:ascii="Times New Roman" w:hAnsi="Times New Roman" w:cs="Times New Roman"/>
          <w:sz w:val="24"/>
          <w:szCs w:val="24"/>
        </w:rPr>
        <w:t xml:space="preserve"> buckwheat. Notably, certain traits displayed higher genotypic coefficients of correlation than their corresponding phenotypic values</w:t>
      </w:r>
      <w:r w:rsidRPr="00EA36B9">
        <w:rPr>
          <w:rFonts w:ascii="Times New Roman" w:hAnsi="Times New Roman" w:cs="Times New Roman"/>
          <w:sz w:val="24"/>
          <w:szCs w:val="24"/>
        </w:rPr>
        <w:t xml:space="preserve"> attesting to the genetic basis of trait associations</w:t>
      </w:r>
      <w:r w:rsidR="00986F49" w:rsidRPr="00EA36B9">
        <w:rPr>
          <w:rFonts w:ascii="Times New Roman" w:hAnsi="Times New Roman" w:cs="Times New Roman"/>
          <w:sz w:val="24"/>
          <w:szCs w:val="24"/>
        </w:rPr>
        <w:t xml:space="preserve"> (Table 5)</w:t>
      </w:r>
      <w:r w:rsidR="000349DC" w:rsidRPr="00EA36B9">
        <w:rPr>
          <w:rFonts w:ascii="Times New Roman" w:hAnsi="Times New Roman" w:cs="Times New Roman"/>
          <w:sz w:val="24"/>
          <w:szCs w:val="24"/>
        </w:rPr>
        <w:t>. Straw yield per plant (SYPP) exhibited a significant and positive association with P</w:t>
      </w:r>
      <w:r w:rsidRPr="00EA36B9">
        <w:rPr>
          <w:rFonts w:ascii="Times New Roman" w:hAnsi="Times New Roman" w:cs="Times New Roman"/>
          <w:sz w:val="24"/>
          <w:szCs w:val="24"/>
        </w:rPr>
        <w:t>H</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0.473 and 0.513</w:t>
      </w:r>
      <w:r w:rsidR="000349DC" w:rsidRPr="00EA36B9">
        <w:rPr>
          <w:rFonts w:ascii="Times New Roman" w:hAnsi="Times New Roman" w:cs="Times New Roman"/>
          <w:sz w:val="24"/>
          <w:szCs w:val="24"/>
        </w:rPr>
        <w:t xml:space="preserve">) and </w:t>
      </w:r>
      <w:r w:rsidRPr="00EA36B9">
        <w:rPr>
          <w:rFonts w:ascii="Times New Roman" w:hAnsi="Times New Roman" w:cs="Times New Roman"/>
          <w:sz w:val="24"/>
          <w:szCs w:val="24"/>
        </w:rPr>
        <w:t>LPP</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0.402 and 0.421</w:t>
      </w:r>
      <w:r w:rsidR="000349DC" w:rsidRPr="00EA36B9">
        <w:rPr>
          <w:rFonts w:ascii="Times New Roman" w:hAnsi="Times New Roman" w:cs="Times New Roman"/>
          <w:sz w:val="24"/>
          <w:szCs w:val="24"/>
        </w:rPr>
        <w:t>)</w:t>
      </w:r>
      <w:r w:rsidRPr="00EA36B9">
        <w:rPr>
          <w:rFonts w:ascii="Times New Roman" w:hAnsi="Times New Roman" w:cs="Times New Roman"/>
          <w:sz w:val="24"/>
          <w:szCs w:val="24"/>
        </w:rPr>
        <w:t xml:space="preserve"> at phenotypic and genotypic levels, respectively. Whereas with BY significantly higher and positive phenotypic coefficient (0.745) was observed than that of genotypic coefficient (0.740). Additionally, it also exhibited significant and negative association with HI (-0.273 and -0.256) at phenotypic and genotypic level, respectively. These associations suggest that genotypes with tall plants, a greater number of leaves per plant and high biological yield tends to produce more straw yield.</w:t>
      </w:r>
      <w:r w:rsidR="003448CB" w:rsidRPr="00EA36B9">
        <w:rPr>
          <w:rFonts w:ascii="Times New Roman" w:hAnsi="Times New Roman" w:cs="Times New Roman"/>
          <w:sz w:val="24"/>
          <w:szCs w:val="24"/>
        </w:rPr>
        <w:t xml:space="preserve"> Similar results were observed by Bisht et al. (2018) and </w:t>
      </w:r>
      <w:proofErr w:type="spellStart"/>
      <w:r w:rsidR="003448CB" w:rsidRPr="00EA36B9">
        <w:rPr>
          <w:rFonts w:ascii="Times New Roman" w:hAnsi="Times New Roman" w:cs="Times New Roman"/>
          <w:sz w:val="24"/>
          <w:szCs w:val="24"/>
        </w:rPr>
        <w:t>Papaiahgari</w:t>
      </w:r>
      <w:proofErr w:type="spellEnd"/>
      <w:r w:rsidR="003448CB" w:rsidRPr="00EA36B9">
        <w:rPr>
          <w:rFonts w:ascii="Times New Roman" w:hAnsi="Times New Roman" w:cs="Times New Roman"/>
          <w:sz w:val="24"/>
          <w:szCs w:val="24"/>
        </w:rPr>
        <w:t xml:space="preserve"> et al. (2023) in their studies</w:t>
      </w:r>
      <w:r w:rsidR="00C16459" w:rsidRPr="00EA36B9">
        <w:rPr>
          <w:rFonts w:ascii="Times New Roman" w:hAnsi="Times New Roman" w:cs="Times New Roman"/>
          <w:sz w:val="24"/>
          <w:szCs w:val="24"/>
        </w:rPr>
        <w:t>.</w:t>
      </w:r>
    </w:p>
    <w:p w14:paraId="7EEA9587"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5. Correlation matrix of six quantitative traits of buckwheat</w:t>
      </w:r>
    </w:p>
    <w:tbl>
      <w:tblPr>
        <w:tblStyle w:val="TableGrid"/>
        <w:tblW w:w="0" w:type="auto"/>
        <w:tblLook w:val="04A0" w:firstRow="1" w:lastRow="0" w:firstColumn="1" w:lastColumn="0" w:noHBand="0" w:noVBand="1"/>
      </w:tblPr>
      <w:tblGrid>
        <w:gridCol w:w="1156"/>
        <w:gridCol w:w="1186"/>
        <w:gridCol w:w="1311"/>
        <w:gridCol w:w="1345"/>
        <w:gridCol w:w="1328"/>
        <w:gridCol w:w="1345"/>
        <w:gridCol w:w="1345"/>
      </w:tblGrid>
      <w:tr w:rsidR="00C16459" w:rsidRPr="00EA36B9" w14:paraId="3C6E335A" w14:textId="77777777" w:rsidTr="00C16459">
        <w:tc>
          <w:tcPr>
            <w:tcW w:w="1156" w:type="dxa"/>
            <w:tcBorders>
              <w:top w:val="single" w:sz="4" w:space="0" w:color="auto"/>
              <w:left w:val="single" w:sz="4" w:space="0" w:color="auto"/>
              <w:bottom w:val="single" w:sz="4" w:space="0" w:color="auto"/>
              <w:right w:val="single" w:sz="4" w:space="0" w:color="auto"/>
            </w:tcBorders>
          </w:tcPr>
          <w:p w14:paraId="0877631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186" w:type="dxa"/>
            <w:tcBorders>
              <w:top w:val="single" w:sz="4" w:space="0" w:color="auto"/>
              <w:left w:val="single" w:sz="4" w:space="0" w:color="auto"/>
              <w:bottom w:val="single" w:sz="4" w:space="0" w:color="auto"/>
              <w:right w:val="single" w:sz="4" w:space="0" w:color="auto"/>
            </w:tcBorders>
          </w:tcPr>
          <w:p w14:paraId="672042F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14:paraId="5BB4E12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345" w:type="dxa"/>
            <w:tcBorders>
              <w:top w:val="single" w:sz="4" w:space="0" w:color="auto"/>
              <w:left w:val="single" w:sz="4" w:space="0" w:color="auto"/>
              <w:bottom w:val="single" w:sz="4" w:space="0" w:color="auto"/>
              <w:right w:val="single" w:sz="4" w:space="0" w:color="auto"/>
            </w:tcBorders>
            <w:hideMark/>
          </w:tcPr>
          <w:p w14:paraId="452D971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328" w:type="dxa"/>
            <w:tcBorders>
              <w:top w:val="single" w:sz="4" w:space="0" w:color="auto"/>
              <w:left w:val="single" w:sz="4" w:space="0" w:color="auto"/>
              <w:bottom w:val="single" w:sz="4" w:space="0" w:color="auto"/>
              <w:right w:val="single" w:sz="4" w:space="0" w:color="auto"/>
            </w:tcBorders>
            <w:hideMark/>
          </w:tcPr>
          <w:p w14:paraId="0109261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345" w:type="dxa"/>
            <w:tcBorders>
              <w:top w:val="single" w:sz="4" w:space="0" w:color="auto"/>
              <w:left w:val="single" w:sz="4" w:space="0" w:color="auto"/>
              <w:bottom w:val="single" w:sz="4" w:space="0" w:color="auto"/>
              <w:right w:val="single" w:sz="4" w:space="0" w:color="auto"/>
            </w:tcBorders>
            <w:hideMark/>
          </w:tcPr>
          <w:p w14:paraId="5708168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345" w:type="dxa"/>
            <w:tcBorders>
              <w:top w:val="single" w:sz="4" w:space="0" w:color="auto"/>
              <w:left w:val="single" w:sz="4" w:space="0" w:color="auto"/>
              <w:bottom w:val="single" w:sz="4" w:space="0" w:color="auto"/>
              <w:right w:val="single" w:sz="4" w:space="0" w:color="auto"/>
            </w:tcBorders>
            <w:hideMark/>
          </w:tcPr>
          <w:p w14:paraId="6C560E4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794A2D0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6AB4C5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186" w:type="dxa"/>
            <w:tcBorders>
              <w:top w:val="single" w:sz="4" w:space="0" w:color="auto"/>
              <w:left w:val="single" w:sz="4" w:space="0" w:color="auto"/>
              <w:bottom w:val="single" w:sz="4" w:space="0" w:color="auto"/>
              <w:right w:val="single" w:sz="4" w:space="0" w:color="auto"/>
            </w:tcBorders>
            <w:hideMark/>
          </w:tcPr>
          <w:p w14:paraId="34174B4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CB0EC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0.288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A8097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0.717</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2357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0.460</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761126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20BC9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0.402</w:t>
            </w:r>
            <w:r w:rsidRPr="00EA36B9">
              <w:rPr>
                <w:rFonts w:ascii="Times New Roman" w:hAnsi="Times New Roman" w:cs="Times New Roman"/>
                <w:sz w:val="24"/>
                <w:szCs w:val="24"/>
                <w:vertAlign w:val="superscript"/>
              </w:rPr>
              <w:t>**</w:t>
            </w:r>
          </w:p>
        </w:tc>
      </w:tr>
      <w:tr w:rsidR="00C16459" w:rsidRPr="00EA36B9" w14:paraId="3CD7EDCD"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2DADE758"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0390DC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75DA5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0.305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E9AEA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0.752</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819F92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0.471</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77783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F02E3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0.421</w:t>
            </w:r>
            <w:r w:rsidRPr="00EA36B9">
              <w:rPr>
                <w:rFonts w:ascii="Times New Roman" w:hAnsi="Times New Roman" w:cs="Times New Roman"/>
                <w:sz w:val="24"/>
                <w:szCs w:val="24"/>
                <w:vertAlign w:val="superscript"/>
              </w:rPr>
              <w:t>**</w:t>
            </w:r>
          </w:p>
        </w:tc>
      </w:tr>
      <w:tr w:rsidR="00C16459" w:rsidRPr="00EA36B9" w14:paraId="0D24CDF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2CA949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186" w:type="dxa"/>
            <w:tcBorders>
              <w:top w:val="single" w:sz="4" w:space="0" w:color="auto"/>
              <w:left w:val="single" w:sz="4" w:space="0" w:color="auto"/>
              <w:bottom w:val="single" w:sz="4" w:space="0" w:color="auto"/>
              <w:right w:val="single" w:sz="4" w:space="0" w:color="auto"/>
            </w:tcBorders>
            <w:hideMark/>
          </w:tcPr>
          <w:p w14:paraId="70B3F4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42C7C9D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05962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-0.209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C5E3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-0.254</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4AEF1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-0.031</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667F4B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-0.240</w:t>
            </w:r>
            <w:r w:rsidRPr="00EA36B9">
              <w:rPr>
                <w:rFonts w:ascii="Times New Roman" w:hAnsi="Times New Roman" w:cs="Times New Roman"/>
                <w:sz w:val="24"/>
                <w:szCs w:val="24"/>
                <w:vertAlign w:val="superscript"/>
              </w:rPr>
              <w:t>NS</w:t>
            </w:r>
          </w:p>
        </w:tc>
      </w:tr>
      <w:tr w:rsidR="00C16459" w:rsidRPr="00EA36B9" w14:paraId="4D570CB9"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57FDD4A5"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3FD390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26D1119"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D35BC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-0.229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19AF0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FF8226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-0.040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D4C90A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-0.241</w:t>
            </w:r>
            <w:r w:rsidRPr="00EA36B9">
              <w:rPr>
                <w:rFonts w:ascii="Times New Roman" w:hAnsi="Times New Roman" w:cs="Times New Roman"/>
                <w:sz w:val="24"/>
                <w:szCs w:val="24"/>
                <w:vertAlign w:val="superscript"/>
              </w:rPr>
              <w:t>NS</w:t>
            </w:r>
          </w:p>
        </w:tc>
      </w:tr>
      <w:tr w:rsidR="00C16459" w:rsidRPr="00EA36B9" w14:paraId="1E81FD60"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1F8FE0D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186" w:type="dxa"/>
            <w:tcBorders>
              <w:top w:val="single" w:sz="4" w:space="0" w:color="auto"/>
              <w:left w:val="single" w:sz="4" w:space="0" w:color="auto"/>
              <w:bottom w:val="single" w:sz="4" w:space="0" w:color="auto"/>
              <w:right w:val="single" w:sz="4" w:space="0" w:color="auto"/>
            </w:tcBorders>
            <w:hideMark/>
          </w:tcPr>
          <w:p w14:paraId="6DB049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F04821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AFEC06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6A2753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0.615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1B1D4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E3CD3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0.473</w:t>
            </w:r>
            <w:r w:rsidRPr="00EA36B9">
              <w:rPr>
                <w:rFonts w:ascii="Times New Roman" w:hAnsi="Times New Roman" w:cs="Times New Roman"/>
                <w:sz w:val="24"/>
                <w:szCs w:val="24"/>
                <w:vertAlign w:val="superscript"/>
              </w:rPr>
              <w:t>**</w:t>
            </w:r>
          </w:p>
        </w:tc>
      </w:tr>
      <w:tr w:rsidR="00C16459" w:rsidRPr="00EA36B9" w14:paraId="6CC47FA3"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E2074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93EA3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631954F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DDCBDD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786C2A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0.649</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89F27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0.217</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3CB7A8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0.513</w:t>
            </w:r>
            <w:r w:rsidRPr="00EA36B9">
              <w:rPr>
                <w:rFonts w:ascii="Times New Roman" w:hAnsi="Times New Roman" w:cs="Times New Roman"/>
                <w:sz w:val="24"/>
                <w:szCs w:val="24"/>
                <w:vertAlign w:val="superscript"/>
              </w:rPr>
              <w:t>**</w:t>
            </w:r>
          </w:p>
        </w:tc>
      </w:tr>
      <w:tr w:rsidR="00C16459" w:rsidRPr="00EA36B9" w14:paraId="1BB7F3F2"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961729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186" w:type="dxa"/>
            <w:tcBorders>
              <w:top w:val="single" w:sz="4" w:space="0" w:color="auto"/>
              <w:left w:val="single" w:sz="4" w:space="0" w:color="auto"/>
              <w:bottom w:val="single" w:sz="4" w:space="0" w:color="auto"/>
              <w:right w:val="single" w:sz="4" w:space="0" w:color="auto"/>
            </w:tcBorders>
            <w:hideMark/>
          </w:tcPr>
          <w:p w14:paraId="3A761E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606D2F4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7BB5EE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A33BE6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E1C0E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0.433</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56B98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0.745</w:t>
            </w:r>
            <w:r w:rsidRPr="00EA36B9">
              <w:rPr>
                <w:rFonts w:ascii="Times New Roman" w:hAnsi="Times New Roman" w:cs="Times New Roman"/>
                <w:sz w:val="24"/>
                <w:szCs w:val="24"/>
                <w:vertAlign w:val="superscript"/>
              </w:rPr>
              <w:t>**</w:t>
            </w:r>
          </w:p>
        </w:tc>
      </w:tr>
      <w:tr w:rsidR="00C16459" w:rsidRPr="00EA36B9" w14:paraId="5569D312"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16491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0FF61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004C83D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126A406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136320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6728E5C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0.455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703BC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0.740</w:t>
            </w:r>
            <w:r w:rsidRPr="00EA36B9">
              <w:rPr>
                <w:rFonts w:ascii="Times New Roman" w:hAnsi="Times New Roman" w:cs="Times New Roman"/>
                <w:sz w:val="24"/>
                <w:szCs w:val="24"/>
                <w:vertAlign w:val="superscript"/>
              </w:rPr>
              <w:t>**</w:t>
            </w:r>
          </w:p>
        </w:tc>
      </w:tr>
      <w:tr w:rsidR="00C16459" w:rsidRPr="00EA36B9" w14:paraId="289EEAD5"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57D349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186" w:type="dxa"/>
            <w:tcBorders>
              <w:top w:val="single" w:sz="4" w:space="0" w:color="auto"/>
              <w:left w:val="single" w:sz="4" w:space="0" w:color="auto"/>
              <w:bottom w:val="single" w:sz="4" w:space="0" w:color="auto"/>
              <w:right w:val="single" w:sz="4" w:space="0" w:color="auto"/>
            </w:tcBorders>
            <w:hideMark/>
          </w:tcPr>
          <w:p w14:paraId="5FB3FB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6D31CE4"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C08201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EC49E6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77FC984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306B8A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-0.273</w:t>
            </w:r>
            <w:r w:rsidRPr="00EA36B9">
              <w:rPr>
                <w:rFonts w:ascii="Times New Roman" w:hAnsi="Times New Roman" w:cs="Times New Roman"/>
                <w:sz w:val="24"/>
                <w:szCs w:val="24"/>
                <w:vertAlign w:val="superscript"/>
              </w:rPr>
              <w:t>*</w:t>
            </w:r>
          </w:p>
        </w:tc>
      </w:tr>
      <w:tr w:rsidR="00C16459" w:rsidRPr="00EA36B9" w14:paraId="673F91BE"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3A3B4DC"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6A5E40B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CE4F8B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725FDE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789C7E7"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BC6CBF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648BEE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-0.256</w:t>
            </w:r>
            <w:r w:rsidRPr="00EA36B9">
              <w:rPr>
                <w:rFonts w:ascii="Times New Roman" w:hAnsi="Times New Roman" w:cs="Times New Roman"/>
                <w:sz w:val="24"/>
                <w:szCs w:val="24"/>
                <w:vertAlign w:val="superscript"/>
              </w:rPr>
              <w:t>*</w:t>
            </w:r>
          </w:p>
        </w:tc>
      </w:tr>
    </w:tbl>
    <w:p w14:paraId="6D46F7B1" w14:textId="77777777" w:rsidR="00C16459" w:rsidRPr="00EA36B9" w:rsidRDefault="00C16459" w:rsidP="000349DC">
      <w:pPr>
        <w:jc w:val="both"/>
        <w:rPr>
          <w:rFonts w:ascii="Times New Roman" w:hAnsi="Times New Roman" w:cs="Times New Roman"/>
          <w:sz w:val="24"/>
          <w:szCs w:val="24"/>
        </w:rPr>
      </w:pPr>
    </w:p>
    <w:p w14:paraId="1871F110" w14:textId="54CA1D1D" w:rsidR="000349DC" w:rsidRPr="00EA36B9" w:rsidRDefault="00D80066"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Cluster</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analysis</w:t>
      </w:r>
    </w:p>
    <w:p w14:paraId="6D4747DE" w14:textId="2E8E8A15" w:rsidR="00D80066" w:rsidRPr="00EA36B9" w:rsidRDefault="007A2734"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The multivariate analysis using </w:t>
      </w: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xml:space="preserve">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 xml:space="preserve">statistic grouped the 22 genotypes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into two clusters </w:t>
      </w:r>
      <w:r w:rsidR="00615AE8" w:rsidRPr="00EA36B9">
        <w:rPr>
          <w:rFonts w:ascii="Times New Roman" w:hAnsi="Times New Roman" w:cs="Times New Roman"/>
          <w:sz w:val="24"/>
          <w:szCs w:val="24"/>
        </w:rPr>
        <w:t xml:space="preserve">(Fig 1) </w:t>
      </w:r>
      <w:r w:rsidRPr="00EA36B9">
        <w:rPr>
          <w:rFonts w:ascii="Times New Roman" w:hAnsi="Times New Roman" w:cs="Times New Roman"/>
          <w:sz w:val="24"/>
          <w:szCs w:val="24"/>
        </w:rPr>
        <w:t xml:space="preserve">using Tocher’s method wherein cluster II was </w:t>
      </w:r>
      <w:proofErr w:type="spellStart"/>
      <w:r w:rsidRPr="00EA36B9">
        <w:rPr>
          <w:rFonts w:ascii="Times New Roman" w:hAnsi="Times New Roman" w:cs="Times New Roman"/>
          <w:sz w:val="24"/>
          <w:szCs w:val="24"/>
        </w:rPr>
        <w:t>monogenotypic</w:t>
      </w:r>
      <w:proofErr w:type="spellEnd"/>
      <w:r w:rsidRPr="00EA36B9">
        <w:rPr>
          <w:rFonts w:ascii="Times New Roman" w:hAnsi="Times New Roman" w:cs="Times New Roman"/>
          <w:sz w:val="24"/>
          <w:szCs w:val="24"/>
        </w:rPr>
        <w:t xml:space="preserve"> having Shimla B1</w:t>
      </w:r>
      <w:r w:rsidRPr="00EA36B9">
        <w:rPr>
          <w:rFonts w:ascii="Times New Roman" w:hAnsi="Times New Roman" w:cs="Times New Roman"/>
          <w:b/>
          <w:bCs/>
          <w:sz w:val="24"/>
          <w:szCs w:val="24"/>
        </w:rPr>
        <w:t xml:space="preserve"> </w:t>
      </w:r>
      <w:r w:rsidRPr="00EA36B9">
        <w:rPr>
          <w:rFonts w:ascii="Times New Roman" w:hAnsi="Times New Roman" w:cs="Times New Roman"/>
          <w:sz w:val="24"/>
          <w:szCs w:val="24"/>
        </w:rPr>
        <w:t xml:space="preserve">and cluster I was </w:t>
      </w:r>
      <w:proofErr w:type="spellStart"/>
      <w:r w:rsidRPr="00EA36B9">
        <w:rPr>
          <w:rFonts w:ascii="Times New Roman" w:hAnsi="Times New Roman" w:cs="Times New Roman"/>
          <w:sz w:val="24"/>
          <w:szCs w:val="24"/>
        </w:rPr>
        <w:t>polygenotypic</w:t>
      </w:r>
      <w:proofErr w:type="spellEnd"/>
      <w:r w:rsidRPr="00EA36B9">
        <w:rPr>
          <w:rFonts w:ascii="Times New Roman" w:hAnsi="Times New Roman" w:cs="Times New Roman"/>
          <w:sz w:val="24"/>
          <w:szCs w:val="24"/>
        </w:rPr>
        <w:t xml:space="preserve"> consisting of remaining 21 genotypes. </w:t>
      </w:r>
      <w:r w:rsidR="00B57EF2" w:rsidRPr="00EA36B9">
        <w:rPr>
          <w:rFonts w:ascii="Times New Roman" w:hAnsi="Times New Roman" w:cs="Times New Roman"/>
          <w:sz w:val="24"/>
          <w:szCs w:val="24"/>
        </w:rPr>
        <w:t xml:space="preserve">The same method when used by Sood et al. (2023), Singh et al. (2024) and Kapoor et al. (2024) yielded different results which might be due to the differences in the </w:t>
      </w:r>
      <w:r w:rsidR="00986F49" w:rsidRPr="00EA36B9">
        <w:rPr>
          <w:rFonts w:ascii="Times New Roman" w:hAnsi="Times New Roman" w:cs="Times New Roman"/>
          <w:sz w:val="24"/>
          <w:szCs w:val="24"/>
        </w:rPr>
        <w:t>genotypes</w:t>
      </w:r>
      <w:r w:rsidR="00B57EF2" w:rsidRPr="00EA36B9">
        <w:rPr>
          <w:rFonts w:ascii="Times New Roman" w:hAnsi="Times New Roman" w:cs="Times New Roman"/>
          <w:sz w:val="24"/>
          <w:szCs w:val="24"/>
        </w:rPr>
        <w:t xml:space="preserve"> used in the study. </w:t>
      </w:r>
      <w:r w:rsidRPr="00EA36B9">
        <w:rPr>
          <w:rFonts w:ascii="Times New Roman" w:hAnsi="Times New Roman" w:cs="Times New Roman"/>
          <w:sz w:val="24"/>
          <w:szCs w:val="24"/>
        </w:rPr>
        <w:t xml:space="preserve">The </w:t>
      </w:r>
      <w:proofErr w:type="spellStart"/>
      <w:r w:rsidRPr="00EA36B9">
        <w:rPr>
          <w:rFonts w:ascii="Times New Roman" w:hAnsi="Times New Roman" w:cs="Times New Roman"/>
          <w:sz w:val="24"/>
          <w:szCs w:val="24"/>
        </w:rPr>
        <w:t>intracluster</w:t>
      </w:r>
      <w:proofErr w:type="spellEnd"/>
      <w:r w:rsidRPr="00EA36B9">
        <w:rPr>
          <w:rFonts w:ascii="Times New Roman" w:hAnsi="Times New Roman" w:cs="Times New Roman"/>
          <w:sz w:val="24"/>
          <w:szCs w:val="24"/>
        </w:rPr>
        <w:t xml:space="preserve"> distance varied from 0.00 (Cluster II) to 20.33 (Cluster I). </w:t>
      </w:r>
      <w:r w:rsidR="00EB598F" w:rsidRPr="00EA36B9">
        <w:rPr>
          <w:rFonts w:ascii="Times New Roman" w:hAnsi="Times New Roman" w:cs="Times New Roman"/>
          <w:sz w:val="24"/>
          <w:szCs w:val="24"/>
        </w:rPr>
        <w:t xml:space="preserve">Whereas the </w:t>
      </w:r>
      <w:proofErr w:type="spellStart"/>
      <w:r w:rsidR="00EB598F" w:rsidRPr="00EA36B9">
        <w:rPr>
          <w:rFonts w:ascii="Times New Roman" w:hAnsi="Times New Roman" w:cs="Times New Roman"/>
          <w:sz w:val="24"/>
          <w:szCs w:val="24"/>
        </w:rPr>
        <w:t>intercluster</w:t>
      </w:r>
      <w:proofErr w:type="spellEnd"/>
      <w:r w:rsidR="00EB598F" w:rsidRPr="00EA36B9">
        <w:rPr>
          <w:rFonts w:ascii="Times New Roman" w:hAnsi="Times New Roman" w:cs="Times New Roman"/>
          <w:sz w:val="24"/>
          <w:szCs w:val="24"/>
        </w:rPr>
        <w:t xml:space="preserve"> distance was found to be 43.61 between cluster I and II (Table </w:t>
      </w:r>
      <w:r w:rsidR="00986F49" w:rsidRPr="00EA36B9">
        <w:rPr>
          <w:rFonts w:ascii="Times New Roman" w:hAnsi="Times New Roman" w:cs="Times New Roman"/>
          <w:sz w:val="24"/>
          <w:szCs w:val="24"/>
        </w:rPr>
        <w:t>6</w:t>
      </w:r>
      <w:r w:rsidR="00EB598F"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rPr>
        <w:t xml:space="preserve">The inter cluster distance was found to be higher than the </w:t>
      </w:r>
      <w:proofErr w:type="spellStart"/>
      <w:r w:rsidR="00615AE8" w:rsidRPr="00EA36B9">
        <w:rPr>
          <w:rFonts w:ascii="Times New Roman" w:hAnsi="Times New Roman" w:cs="Times New Roman"/>
          <w:sz w:val="24"/>
          <w:szCs w:val="24"/>
        </w:rPr>
        <w:t>intracluster</w:t>
      </w:r>
      <w:proofErr w:type="spellEnd"/>
      <w:r w:rsidR="00615AE8" w:rsidRPr="00EA36B9">
        <w:rPr>
          <w:rFonts w:ascii="Times New Roman" w:hAnsi="Times New Roman" w:cs="Times New Roman"/>
          <w:sz w:val="24"/>
          <w:szCs w:val="24"/>
        </w:rPr>
        <w:t xml:space="preserve"> distance, suggesting a wide genetic diversity among the genotypes of the two clusters. </w:t>
      </w:r>
      <w:r w:rsidR="00615AE8" w:rsidRPr="00EA36B9">
        <w:rPr>
          <w:rFonts w:ascii="Times New Roman" w:hAnsi="Times New Roman" w:cs="Times New Roman"/>
          <w:sz w:val="24"/>
          <w:szCs w:val="24"/>
          <w:lang w:val="en-US"/>
        </w:rPr>
        <w:t xml:space="preserve">The highest intra cluster distance was observed for cluster one, indicating that the genotype within this cluster were quite diverse, implying that selecting parents within this cluster would be effective. Inter cluster distance between cluster I and II indicated that genotype from these divergent clusters can be </w:t>
      </w:r>
      <w:r w:rsidR="00615AE8" w:rsidRPr="00EA36B9">
        <w:rPr>
          <w:rFonts w:ascii="Times New Roman" w:hAnsi="Times New Roman" w:cs="Times New Roman"/>
          <w:sz w:val="24"/>
          <w:szCs w:val="24"/>
          <w:lang w:val="en-US"/>
        </w:rPr>
        <w:lastRenderedPageBreak/>
        <w:t xml:space="preserve">intercrossed to achieve a high </w:t>
      </w:r>
      <w:r w:rsidR="00B57EF2" w:rsidRPr="00EA36B9">
        <w:rPr>
          <w:rFonts w:ascii="Times New Roman" w:hAnsi="Times New Roman" w:cs="Times New Roman"/>
          <w:sz w:val="24"/>
          <w:szCs w:val="24"/>
          <w:lang w:val="en-US"/>
        </w:rPr>
        <w:t>heterotic</w:t>
      </w:r>
      <w:r w:rsidR="00615AE8" w:rsidRPr="00EA36B9">
        <w:rPr>
          <w:rFonts w:ascii="Times New Roman" w:hAnsi="Times New Roman" w:cs="Times New Roman"/>
          <w:sz w:val="24"/>
          <w:szCs w:val="24"/>
          <w:lang w:val="en-US"/>
        </w:rPr>
        <w:t xml:space="preserve"> response while also recovering desirable transgressive segregates.</w:t>
      </w:r>
      <w:r w:rsidR="00615AE8" w:rsidRPr="00EA36B9">
        <w:rPr>
          <w:rFonts w:ascii="Times New Roman" w:hAnsi="Times New Roman" w:cs="Times New Roman"/>
          <w:sz w:val="24"/>
          <w:szCs w:val="24"/>
        </w:rPr>
        <w:t xml:space="preserve"> The</w:t>
      </w:r>
      <w:r w:rsidR="00EB598F" w:rsidRPr="00EA36B9">
        <w:rPr>
          <w:rFonts w:ascii="Times New Roman" w:hAnsi="Times New Roman" w:cs="Times New Roman"/>
          <w:sz w:val="24"/>
          <w:szCs w:val="24"/>
        </w:rPr>
        <w:t xml:space="preserve"> cluster means for different traits showed considerable differences among the clusters for each trait</w:t>
      </w:r>
      <w:r w:rsidR="00986F49" w:rsidRPr="00EA36B9">
        <w:rPr>
          <w:rFonts w:ascii="Times New Roman" w:hAnsi="Times New Roman" w:cs="Times New Roman"/>
          <w:sz w:val="24"/>
          <w:szCs w:val="24"/>
        </w:rPr>
        <w:t xml:space="preserve"> (Table 7)</w:t>
      </w:r>
      <w:r w:rsidR="00EB598F" w:rsidRPr="00EA36B9">
        <w:rPr>
          <w:rFonts w:ascii="Times New Roman" w:hAnsi="Times New Roman" w:cs="Times New Roman"/>
          <w:sz w:val="24"/>
          <w:szCs w:val="24"/>
        </w:rPr>
        <w:t xml:space="preserve">. Cluster II was found to be most important with desirable cluster means for five traits viz., LPP, PH, BY HI and SYPP while cluster I was found to be superior for PB. </w:t>
      </w:r>
      <w:r w:rsidR="003448CB" w:rsidRPr="00EA36B9">
        <w:rPr>
          <w:rFonts w:ascii="Times New Roman" w:hAnsi="Times New Roman" w:cs="Times New Roman"/>
          <w:sz w:val="24"/>
          <w:szCs w:val="24"/>
        </w:rPr>
        <w:t xml:space="preserve">Similar results were also obtained by </w:t>
      </w:r>
      <w:proofErr w:type="spellStart"/>
      <w:r w:rsidR="00061B8C" w:rsidRPr="00EA36B9">
        <w:rPr>
          <w:rFonts w:ascii="Times New Roman" w:hAnsi="Times New Roman" w:cs="Times New Roman"/>
          <w:sz w:val="24"/>
          <w:szCs w:val="24"/>
        </w:rPr>
        <w:t>LinQiong</w:t>
      </w:r>
      <w:proofErr w:type="spellEnd"/>
      <w:r w:rsidR="003448CB" w:rsidRPr="00EA36B9">
        <w:rPr>
          <w:rFonts w:ascii="Times New Roman" w:hAnsi="Times New Roman" w:cs="Times New Roman"/>
          <w:sz w:val="24"/>
          <w:szCs w:val="24"/>
        </w:rPr>
        <w:t xml:space="preserve"> et al. (2011) in </w:t>
      </w:r>
      <w:proofErr w:type="spellStart"/>
      <w:r w:rsidR="003448CB" w:rsidRPr="00EA36B9">
        <w:rPr>
          <w:rFonts w:ascii="Times New Roman" w:hAnsi="Times New Roman" w:cs="Times New Roman"/>
          <w:sz w:val="24"/>
          <w:szCs w:val="24"/>
        </w:rPr>
        <w:t>tartary</w:t>
      </w:r>
      <w:proofErr w:type="spellEnd"/>
      <w:r w:rsidR="003448CB" w:rsidRPr="00EA36B9">
        <w:rPr>
          <w:rFonts w:ascii="Times New Roman" w:hAnsi="Times New Roman" w:cs="Times New Roman"/>
          <w:sz w:val="24"/>
          <w:szCs w:val="24"/>
        </w:rPr>
        <w:t xml:space="preserve"> buckwheat.</w:t>
      </w:r>
    </w:p>
    <w:p w14:paraId="34F0418D" w14:textId="7777777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sz w:val="24"/>
          <w:szCs w:val="24"/>
        </w:rPr>
        <w:t>Fig 1 Dendrogram of 22 buckwheat genotypes constructed using Tocher’s method</w:t>
      </w:r>
    </w:p>
    <w:p w14:paraId="000F9046" w14:textId="4CFCBF63"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w:drawing>
          <wp:inline distT="0" distB="0" distL="0" distR="0" wp14:anchorId="2F0F1053" wp14:editId="645C88E6">
            <wp:extent cx="5731510" cy="4258945"/>
            <wp:effectExtent l="0" t="0" r="2540" b="8255"/>
            <wp:docPr id="1303621798" name="Picture 5" descr="A graph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58945"/>
                    </a:xfrm>
                    <a:prstGeom prst="rect">
                      <a:avLst/>
                    </a:prstGeom>
                    <a:noFill/>
                    <a:ln>
                      <a:noFill/>
                    </a:ln>
                  </pic:spPr>
                </pic:pic>
              </a:graphicData>
            </a:graphic>
          </wp:inline>
        </w:drawing>
      </w:r>
    </w:p>
    <w:p w14:paraId="701E7CEE" w14:textId="0314AC0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8F99E0" wp14:editId="12A29AAD">
                <wp:simplePos x="0" y="0"/>
                <wp:positionH relativeFrom="column">
                  <wp:posOffset>0</wp:posOffset>
                </wp:positionH>
                <wp:positionV relativeFrom="paragraph">
                  <wp:posOffset>0</wp:posOffset>
                </wp:positionV>
                <wp:extent cx="5424170" cy="706755"/>
                <wp:effectExtent l="0" t="0" r="24130" b="17145"/>
                <wp:wrapNone/>
                <wp:docPr id="170663647" name="Text Box 6"/>
                <wp:cNvGraphicFramePr/>
                <a:graphic xmlns:a="http://schemas.openxmlformats.org/drawingml/2006/main">
                  <a:graphicData uri="http://schemas.microsoft.com/office/word/2010/wordprocessingShape">
                    <wps:wsp>
                      <wps:cNvSpPr txBox="1"/>
                      <wps:spPr>
                        <a:xfrm>
                          <a:off x="0" y="0"/>
                          <a:ext cx="5423535" cy="706120"/>
                        </a:xfrm>
                        <a:prstGeom prst="rect">
                          <a:avLst/>
                        </a:prstGeom>
                        <a:solidFill>
                          <a:schemeClr val="lt1"/>
                        </a:solidFill>
                        <a:ln w="6350">
                          <a:solidFill>
                            <a:prstClr val="black"/>
                          </a:solidFill>
                        </a:ln>
                      </wps:spPr>
                      <wps:txb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3= IC 26755, 4= Sangla B 444, 5= Sangla B 214, 6=Sangla B 129, 7=Sangla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8F99E0" id="_x0000_t202" coordsize="21600,21600" o:spt="202" path="m,l,21600r21600,l21600,xe">
                <v:stroke joinstyle="miter"/>
                <v:path gradientshapeok="t" o:connecttype="rect"/>
              </v:shapetype>
              <v:shape id="Text Box 6" o:spid="_x0000_s1026" type="#_x0000_t202" style="position:absolute;left:0;text-align:left;margin-left:0;margin-top:0;width:427.1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" fillcolor="white [3201]" strokeweight=".5pt">
                <v:textbo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xml:space="preserve">, 3= IC 26755, 4= </w:t>
                      </w:r>
                      <w:proofErr w:type="spellStart"/>
                      <w:r>
                        <w:rPr>
                          <w:sz w:val="18"/>
                          <w:szCs w:val="18"/>
                        </w:rPr>
                        <w:t>Sangla</w:t>
                      </w:r>
                      <w:proofErr w:type="spellEnd"/>
                      <w:r>
                        <w:rPr>
                          <w:sz w:val="18"/>
                          <w:szCs w:val="18"/>
                        </w:rPr>
                        <w:t xml:space="preserve"> B 444, 5= </w:t>
                      </w:r>
                      <w:proofErr w:type="spellStart"/>
                      <w:r>
                        <w:rPr>
                          <w:sz w:val="18"/>
                          <w:szCs w:val="18"/>
                        </w:rPr>
                        <w:t>Sangla</w:t>
                      </w:r>
                      <w:proofErr w:type="spellEnd"/>
                      <w:r>
                        <w:rPr>
                          <w:sz w:val="18"/>
                          <w:szCs w:val="18"/>
                        </w:rPr>
                        <w:t xml:space="preserve"> B 214, 6=</w:t>
                      </w:r>
                      <w:proofErr w:type="spellStart"/>
                      <w:r>
                        <w:rPr>
                          <w:sz w:val="18"/>
                          <w:szCs w:val="18"/>
                        </w:rPr>
                        <w:t>Sangla</w:t>
                      </w:r>
                      <w:proofErr w:type="spellEnd"/>
                      <w:r>
                        <w:rPr>
                          <w:sz w:val="18"/>
                          <w:szCs w:val="18"/>
                        </w:rPr>
                        <w:t xml:space="preserve"> B 129, 7=</w:t>
                      </w:r>
                      <w:proofErr w:type="spellStart"/>
                      <w:r>
                        <w:rPr>
                          <w:sz w:val="18"/>
                          <w:szCs w:val="18"/>
                        </w:rPr>
                        <w:t>Sangla</w:t>
                      </w:r>
                      <w:proofErr w:type="spellEnd"/>
                      <w:r>
                        <w:rPr>
                          <w:sz w:val="18"/>
                          <w:szCs w:val="18"/>
                        </w:rPr>
                        <w:t xml:space="preserve">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v:textbox>
              </v:shape>
            </w:pict>
          </mc:Fallback>
        </mc:AlternateContent>
      </w:r>
    </w:p>
    <w:p w14:paraId="3E3CC860" w14:textId="77777777" w:rsidR="00626D89" w:rsidRPr="00EA36B9" w:rsidRDefault="00626D89" w:rsidP="000349DC">
      <w:pPr>
        <w:jc w:val="both"/>
        <w:rPr>
          <w:rFonts w:ascii="Times New Roman" w:hAnsi="Times New Roman" w:cs="Times New Roman"/>
          <w:sz w:val="24"/>
          <w:szCs w:val="24"/>
        </w:rPr>
      </w:pPr>
    </w:p>
    <w:p w14:paraId="674A7C12" w14:textId="77777777" w:rsidR="00C16459" w:rsidRPr="00EA36B9" w:rsidRDefault="00C16459" w:rsidP="00C16459">
      <w:pPr>
        <w:jc w:val="both"/>
        <w:rPr>
          <w:rFonts w:ascii="Times New Roman" w:hAnsi="Times New Roman" w:cs="Times New Roman"/>
          <w:sz w:val="24"/>
          <w:szCs w:val="24"/>
        </w:rPr>
      </w:pPr>
    </w:p>
    <w:p w14:paraId="2F86A8DD"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6. Average intra and inter cluster distances of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among clusters</w:t>
      </w:r>
    </w:p>
    <w:tbl>
      <w:tblPr>
        <w:tblStyle w:val="TableGrid"/>
        <w:tblW w:w="0" w:type="auto"/>
        <w:tblLook w:val="04A0" w:firstRow="1" w:lastRow="0" w:firstColumn="1" w:lastColumn="0" w:noHBand="0" w:noVBand="1"/>
      </w:tblPr>
      <w:tblGrid>
        <w:gridCol w:w="3006"/>
        <w:gridCol w:w="3005"/>
        <w:gridCol w:w="3005"/>
      </w:tblGrid>
      <w:tr w:rsidR="00C16459" w:rsidRPr="00EA36B9" w14:paraId="1B5ED212" w14:textId="77777777" w:rsidTr="00C16459">
        <w:tc>
          <w:tcPr>
            <w:tcW w:w="3006" w:type="dxa"/>
            <w:tcBorders>
              <w:top w:val="single" w:sz="4" w:space="0" w:color="auto"/>
              <w:left w:val="single" w:sz="4" w:space="0" w:color="auto"/>
              <w:bottom w:val="single" w:sz="4" w:space="0" w:color="auto"/>
              <w:right w:val="single" w:sz="4" w:space="0" w:color="auto"/>
            </w:tcBorders>
          </w:tcPr>
          <w:p w14:paraId="5C08F67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14:paraId="5EE3CD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461EA1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r>
      <w:tr w:rsidR="00C16459" w:rsidRPr="00EA36B9" w14:paraId="0AD0ECF4"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1FADC2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800DB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20.33</w:t>
            </w:r>
          </w:p>
        </w:tc>
        <w:tc>
          <w:tcPr>
            <w:tcW w:w="3005" w:type="dxa"/>
            <w:tcBorders>
              <w:top w:val="single" w:sz="4" w:space="0" w:color="auto"/>
              <w:left w:val="single" w:sz="4" w:space="0" w:color="auto"/>
              <w:bottom w:val="single" w:sz="4" w:space="0" w:color="auto"/>
              <w:right w:val="single" w:sz="4" w:space="0" w:color="auto"/>
            </w:tcBorders>
            <w:hideMark/>
          </w:tcPr>
          <w:p w14:paraId="03F9377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r>
      <w:tr w:rsidR="00C16459" w:rsidRPr="00EA36B9" w14:paraId="7261FE0C"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0C1F0CA2"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3005" w:type="dxa"/>
            <w:tcBorders>
              <w:top w:val="single" w:sz="4" w:space="0" w:color="auto"/>
              <w:left w:val="single" w:sz="4" w:space="0" w:color="auto"/>
              <w:bottom w:val="single" w:sz="4" w:space="0" w:color="auto"/>
              <w:right w:val="single" w:sz="4" w:space="0" w:color="auto"/>
            </w:tcBorders>
            <w:hideMark/>
          </w:tcPr>
          <w:p w14:paraId="1E345AF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c>
          <w:tcPr>
            <w:tcW w:w="3005" w:type="dxa"/>
            <w:tcBorders>
              <w:top w:val="single" w:sz="4" w:space="0" w:color="auto"/>
              <w:left w:val="single" w:sz="4" w:space="0" w:color="auto"/>
              <w:bottom w:val="single" w:sz="4" w:space="0" w:color="auto"/>
              <w:right w:val="single" w:sz="4" w:space="0" w:color="auto"/>
            </w:tcBorders>
            <w:hideMark/>
          </w:tcPr>
          <w:p w14:paraId="5992DE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r>
    </w:tbl>
    <w:p w14:paraId="345BF7D0" w14:textId="77777777" w:rsidR="00C16459" w:rsidRPr="00EA36B9" w:rsidRDefault="00C16459" w:rsidP="00C16459">
      <w:pPr>
        <w:jc w:val="both"/>
        <w:rPr>
          <w:rFonts w:ascii="Times New Roman" w:hAnsi="Times New Roman" w:cs="Times New Roman"/>
          <w:sz w:val="24"/>
          <w:szCs w:val="24"/>
        </w:rPr>
      </w:pPr>
    </w:p>
    <w:p w14:paraId="473EBE4E"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7. Mean cluster values for different traits of buckwheat</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16459" w:rsidRPr="00EA36B9" w14:paraId="617E8ADC" w14:textId="77777777" w:rsidTr="00C16459">
        <w:tc>
          <w:tcPr>
            <w:tcW w:w="1288" w:type="dxa"/>
            <w:tcBorders>
              <w:top w:val="single" w:sz="4" w:space="0" w:color="auto"/>
              <w:left w:val="single" w:sz="4" w:space="0" w:color="auto"/>
              <w:bottom w:val="single" w:sz="4" w:space="0" w:color="auto"/>
              <w:right w:val="single" w:sz="4" w:space="0" w:color="auto"/>
            </w:tcBorders>
          </w:tcPr>
          <w:p w14:paraId="4D1784B6"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14:paraId="1A4B13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4D43AFE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288" w:type="dxa"/>
            <w:tcBorders>
              <w:top w:val="single" w:sz="4" w:space="0" w:color="auto"/>
              <w:left w:val="single" w:sz="4" w:space="0" w:color="auto"/>
              <w:bottom w:val="single" w:sz="4" w:space="0" w:color="auto"/>
              <w:right w:val="single" w:sz="4" w:space="0" w:color="auto"/>
            </w:tcBorders>
            <w:hideMark/>
          </w:tcPr>
          <w:p w14:paraId="38C1457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699266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288" w:type="dxa"/>
            <w:tcBorders>
              <w:top w:val="single" w:sz="4" w:space="0" w:color="auto"/>
              <w:left w:val="single" w:sz="4" w:space="0" w:color="auto"/>
              <w:bottom w:val="single" w:sz="4" w:space="0" w:color="auto"/>
              <w:right w:val="single" w:sz="4" w:space="0" w:color="auto"/>
            </w:tcBorders>
            <w:hideMark/>
          </w:tcPr>
          <w:p w14:paraId="30857DF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0C3ED50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6163BD9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EA211A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Group 1</w:t>
            </w:r>
          </w:p>
        </w:tc>
        <w:tc>
          <w:tcPr>
            <w:tcW w:w="1288" w:type="dxa"/>
            <w:tcBorders>
              <w:top w:val="single" w:sz="4" w:space="0" w:color="auto"/>
              <w:left w:val="single" w:sz="4" w:space="0" w:color="auto"/>
              <w:bottom w:val="single" w:sz="4" w:space="0" w:color="auto"/>
              <w:right w:val="single" w:sz="4" w:space="0" w:color="auto"/>
            </w:tcBorders>
            <w:hideMark/>
          </w:tcPr>
          <w:p w14:paraId="3A8C3D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26.43</w:t>
            </w:r>
          </w:p>
        </w:tc>
        <w:tc>
          <w:tcPr>
            <w:tcW w:w="1288" w:type="dxa"/>
            <w:tcBorders>
              <w:top w:val="single" w:sz="4" w:space="0" w:color="auto"/>
              <w:left w:val="single" w:sz="4" w:space="0" w:color="auto"/>
              <w:bottom w:val="single" w:sz="4" w:space="0" w:color="auto"/>
              <w:right w:val="single" w:sz="4" w:space="0" w:color="auto"/>
            </w:tcBorders>
            <w:hideMark/>
          </w:tcPr>
          <w:p w14:paraId="312FF2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w:t>
            </w:r>
          </w:p>
        </w:tc>
        <w:tc>
          <w:tcPr>
            <w:tcW w:w="1288" w:type="dxa"/>
            <w:tcBorders>
              <w:top w:val="single" w:sz="4" w:space="0" w:color="auto"/>
              <w:left w:val="single" w:sz="4" w:space="0" w:color="auto"/>
              <w:bottom w:val="single" w:sz="4" w:space="0" w:color="auto"/>
              <w:right w:val="single" w:sz="4" w:space="0" w:color="auto"/>
            </w:tcBorders>
            <w:hideMark/>
          </w:tcPr>
          <w:p w14:paraId="177157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85.75</w:t>
            </w:r>
          </w:p>
        </w:tc>
        <w:tc>
          <w:tcPr>
            <w:tcW w:w="1288" w:type="dxa"/>
            <w:tcBorders>
              <w:top w:val="single" w:sz="4" w:space="0" w:color="auto"/>
              <w:left w:val="single" w:sz="4" w:space="0" w:color="auto"/>
              <w:bottom w:val="single" w:sz="4" w:space="0" w:color="auto"/>
              <w:right w:val="single" w:sz="4" w:space="0" w:color="auto"/>
            </w:tcBorders>
            <w:hideMark/>
          </w:tcPr>
          <w:p w14:paraId="722F72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11.37</w:t>
            </w:r>
          </w:p>
        </w:tc>
        <w:tc>
          <w:tcPr>
            <w:tcW w:w="1288" w:type="dxa"/>
            <w:tcBorders>
              <w:top w:val="single" w:sz="4" w:space="0" w:color="auto"/>
              <w:left w:val="single" w:sz="4" w:space="0" w:color="auto"/>
              <w:bottom w:val="single" w:sz="4" w:space="0" w:color="auto"/>
              <w:right w:val="single" w:sz="4" w:space="0" w:color="auto"/>
            </w:tcBorders>
            <w:hideMark/>
          </w:tcPr>
          <w:p w14:paraId="213A1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25.49</w:t>
            </w:r>
          </w:p>
        </w:tc>
        <w:tc>
          <w:tcPr>
            <w:tcW w:w="1288" w:type="dxa"/>
            <w:tcBorders>
              <w:top w:val="single" w:sz="4" w:space="0" w:color="auto"/>
              <w:left w:val="single" w:sz="4" w:space="0" w:color="auto"/>
              <w:bottom w:val="single" w:sz="4" w:space="0" w:color="auto"/>
              <w:right w:val="single" w:sz="4" w:space="0" w:color="auto"/>
            </w:tcBorders>
            <w:hideMark/>
          </w:tcPr>
          <w:p w14:paraId="4D58C3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8.45</w:t>
            </w:r>
          </w:p>
        </w:tc>
      </w:tr>
      <w:tr w:rsidR="00C16459" w:rsidRPr="00EA36B9" w14:paraId="7404E90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A6D2D4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1288" w:type="dxa"/>
            <w:tcBorders>
              <w:top w:val="single" w:sz="4" w:space="0" w:color="auto"/>
              <w:left w:val="single" w:sz="4" w:space="0" w:color="auto"/>
              <w:bottom w:val="single" w:sz="4" w:space="0" w:color="auto"/>
              <w:right w:val="single" w:sz="4" w:space="0" w:color="auto"/>
            </w:tcBorders>
            <w:hideMark/>
          </w:tcPr>
          <w:p w14:paraId="596F24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hideMark/>
          </w:tcPr>
          <w:p w14:paraId="17E2EFA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hideMark/>
          </w:tcPr>
          <w:p w14:paraId="781018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hideMark/>
          </w:tcPr>
          <w:p w14:paraId="1C76C0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hideMark/>
          </w:tcPr>
          <w:p w14:paraId="12BA2C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hideMark/>
          </w:tcPr>
          <w:p w14:paraId="0B59184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bl>
    <w:p w14:paraId="0F865738" w14:textId="77777777" w:rsidR="00702E3B" w:rsidRPr="00EA36B9" w:rsidRDefault="00702E3B" w:rsidP="000349DC">
      <w:pPr>
        <w:jc w:val="both"/>
        <w:rPr>
          <w:rFonts w:ascii="Times New Roman" w:hAnsi="Times New Roman" w:cs="Times New Roman"/>
          <w:b/>
          <w:bCs/>
          <w:sz w:val="24"/>
          <w:szCs w:val="24"/>
        </w:rPr>
      </w:pPr>
    </w:p>
    <w:p w14:paraId="4771A060" w14:textId="2FCCC807" w:rsidR="00FD532A" w:rsidRPr="00EA36B9" w:rsidRDefault="00FD532A"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Conclusions</w:t>
      </w:r>
      <w:r w:rsidR="00702E3B" w:rsidRPr="00EA36B9">
        <w:rPr>
          <w:rFonts w:ascii="Times New Roman" w:hAnsi="Times New Roman" w:cs="Times New Roman"/>
          <w:b/>
          <w:bCs/>
          <w:sz w:val="24"/>
          <w:szCs w:val="24"/>
        </w:rPr>
        <w:t>:</w:t>
      </w:r>
    </w:p>
    <w:p w14:paraId="3D9A58DA" w14:textId="77777777"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The present study successfully revealed significant genetic diversity among the evaluated genotypes of Tartary buckwheat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cold-arid region of Kinnaur, Himachal Pradesh. Using </w:t>
      </w:r>
      <w:proofErr w:type="spellStart"/>
      <w:r w:rsidRPr="00EA36B9">
        <w:rPr>
          <w:rFonts w:ascii="Times New Roman" w:hAnsi="Times New Roman" w:cs="Times New Roman"/>
          <w:sz w:val="24"/>
          <w:szCs w:val="24"/>
          <w:lang w:val="en-IN"/>
        </w:rPr>
        <w:t>Mahalanobis</w:t>
      </w:r>
      <w:proofErr w:type="spellEnd"/>
      <w:r w:rsidRPr="00EA36B9">
        <w:rPr>
          <w:rFonts w:ascii="Times New Roman" w:hAnsi="Times New Roman" w:cs="Times New Roman"/>
          <w:sz w:val="24"/>
          <w:szCs w:val="24"/>
          <w:lang w:val="en-IN"/>
        </w:rPr>
        <w:t xml:space="preserve"> D² statistics, the genotypes were grouped into distinct clusters, highlighting the existence of substantial genetic variability, which can be effectively utilized in future breeding programs. The traits contributing most to the genetic divergence were plant height, </w:t>
      </w:r>
      <w:commentRangeStart w:id="15"/>
      <w:r w:rsidRPr="00EA36B9">
        <w:rPr>
          <w:rFonts w:ascii="Times New Roman" w:hAnsi="Times New Roman" w:cs="Times New Roman"/>
          <w:sz w:val="24"/>
          <w:szCs w:val="24"/>
          <w:lang w:val="en-IN"/>
        </w:rPr>
        <w:t>grain yield per plant, and 1000-seed weight</w:t>
      </w:r>
      <w:commentRangeEnd w:id="15"/>
      <w:r w:rsidR="00412654">
        <w:rPr>
          <w:rStyle w:val="CommentReference"/>
        </w:rPr>
        <w:commentReference w:id="15"/>
      </w:r>
      <w:r w:rsidRPr="00EA36B9">
        <w:rPr>
          <w:rFonts w:ascii="Times New Roman" w:hAnsi="Times New Roman" w:cs="Times New Roman"/>
          <w:sz w:val="24"/>
          <w:szCs w:val="24"/>
          <w:lang w:val="en-IN"/>
        </w:rPr>
        <w:t>, indicating their importance for selection.</w:t>
      </w:r>
    </w:p>
    <w:p w14:paraId="654F7DDB" w14:textId="77777777"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Trait association analysis suggested that grain yield was positively correlated with key agronomic traits, which can be strategically targeted to enhance overall productivity. The results underline the potential of specific diverse genotypes as parents for hybridization to exploit heterosis and develop high-yielding cultivars suitable for the unique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-climatic conditions of the region.</w:t>
      </w:r>
    </w:p>
    <w:p w14:paraId="1358132C" w14:textId="441CD2B1" w:rsidR="00FD532A"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This research emphasizes the importance of conserving and utilizing local landraces of buckwheat for sustainable crop improvement, especially in ecologically fragile hill regions like Kinnaur.</w:t>
      </w:r>
    </w:p>
    <w:p w14:paraId="7722ECD2" w14:textId="4754CFC2" w:rsidR="009933F2" w:rsidRPr="00EA36B9" w:rsidRDefault="009933F2" w:rsidP="000349DC">
      <w:pPr>
        <w:jc w:val="both"/>
        <w:rPr>
          <w:rFonts w:ascii="Times New Roman" w:hAnsi="Times New Roman" w:cs="Times New Roman"/>
          <w:sz w:val="24"/>
          <w:szCs w:val="24"/>
        </w:rPr>
      </w:pPr>
      <w:r w:rsidRPr="00EA36B9">
        <w:rPr>
          <w:rFonts w:ascii="Times New Roman" w:hAnsi="Times New Roman" w:cs="Times New Roman"/>
          <w:b/>
          <w:bCs/>
          <w:sz w:val="24"/>
          <w:szCs w:val="24"/>
        </w:rPr>
        <w:t>References</w:t>
      </w:r>
    </w:p>
    <w:p w14:paraId="21B12D7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commentRangeStart w:id="16"/>
      <w:r w:rsidRPr="00EA36B9">
        <w:rPr>
          <w:rFonts w:ascii="Times New Roman" w:hAnsi="Times New Roman" w:cs="Times New Roman"/>
          <w:sz w:val="24"/>
          <w:szCs w:val="24"/>
        </w:rPr>
        <w:t>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H. A., Miller, P. A., &amp; Robinson, H. F. (1958). Genotypic and environmental variances and covariances in an upland cotton cross of interspecific origin1. Agronomy Journal, 50(10), 633–636. </w:t>
      </w:r>
      <w:hyperlink r:id="rId13" w:history="1">
        <w:r w:rsidRPr="00EA36B9">
          <w:rPr>
            <w:rStyle w:val="Hyperlink"/>
            <w:rFonts w:ascii="Times New Roman" w:hAnsi="Times New Roman" w:cs="Times New Roman"/>
            <w:sz w:val="24"/>
            <w:szCs w:val="24"/>
          </w:rPr>
          <w:t>https://doi.org/10.2134/agronj1958.00021962005000100020x</w:t>
        </w:r>
      </w:hyperlink>
      <w:commentRangeEnd w:id="16"/>
      <w:r w:rsidR="00412654">
        <w:rPr>
          <w:rStyle w:val="CommentReference"/>
        </w:rPr>
        <w:commentReference w:id="16"/>
      </w:r>
      <w:r w:rsidRPr="00EA36B9">
        <w:rPr>
          <w:rFonts w:ascii="Times New Roman" w:hAnsi="Times New Roman" w:cs="Times New Roman"/>
          <w:sz w:val="24"/>
          <w:szCs w:val="24"/>
        </w:rPr>
        <w:t xml:space="preserve"> </w:t>
      </w:r>
    </w:p>
    <w:p w14:paraId="25297C2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Aubert, L., Decamps, C., Jacquemin, G., &amp; Quinet, M. (2021). Comparison of Plant Morphology, Yield and Nutritional Quality of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r w:rsidRPr="00EA36B9">
        <w:rPr>
          <w:rFonts w:ascii="Times New Roman" w:hAnsi="Times New Roman" w:cs="Times New Roman"/>
          <w:i/>
          <w:iCs/>
          <w:sz w:val="24"/>
          <w:szCs w:val="24"/>
        </w:rPr>
        <w:t>esculentum</w:t>
      </w:r>
      <w:r w:rsidRPr="00EA36B9">
        <w:rPr>
          <w:rFonts w:ascii="Times New Roman" w:hAnsi="Times New Roman" w:cs="Times New Roman"/>
          <w:sz w:val="24"/>
          <w:szCs w:val="24"/>
        </w:rPr>
        <w:t xml:space="preserve"> and Fagopyrum </w:t>
      </w:r>
      <w:proofErr w:type="spellStart"/>
      <w:r w:rsidRPr="00EA36B9">
        <w:rPr>
          <w:rFonts w:ascii="Times New Roman" w:hAnsi="Times New Roman" w:cs="Times New Roman"/>
          <w:sz w:val="24"/>
          <w:szCs w:val="24"/>
        </w:rPr>
        <w:t>tataricum</w:t>
      </w:r>
      <w:proofErr w:type="spellEnd"/>
      <w:r w:rsidRPr="00EA36B9">
        <w:rPr>
          <w:rFonts w:ascii="Times New Roman" w:hAnsi="Times New Roman" w:cs="Times New Roman"/>
          <w:sz w:val="24"/>
          <w:szCs w:val="24"/>
        </w:rPr>
        <w:t xml:space="preserve"> Grown under Field Conditions in Belgium. Plants, 10(2), 258. </w:t>
      </w:r>
      <w:hyperlink r:id="rId14" w:history="1">
        <w:r w:rsidRPr="00EA36B9">
          <w:rPr>
            <w:rStyle w:val="Hyperlink"/>
            <w:rFonts w:ascii="Times New Roman" w:hAnsi="Times New Roman" w:cs="Times New Roman"/>
            <w:sz w:val="24"/>
            <w:szCs w:val="24"/>
          </w:rPr>
          <w:t>https://doi.org/10.3390/plants10020258</w:t>
        </w:r>
      </w:hyperlink>
    </w:p>
    <w:p w14:paraId="438DBDA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Bhardwaj, N., &amp; Kaur, J. (2020). Strategies for in situ conservation and cultivation of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spp.) A potential pseudocereal of North Western Himalayas. Himachal Journal of Agricultural Research, 46(1): 13-21.</w:t>
      </w:r>
    </w:p>
    <w:p w14:paraId="2FB1EB2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Bisht, A. S., Bhatt, A., &amp; Singh, P. (2018). Studies on variability, correlation and path coefficient analysis for seed yield in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r w:rsidRPr="00EA36B9">
        <w:rPr>
          <w:rFonts w:ascii="Times New Roman" w:hAnsi="Times New Roman" w:cs="Times New Roman"/>
          <w:i/>
          <w:iCs/>
          <w:sz w:val="24"/>
          <w:szCs w:val="24"/>
        </w:rPr>
        <w:t>esculentum</w:t>
      </w:r>
      <w:r w:rsidRPr="00EA36B9">
        <w:rPr>
          <w:rFonts w:ascii="Times New Roman" w:hAnsi="Times New Roman" w:cs="Times New Roman"/>
          <w:sz w:val="24"/>
          <w:szCs w:val="24"/>
        </w:rPr>
        <w:t xml:space="preserve"> Moench) germplasm. Journal of Pharmacognosy and Phytochemistry, 7, 35–39. </w:t>
      </w:r>
      <w:hyperlink r:id="rId15" w:history="1">
        <w:r w:rsidRPr="00EA36B9">
          <w:rPr>
            <w:rStyle w:val="Hyperlink"/>
            <w:rFonts w:ascii="Times New Roman" w:hAnsi="Times New Roman" w:cs="Times New Roman"/>
            <w:sz w:val="24"/>
            <w:szCs w:val="24"/>
          </w:rPr>
          <w:t>https://www.phytojournal.com/archives/2018/vol7issue5S/PartA/SP-7-5-10-965.pdf</w:t>
        </w:r>
      </w:hyperlink>
      <w:r w:rsidRPr="00EA36B9">
        <w:rPr>
          <w:rFonts w:ascii="Times New Roman" w:hAnsi="Times New Roman" w:cs="Times New Roman"/>
          <w:sz w:val="24"/>
          <w:szCs w:val="24"/>
        </w:rPr>
        <w:t xml:space="preserve">   </w:t>
      </w:r>
    </w:p>
    <w:p w14:paraId="57968963"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Burton, G. W., &amp; DeVane, E. H. (1953). Estimating Heritability in Tall Fescue (</w:t>
      </w:r>
      <w:r w:rsidRPr="00EA36B9">
        <w:rPr>
          <w:rFonts w:ascii="Times New Roman" w:hAnsi="Times New Roman" w:cs="Times New Roman"/>
          <w:i/>
          <w:iCs/>
          <w:sz w:val="24"/>
          <w:szCs w:val="24"/>
        </w:rPr>
        <w:t>Festuca Arundinacea</w:t>
      </w:r>
      <w:r w:rsidRPr="00EA36B9">
        <w:rPr>
          <w:rFonts w:ascii="Times New Roman" w:hAnsi="Times New Roman" w:cs="Times New Roman"/>
          <w:sz w:val="24"/>
          <w:szCs w:val="24"/>
        </w:rPr>
        <w:t xml:space="preserve">) from Replicated Clonal Material1. Agronomy Journal, 45(10), 478–481. </w:t>
      </w:r>
      <w:hyperlink r:id="rId16" w:history="1">
        <w:r w:rsidRPr="00EA36B9">
          <w:rPr>
            <w:rStyle w:val="Hyperlink"/>
            <w:rFonts w:ascii="Times New Roman" w:hAnsi="Times New Roman" w:cs="Times New Roman"/>
            <w:sz w:val="24"/>
            <w:szCs w:val="24"/>
          </w:rPr>
          <w:t>https://doi.org/10.2134/agronj1953.00021962004500100005x</w:t>
        </w:r>
      </w:hyperlink>
      <w:r w:rsidRPr="00EA36B9">
        <w:rPr>
          <w:rFonts w:ascii="Times New Roman" w:hAnsi="Times New Roman" w:cs="Times New Roman"/>
          <w:sz w:val="24"/>
          <w:szCs w:val="24"/>
        </w:rPr>
        <w:t xml:space="preserve">   </w:t>
      </w:r>
    </w:p>
    <w:p w14:paraId="4521757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Campbell, C. (1995). Inter-specific hybridization in the genus Fagopyrum. In: Proc. 6</w:t>
      </w:r>
      <w:r w:rsidRPr="00EA36B9">
        <w:rPr>
          <w:rFonts w:ascii="Times New Roman" w:hAnsi="Times New Roman" w:cs="Times New Roman"/>
          <w:sz w:val="24"/>
          <w:szCs w:val="24"/>
          <w:vertAlign w:val="superscript"/>
        </w:rPr>
        <w:t>th</w:t>
      </w:r>
      <w:r w:rsidRPr="00EA36B9">
        <w:rPr>
          <w:rFonts w:ascii="Times New Roman" w:hAnsi="Times New Roman" w:cs="Times New Roman"/>
          <w:sz w:val="24"/>
          <w:szCs w:val="24"/>
        </w:rPr>
        <w:t xml:space="preserve"> International Symposium on Buckwheat. Ina, Japan. Pp. 255-263.</w:t>
      </w:r>
    </w:p>
    <w:p w14:paraId="2FA4B358"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commentRangeStart w:id="17"/>
      <w:r w:rsidRPr="00EA36B9">
        <w:rPr>
          <w:rFonts w:ascii="Times New Roman" w:hAnsi="Times New Roman" w:cs="Times New Roman"/>
          <w:sz w:val="24"/>
          <w:szCs w:val="24"/>
        </w:rPr>
        <w:lastRenderedPageBreak/>
        <w:t>Deshmukh, S.N., Basu, M.S., &amp; Reddy, P.S. (1986). Genetic variability, character association and path analysis of quantitative traits in Virginia bunch varieties of groundnut. Indian Journal of Agriculture Science 56: 816-821.</w:t>
      </w:r>
      <w:commentRangeEnd w:id="17"/>
      <w:r w:rsidR="00412654">
        <w:rPr>
          <w:rStyle w:val="CommentReference"/>
        </w:rPr>
        <w:commentReference w:id="17"/>
      </w:r>
    </w:p>
    <w:p w14:paraId="5C8111A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Dutta, M., Yadav, V.K., </w:t>
      </w:r>
      <w:proofErr w:type="spellStart"/>
      <w:r w:rsidRPr="00EA36B9">
        <w:rPr>
          <w:rFonts w:ascii="Times New Roman" w:hAnsi="Times New Roman" w:cs="Times New Roman"/>
          <w:sz w:val="24"/>
          <w:szCs w:val="24"/>
        </w:rPr>
        <w:t>Bandyopadhya</w:t>
      </w:r>
      <w:proofErr w:type="spellEnd"/>
      <w:r w:rsidRPr="00EA36B9">
        <w:rPr>
          <w:rFonts w:ascii="Times New Roman" w:hAnsi="Times New Roman" w:cs="Times New Roman"/>
          <w:sz w:val="24"/>
          <w:szCs w:val="24"/>
        </w:rPr>
        <w:t xml:space="preserve">, B.B., Pratap, T., &amp; Prasad, R. (2008). Genetic variability and path analysis in buckwheat. </w:t>
      </w:r>
      <w:proofErr w:type="spellStart"/>
      <w:r w:rsidRPr="00EA36B9">
        <w:rPr>
          <w:rFonts w:ascii="Times New Roman" w:hAnsi="Times New Roman" w:cs="Times New Roman"/>
          <w:sz w:val="24"/>
          <w:szCs w:val="24"/>
        </w:rPr>
        <w:t>Pantnagar</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JRes</w:t>
      </w:r>
      <w:proofErr w:type="spellEnd"/>
      <w:r w:rsidRPr="00EA36B9">
        <w:rPr>
          <w:rFonts w:ascii="Times New Roman" w:hAnsi="Times New Roman" w:cs="Times New Roman"/>
          <w:sz w:val="24"/>
          <w:szCs w:val="24"/>
        </w:rPr>
        <w:t>. 6(2):23-8</w:t>
      </w:r>
    </w:p>
    <w:p w14:paraId="5E8E457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Fehr, W.R. (1987). Heritability. Principles of cultivar development, 1, pp 95-105.</w:t>
      </w:r>
    </w:p>
    <w:p w14:paraId="130B1F34"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rPr>
        <w:t xml:space="preserve">Johnson, H. W., Robinson, H. F., &amp; Comstock, R. E. (1955). Estimates of genetic and environmental variability in soybeans1. Agronomy Journal, 47(7), 314–318. </w:t>
      </w:r>
      <w:hyperlink r:id="rId17" w:history="1">
        <w:r w:rsidRPr="00EA36B9">
          <w:rPr>
            <w:rStyle w:val="Hyperlink"/>
            <w:rFonts w:ascii="Times New Roman" w:hAnsi="Times New Roman" w:cs="Times New Roman"/>
            <w:sz w:val="24"/>
            <w:szCs w:val="24"/>
          </w:rPr>
          <w:t>https://doi.org/10.2134/agronj1955.00021962004700070009x</w:t>
        </w:r>
      </w:hyperlink>
      <w:r w:rsidRPr="00EA36B9">
        <w:rPr>
          <w:rFonts w:ascii="Times New Roman" w:hAnsi="Times New Roman" w:cs="Times New Roman"/>
          <w:sz w:val="24"/>
          <w:szCs w:val="24"/>
        </w:rPr>
        <w:t xml:space="preserve"> </w:t>
      </w:r>
    </w:p>
    <w:p w14:paraId="2CB8B9E0"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Joshi, B.D., &amp; Rana, J.C. (1997). Genetic divergence in buckwheat. Indian Journal of Agriculture Sciences, 67: 30-32.</w:t>
      </w:r>
    </w:p>
    <w:p w14:paraId="45BF91C1"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Kapoor, S., Sood, S., </w:t>
      </w:r>
      <w:proofErr w:type="spellStart"/>
      <w:r w:rsidRPr="00EA36B9">
        <w:rPr>
          <w:rFonts w:ascii="Times New Roman" w:hAnsi="Times New Roman" w:cs="Times New Roman"/>
          <w:sz w:val="24"/>
          <w:szCs w:val="24"/>
          <w:lang w:val="en-IN"/>
        </w:rPr>
        <w:t>Jayaswall</w:t>
      </w:r>
      <w:proofErr w:type="spellEnd"/>
      <w:r w:rsidRPr="00EA36B9">
        <w:rPr>
          <w:rFonts w:ascii="Times New Roman" w:hAnsi="Times New Roman" w:cs="Times New Roman"/>
          <w:sz w:val="24"/>
          <w:szCs w:val="24"/>
          <w:lang w:val="en-IN"/>
        </w:rPr>
        <w:t xml:space="preserve">, K., Sood, V. K., Kumar, N., Sood, T., Jayaswal, D., &amp; Sood, V. (2024). Deciphering genetic diversity and population structure of onion (Allium cepa L.) using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molecular markers. </w:t>
      </w:r>
      <w:r w:rsidRPr="00EA36B9">
        <w:rPr>
          <w:rFonts w:ascii="Times New Roman" w:hAnsi="Times New Roman" w:cs="Times New Roman"/>
          <w:i/>
          <w:iCs/>
          <w:sz w:val="24"/>
          <w:szCs w:val="24"/>
          <w:lang w:val="en-IN"/>
        </w:rPr>
        <w:t>Horticulture Environment and Biotechnology</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66</w:t>
      </w:r>
      <w:r w:rsidRPr="00EA36B9">
        <w:rPr>
          <w:rFonts w:ascii="Times New Roman" w:hAnsi="Times New Roman" w:cs="Times New Roman"/>
          <w:sz w:val="24"/>
          <w:szCs w:val="24"/>
          <w:lang w:val="en-IN"/>
        </w:rPr>
        <w:t xml:space="preserve">(1), 149–162. </w:t>
      </w:r>
      <w:hyperlink r:id="rId18" w:history="1">
        <w:r w:rsidRPr="00EA36B9">
          <w:rPr>
            <w:rStyle w:val="Hyperlink"/>
            <w:rFonts w:ascii="Times New Roman" w:hAnsi="Times New Roman" w:cs="Times New Roman"/>
            <w:sz w:val="24"/>
            <w:szCs w:val="24"/>
            <w:lang w:val="en-IN"/>
          </w:rPr>
          <w:t>https://doi.org/10.1007/s13580-024-00644-0</w:t>
        </w:r>
      </w:hyperlink>
      <w:r w:rsidRPr="00EA36B9">
        <w:rPr>
          <w:rFonts w:ascii="Times New Roman" w:hAnsi="Times New Roman" w:cs="Times New Roman"/>
          <w:sz w:val="24"/>
          <w:szCs w:val="24"/>
          <w:lang w:val="en-IN"/>
        </w:rPr>
        <w:t xml:space="preserve"> </w:t>
      </w:r>
    </w:p>
    <w:p w14:paraId="6147689C"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Kumar, P., &amp; Hazarika, M. (2020). Application of correlation analysis in conventional plant breeding and genome wide association mapping. International Journal of Current Microbiology and Applied Sciences 9(8):3372–3375. </w:t>
      </w:r>
      <w:hyperlink r:id="rId19" w:history="1">
        <w:r w:rsidRPr="00EA36B9">
          <w:rPr>
            <w:rStyle w:val="Hyperlink"/>
            <w:rFonts w:ascii="Times New Roman" w:hAnsi="Times New Roman" w:cs="Times New Roman"/>
            <w:sz w:val="24"/>
            <w:szCs w:val="24"/>
          </w:rPr>
          <w:t>https://doi.org/10.20546/ijcmas.2020.908.389</w:t>
        </w:r>
      </w:hyperlink>
      <w:r w:rsidRPr="00EA36B9">
        <w:rPr>
          <w:rFonts w:ascii="Times New Roman" w:hAnsi="Times New Roman" w:cs="Times New Roman"/>
          <w:sz w:val="24"/>
          <w:szCs w:val="24"/>
        </w:rPr>
        <w:t xml:space="preserve"> </w:t>
      </w:r>
    </w:p>
    <w:p w14:paraId="0B851E2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LinQiong</w:t>
      </w:r>
      <w:proofErr w:type="spellEnd"/>
      <w:r w:rsidRPr="00EA36B9">
        <w:rPr>
          <w:rFonts w:ascii="Times New Roman" w:hAnsi="Times New Roman" w:cs="Times New Roman"/>
          <w:sz w:val="24"/>
          <w:szCs w:val="24"/>
        </w:rPr>
        <w:t xml:space="preserve">, D., Kui, Z., </w:t>
      </w:r>
      <w:proofErr w:type="spellStart"/>
      <w:r w:rsidRPr="00EA36B9">
        <w:rPr>
          <w:rFonts w:ascii="Times New Roman" w:hAnsi="Times New Roman" w:cs="Times New Roman"/>
          <w:sz w:val="24"/>
          <w:szCs w:val="24"/>
        </w:rPr>
        <w:t>KaiFeng</w:t>
      </w:r>
      <w:proofErr w:type="spellEnd"/>
      <w:r w:rsidRPr="00EA36B9">
        <w:rPr>
          <w:rFonts w:ascii="Times New Roman" w:hAnsi="Times New Roman" w:cs="Times New Roman"/>
          <w:sz w:val="24"/>
          <w:szCs w:val="24"/>
        </w:rPr>
        <w:t xml:space="preserve">, H., &amp; </w:t>
      </w:r>
      <w:proofErr w:type="spellStart"/>
      <w:r w:rsidRPr="00EA36B9">
        <w:rPr>
          <w:rFonts w:ascii="Times New Roman" w:hAnsi="Times New Roman" w:cs="Times New Roman"/>
          <w:sz w:val="24"/>
          <w:szCs w:val="24"/>
        </w:rPr>
        <w:t>QingFu</w:t>
      </w:r>
      <w:proofErr w:type="spellEnd"/>
      <w:r w:rsidRPr="00EA36B9">
        <w:rPr>
          <w:rFonts w:ascii="Times New Roman" w:hAnsi="Times New Roman" w:cs="Times New Roman"/>
          <w:sz w:val="24"/>
          <w:szCs w:val="24"/>
        </w:rPr>
        <w:t xml:space="preserve">, C. (2011). RAPD analysis for genetic diversity of nineteen common and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varieties. Agricultural Science and Technology Hunan, 12(1), 65–69. </w:t>
      </w:r>
      <w:hyperlink r:id="rId20" w:history="1">
        <w:r w:rsidRPr="00EA36B9">
          <w:rPr>
            <w:rStyle w:val="Hyperlink"/>
            <w:rFonts w:ascii="Times New Roman" w:hAnsi="Times New Roman" w:cs="Times New Roman"/>
            <w:sz w:val="24"/>
            <w:szCs w:val="24"/>
          </w:rPr>
          <w:t>https://en.cnki.com.cn/Article_en/CJFDTotal-AHNY201115028.htm</w:t>
        </w:r>
      </w:hyperlink>
      <w:r w:rsidRPr="00EA36B9">
        <w:rPr>
          <w:rFonts w:ascii="Times New Roman" w:hAnsi="Times New Roman" w:cs="Times New Roman"/>
          <w:sz w:val="24"/>
          <w:szCs w:val="24"/>
        </w:rPr>
        <w:t xml:space="preserve">  </w:t>
      </w:r>
    </w:p>
    <w:p w14:paraId="0CE2DD8B"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P.C. (1936). On the Generalized Distance in Statistics. Proceedings of Indian National Science Academy. 2, 49–55.</w:t>
      </w:r>
    </w:p>
    <w:p w14:paraId="7659DE6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Panse, V.G., &amp;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P.V. (1984). Statistical methods for agricultural workers, 3</w:t>
      </w:r>
      <w:r w:rsidRPr="00EA36B9">
        <w:rPr>
          <w:rFonts w:ascii="Times New Roman" w:hAnsi="Times New Roman" w:cs="Times New Roman"/>
          <w:sz w:val="24"/>
          <w:szCs w:val="24"/>
          <w:vertAlign w:val="superscript"/>
        </w:rPr>
        <w:t>rd</w:t>
      </w:r>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edn</w:t>
      </w:r>
      <w:proofErr w:type="spellEnd"/>
      <w:r w:rsidRPr="00EA36B9">
        <w:rPr>
          <w:rFonts w:ascii="Times New Roman" w:hAnsi="Times New Roman" w:cs="Times New Roman"/>
          <w:sz w:val="24"/>
          <w:szCs w:val="24"/>
        </w:rPr>
        <w:t>. Indian Council of Agricultural Research, New Delhi, 359</w:t>
      </w:r>
    </w:p>
    <w:p w14:paraId="70B53AFA"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proofErr w:type="spellStart"/>
      <w:r w:rsidRPr="00EA36B9">
        <w:rPr>
          <w:rFonts w:ascii="Times New Roman" w:hAnsi="Times New Roman" w:cs="Times New Roman"/>
          <w:sz w:val="24"/>
          <w:szCs w:val="24"/>
          <w:lang w:val="en-IN"/>
        </w:rPr>
        <w:t>Papaiahgari</w:t>
      </w:r>
      <w:proofErr w:type="spellEnd"/>
      <w:r w:rsidRPr="00EA36B9">
        <w:rPr>
          <w:rFonts w:ascii="Times New Roman" w:hAnsi="Times New Roman" w:cs="Times New Roman"/>
          <w:sz w:val="24"/>
          <w:szCs w:val="24"/>
          <w:lang w:val="en-IN"/>
        </w:rPr>
        <w:t xml:space="preserve">, R., Sahi, V. P., </w:t>
      </w:r>
      <w:proofErr w:type="spellStart"/>
      <w:r w:rsidRPr="00EA36B9">
        <w:rPr>
          <w:rFonts w:ascii="Times New Roman" w:hAnsi="Times New Roman" w:cs="Times New Roman"/>
          <w:sz w:val="24"/>
          <w:szCs w:val="24"/>
          <w:lang w:val="en-IN"/>
        </w:rPr>
        <w:t>Kongari</w:t>
      </w:r>
      <w:proofErr w:type="spellEnd"/>
      <w:r w:rsidRPr="00EA36B9">
        <w:rPr>
          <w:rFonts w:ascii="Times New Roman" w:hAnsi="Times New Roman" w:cs="Times New Roman"/>
          <w:sz w:val="24"/>
          <w:szCs w:val="24"/>
          <w:lang w:val="en-IN"/>
        </w:rPr>
        <w:t>, S., &amp; Nalla, S. (2023). Correlation and Path Coefficient Analysis for Yield and Its Related Traits in Buckwheat (</w:t>
      </w:r>
      <w:r w:rsidRPr="00EA36B9">
        <w:rPr>
          <w:rFonts w:ascii="Times New Roman" w:hAnsi="Times New Roman" w:cs="Times New Roman"/>
          <w:i/>
          <w:iCs/>
          <w:sz w:val="24"/>
          <w:szCs w:val="24"/>
          <w:lang w:val="en-IN"/>
        </w:rPr>
        <w:t>Fagopyrum esculentum</w:t>
      </w:r>
      <w:r w:rsidRPr="00EA36B9">
        <w:rPr>
          <w:rFonts w:ascii="Times New Roman" w:hAnsi="Times New Roman" w:cs="Times New Roman"/>
          <w:sz w:val="24"/>
          <w:szCs w:val="24"/>
          <w:lang w:val="en-IN"/>
        </w:rPr>
        <w:t xml:space="preserve"> Moench). </w:t>
      </w:r>
      <w:r w:rsidRPr="00EA36B9">
        <w:rPr>
          <w:rFonts w:ascii="Times New Roman" w:hAnsi="Times New Roman" w:cs="Times New Roman"/>
          <w:i/>
          <w:iCs/>
          <w:sz w:val="24"/>
          <w:szCs w:val="24"/>
          <w:lang w:val="en-IN"/>
        </w:rPr>
        <w:t>International Journal of Plant &amp; Soil Science</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35</w:t>
      </w:r>
      <w:r w:rsidRPr="00EA36B9">
        <w:rPr>
          <w:rFonts w:ascii="Times New Roman" w:hAnsi="Times New Roman" w:cs="Times New Roman"/>
          <w:sz w:val="24"/>
          <w:szCs w:val="24"/>
          <w:lang w:val="en-IN"/>
        </w:rPr>
        <w:t xml:space="preserve">(5), 147–155. </w:t>
      </w:r>
      <w:hyperlink r:id="rId21" w:history="1">
        <w:r w:rsidRPr="00EA36B9">
          <w:rPr>
            <w:rStyle w:val="Hyperlink"/>
            <w:rFonts w:ascii="Times New Roman" w:hAnsi="Times New Roman" w:cs="Times New Roman"/>
            <w:sz w:val="24"/>
            <w:szCs w:val="24"/>
            <w:lang w:val="en-IN"/>
          </w:rPr>
          <w:t>https://doi.org/10.9734/ijpss/2023/v35i52832</w:t>
        </w:r>
      </w:hyperlink>
      <w:r w:rsidRPr="00EA36B9">
        <w:rPr>
          <w:rFonts w:ascii="Times New Roman" w:hAnsi="Times New Roman" w:cs="Times New Roman"/>
          <w:sz w:val="24"/>
          <w:szCs w:val="24"/>
          <w:lang w:val="en-IN"/>
        </w:rPr>
        <w:t xml:space="preserve"> </w:t>
      </w:r>
    </w:p>
    <w:p w14:paraId="73A47FE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Prasad, S. (2022). Correlation and regression. In: Elementary statistical methods, Springer, Singapore, pp 241–279. </w:t>
      </w:r>
      <w:hyperlink r:id="rId22" w:history="1">
        <w:r w:rsidRPr="00EA36B9">
          <w:rPr>
            <w:rStyle w:val="Hyperlink"/>
            <w:rFonts w:ascii="Times New Roman" w:hAnsi="Times New Roman" w:cs="Times New Roman"/>
            <w:sz w:val="24"/>
            <w:szCs w:val="24"/>
          </w:rPr>
          <w:t>https://doi.org/10.1007/978-981-19-0596-4_5</w:t>
        </w:r>
      </w:hyperlink>
      <w:r w:rsidRPr="00EA36B9">
        <w:rPr>
          <w:rFonts w:ascii="Times New Roman" w:hAnsi="Times New Roman" w:cs="Times New Roman"/>
          <w:sz w:val="24"/>
          <w:szCs w:val="24"/>
        </w:rPr>
        <w:t xml:space="preserve"> </w:t>
      </w:r>
    </w:p>
    <w:p w14:paraId="08CACCB5"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Rao, C.R. (1952). Advanced Statistical Methods in Biometric Research. John Wiley and Sons, New York, pp. 45–110.</w:t>
      </w:r>
    </w:p>
    <w:p w14:paraId="671BF9D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Sood, V.K., Sood, R., Sharma, S., Singh, V. and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Genetic diversity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t>
      </w:r>
      <w:r w:rsidRPr="00EA36B9">
        <w:rPr>
          <w:rFonts w:ascii="Times New Roman" w:hAnsi="Times New Roman" w:cs="Times New Roman"/>
          <w:i/>
          <w:iCs/>
          <w:sz w:val="24"/>
          <w:szCs w:val="24"/>
        </w:rPr>
        <w:t xml:space="preserve">Fagopyrum </w:t>
      </w:r>
      <w:proofErr w:type="spellStart"/>
      <w:r w:rsidRPr="00EA36B9">
        <w:rPr>
          <w:rFonts w:ascii="Times New Roman" w:hAnsi="Times New Roman" w:cs="Times New Roman"/>
          <w:i/>
          <w:iCs/>
          <w:sz w:val="24"/>
          <w:szCs w:val="24"/>
        </w:rPr>
        <w:t>tataricum</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Gaertn</w:t>
      </w:r>
      <w:proofErr w:type="spellEnd"/>
      <w:r w:rsidRPr="00EA36B9">
        <w:rPr>
          <w:rFonts w:ascii="Times New Roman" w:hAnsi="Times New Roman" w:cs="Times New Roman"/>
          <w:sz w:val="24"/>
          <w:szCs w:val="24"/>
        </w:rPr>
        <w:t>.) genotypes based on cluster and principal component analysis in Organic Agriculture. Himachal Journal of Agricultural Research, 50(1): 29-37</w:t>
      </w:r>
    </w:p>
    <w:p w14:paraId="374DA9BE" w14:textId="77777777" w:rsidR="00702E3B" w:rsidRPr="00EA36B9" w:rsidRDefault="00702E3B" w:rsidP="002C5837">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Thakur, C., Sanu, K., &amp;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Buckwheat: Rediscovering the forgotten super food. In: Millets a strive towards a sustainable future, eds Singh, V., Sood, R., Sanu, K.,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G., Singh, I.P., &amp; Reddy, U.G. Publish my work, New Delhi, India, pp 202-20.</w:t>
      </w:r>
    </w:p>
    <w:p w14:paraId="3975ADAC"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rPr>
        <w:lastRenderedPageBreak/>
        <w:t xml:space="preserve">Sood, T., Sood, S., Sood, V. K., &amp; Kumar, N. (2025). Unlocking genetic potential, trait associations, and molecular confirmation of bacterial wilt resistance in bell pepper. Molecular Biology Reports, 52(1). </w:t>
      </w:r>
      <w:hyperlink r:id="rId23" w:history="1">
        <w:r w:rsidRPr="00EA36B9">
          <w:rPr>
            <w:rStyle w:val="Hyperlink"/>
            <w:rFonts w:ascii="Times New Roman" w:hAnsi="Times New Roman" w:cs="Times New Roman"/>
            <w:sz w:val="24"/>
            <w:szCs w:val="24"/>
          </w:rPr>
          <w:t>https://doi.org/10.1007/s11033-025-10571-7</w:t>
        </w:r>
      </w:hyperlink>
    </w:p>
    <w:p w14:paraId="72947C8B"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Sood, T., Sood, S., Sood, V., </w:t>
      </w:r>
      <w:proofErr w:type="spellStart"/>
      <w:r w:rsidRPr="00EA36B9">
        <w:rPr>
          <w:rFonts w:ascii="Times New Roman" w:hAnsi="Times New Roman" w:cs="Times New Roman"/>
          <w:sz w:val="24"/>
          <w:szCs w:val="24"/>
          <w:lang w:val="en-IN"/>
        </w:rPr>
        <w:t>Badiyal</w:t>
      </w:r>
      <w:proofErr w:type="spellEnd"/>
      <w:r w:rsidRPr="00EA36B9">
        <w:rPr>
          <w:rFonts w:ascii="Times New Roman" w:hAnsi="Times New Roman" w:cs="Times New Roman"/>
          <w:sz w:val="24"/>
          <w:szCs w:val="24"/>
          <w:lang w:val="en-IN"/>
        </w:rPr>
        <w:t>, A., Anuradha, N., Kapoor, S., Sood, V., &amp; Kumar, N. (2023). Characterisation of bell pepper (</w:t>
      </w:r>
      <w:r w:rsidRPr="00EA36B9">
        <w:rPr>
          <w:rFonts w:ascii="Times New Roman" w:hAnsi="Times New Roman" w:cs="Times New Roman"/>
          <w:i/>
          <w:iCs/>
          <w:sz w:val="24"/>
          <w:szCs w:val="24"/>
          <w:lang w:val="en-IN"/>
        </w:rPr>
        <w:t>Capsicum annuum</w:t>
      </w:r>
      <w:r w:rsidRPr="00EA36B9">
        <w:rPr>
          <w:rFonts w:ascii="Times New Roman" w:hAnsi="Times New Roman" w:cs="Times New Roman"/>
          <w:sz w:val="24"/>
          <w:szCs w:val="24"/>
          <w:lang w:val="en-IN"/>
        </w:rPr>
        <w:t xml:space="preserve"> L. var. </w:t>
      </w:r>
      <w:r w:rsidRPr="00EA36B9">
        <w:rPr>
          <w:rFonts w:ascii="Times New Roman" w:hAnsi="Times New Roman" w:cs="Times New Roman"/>
          <w:i/>
          <w:iCs/>
          <w:sz w:val="24"/>
          <w:szCs w:val="24"/>
          <w:lang w:val="en-IN"/>
        </w:rPr>
        <w:t>grossum</w:t>
      </w:r>
      <w:r w:rsidRPr="00EA36B9">
        <w:rPr>
          <w:rFonts w:ascii="Times New Roman" w:hAnsi="Times New Roman" w:cs="Times New Roman"/>
          <w:sz w:val="24"/>
          <w:szCs w:val="24"/>
          <w:lang w:val="en-IN"/>
        </w:rPr>
        <w:t xml:space="preserve"> </w:t>
      </w:r>
      <w:proofErr w:type="spellStart"/>
      <w:r w:rsidRPr="00EA36B9">
        <w:rPr>
          <w:rFonts w:ascii="Times New Roman" w:hAnsi="Times New Roman" w:cs="Times New Roman"/>
          <w:sz w:val="24"/>
          <w:szCs w:val="24"/>
          <w:lang w:val="en-IN"/>
        </w:rPr>
        <w:t>Sendt</w:t>
      </w:r>
      <w:proofErr w:type="spellEnd"/>
      <w:r w:rsidRPr="00EA36B9">
        <w:rPr>
          <w:rFonts w:ascii="Times New Roman" w:hAnsi="Times New Roman" w:cs="Times New Roman"/>
          <w:sz w:val="24"/>
          <w:szCs w:val="24"/>
          <w:lang w:val="en-IN"/>
        </w:rPr>
        <w:t xml:space="preserve">.) accessions for genetic diversity and population structure based on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microsatellite markers. </w:t>
      </w:r>
      <w:r w:rsidRPr="00EA36B9">
        <w:rPr>
          <w:rFonts w:ascii="Times New Roman" w:hAnsi="Times New Roman" w:cs="Times New Roman"/>
          <w:i/>
          <w:iCs/>
          <w:sz w:val="24"/>
          <w:szCs w:val="24"/>
          <w:lang w:val="en-IN"/>
        </w:rPr>
        <w:t xml:space="preserve">Scientia </w:t>
      </w:r>
      <w:proofErr w:type="spellStart"/>
      <w:r w:rsidRPr="00EA36B9">
        <w:rPr>
          <w:rFonts w:ascii="Times New Roman" w:hAnsi="Times New Roman" w:cs="Times New Roman"/>
          <w:i/>
          <w:iCs/>
          <w:sz w:val="24"/>
          <w:szCs w:val="24"/>
          <w:lang w:val="en-IN"/>
        </w:rPr>
        <w:t>Horticulturae</w:t>
      </w:r>
      <w:proofErr w:type="spellEnd"/>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321</w:t>
      </w:r>
      <w:r w:rsidRPr="00EA36B9">
        <w:rPr>
          <w:rFonts w:ascii="Times New Roman" w:hAnsi="Times New Roman" w:cs="Times New Roman"/>
          <w:sz w:val="24"/>
          <w:szCs w:val="24"/>
          <w:lang w:val="en-IN"/>
        </w:rPr>
        <w:t xml:space="preserve">, 112308. </w:t>
      </w:r>
      <w:hyperlink r:id="rId24" w:history="1">
        <w:r w:rsidRPr="00EA36B9">
          <w:rPr>
            <w:rStyle w:val="Hyperlink"/>
            <w:rFonts w:ascii="Times New Roman" w:hAnsi="Times New Roman" w:cs="Times New Roman"/>
            <w:sz w:val="24"/>
            <w:szCs w:val="24"/>
            <w:lang w:val="en-IN"/>
          </w:rPr>
          <w:t>https://doi.org/10.1016/j.scienta.2023.112308</w:t>
        </w:r>
      </w:hyperlink>
      <w:r w:rsidRPr="00EA36B9">
        <w:rPr>
          <w:rFonts w:ascii="Times New Roman" w:hAnsi="Times New Roman" w:cs="Times New Roman"/>
          <w:sz w:val="24"/>
          <w:szCs w:val="24"/>
          <w:lang w:val="en-IN"/>
        </w:rPr>
        <w:t xml:space="preserve"> </w:t>
      </w:r>
    </w:p>
    <w:p w14:paraId="457AD143"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Sowmya, S.A., Vijayakumar, B., Vishwanath, Y.C., </w:t>
      </w:r>
      <w:proofErr w:type="spellStart"/>
      <w:r w:rsidRPr="00EA36B9">
        <w:rPr>
          <w:rFonts w:ascii="Times New Roman" w:hAnsi="Times New Roman" w:cs="Times New Roman"/>
          <w:sz w:val="24"/>
          <w:szCs w:val="24"/>
        </w:rPr>
        <w:t>Ganiger</w:t>
      </w:r>
      <w:proofErr w:type="spellEnd"/>
      <w:r w:rsidRPr="00EA36B9">
        <w:rPr>
          <w:rFonts w:ascii="Times New Roman" w:hAnsi="Times New Roman" w:cs="Times New Roman"/>
          <w:sz w:val="24"/>
          <w:szCs w:val="24"/>
        </w:rPr>
        <w:t>, V.M., Hegde, L., Lokesh, M.S. (2021). Evaluation of buckwheat (</w:t>
      </w:r>
      <w:r w:rsidRPr="00EA36B9">
        <w:rPr>
          <w:rFonts w:ascii="Times New Roman" w:hAnsi="Times New Roman" w:cs="Times New Roman"/>
          <w:i/>
          <w:iCs/>
          <w:sz w:val="24"/>
          <w:szCs w:val="24"/>
        </w:rPr>
        <w:t>Fagopyrum esculentum</w:t>
      </w:r>
      <w:r w:rsidRPr="00EA36B9">
        <w:rPr>
          <w:rFonts w:ascii="Times New Roman" w:hAnsi="Times New Roman" w:cs="Times New Roman"/>
          <w:sz w:val="24"/>
          <w:szCs w:val="24"/>
        </w:rPr>
        <w:t xml:space="preserve"> Moench.) genotypes under northern dry zone of Karnataka, The Pharma Innovation Journal, 10(12):1974-9 </w:t>
      </w:r>
    </w:p>
    <w:sectPr w:rsidR="00702E3B" w:rsidRPr="00EA36B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Nidhi Dubey" w:date="2025-06-19T09:21:00Z" w:initials="DD">
    <w:p w14:paraId="1754EEF5" w14:textId="77777777" w:rsidR="009C61FC" w:rsidRDefault="009C61FC" w:rsidP="009C61FC">
      <w:pPr>
        <w:pStyle w:val="CommentText"/>
      </w:pPr>
      <w:r>
        <w:rPr>
          <w:rStyle w:val="CommentReference"/>
        </w:rPr>
        <w:annotationRef/>
      </w:r>
      <w:r>
        <w:t>traits</w:t>
      </w:r>
    </w:p>
  </w:comment>
  <w:comment w:id="1" w:author="Dr. Nidhi Dubey" w:date="2025-06-19T14:49:00Z" w:initials="DD">
    <w:p w14:paraId="1E72A9D7" w14:textId="77777777" w:rsidR="00133E36" w:rsidRDefault="00133E36" w:rsidP="00133E36">
      <w:pPr>
        <w:pStyle w:val="CommentText"/>
      </w:pPr>
      <w:r>
        <w:rPr>
          <w:rStyle w:val="CommentReference"/>
        </w:rPr>
        <w:annotationRef/>
      </w:r>
      <w:r>
        <w:t>This trait is not mentioned under the heading of material and methods. Uniformity in the nomenclature of traits is to be carefully checked</w:t>
      </w:r>
    </w:p>
  </w:comment>
  <w:comment w:id="2" w:author="Dr. Nidhi Dubey" w:date="2025-06-19T14:41:00Z" w:initials="DD">
    <w:p w14:paraId="26BFDB43" w14:textId="2C4E707B" w:rsidR="00133E36" w:rsidRDefault="00133E36" w:rsidP="00133E36">
      <w:pPr>
        <w:pStyle w:val="CommentText"/>
      </w:pPr>
      <w:r>
        <w:rPr>
          <w:rStyle w:val="CommentReference"/>
        </w:rPr>
        <w:annotationRef/>
      </w:r>
      <w:r>
        <w:t>Rephrasing is required</w:t>
      </w:r>
    </w:p>
  </w:comment>
  <w:comment w:id="3" w:author="Dr. Nidhi Dubey" w:date="2025-06-19T14:42:00Z" w:initials="DD">
    <w:p w14:paraId="73F40CDC" w14:textId="77777777" w:rsidR="00133E36" w:rsidRDefault="00133E36" w:rsidP="00133E36">
      <w:pPr>
        <w:pStyle w:val="CommentText"/>
      </w:pPr>
      <w:r>
        <w:rPr>
          <w:rStyle w:val="CommentReference"/>
        </w:rPr>
        <w:annotationRef/>
      </w:r>
      <w:r>
        <w:t>Rephrasing is required</w:t>
      </w:r>
    </w:p>
  </w:comment>
  <w:comment w:id="4" w:author="Dr. Nidhi Dubey" w:date="2025-06-19T14:43:00Z" w:initials="DD">
    <w:p w14:paraId="3BD36114" w14:textId="77777777" w:rsidR="00133E36" w:rsidRDefault="00133E36" w:rsidP="00133E36">
      <w:pPr>
        <w:pStyle w:val="CommentText"/>
      </w:pPr>
      <w:r>
        <w:rPr>
          <w:rStyle w:val="CommentReference"/>
        </w:rPr>
        <w:annotationRef/>
      </w:r>
      <w:r>
        <w:t>Source is missing</w:t>
      </w:r>
    </w:p>
  </w:comment>
  <w:comment w:id="5" w:author="Dr. Nidhi Dubey" w:date="2025-06-19T15:11:00Z" w:initials="DD">
    <w:p w14:paraId="30FA0975" w14:textId="77777777" w:rsidR="008716F0" w:rsidRDefault="008716F0" w:rsidP="008716F0">
      <w:pPr>
        <w:pStyle w:val="CommentText"/>
      </w:pPr>
      <w:r>
        <w:rPr>
          <w:rStyle w:val="CommentReference"/>
        </w:rPr>
        <w:annotationRef/>
      </w:r>
      <w:r>
        <w:t>Trait uniformity to be checked carefully at some places primary branches is mentioned and at some places primary branches per plant is written</w:t>
      </w:r>
    </w:p>
  </w:comment>
  <w:comment w:id="6" w:author="Dr. Nidhi Dubey" w:date="2025-06-19T15:11:00Z" w:initials="DD">
    <w:p w14:paraId="154E79F5" w14:textId="77777777" w:rsidR="00363E92" w:rsidRDefault="00363E92" w:rsidP="00363E92">
      <w:pPr>
        <w:pStyle w:val="CommentText"/>
      </w:pPr>
      <w:r>
        <w:rPr>
          <w:rStyle w:val="CommentReference"/>
        </w:rPr>
        <w:annotationRef/>
      </w:r>
      <w:r>
        <w:t>It should be was in place of were</w:t>
      </w:r>
    </w:p>
  </w:comment>
  <w:comment w:id="7" w:author="Dr. Nidhi Dubey" w:date="2025-06-19T15:16:00Z" w:initials="DD">
    <w:p w14:paraId="65594AA9" w14:textId="77777777" w:rsidR="00363E92" w:rsidRDefault="00363E92" w:rsidP="00363E92">
      <w:pPr>
        <w:pStyle w:val="CommentText"/>
      </w:pPr>
      <w:r>
        <w:rPr>
          <w:rStyle w:val="CommentReference"/>
        </w:rPr>
        <w:annotationRef/>
      </w:r>
      <w:r>
        <w:t>Need to include initial and full form to be added after each table</w:t>
      </w:r>
    </w:p>
  </w:comment>
  <w:comment w:id="8" w:author="Dr. Nidhi Dubey" w:date="2025-06-19T15:20:00Z" w:initials="DD">
    <w:p w14:paraId="716948CF" w14:textId="77777777" w:rsidR="00363E92" w:rsidRDefault="00363E92" w:rsidP="00363E92">
      <w:pPr>
        <w:pStyle w:val="CommentText"/>
      </w:pPr>
      <w:r>
        <w:rPr>
          <w:rStyle w:val="CommentReference"/>
        </w:rPr>
        <w:annotationRef/>
      </w:r>
      <w:r>
        <w:t xml:space="preserve">Below this row maximum and minimum value for each trait can be added before mean value. Description of minimun value is missing. </w:t>
      </w:r>
    </w:p>
  </w:comment>
  <w:comment w:id="9" w:author="Dr. Nidhi Dubey" w:date="2025-06-19T15:17:00Z" w:initials="DD">
    <w:p w14:paraId="21E86165" w14:textId="451A0B6A" w:rsidR="00363E92" w:rsidRDefault="00363E92" w:rsidP="00363E92">
      <w:pPr>
        <w:pStyle w:val="CommentText"/>
      </w:pPr>
      <w:r>
        <w:rPr>
          <w:rStyle w:val="CommentReference"/>
        </w:rPr>
        <w:annotationRef/>
      </w:r>
      <w:r>
        <w:t>Description missing for CV and CD in the result</w:t>
      </w:r>
    </w:p>
  </w:comment>
  <w:comment w:id="10" w:author="Dr. Nidhi Dubey" w:date="2025-06-19T15:21:00Z" w:initials="DD">
    <w:p w14:paraId="1334C2D8" w14:textId="77777777" w:rsidR="00363E92" w:rsidRDefault="00363E92" w:rsidP="00363E92">
      <w:pPr>
        <w:pStyle w:val="CommentText"/>
      </w:pPr>
      <w:r>
        <w:rPr>
          <w:rStyle w:val="CommentReference"/>
        </w:rPr>
        <w:annotationRef/>
      </w:r>
      <w:r>
        <w:t>This to be removed from here and added to Table 3 as mentioned in the above comment</w:t>
      </w:r>
    </w:p>
  </w:comment>
  <w:comment w:id="11" w:author="Dr. Nidhi Dubey" w:date="2025-06-19T15:25:00Z" w:initials="DD">
    <w:p w14:paraId="27B51C99" w14:textId="77777777" w:rsidR="0041602B" w:rsidRDefault="0041602B" w:rsidP="0041602B">
      <w:pPr>
        <w:pStyle w:val="CommentText"/>
      </w:pPr>
      <w:r>
        <w:rPr>
          <w:rStyle w:val="CommentReference"/>
        </w:rPr>
        <w:annotationRef/>
      </w:r>
      <w:r>
        <w:t>Either use initials or full form of traits in the complete manuscript (avoid mix forms)</w:t>
      </w:r>
    </w:p>
  </w:comment>
  <w:comment w:id="12" w:author="Dr. Nidhi Dubey" w:date="2025-06-19T15:26:00Z" w:initials="DD">
    <w:p w14:paraId="7E44EC8B" w14:textId="77777777" w:rsidR="0041602B" w:rsidRDefault="0041602B" w:rsidP="0041602B">
      <w:pPr>
        <w:pStyle w:val="CommentText"/>
      </w:pPr>
      <w:r>
        <w:rPr>
          <w:rStyle w:val="CommentReference"/>
        </w:rPr>
        <w:annotationRef/>
      </w:r>
      <w:r>
        <w:t>It should be “for” in place of are</w:t>
      </w:r>
    </w:p>
  </w:comment>
  <w:comment w:id="13" w:author="Dr. Nidhi Dubey" w:date="2025-06-19T15:36:00Z" w:initials="DD">
    <w:p w14:paraId="2B883048" w14:textId="77777777" w:rsidR="008E5265" w:rsidRDefault="008E5265" w:rsidP="008E5265">
      <w:pPr>
        <w:pStyle w:val="CommentText"/>
      </w:pPr>
      <w:r>
        <w:rPr>
          <w:rStyle w:val="CommentReference"/>
        </w:rPr>
        <w:annotationRef/>
      </w:r>
      <w:r>
        <w:t>Need to elaborate for improvement of discussion part</w:t>
      </w:r>
    </w:p>
  </w:comment>
  <w:comment w:id="14" w:author="Dr. Nidhi Dubey" w:date="2025-06-19T15:37:00Z" w:initials="DD">
    <w:p w14:paraId="105C09C9" w14:textId="77777777" w:rsidR="008E5265" w:rsidRDefault="008E5265" w:rsidP="008E5265">
      <w:pPr>
        <w:pStyle w:val="CommentText"/>
      </w:pPr>
      <w:r>
        <w:rPr>
          <w:rStyle w:val="CommentReference"/>
        </w:rPr>
        <w:annotationRef/>
      </w:r>
      <w:r>
        <w:t>? It is representing mean of traits</w:t>
      </w:r>
    </w:p>
  </w:comment>
  <w:comment w:id="15" w:author="Dr. Nidhi Dubey" w:date="2025-06-19T15:47:00Z" w:initials="DD">
    <w:p w14:paraId="22E06CD0" w14:textId="77777777" w:rsidR="00412654" w:rsidRDefault="00412654" w:rsidP="00412654">
      <w:pPr>
        <w:pStyle w:val="CommentText"/>
      </w:pPr>
      <w:r>
        <w:rPr>
          <w:rStyle w:val="CommentReference"/>
        </w:rPr>
        <w:annotationRef/>
      </w:r>
      <w:r>
        <w:t>Not been discussed in the entire manuscript</w:t>
      </w:r>
    </w:p>
  </w:comment>
  <w:comment w:id="16" w:author="Dr. Nidhi Dubey" w:date="2025-06-19T15:49:00Z" w:initials="DD">
    <w:p w14:paraId="4FBEB8C3" w14:textId="77777777" w:rsidR="00412654" w:rsidRDefault="00412654" w:rsidP="00412654">
      <w:pPr>
        <w:pStyle w:val="CommentText"/>
      </w:pPr>
      <w:r>
        <w:rPr>
          <w:rStyle w:val="CommentReference"/>
        </w:rPr>
        <w:annotationRef/>
      </w:r>
      <w:r>
        <w:t>Not cited in the text</w:t>
      </w:r>
    </w:p>
  </w:comment>
  <w:comment w:id="17" w:author="Dr. Nidhi Dubey" w:date="2025-06-19T15:52:00Z" w:initials="DD">
    <w:p w14:paraId="289A3A15" w14:textId="77777777" w:rsidR="00412654" w:rsidRDefault="00412654" w:rsidP="00412654">
      <w:pPr>
        <w:pStyle w:val="CommentText"/>
      </w:pPr>
      <w:r>
        <w:rPr>
          <w:rStyle w:val="CommentReference"/>
        </w:rPr>
        <w:annotationRef/>
      </w:r>
      <w:r>
        <w:t>Reference is of groundnut, if it is a cross ref kindly mention it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54EEF5" w15:done="0"/>
  <w15:commentEx w15:paraId="1E72A9D7" w15:done="0"/>
  <w15:commentEx w15:paraId="26BFDB43" w15:done="0"/>
  <w15:commentEx w15:paraId="73F40CDC" w15:done="0"/>
  <w15:commentEx w15:paraId="3BD36114" w15:done="0"/>
  <w15:commentEx w15:paraId="30FA0975" w15:done="0"/>
  <w15:commentEx w15:paraId="154E79F5" w15:done="0"/>
  <w15:commentEx w15:paraId="65594AA9" w15:done="0"/>
  <w15:commentEx w15:paraId="716948CF" w15:done="0"/>
  <w15:commentEx w15:paraId="21E86165" w15:done="0"/>
  <w15:commentEx w15:paraId="1334C2D8" w15:done="0"/>
  <w15:commentEx w15:paraId="27B51C99" w15:done="0"/>
  <w15:commentEx w15:paraId="7E44EC8B" w15:done="0"/>
  <w15:commentEx w15:paraId="2B883048" w15:done="0"/>
  <w15:commentEx w15:paraId="105C09C9" w15:done="0"/>
  <w15:commentEx w15:paraId="22E06CD0" w15:done="0"/>
  <w15:commentEx w15:paraId="4FBEB8C3" w15:done="0"/>
  <w15:commentEx w15:paraId="289A3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569BE4" w16cex:dateUtc="2025-06-19T03:51:00Z"/>
  <w16cex:commentExtensible w16cex:durableId="475D9AEE" w16cex:dateUtc="2025-06-19T09:19:00Z"/>
  <w16cex:commentExtensible w16cex:durableId="5F81F1BD" w16cex:dateUtc="2025-06-19T09:11:00Z"/>
  <w16cex:commentExtensible w16cex:durableId="52B78D8A" w16cex:dateUtc="2025-06-19T09:12:00Z"/>
  <w16cex:commentExtensible w16cex:durableId="0E19DF79" w16cex:dateUtc="2025-06-19T09:13:00Z"/>
  <w16cex:commentExtensible w16cex:durableId="525E3D4B" w16cex:dateUtc="2025-06-19T09:41:00Z"/>
  <w16cex:commentExtensible w16cex:durableId="360FA0F1" w16cex:dateUtc="2025-06-19T09:41:00Z"/>
  <w16cex:commentExtensible w16cex:durableId="3DC4EC65" w16cex:dateUtc="2025-06-19T09:46:00Z"/>
  <w16cex:commentExtensible w16cex:durableId="47654378" w16cex:dateUtc="2025-06-19T09:50:00Z"/>
  <w16cex:commentExtensible w16cex:durableId="2093725F" w16cex:dateUtc="2025-06-19T09:47:00Z"/>
  <w16cex:commentExtensible w16cex:durableId="7BDA4FDA" w16cex:dateUtc="2025-06-19T09:51:00Z"/>
  <w16cex:commentExtensible w16cex:durableId="7F5CA0B8" w16cex:dateUtc="2025-06-19T09:55:00Z"/>
  <w16cex:commentExtensible w16cex:durableId="4ADCA18E" w16cex:dateUtc="2025-06-19T09:56:00Z"/>
  <w16cex:commentExtensible w16cex:durableId="7FB68B31" w16cex:dateUtc="2025-06-19T10:06:00Z"/>
  <w16cex:commentExtensible w16cex:durableId="461978DA" w16cex:dateUtc="2025-06-19T10:07:00Z"/>
  <w16cex:commentExtensible w16cex:durableId="6EF3142C" w16cex:dateUtc="2025-06-19T10:17:00Z"/>
  <w16cex:commentExtensible w16cex:durableId="18547181" w16cex:dateUtc="2025-06-19T10:19:00Z"/>
  <w16cex:commentExtensible w16cex:durableId="65B11B9A" w16cex:dateUtc="2025-06-1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54EEF5" w16cid:durableId="23569BE4"/>
  <w16cid:commentId w16cid:paraId="1E72A9D7" w16cid:durableId="475D9AEE"/>
  <w16cid:commentId w16cid:paraId="26BFDB43" w16cid:durableId="5F81F1BD"/>
  <w16cid:commentId w16cid:paraId="73F40CDC" w16cid:durableId="52B78D8A"/>
  <w16cid:commentId w16cid:paraId="3BD36114" w16cid:durableId="0E19DF79"/>
  <w16cid:commentId w16cid:paraId="30FA0975" w16cid:durableId="525E3D4B"/>
  <w16cid:commentId w16cid:paraId="154E79F5" w16cid:durableId="360FA0F1"/>
  <w16cid:commentId w16cid:paraId="65594AA9" w16cid:durableId="3DC4EC65"/>
  <w16cid:commentId w16cid:paraId="716948CF" w16cid:durableId="47654378"/>
  <w16cid:commentId w16cid:paraId="21E86165" w16cid:durableId="2093725F"/>
  <w16cid:commentId w16cid:paraId="1334C2D8" w16cid:durableId="7BDA4FDA"/>
  <w16cid:commentId w16cid:paraId="27B51C99" w16cid:durableId="7F5CA0B8"/>
  <w16cid:commentId w16cid:paraId="7E44EC8B" w16cid:durableId="4ADCA18E"/>
  <w16cid:commentId w16cid:paraId="2B883048" w16cid:durableId="7FB68B31"/>
  <w16cid:commentId w16cid:paraId="105C09C9" w16cid:durableId="461978DA"/>
  <w16cid:commentId w16cid:paraId="22E06CD0" w16cid:durableId="6EF3142C"/>
  <w16cid:commentId w16cid:paraId="4FBEB8C3" w16cid:durableId="18547181"/>
  <w16cid:commentId w16cid:paraId="289A3A15" w16cid:durableId="65B11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D99F" w14:textId="77777777" w:rsidR="00C0018D" w:rsidRDefault="00C0018D" w:rsidP="006E10F9">
      <w:pPr>
        <w:spacing w:after="0" w:line="240" w:lineRule="auto"/>
      </w:pPr>
      <w:r>
        <w:separator/>
      </w:r>
    </w:p>
  </w:endnote>
  <w:endnote w:type="continuationSeparator" w:id="0">
    <w:p w14:paraId="4BE6BD0C" w14:textId="77777777" w:rsidR="00C0018D" w:rsidRDefault="00C0018D" w:rsidP="006E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6603" w14:textId="77777777" w:rsidR="006E10F9" w:rsidRDefault="006E1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3025" w14:textId="77777777" w:rsidR="006E10F9" w:rsidRDefault="006E1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2EF3" w14:textId="77777777" w:rsidR="006E10F9" w:rsidRDefault="006E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A429" w14:textId="77777777" w:rsidR="00C0018D" w:rsidRDefault="00C0018D" w:rsidP="006E10F9">
      <w:pPr>
        <w:spacing w:after="0" w:line="240" w:lineRule="auto"/>
      </w:pPr>
      <w:r>
        <w:separator/>
      </w:r>
    </w:p>
  </w:footnote>
  <w:footnote w:type="continuationSeparator" w:id="0">
    <w:p w14:paraId="305D867B" w14:textId="77777777" w:rsidR="00C0018D" w:rsidRDefault="00C0018D" w:rsidP="006E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9698" w14:textId="334ED24C" w:rsidR="006E10F9" w:rsidRDefault="00000000">
    <w:pPr>
      <w:pStyle w:val="Header"/>
    </w:pPr>
    <w:r>
      <w:rPr>
        <w:noProof/>
      </w:rPr>
      <w:pict w14:anchorId="7FC7E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46B9" w14:textId="490CBBD1" w:rsidR="006E10F9" w:rsidRDefault="00000000">
    <w:pPr>
      <w:pStyle w:val="Header"/>
    </w:pPr>
    <w:r>
      <w:rPr>
        <w:noProof/>
      </w:rPr>
      <w:pict w14:anchorId="3584F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2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8CEC" w14:textId="1E05A0FC" w:rsidR="006E10F9" w:rsidRDefault="00000000">
    <w:pPr>
      <w:pStyle w:val="Header"/>
    </w:pPr>
    <w:r>
      <w:rPr>
        <w:noProof/>
      </w:rPr>
      <w:pict w14:anchorId="04F7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641F"/>
    <w:multiLevelType w:val="hybridMultilevel"/>
    <w:tmpl w:val="7972A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C1E82"/>
    <w:multiLevelType w:val="hybridMultilevel"/>
    <w:tmpl w:val="3A72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53C2F"/>
    <w:multiLevelType w:val="hybridMultilevel"/>
    <w:tmpl w:val="18467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7550333">
    <w:abstractNumId w:val="1"/>
  </w:num>
  <w:num w:numId="2" w16cid:durableId="1691180249">
    <w:abstractNumId w:val="2"/>
  </w:num>
  <w:num w:numId="3" w16cid:durableId="933248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Nidhi Dubey">
    <w15:presenceInfo w15:providerId="Windows Live" w15:userId="4efd383b3834e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01"/>
    <w:rsid w:val="000349DC"/>
    <w:rsid w:val="00037FCF"/>
    <w:rsid w:val="00050FD2"/>
    <w:rsid w:val="00061B8C"/>
    <w:rsid w:val="00073730"/>
    <w:rsid w:val="00086212"/>
    <w:rsid w:val="00093328"/>
    <w:rsid w:val="000A2EEF"/>
    <w:rsid w:val="000A5DF3"/>
    <w:rsid w:val="000B4B41"/>
    <w:rsid w:val="000B63BF"/>
    <w:rsid w:val="00101BD8"/>
    <w:rsid w:val="00133E36"/>
    <w:rsid w:val="00133F95"/>
    <w:rsid w:val="00142A92"/>
    <w:rsid w:val="00164534"/>
    <w:rsid w:val="001672CC"/>
    <w:rsid w:val="001731AF"/>
    <w:rsid w:val="001A5391"/>
    <w:rsid w:val="002438C8"/>
    <w:rsid w:val="00267E94"/>
    <w:rsid w:val="00275251"/>
    <w:rsid w:val="002979E6"/>
    <w:rsid w:val="002C5837"/>
    <w:rsid w:val="002E7B87"/>
    <w:rsid w:val="002F5A4F"/>
    <w:rsid w:val="0030593E"/>
    <w:rsid w:val="003448CB"/>
    <w:rsid w:val="00363E92"/>
    <w:rsid w:val="003D3201"/>
    <w:rsid w:val="004003B6"/>
    <w:rsid w:val="00401206"/>
    <w:rsid w:val="00412654"/>
    <w:rsid w:val="0041602B"/>
    <w:rsid w:val="00440AEB"/>
    <w:rsid w:val="00452575"/>
    <w:rsid w:val="00455345"/>
    <w:rsid w:val="004825E4"/>
    <w:rsid w:val="004957C0"/>
    <w:rsid w:val="00541803"/>
    <w:rsid w:val="00552E83"/>
    <w:rsid w:val="005D56BC"/>
    <w:rsid w:val="00615AE8"/>
    <w:rsid w:val="00626D89"/>
    <w:rsid w:val="0064559D"/>
    <w:rsid w:val="00673489"/>
    <w:rsid w:val="006A785D"/>
    <w:rsid w:val="006B62FD"/>
    <w:rsid w:val="006E10F9"/>
    <w:rsid w:val="00702E3B"/>
    <w:rsid w:val="00716027"/>
    <w:rsid w:val="007416D5"/>
    <w:rsid w:val="00750125"/>
    <w:rsid w:val="007A2734"/>
    <w:rsid w:val="007B3DCA"/>
    <w:rsid w:val="007B6BF1"/>
    <w:rsid w:val="007E1919"/>
    <w:rsid w:val="00825C86"/>
    <w:rsid w:val="0083123E"/>
    <w:rsid w:val="0083292F"/>
    <w:rsid w:val="008539AD"/>
    <w:rsid w:val="0085455B"/>
    <w:rsid w:val="00865ADD"/>
    <w:rsid w:val="008716F0"/>
    <w:rsid w:val="008A2E26"/>
    <w:rsid w:val="008E5265"/>
    <w:rsid w:val="0091481E"/>
    <w:rsid w:val="00930826"/>
    <w:rsid w:val="00955409"/>
    <w:rsid w:val="00986F49"/>
    <w:rsid w:val="009872B7"/>
    <w:rsid w:val="00993245"/>
    <w:rsid w:val="009933F2"/>
    <w:rsid w:val="00997C3D"/>
    <w:rsid w:val="009C61FC"/>
    <w:rsid w:val="009E4A5A"/>
    <w:rsid w:val="009F55D6"/>
    <w:rsid w:val="00A31800"/>
    <w:rsid w:val="00A428A5"/>
    <w:rsid w:val="00A50793"/>
    <w:rsid w:val="00AA1B81"/>
    <w:rsid w:val="00AC7706"/>
    <w:rsid w:val="00AE563E"/>
    <w:rsid w:val="00AF4EA9"/>
    <w:rsid w:val="00B043AB"/>
    <w:rsid w:val="00B41077"/>
    <w:rsid w:val="00B57EF2"/>
    <w:rsid w:val="00B9369D"/>
    <w:rsid w:val="00BC3EF8"/>
    <w:rsid w:val="00C0018D"/>
    <w:rsid w:val="00C02A96"/>
    <w:rsid w:val="00C104B2"/>
    <w:rsid w:val="00C16459"/>
    <w:rsid w:val="00C45751"/>
    <w:rsid w:val="00C5520A"/>
    <w:rsid w:val="00C770CF"/>
    <w:rsid w:val="00CA6261"/>
    <w:rsid w:val="00CB130D"/>
    <w:rsid w:val="00D008D1"/>
    <w:rsid w:val="00D02B3B"/>
    <w:rsid w:val="00D52574"/>
    <w:rsid w:val="00D80066"/>
    <w:rsid w:val="00DD1484"/>
    <w:rsid w:val="00DF142C"/>
    <w:rsid w:val="00E12376"/>
    <w:rsid w:val="00E825FE"/>
    <w:rsid w:val="00EA36B9"/>
    <w:rsid w:val="00EB598F"/>
    <w:rsid w:val="00F24DD0"/>
    <w:rsid w:val="00F40B45"/>
    <w:rsid w:val="00F7053D"/>
    <w:rsid w:val="00FA5697"/>
    <w:rsid w:val="00FB161D"/>
    <w:rsid w:val="00FB21A5"/>
    <w:rsid w:val="00FC1A28"/>
    <w:rsid w:val="00FD532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23346"/>
  <w15:chartTrackingRefBased/>
  <w15:docId w15:val="{3D48BAE6-8F01-4D0F-91D4-9BF0F2CA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201"/>
    <w:rPr>
      <w:rFonts w:eastAsiaTheme="majorEastAsia" w:cstheme="majorBidi"/>
      <w:color w:val="272727" w:themeColor="text1" w:themeTint="D8"/>
    </w:rPr>
  </w:style>
  <w:style w:type="paragraph" w:styleId="Title">
    <w:name w:val="Title"/>
    <w:basedOn w:val="Normal"/>
    <w:next w:val="Normal"/>
    <w:link w:val="TitleChar"/>
    <w:uiPriority w:val="10"/>
    <w:qFormat/>
    <w:rsid w:val="003D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201"/>
    <w:pPr>
      <w:spacing w:before="160"/>
      <w:jc w:val="center"/>
    </w:pPr>
    <w:rPr>
      <w:i/>
      <w:iCs/>
      <w:color w:val="404040" w:themeColor="text1" w:themeTint="BF"/>
    </w:rPr>
  </w:style>
  <w:style w:type="character" w:customStyle="1" w:styleId="QuoteChar">
    <w:name w:val="Quote Char"/>
    <w:basedOn w:val="DefaultParagraphFont"/>
    <w:link w:val="Quote"/>
    <w:uiPriority w:val="29"/>
    <w:rsid w:val="003D3201"/>
    <w:rPr>
      <w:i/>
      <w:iCs/>
      <w:color w:val="404040" w:themeColor="text1" w:themeTint="BF"/>
    </w:rPr>
  </w:style>
  <w:style w:type="paragraph" w:styleId="ListParagraph">
    <w:name w:val="List Paragraph"/>
    <w:basedOn w:val="Normal"/>
    <w:uiPriority w:val="34"/>
    <w:qFormat/>
    <w:rsid w:val="003D3201"/>
    <w:pPr>
      <w:ind w:left="720"/>
      <w:contextualSpacing/>
    </w:pPr>
  </w:style>
  <w:style w:type="character" w:styleId="IntenseEmphasis">
    <w:name w:val="Intense Emphasis"/>
    <w:basedOn w:val="DefaultParagraphFont"/>
    <w:uiPriority w:val="21"/>
    <w:qFormat/>
    <w:rsid w:val="003D3201"/>
    <w:rPr>
      <w:i/>
      <w:iCs/>
      <w:color w:val="0F4761" w:themeColor="accent1" w:themeShade="BF"/>
    </w:rPr>
  </w:style>
  <w:style w:type="paragraph" w:styleId="IntenseQuote">
    <w:name w:val="Intense Quote"/>
    <w:basedOn w:val="Normal"/>
    <w:next w:val="Normal"/>
    <w:link w:val="IntenseQuoteChar"/>
    <w:uiPriority w:val="30"/>
    <w:qFormat/>
    <w:rsid w:val="003D3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201"/>
    <w:rPr>
      <w:i/>
      <w:iCs/>
      <w:color w:val="0F4761" w:themeColor="accent1" w:themeShade="BF"/>
    </w:rPr>
  </w:style>
  <w:style w:type="character" w:styleId="IntenseReference">
    <w:name w:val="Intense Reference"/>
    <w:basedOn w:val="DefaultParagraphFont"/>
    <w:uiPriority w:val="32"/>
    <w:qFormat/>
    <w:rsid w:val="003D3201"/>
    <w:rPr>
      <w:b/>
      <w:bCs/>
      <w:smallCaps/>
      <w:color w:val="0F4761" w:themeColor="accent1" w:themeShade="BF"/>
      <w:spacing w:val="5"/>
    </w:rPr>
  </w:style>
  <w:style w:type="character" w:styleId="Hyperlink">
    <w:name w:val="Hyperlink"/>
    <w:basedOn w:val="DefaultParagraphFont"/>
    <w:uiPriority w:val="99"/>
    <w:unhideWhenUsed/>
    <w:rsid w:val="003448CB"/>
    <w:rPr>
      <w:color w:val="467886" w:themeColor="hyperlink"/>
      <w:u w:val="single"/>
    </w:rPr>
  </w:style>
  <w:style w:type="character" w:styleId="UnresolvedMention">
    <w:name w:val="Unresolved Mention"/>
    <w:basedOn w:val="DefaultParagraphFont"/>
    <w:uiPriority w:val="99"/>
    <w:semiHidden/>
    <w:unhideWhenUsed/>
    <w:rsid w:val="003448CB"/>
    <w:rPr>
      <w:color w:val="605E5C"/>
      <w:shd w:val="clear" w:color="auto" w:fill="E1DFDD"/>
    </w:rPr>
  </w:style>
  <w:style w:type="table" w:styleId="TableGrid">
    <w:name w:val="Table Grid"/>
    <w:basedOn w:val="TableNormal"/>
    <w:uiPriority w:val="39"/>
    <w:rsid w:val="00C1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F9"/>
  </w:style>
  <w:style w:type="paragraph" w:styleId="Footer">
    <w:name w:val="footer"/>
    <w:basedOn w:val="Normal"/>
    <w:link w:val="FooterChar"/>
    <w:uiPriority w:val="99"/>
    <w:unhideWhenUsed/>
    <w:rsid w:val="006E1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F9"/>
  </w:style>
  <w:style w:type="character" w:styleId="CommentReference">
    <w:name w:val="annotation reference"/>
    <w:basedOn w:val="DefaultParagraphFont"/>
    <w:uiPriority w:val="99"/>
    <w:semiHidden/>
    <w:unhideWhenUsed/>
    <w:rsid w:val="009C61FC"/>
    <w:rPr>
      <w:sz w:val="16"/>
      <w:szCs w:val="16"/>
    </w:rPr>
  </w:style>
  <w:style w:type="paragraph" w:styleId="CommentText">
    <w:name w:val="annotation text"/>
    <w:basedOn w:val="Normal"/>
    <w:link w:val="CommentTextChar"/>
    <w:uiPriority w:val="99"/>
    <w:unhideWhenUsed/>
    <w:rsid w:val="009C61FC"/>
    <w:pPr>
      <w:spacing w:line="240" w:lineRule="auto"/>
    </w:pPr>
    <w:rPr>
      <w:sz w:val="20"/>
      <w:szCs w:val="20"/>
    </w:rPr>
  </w:style>
  <w:style w:type="character" w:customStyle="1" w:styleId="CommentTextChar">
    <w:name w:val="Comment Text Char"/>
    <w:basedOn w:val="DefaultParagraphFont"/>
    <w:link w:val="CommentText"/>
    <w:uiPriority w:val="99"/>
    <w:rsid w:val="009C61FC"/>
    <w:rPr>
      <w:sz w:val="20"/>
      <w:szCs w:val="20"/>
    </w:rPr>
  </w:style>
  <w:style w:type="paragraph" w:styleId="CommentSubject">
    <w:name w:val="annotation subject"/>
    <w:basedOn w:val="CommentText"/>
    <w:next w:val="CommentText"/>
    <w:link w:val="CommentSubjectChar"/>
    <w:uiPriority w:val="99"/>
    <w:semiHidden/>
    <w:unhideWhenUsed/>
    <w:rsid w:val="009C61FC"/>
    <w:rPr>
      <w:b/>
      <w:bCs/>
    </w:rPr>
  </w:style>
  <w:style w:type="character" w:customStyle="1" w:styleId="CommentSubjectChar">
    <w:name w:val="Comment Subject Char"/>
    <w:basedOn w:val="CommentTextChar"/>
    <w:link w:val="CommentSubject"/>
    <w:uiPriority w:val="99"/>
    <w:semiHidden/>
    <w:rsid w:val="009C6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26">
      <w:bodyDiv w:val="1"/>
      <w:marLeft w:val="0"/>
      <w:marRight w:val="0"/>
      <w:marTop w:val="0"/>
      <w:marBottom w:val="0"/>
      <w:divBdr>
        <w:top w:val="none" w:sz="0" w:space="0" w:color="auto"/>
        <w:left w:val="none" w:sz="0" w:space="0" w:color="auto"/>
        <w:bottom w:val="none" w:sz="0" w:space="0" w:color="auto"/>
        <w:right w:val="none" w:sz="0" w:space="0" w:color="auto"/>
      </w:divBdr>
    </w:div>
    <w:div w:id="50546275">
      <w:bodyDiv w:val="1"/>
      <w:marLeft w:val="0"/>
      <w:marRight w:val="0"/>
      <w:marTop w:val="0"/>
      <w:marBottom w:val="0"/>
      <w:divBdr>
        <w:top w:val="none" w:sz="0" w:space="0" w:color="auto"/>
        <w:left w:val="none" w:sz="0" w:space="0" w:color="auto"/>
        <w:bottom w:val="none" w:sz="0" w:space="0" w:color="auto"/>
        <w:right w:val="none" w:sz="0" w:space="0" w:color="auto"/>
      </w:divBdr>
    </w:div>
    <w:div w:id="137890126">
      <w:bodyDiv w:val="1"/>
      <w:marLeft w:val="0"/>
      <w:marRight w:val="0"/>
      <w:marTop w:val="0"/>
      <w:marBottom w:val="0"/>
      <w:divBdr>
        <w:top w:val="none" w:sz="0" w:space="0" w:color="auto"/>
        <w:left w:val="none" w:sz="0" w:space="0" w:color="auto"/>
        <w:bottom w:val="none" w:sz="0" w:space="0" w:color="auto"/>
        <w:right w:val="none" w:sz="0" w:space="0" w:color="auto"/>
      </w:divBdr>
      <w:divsChild>
        <w:div w:id="1022241148">
          <w:marLeft w:val="-720"/>
          <w:marRight w:val="0"/>
          <w:marTop w:val="0"/>
          <w:marBottom w:val="0"/>
          <w:divBdr>
            <w:top w:val="none" w:sz="0" w:space="0" w:color="auto"/>
            <w:left w:val="none" w:sz="0" w:space="0" w:color="auto"/>
            <w:bottom w:val="none" w:sz="0" w:space="0" w:color="auto"/>
            <w:right w:val="none" w:sz="0" w:space="0" w:color="auto"/>
          </w:divBdr>
        </w:div>
      </w:divsChild>
    </w:div>
    <w:div w:id="167601933">
      <w:bodyDiv w:val="1"/>
      <w:marLeft w:val="0"/>
      <w:marRight w:val="0"/>
      <w:marTop w:val="0"/>
      <w:marBottom w:val="0"/>
      <w:divBdr>
        <w:top w:val="none" w:sz="0" w:space="0" w:color="auto"/>
        <w:left w:val="none" w:sz="0" w:space="0" w:color="auto"/>
        <w:bottom w:val="none" w:sz="0" w:space="0" w:color="auto"/>
        <w:right w:val="none" w:sz="0" w:space="0" w:color="auto"/>
      </w:divBdr>
      <w:divsChild>
        <w:div w:id="834079081">
          <w:marLeft w:val="-720"/>
          <w:marRight w:val="0"/>
          <w:marTop w:val="0"/>
          <w:marBottom w:val="0"/>
          <w:divBdr>
            <w:top w:val="none" w:sz="0" w:space="0" w:color="auto"/>
            <w:left w:val="none" w:sz="0" w:space="0" w:color="auto"/>
            <w:bottom w:val="none" w:sz="0" w:space="0" w:color="auto"/>
            <w:right w:val="none" w:sz="0" w:space="0" w:color="auto"/>
          </w:divBdr>
        </w:div>
      </w:divsChild>
    </w:div>
    <w:div w:id="197088985">
      <w:bodyDiv w:val="1"/>
      <w:marLeft w:val="0"/>
      <w:marRight w:val="0"/>
      <w:marTop w:val="0"/>
      <w:marBottom w:val="0"/>
      <w:divBdr>
        <w:top w:val="none" w:sz="0" w:space="0" w:color="auto"/>
        <w:left w:val="none" w:sz="0" w:space="0" w:color="auto"/>
        <w:bottom w:val="none" w:sz="0" w:space="0" w:color="auto"/>
        <w:right w:val="none" w:sz="0" w:space="0" w:color="auto"/>
      </w:divBdr>
      <w:divsChild>
        <w:div w:id="1935086690">
          <w:marLeft w:val="-720"/>
          <w:marRight w:val="0"/>
          <w:marTop w:val="0"/>
          <w:marBottom w:val="0"/>
          <w:divBdr>
            <w:top w:val="none" w:sz="0" w:space="0" w:color="auto"/>
            <w:left w:val="none" w:sz="0" w:space="0" w:color="auto"/>
            <w:bottom w:val="none" w:sz="0" w:space="0" w:color="auto"/>
            <w:right w:val="none" w:sz="0" w:space="0" w:color="auto"/>
          </w:divBdr>
        </w:div>
      </w:divsChild>
    </w:div>
    <w:div w:id="405228140">
      <w:bodyDiv w:val="1"/>
      <w:marLeft w:val="0"/>
      <w:marRight w:val="0"/>
      <w:marTop w:val="0"/>
      <w:marBottom w:val="0"/>
      <w:divBdr>
        <w:top w:val="none" w:sz="0" w:space="0" w:color="auto"/>
        <w:left w:val="none" w:sz="0" w:space="0" w:color="auto"/>
        <w:bottom w:val="none" w:sz="0" w:space="0" w:color="auto"/>
        <w:right w:val="none" w:sz="0" w:space="0" w:color="auto"/>
      </w:divBdr>
    </w:div>
    <w:div w:id="415522583">
      <w:bodyDiv w:val="1"/>
      <w:marLeft w:val="0"/>
      <w:marRight w:val="0"/>
      <w:marTop w:val="0"/>
      <w:marBottom w:val="0"/>
      <w:divBdr>
        <w:top w:val="none" w:sz="0" w:space="0" w:color="auto"/>
        <w:left w:val="none" w:sz="0" w:space="0" w:color="auto"/>
        <w:bottom w:val="none" w:sz="0" w:space="0" w:color="auto"/>
        <w:right w:val="none" w:sz="0" w:space="0" w:color="auto"/>
      </w:divBdr>
      <w:divsChild>
        <w:div w:id="253588469">
          <w:marLeft w:val="-720"/>
          <w:marRight w:val="0"/>
          <w:marTop w:val="0"/>
          <w:marBottom w:val="0"/>
          <w:divBdr>
            <w:top w:val="none" w:sz="0" w:space="0" w:color="auto"/>
            <w:left w:val="none" w:sz="0" w:space="0" w:color="auto"/>
            <w:bottom w:val="none" w:sz="0" w:space="0" w:color="auto"/>
            <w:right w:val="none" w:sz="0" w:space="0" w:color="auto"/>
          </w:divBdr>
        </w:div>
      </w:divsChild>
    </w:div>
    <w:div w:id="447360652">
      <w:bodyDiv w:val="1"/>
      <w:marLeft w:val="0"/>
      <w:marRight w:val="0"/>
      <w:marTop w:val="0"/>
      <w:marBottom w:val="0"/>
      <w:divBdr>
        <w:top w:val="none" w:sz="0" w:space="0" w:color="auto"/>
        <w:left w:val="none" w:sz="0" w:space="0" w:color="auto"/>
        <w:bottom w:val="none" w:sz="0" w:space="0" w:color="auto"/>
        <w:right w:val="none" w:sz="0" w:space="0" w:color="auto"/>
      </w:divBdr>
      <w:divsChild>
        <w:div w:id="1361979292">
          <w:marLeft w:val="-720"/>
          <w:marRight w:val="0"/>
          <w:marTop w:val="0"/>
          <w:marBottom w:val="0"/>
          <w:divBdr>
            <w:top w:val="none" w:sz="0" w:space="0" w:color="auto"/>
            <w:left w:val="none" w:sz="0" w:space="0" w:color="auto"/>
            <w:bottom w:val="none" w:sz="0" w:space="0" w:color="auto"/>
            <w:right w:val="none" w:sz="0" w:space="0" w:color="auto"/>
          </w:divBdr>
        </w:div>
      </w:divsChild>
    </w:div>
    <w:div w:id="874580229">
      <w:bodyDiv w:val="1"/>
      <w:marLeft w:val="0"/>
      <w:marRight w:val="0"/>
      <w:marTop w:val="0"/>
      <w:marBottom w:val="0"/>
      <w:divBdr>
        <w:top w:val="none" w:sz="0" w:space="0" w:color="auto"/>
        <w:left w:val="none" w:sz="0" w:space="0" w:color="auto"/>
        <w:bottom w:val="none" w:sz="0" w:space="0" w:color="auto"/>
        <w:right w:val="none" w:sz="0" w:space="0" w:color="auto"/>
      </w:divBdr>
    </w:div>
    <w:div w:id="897476785">
      <w:bodyDiv w:val="1"/>
      <w:marLeft w:val="0"/>
      <w:marRight w:val="0"/>
      <w:marTop w:val="0"/>
      <w:marBottom w:val="0"/>
      <w:divBdr>
        <w:top w:val="none" w:sz="0" w:space="0" w:color="auto"/>
        <w:left w:val="none" w:sz="0" w:space="0" w:color="auto"/>
        <w:bottom w:val="none" w:sz="0" w:space="0" w:color="auto"/>
        <w:right w:val="none" w:sz="0" w:space="0" w:color="auto"/>
      </w:divBdr>
      <w:divsChild>
        <w:div w:id="928469553">
          <w:marLeft w:val="-720"/>
          <w:marRight w:val="0"/>
          <w:marTop w:val="0"/>
          <w:marBottom w:val="0"/>
          <w:divBdr>
            <w:top w:val="none" w:sz="0" w:space="0" w:color="auto"/>
            <w:left w:val="none" w:sz="0" w:space="0" w:color="auto"/>
            <w:bottom w:val="none" w:sz="0" w:space="0" w:color="auto"/>
            <w:right w:val="none" w:sz="0" w:space="0" w:color="auto"/>
          </w:divBdr>
        </w:div>
      </w:divsChild>
    </w:div>
    <w:div w:id="962078755">
      <w:bodyDiv w:val="1"/>
      <w:marLeft w:val="0"/>
      <w:marRight w:val="0"/>
      <w:marTop w:val="0"/>
      <w:marBottom w:val="0"/>
      <w:divBdr>
        <w:top w:val="none" w:sz="0" w:space="0" w:color="auto"/>
        <w:left w:val="none" w:sz="0" w:space="0" w:color="auto"/>
        <w:bottom w:val="none" w:sz="0" w:space="0" w:color="auto"/>
        <w:right w:val="none" w:sz="0" w:space="0" w:color="auto"/>
      </w:divBdr>
      <w:divsChild>
        <w:div w:id="1767456797">
          <w:marLeft w:val="-720"/>
          <w:marRight w:val="0"/>
          <w:marTop w:val="0"/>
          <w:marBottom w:val="0"/>
          <w:divBdr>
            <w:top w:val="none" w:sz="0" w:space="0" w:color="auto"/>
            <w:left w:val="none" w:sz="0" w:space="0" w:color="auto"/>
            <w:bottom w:val="none" w:sz="0" w:space="0" w:color="auto"/>
            <w:right w:val="none" w:sz="0" w:space="0" w:color="auto"/>
          </w:divBdr>
        </w:div>
      </w:divsChild>
    </w:div>
    <w:div w:id="1041242999">
      <w:bodyDiv w:val="1"/>
      <w:marLeft w:val="0"/>
      <w:marRight w:val="0"/>
      <w:marTop w:val="0"/>
      <w:marBottom w:val="0"/>
      <w:divBdr>
        <w:top w:val="none" w:sz="0" w:space="0" w:color="auto"/>
        <w:left w:val="none" w:sz="0" w:space="0" w:color="auto"/>
        <w:bottom w:val="none" w:sz="0" w:space="0" w:color="auto"/>
        <w:right w:val="none" w:sz="0" w:space="0" w:color="auto"/>
      </w:divBdr>
    </w:div>
    <w:div w:id="1176769380">
      <w:bodyDiv w:val="1"/>
      <w:marLeft w:val="0"/>
      <w:marRight w:val="0"/>
      <w:marTop w:val="0"/>
      <w:marBottom w:val="0"/>
      <w:divBdr>
        <w:top w:val="none" w:sz="0" w:space="0" w:color="auto"/>
        <w:left w:val="none" w:sz="0" w:space="0" w:color="auto"/>
        <w:bottom w:val="none" w:sz="0" w:space="0" w:color="auto"/>
        <w:right w:val="none" w:sz="0" w:space="0" w:color="auto"/>
      </w:divBdr>
    </w:div>
    <w:div w:id="1206675043">
      <w:bodyDiv w:val="1"/>
      <w:marLeft w:val="0"/>
      <w:marRight w:val="0"/>
      <w:marTop w:val="0"/>
      <w:marBottom w:val="0"/>
      <w:divBdr>
        <w:top w:val="none" w:sz="0" w:space="0" w:color="auto"/>
        <w:left w:val="none" w:sz="0" w:space="0" w:color="auto"/>
        <w:bottom w:val="none" w:sz="0" w:space="0" w:color="auto"/>
        <w:right w:val="none" w:sz="0" w:space="0" w:color="auto"/>
      </w:divBdr>
      <w:divsChild>
        <w:div w:id="1641107106">
          <w:marLeft w:val="-720"/>
          <w:marRight w:val="0"/>
          <w:marTop w:val="0"/>
          <w:marBottom w:val="0"/>
          <w:divBdr>
            <w:top w:val="none" w:sz="0" w:space="0" w:color="auto"/>
            <w:left w:val="none" w:sz="0" w:space="0" w:color="auto"/>
            <w:bottom w:val="none" w:sz="0" w:space="0" w:color="auto"/>
            <w:right w:val="none" w:sz="0" w:space="0" w:color="auto"/>
          </w:divBdr>
        </w:div>
      </w:divsChild>
    </w:div>
    <w:div w:id="1239361109">
      <w:bodyDiv w:val="1"/>
      <w:marLeft w:val="0"/>
      <w:marRight w:val="0"/>
      <w:marTop w:val="0"/>
      <w:marBottom w:val="0"/>
      <w:divBdr>
        <w:top w:val="none" w:sz="0" w:space="0" w:color="auto"/>
        <w:left w:val="none" w:sz="0" w:space="0" w:color="auto"/>
        <w:bottom w:val="none" w:sz="0" w:space="0" w:color="auto"/>
        <w:right w:val="none" w:sz="0" w:space="0" w:color="auto"/>
      </w:divBdr>
    </w:div>
    <w:div w:id="1261568390">
      <w:bodyDiv w:val="1"/>
      <w:marLeft w:val="0"/>
      <w:marRight w:val="0"/>
      <w:marTop w:val="0"/>
      <w:marBottom w:val="0"/>
      <w:divBdr>
        <w:top w:val="none" w:sz="0" w:space="0" w:color="auto"/>
        <w:left w:val="none" w:sz="0" w:space="0" w:color="auto"/>
        <w:bottom w:val="none" w:sz="0" w:space="0" w:color="auto"/>
        <w:right w:val="none" w:sz="0" w:space="0" w:color="auto"/>
      </w:divBdr>
    </w:div>
    <w:div w:id="1272932269">
      <w:bodyDiv w:val="1"/>
      <w:marLeft w:val="0"/>
      <w:marRight w:val="0"/>
      <w:marTop w:val="0"/>
      <w:marBottom w:val="0"/>
      <w:divBdr>
        <w:top w:val="none" w:sz="0" w:space="0" w:color="auto"/>
        <w:left w:val="none" w:sz="0" w:space="0" w:color="auto"/>
        <w:bottom w:val="none" w:sz="0" w:space="0" w:color="auto"/>
        <w:right w:val="none" w:sz="0" w:space="0" w:color="auto"/>
      </w:divBdr>
    </w:div>
    <w:div w:id="1306741025">
      <w:bodyDiv w:val="1"/>
      <w:marLeft w:val="0"/>
      <w:marRight w:val="0"/>
      <w:marTop w:val="0"/>
      <w:marBottom w:val="0"/>
      <w:divBdr>
        <w:top w:val="none" w:sz="0" w:space="0" w:color="auto"/>
        <w:left w:val="none" w:sz="0" w:space="0" w:color="auto"/>
        <w:bottom w:val="none" w:sz="0" w:space="0" w:color="auto"/>
        <w:right w:val="none" w:sz="0" w:space="0" w:color="auto"/>
      </w:divBdr>
    </w:div>
    <w:div w:id="1321422940">
      <w:bodyDiv w:val="1"/>
      <w:marLeft w:val="0"/>
      <w:marRight w:val="0"/>
      <w:marTop w:val="0"/>
      <w:marBottom w:val="0"/>
      <w:divBdr>
        <w:top w:val="none" w:sz="0" w:space="0" w:color="auto"/>
        <w:left w:val="none" w:sz="0" w:space="0" w:color="auto"/>
        <w:bottom w:val="none" w:sz="0" w:space="0" w:color="auto"/>
        <w:right w:val="none" w:sz="0" w:space="0" w:color="auto"/>
      </w:divBdr>
      <w:divsChild>
        <w:div w:id="892693357">
          <w:marLeft w:val="-720"/>
          <w:marRight w:val="0"/>
          <w:marTop w:val="0"/>
          <w:marBottom w:val="0"/>
          <w:divBdr>
            <w:top w:val="none" w:sz="0" w:space="0" w:color="auto"/>
            <w:left w:val="none" w:sz="0" w:space="0" w:color="auto"/>
            <w:bottom w:val="none" w:sz="0" w:space="0" w:color="auto"/>
            <w:right w:val="none" w:sz="0" w:space="0" w:color="auto"/>
          </w:divBdr>
        </w:div>
      </w:divsChild>
    </w:div>
    <w:div w:id="1325861871">
      <w:bodyDiv w:val="1"/>
      <w:marLeft w:val="0"/>
      <w:marRight w:val="0"/>
      <w:marTop w:val="0"/>
      <w:marBottom w:val="0"/>
      <w:divBdr>
        <w:top w:val="none" w:sz="0" w:space="0" w:color="auto"/>
        <w:left w:val="none" w:sz="0" w:space="0" w:color="auto"/>
        <w:bottom w:val="none" w:sz="0" w:space="0" w:color="auto"/>
        <w:right w:val="none" w:sz="0" w:space="0" w:color="auto"/>
      </w:divBdr>
      <w:divsChild>
        <w:div w:id="1498302878">
          <w:marLeft w:val="-720"/>
          <w:marRight w:val="0"/>
          <w:marTop w:val="0"/>
          <w:marBottom w:val="0"/>
          <w:divBdr>
            <w:top w:val="none" w:sz="0" w:space="0" w:color="auto"/>
            <w:left w:val="none" w:sz="0" w:space="0" w:color="auto"/>
            <w:bottom w:val="none" w:sz="0" w:space="0" w:color="auto"/>
            <w:right w:val="none" w:sz="0" w:space="0" w:color="auto"/>
          </w:divBdr>
        </w:div>
      </w:divsChild>
    </w:div>
    <w:div w:id="1366558799">
      <w:bodyDiv w:val="1"/>
      <w:marLeft w:val="0"/>
      <w:marRight w:val="0"/>
      <w:marTop w:val="0"/>
      <w:marBottom w:val="0"/>
      <w:divBdr>
        <w:top w:val="none" w:sz="0" w:space="0" w:color="auto"/>
        <w:left w:val="none" w:sz="0" w:space="0" w:color="auto"/>
        <w:bottom w:val="none" w:sz="0" w:space="0" w:color="auto"/>
        <w:right w:val="none" w:sz="0" w:space="0" w:color="auto"/>
      </w:divBdr>
    </w:div>
    <w:div w:id="1367023521">
      <w:bodyDiv w:val="1"/>
      <w:marLeft w:val="0"/>
      <w:marRight w:val="0"/>
      <w:marTop w:val="0"/>
      <w:marBottom w:val="0"/>
      <w:divBdr>
        <w:top w:val="none" w:sz="0" w:space="0" w:color="auto"/>
        <w:left w:val="none" w:sz="0" w:space="0" w:color="auto"/>
        <w:bottom w:val="none" w:sz="0" w:space="0" w:color="auto"/>
        <w:right w:val="none" w:sz="0" w:space="0" w:color="auto"/>
      </w:divBdr>
      <w:divsChild>
        <w:div w:id="1346975606">
          <w:marLeft w:val="-720"/>
          <w:marRight w:val="0"/>
          <w:marTop w:val="0"/>
          <w:marBottom w:val="0"/>
          <w:divBdr>
            <w:top w:val="none" w:sz="0" w:space="0" w:color="auto"/>
            <w:left w:val="none" w:sz="0" w:space="0" w:color="auto"/>
            <w:bottom w:val="none" w:sz="0" w:space="0" w:color="auto"/>
            <w:right w:val="none" w:sz="0" w:space="0" w:color="auto"/>
          </w:divBdr>
        </w:div>
      </w:divsChild>
    </w:div>
    <w:div w:id="1407916865">
      <w:bodyDiv w:val="1"/>
      <w:marLeft w:val="0"/>
      <w:marRight w:val="0"/>
      <w:marTop w:val="0"/>
      <w:marBottom w:val="0"/>
      <w:divBdr>
        <w:top w:val="none" w:sz="0" w:space="0" w:color="auto"/>
        <w:left w:val="none" w:sz="0" w:space="0" w:color="auto"/>
        <w:bottom w:val="none" w:sz="0" w:space="0" w:color="auto"/>
        <w:right w:val="none" w:sz="0" w:space="0" w:color="auto"/>
      </w:divBdr>
    </w:div>
    <w:div w:id="1457606728">
      <w:bodyDiv w:val="1"/>
      <w:marLeft w:val="0"/>
      <w:marRight w:val="0"/>
      <w:marTop w:val="0"/>
      <w:marBottom w:val="0"/>
      <w:divBdr>
        <w:top w:val="none" w:sz="0" w:space="0" w:color="auto"/>
        <w:left w:val="none" w:sz="0" w:space="0" w:color="auto"/>
        <w:bottom w:val="none" w:sz="0" w:space="0" w:color="auto"/>
        <w:right w:val="none" w:sz="0" w:space="0" w:color="auto"/>
      </w:divBdr>
    </w:div>
    <w:div w:id="1478692233">
      <w:bodyDiv w:val="1"/>
      <w:marLeft w:val="0"/>
      <w:marRight w:val="0"/>
      <w:marTop w:val="0"/>
      <w:marBottom w:val="0"/>
      <w:divBdr>
        <w:top w:val="none" w:sz="0" w:space="0" w:color="auto"/>
        <w:left w:val="none" w:sz="0" w:space="0" w:color="auto"/>
        <w:bottom w:val="none" w:sz="0" w:space="0" w:color="auto"/>
        <w:right w:val="none" w:sz="0" w:space="0" w:color="auto"/>
      </w:divBdr>
    </w:div>
    <w:div w:id="1480684608">
      <w:bodyDiv w:val="1"/>
      <w:marLeft w:val="0"/>
      <w:marRight w:val="0"/>
      <w:marTop w:val="0"/>
      <w:marBottom w:val="0"/>
      <w:divBdr>
        <w:top w:val="none" w:sz="0" w:space="0" w:color="auto"/>
        <w:left w:val="none" w:sz="0" w:space="0" w:color="auto"/>
        <w:bottom w:val="none" w:sz="0" w:space="0" w:color="auto"/>
        <w:right w:val="none" w:sz="0" w:space="0" w:color="auto"/>
      </w:divBdr>
    </w:div>
    <w:div w:id="1482230948">
      <w:bodyDiv w:val="1"/>
      <w:marLeft w:val="0"/>
      <w:marRight w:val="0"/>
      <w:marTop w:val="0"/>
      <w:marBottom w:val="0"/>
      <w:divBdr>
        <w:top w:val="none" w:sz="0" w:space="0" w:color="auto"/>
        <w:left w:val="none" w:sz="0" w:space="0" w:color="auto"/>
        <w:bottom w:val="none" w:sz="0" w:space="0" w:color="auto"/>
        <w:right w:val="none" w:sz="0" w:space="0" w:color="auto"/>
      </w:divBdr>
    </w:div>
    <w:div w:id="1628006597">
      <w:bodyDiv w:val="1"/>
      <w:marLeft w:val="0"/>
      <w:marRight w:val="0"/>
      <w:marTop w:val="0"/>
      <w:marBottom w:val="0"/>
      <w:divBdr>
        <w:top w:val="none" w:sz="0" w:space="0" w:color="auto"/>
        <w:left w:val="none" w:sz="0" w:space="0" w:color="auto"/>
        <w:bottom w:val="none" w:sz="0" w:space="0" w:color="auto"/>
        <w:right w:val="none" w:sz="0" w:space="0" w:color="auto"/>
      </w:divBdr>
    </w:div>
    <w:div w:id="1672633935">
      <w:bodyDiv w:val="1"/>
      <w:marLeft w:val="0"/>
      <w:marRight w:val="0"/>
      <w:marTop w:val="0"/>
      <w:marBottom w:val="0"/>
      <w:divBdr>
        <w:top w:val="none" w:sz="0" w:space="0" w:color="auto"/>
        <w:left w:val="none" w:sz="0" w:space="0" w:color="auto"/>
        <w:bottom w:val="none" w:sz="0" w:space="0" w:color="auto"/>
        <w:right w:val="none" w:sz="0" w:space="0" w:color="auto"/>
      </w:divBdr>
    </w:div>
    <w:div w:id="1681815886">
      <w:bodyDiv w:val="1"/>
      <w:marLeft w:val="0"/>
      <w:marRight w:val="0"/>
      <w:marTop w:val="0"/>
      <w:marBottom w:val="0"/>
      <w:divBdr>
        <w:top w:val="none" w:sz="0" w:space="0" w:color="auto"/>
        <w:left w:val="none" w:sz="0" w:space="0" w:color="auto"/>
        <w:bottom w:val="none" w:sz="0" w:space="0" w:color="auto"/>
        <w:right w:val="none" w:sz="0" w:space="0" w:color="auto"/>
      </w:divBdr>
      <w:divsChild>
        <w:div w:id="1232302611">
          <w:marLeft w:val="-720"/>
          <w:marRight w:val="0"/>
          <w:marTop w:val="0"/>
          <w:marBottom w:val="0"/>
          <w:divBdr>
            <w:top w:val="none" w:sz="0" w:space="0" w:color="auto"/>
            <w:left w:val="none" w:sz="0" w:space="0" w:color="auto"/>
            <w:bottom w:val="none" w:sz="0" w:space="0" w:color="auto"/>
            <w:right w:val="none" w:sz="0" w:space="0" w:color="auto"/>
          </w:divBdr>
        </w:div>
      </w:divsChild>
    </w:div>
    <w:div w:id="1716931283">
      <w:bodyDiv w:val="1"/>
      <w:marLeft w:val="0"/>
      <w:marRight w:val="0"/>
      <w:marTop w:val="0"/>
      <w:marBottom w:val="0"/>
      <w:divBdr>
        <w:top w:val="none" w:sz="0" w:space="0" w:color="auto"/>
        <w:left w:val="none" w:sz="0" w:space="0" w:color="auto"/>
        <w:bottom w:val="none" w:sz="0" w:space="0" w:color="auto"/>
        <w:right w:val="none" w:sz="0" w:space="0" w:color="auto"/>
      </w:divBdr>
    </w:div>
    <w:div w:id="1731417379">
      <w:bodyDiv w:val="1"/>
      <w:marLeft w:val="0"/>
      <w:marRight w:val="0"/>
      <w:marTop w:val="0"/>
      <w:marBottom w:val="0"/>
      <w:divBdr>
        <w:top w:val="none" w:sz="0" w:space="0" w:color="auto"/>
        <w:left w:val="none" w:sz="0" w:space="0" w:color="auto"/>
        <w:bottom w:val="none" w:sz="0" w:space="0" w:color="auto"/>
        <w:right w:val="none" w:sz="0" w:space="0" w:color="auto"/>
      </w:divBdr>
      <w:divsChild>
        <w:div w:id="1371415971">
          <w:marLeft w:val="-720"/>
          <w:marRight w:val="0"/>
          <w:marTop w:val="0"/>
          <w:marBottom w:val="0"/>
          <w:divBdr>
            <w:top w:val="none" w:sz="0" w:space="0" w:color="auto"/>
            <w:left w:val="none" w:sz="0" w:space="0" w:color="auto"/>
            <w:bottom w:val="none" w:sz="0" w:space="0" w:color="auto"/>
            <w:right w:val="none" w:sz="0" w:space="0" w:color="auto"/>
          </w:divBdr>
        </w:div>
      </w:divsChild>
    </w:div>
    <w:div w:id="1745451827">
      <w:bodyDiv w:val="1"/>
      <w:marLeft w:val="0"/>
      <w:marRight w:val="0"/>
      <w:marTop w:val="0"/>
      <w:marBottom w:val="0"/>
      <w:divBdr>
        <w:top w:val="none" w:sz="0" w:space="0" w:color="auto"/>
        <w:left w:val="none" w:sz="0" w:space="0" w:color="auto"/>
        <w:bottom w:val="none" w:sz="0" w:space="0" w:color="auto"/>
        <w:right w:val="none" w:sz="0" w:space="0" w:color="auto"/>
      </w:divBdr>
    </w:div>
    <w:div w:id="205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34/agronj1958.00021962005000100020x" TargetMode="External"/><Relationship Id="rId18" Type="http://schemas.openxmlformats.org/officeDocument/2006/relationships/hyperlink" Target="https://doi.org/10.1007/s13580-024-00644-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9734/ijpss/2023/v35i52832"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doi.org/10.2134/agronj1955.00021962004700070009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134/agronj1953.00021962004500100005x" TargetMode="External"/><Relationship Id="rId20" Type="http://schemas.openxmlformats.org/officeDocument/2006/relationships/hyperlink" Target="https://en.cnki.com.cn/Article_en/CJFDTotal-AHNY201115028.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016/j.scienta.2023.112308"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phytojournal.com/archives/2018/vol7issue5S/PartA/SP-7-5-10-965.pdf" TargetMode="External"/><Relationship Id="rId23" Type="http://schemas.openxmlformats.org/officeDocument/2006/relationships/hyperlink" Target="https://doi.org/10.1007/s11033-025-10571-7" TargetMode="External"/><Relationship Id="rId28"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20546/ijcmas.2020.908.38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plants10020258" TargetMode="External"/><Relationship Id="rId22" Type="http://schemas.openxmlformats.org/officeDocument/2006/relationships/hyperlink" Target="https://doi.org/10.1007/978-981-19-0596-4_5" TargetMode="External"/><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11</Pages>
  <Words>3742</Words>
  <Characters>21745</Characters>
  <Application>Microsoft Office Word</Application>
  <DocSecurity>0</DocSecurity>
  <Lines>805</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shorya kapoor</dc:creator>
  <cp:keywords/>
  <dc:description/>
  <cp:lastModifiedBy>Dr. Nidhi Dubey</cp:lastModifiedBy>
  <cp:revision>13</cp:revision>
  <dcterms:created xsi:type="dcterms:W3CDTF">2025-06-16T08:01:00Z</dcterms:created>
  <dcterms:modified xsi:type="dcterms:W3CDTF">2025-06-19T10:25:00Z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7fd7d2f8-0519-48c6-bddc-a081f92343a3</vt:lpwstr>
  </property>
</Properties>
</file>